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46"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1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128"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10-Q</w:t>
      </w:r>
    </w:p>
    <w:p>
      <w:pPr>
        <w:spacing w:after="0" w:line="10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171" w:lineRule="exact"/>
        <w:rPr>
          <w:sz w:val="24"/>
          <w:szCs w:val="24"/>
          <w:color w:val="auto"/>
        </w:rPr>
      </w:pPr>
    </w:p>
    <w:p>
      <w:pPr>
        <w:ind w:left="4020" w:right="1500" w:hanging="3985"/>
        <w:spacing w:after="0" w:line="391" w:lineRule="auto"/>
        <w:tabs>
          <w:tab w:leader="none" w:pos="715"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QUARTERLY REPORT PURSUANT TO SECTION 13 OR 15(d) OF THE SECURITIES EXCHANGE ACT OF 1934 For the quarterly period ended May 4, 2019</w:t>
      </w:r>
    </w:p>
    <w:p>
      <w:pPr>
        <w:ind w:left="5620"/>
        <w:spacing w:after="0"/>
        <w:rPr>
          <w:rFonts w:ascii="MS PGothic" w:cs="MS PGothic" w:eastAsia="MS PGothic" w:hAnsi="MS PGothic"/>
          <w:sz w:val="18"/>
          <w:szCs w:val="18"/>
          <w:color w:val="auto"/>
        </w:rPr>
      </w:pPr>
      <w:r>
        <w:rPr>
          <w:rFonts w:ascii="Arial" w:cs="Arial" w:eastAsia="Arial" w:hAnsi="Arial"/>
          <w:sz w:val="18"/>
          <w:szCs w:val="18"/>
          <w:b w:val="1"/>
          <w:bCs w:val="1"/>
          <w:color w:val="auto"/>
        </w:rPr>
        <w:t>or</w:t>
      </w:r>
    </w:p>
    <w:p>
      <w:pPr>
        <w:spacing w:after="0" w:line="171" w:lineRule="exact"/>
        <w:rPr>
          <w:sz w:val="24"/>
          <w:szCs w:val="24"/>
          <w:color w:val="auto"/>
        </w:rPr>
      </w:pPr>
    </w:p>
    <w:p>
      <w:pPr>
        <w:ind w:left="720" w:hanging="685"/>
        <w:spacing w:after="0"/>
        <w:tabs>
          <w:tab w:leader="none" w:pos="72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144" w:lineRule="exact"/>
        <w:rPr>
          <w:sz w:val="24"/>
          <w:szCs w:val="24"/>
          <w:color w:val="auto"/>
        </w:rPr>
      </w:pPr>
    </w:p>
    <w:p>
      <w:pPr>
        <w:ind w:left="3860"/>
        <w:spacing w:after="0"/>
        <w:tabs>
          <w:tab w:leader="none" w:pos="680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3962400</wp:posOffset>
            </wp:positionH>
            <wp:positionV relativeFrom="paragraph">
              <wp:posOffset>-7620</wp:posOffset>
            </wp:positionV>
            <wp:extent cx="8382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8200" cy="8890"/>
                    </a:xfrm>
                    <a:prstGeom prst="rect">
                      <a:avLst/>
                    </a:prstGeom>
                    <a:noFill/>
                  </pic:spPr>
                </pic:pic>
              </a:graphicData>
            </a:graphic>
          </wp:anchor>
        </w:drawing>
      </w:r>
    </w:p>
    <w:p>
      <w:pPr>
        <w:spacing w:after="0" w:line="9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Commission file number: 000-30877</w:t>
      </w:r>
    </w:p>
    <w:p>
      <w:pPr>
        <w:spacing w:after="0" w:line="79"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5" w:lineRule="exact"/>
        <w:rPr>
          <w:sz w:val="24"/>
          <w:szCs w:val="24"/>
          <w:color w:val="auto"/>
        </w:rPr>
      </w:pPr>
    </w:p>
    <w:tbl>
      <w:tblPr>
        <w:tblLayout w:type="fixed"/>
        <w:tblInd w:w="1860" w:type="dxa"/>
        <w:tblCellMar>
          <w:top w:w="0" w:type="dxa"/>
          <w:left w:w="0" w:type="dxa"/>
          <w:bottom w:w="0" w:type="dxa"/>
          <w:right w:w="0" w:type="dxa"/>
        </w:tblCellMar>
      </w:tblPr>
      <w:tr>
        <w:trPr>
          <w:trHeight w:val="234"/>
        </w:trPr>
        <w:tc>
          <w:tcPr>
            <w:tcW w:w="4060" w:type="dxa"/>
            <w:vAlign w:val="bottom"/>
          </w:tcPr>
          <w:p>
            <w:pPr>
              <w:jc w:val="center"/>
              <w:ind w:right="2102"/>
              <w:spacing w:after="0"/>
              <w:rPr>
                <w:sz w:val="20"/>
                <w:szCs w:val="20"/>
                <w:color w:val="auto"/>
              </w:rPr>
            </w:pPr>
            <w:r>
              <w:rPr>
                <w:rFonts w:ascii="Arial" w:cs="Arial" w:eastAsia="Arial" w:hAnsi="Arial"/>
                <w:sz w:val="18"/>
                <w:szCs w:val="18"/>
                <w:b w:val="1"/>
                <w:bCs w:val="1"/>
                <w:color w:val="auto"/>
                <w:w w:val="92"/>
              </w:rPr>
              <w:t>Bermuda</w:t>
            </w:r>
          </w:p>
        </w:tc>
        <w:tc>
          <w:tcPr>
            <w:tcW w:w="3300" w:type="dxa"/>
            <w:vAlign w:val="bottom"/>
          </w:tcPr>
          <w:p>
            <w:pPr>
              <w:jc w:val="center"/>
              <w:ind w:left="2122"/>
              <w:spacing w:after="0"/>
              <w:rPr>
                <w:sz w:val="20"/>
                <w:szCs w:val="20"/>
                <w:color w:val="auto"/>
              </w:rPr>
            </w:pPr>
            <w:r>
              <w:rPr>
                <w:rFonts w:ascii="Arial" w:cs="Arial" w:eastAsia="Arial" w:hAnsi="Arial"/>
                <w:sz w:val="18"/>
                <w:szCs w:val="18"/>
                <w:b w:val="1"/>
                <w:bCs w:val="1"/>
                <w:color w:val="auto"/>
                <w:w w:val="89"/>
              </w:rPr>
              <w:t>77-0481679</w:t>
            </w:r>
          </w:p>
        </w:tc>
      </w:tr>
      <w:tr>
        <w:trPr>
          <w:trHeight w:val="180"/>
        </w:trPr>
        <w:tc>
          <w:tcPr>
            <w:tcW w:w="4060" w:type="dxa"/>
            <w:vAlign w:val="bottom"/>
          </w:tcPr>
          <w:p>
            <w:pPr>
              <w:jc w:val="center"/>
              <w:ind w:right="2102"/>
              <w:spacing w:after="0"/>
              <w:rPr>
                <w:sz w:val="20"/>
                <w:szCs w:val="20"/>
                <w:color w:val="auto"/>
              </w:rPr>
            </w:pPr>
            <w:r>
              <w:rPr>
                <w:rFonts w:ascii="Arial" w:cs="Arial" w:eastAsia="Arial" w:hAnsi="Arial"/>
                <w:sz w:val="14"/>
                <w:szCs w:val="14"/>
                <w:b w:val="1"/>
                <w:bCs w:val="1"/>
                <w:color w:val="auto"/>
                <w:w w:val="93"/>
              </w:rPr>
              <w:t>(State or other jurisdiction of</w:t>
            </w:r>
          </w:p>
        </w:tc>
        <w:tc>
          <w:tcPr>
            <w:tcW w:w="3300" w:type="dxa"/>
            <w:vAlign w:val="bottom"/>
          </w:tcPr>
          <w:p>
            <w:pPr>
              <w:jc w:val="center"/>
              <w:ind w:left="2102"/>
              <w:spacing w:after="0"/>
              <w:rPr>
                <w:sz w:val="20"/>
                <w:szCs w:val="20"/>
                <w:color w:val="auto"/>
              </w:rPr>
            </w:pPr>
            <w:r>
              <w:rPr>
                <w:rFonts w:ascii="Arial" w:cs="Arial" w:eastAsia="Arial" w:hAnsi="Arial"/>
                <w:sz w:val="14"/>
                <w:szCs w:val="14"/>
                <w:b w:val="1"/>
                <w:bCs w:val="1"/>
                <w:color w:val="auto"/>
                <w:w w:val="96"/>
              </w:rPr>
              <w:t>(I.R.S. Employer</w:t>
            </w:r>
          </w:p>
        </w:tc>
      </w:tr>
      <w:tr>
        <w:trPr>
          <w:trHeight w:val="186"/>
        </w:trPr>
        <w:tc>
          <w:tcPr>
            <w:tcW w:w="4060" w:type="dxa"/>
            <w:vAlign w:val="bottom"/>
          </w:tcPr>
          <w:p>
            <w:pPr>
              <w:jc w:val="center"/>
              <w:ind w:right="2102"/>
              <w:spacing w:after="0"/>
              <w:rPr>
                <w:sz w:val="20"/>
                <w:szCs w:val="20"/>
                <w:color w:val="auto"/>
              </w:rPr>
            </w:pPr>
            <w:r>
              <w:rPr>
                <w:rFonts w:ascii="Arial" w:cs="Arial" w:eastAsia="Arial" w:hAnsi="Arial"/>
                <w:sz w:val="14"/>
                <w:szCs w:val="14"/>
                <w:b w:val="1"/>
                <w:bCs w:val="1"/>
                <w:color w:val="auto"/>
                <w:w w:val="94"/>
              </w:rPr>
              <w:t>incorporation or organization)</w:t>
            </w:r>
          </w:p>
        </w:tc>
        <w:tc>
          <w:tcPr>
            <w:tcW w:w="3300" w:type="dxa"/>
            <w:vAlign w:val="bottom"/>
          </w:tcPr>
          <w:p>
            <w:pPr>
              <w:jc w:val="center"/>
              <w:ind w:left="2102"/>
              <w:spacing w:after="0"/>
              <w:rPr>
                <w:sz w:val="20"/>
                <w:szCs w:val="20"/>
                <w:color w:val="auto"/>
              </w:rPr>
            </w:pPr>
            <w:r>
              <w:rPr>
                <w:rFonts w:ascii="Arial" w:cs="Arial" w:eastAsia="Arial" w:hAnsi="Arial"/>
                <w:sz w:val="14"/>
                <w:szCs w:val="14"/>
                <w:b w:val="1"/>
                <w:bCs w:val="1"/>
                <w:color w:val="auto"/>
                <w:w w:val="94"/>
              </w:rPr>
              <w:t>Identification No.)</w:t>
            </w:r>
          </w:p>
        </w:tc>
      </w:tr>
    </w:tbl>
    <w:p>
      <w:pPr>
        <w:spacing w:after="0" w:line="156"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ind w:right="-3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152"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200" w:lineRule="exact"/>
        <w:rPr>
          <w:sz w:val="24"/>
          <w:szCs w:val="24"/>
          <w:color w:val="auto"/>
        </w:rPr>
      </w:pPr>
    </w:p>
    <w:p>
      <w:pPr>
        <w:spacing w:after="0" w:line="313" w:lineRule="exact"/>
        <w:rPr>
          <w:sz w:val="24"/>
          <w:szCs w:val="24"/>
          <w:color w:val="auto"/>
        </w:rPr>
      </w:pPr>
    </w:p>
    <w:tbl>
      <w:tblPr>
        <w:tblLayout w:type="fixed"/>
        <w:tblInd w:w="140" w:type="dxa"/>
        <w:tblCellMar>
          <w:top w:w="0" w:type="dxa"/>
          <w:left w:w="0" w:type="dxa"/>
          <w:bottom w:w="0" w:type="dxa"/>
          <w:right w:w="0" w:type="dxa"/>
        </w:tblCellMar>
      </w:tblPr>
      <w:tr>
        <w:trPr>
          <w:trHeight w:val="210"/>
        </w:trPr>
        <w:tc>
          <w:tcPr>
            <w:tcW w:w="470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88"/>
              </w:rPr>
              <w:t>Title of each class</w:t>
            </w:r>
          </w:p>
        </w:tc>
        <w:tc>
          <w:tcPr>
            <w:tcW w:w="2340" w:type="dxa"/>
            <w:vAlign w:val="bottom"/>
            <w:gridSpan w:val="2"/>
          </w:tcPr>
          <w:p>
            <w:pPr>
              <w:jc w:val="center"/>
              <w:ind w:right="220"/>
              <w:spacing w:after="0"/>
              <w:rPr>
                <w:sz w:val="20"/>
                <w:szCs w:val="20"/>
                <w:color w:val="auto"/>
              </w:rPr>
            </w:pPr>
            <w:r>
              <w:rPr>
                <w:rFonts w:ascii="Arial" w:cs="Arial" w:eastAsia="Arial" w:hAnsi="Arial"/>
                <w:sz w:val="16"/>
                <w:szCs w:val="16"/>
                <w:b w:val="1"/>
                <w:bCs w:val="1"/>
                <w:color w:val="auto"/>
                <w:w w:val="91"/>
              </w:rPr>
              <w:t>Trading Symbol(s)</w:t>
            </w:r>
          </w:p>
        </w:tc>
        <w:tc>
          <w:tcPr>
            <w:tcW w:w="4120" w:type="dxa"/>
            <w:vAlign w:val="bottom"/>
          </w:tcPr>
          <w:p>
            <w:pPr>
              <w:jc w:val="center"/>
              <w:spacing w:after="0"/>
              <w:rPr>
                <w:sz w:val="20"/>
                <w:szCs w:val="20"/>
                <w:color w:val="auto"/>
              </w:rPr>
            </w:pPr>
            <w:r>
              <w:rPr>
                <w:rFonts w:ascii="Arial" w:cs="Arial" w:eastAsia="Arial" w:hAnsi="Arial"/>
                <w:sz w:val="16"/>
                <w:szCs w:val="16"/>
                <w:b w:val="1"/>
                <w:bCs w:val="1"/>
                <w:color w:val="auto"/>
                <w:w w:val="89"/>
              </w:rPr>
              <w:t>Name of each exchange on which registered</w:t>
            </w:r>
          </w:p>
        </w:tc>
      </w:tr>
      <w:tr>
        <w:trPr>
          <w:trHeight w:val="33"/>
        </w:trPr>
        <w:tc>
          <w:tcPr>
            <w:tcW w:w="448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212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4120" w:type="dxa"/>
            <w:vAlign w:val="bottom"/>
            <w:tcBorders>
              <w:bottom w:val="single" w:sz="8" w:color="auto"/>
            </w:tcBorders>
          </w:tcPr>
          <w:p>
            <w:pPr>
              <w:spacing w:after="0"/>
              <w:rPr>
                <w:sz w:val="2"/>
                <w:szCs w:val="2"/>
                <w:color w:val="auto"/>
              </w:rPr>
            </w:pPr>
          </w:p>
        </w:tc>
      </w:tr>
      <w:tr>
        <w:trPr>
          <w:trHeight w:val="237"/>
        </w:trPr>
        <w:tc>
          <w:tcPr>
            <w:tcW w:w="4700" w:type="dxa"/>
            <w:vAlign w:val="bottom"/>
            <w:gridSpan w:val="2"/>
          </w:tcPr>
          <w:p>
            <w:pPr>
              <w:jc w:val="center"/>
              <w:ind w:right="220"/>
              <w:spacing w:after="0"/>
              <w:rPr>
                <w:sz w:val="20"/>
                <w:szCs w:val="20"/>
                <w:color w:val="auto"/>
              </w:rPr>
            </w:pPr>
            <w:r>
              <w:rPr>
                <w:rFonts w:ascii="Arial" w:cs="Arial" w:eastAsia="Arial" w:hAnsi="Arial"/>
                <w:sz w:val="18"/>
                <w:szCs w:val="18"/>
                <w:color w:val="auto"/>
                <w:w w:val="89"/>
              </w:rPr>
              <w:t>Common Stock, par value $0.002 per share</w:t>
            </w:r>
          </w:p>
        </w:tc>
        <w:tc>
          <w:tcPr>
            <w:tcW w:w="2340" w:type="dxa"/>
            <w:vAlign w:val="bottom"/>
            <w:gridSpan w:val="2"/>
          </w:tcPr>
          <w:p>
            <w:pPr>
              <w:jc w:val="center"/>
              <w:ind w:right="240"/>
              <w:spacing w:after="0"/>
              <w:rPr>
                <w:sz w:val="20"/>
                <w:szCs w:val="20"/>
                <w:color w:val="auto"/>
              </w:rPr>
            </w:pPr>
            <w:r>
              <w:rPr>
                <w:rFonts w:ascii="Arial" w:cs="Arial" w:eastAsia="Arial" w:hAnsi="Arial"/>
                <w:sz w:val="18"/>
                <w:szCs w:val="18"/>
                <w:color w:val="auto"/>
                <w:w w:val="99"/>
              </w:rPr>
              <w:t>MRVL</w:t>
            </w:r>
          </w:p>
        </w:tc>
        <w:tc>
          <w:tcPr>
            <w:tcW w:w="4120" w:type="dxa"/>
            <w:vAlign w:val="bottom"/>
          </w:tcPr>
          <w:p>
            <w:pPr>
              <w:jc w:val="center"/>
              <w:spacing w:after="0"/>
              <w:rPr>
                <w:sz w:val="20"/>
                <w:szCs w:val="20"/>
                <w:color w:val="auto"/>
              </w:rPr>
            </w:pPr>
            <w:r>
              <w:rPr>
                <w:rFonts w:ascii="Arial" w:cs="Arial" w:eastAsia="Arial" w:hAnsi="Arial"/>
                <w:sz w:val="18"/>
                <w:szCs w:val="18"/>
                <w:color w:val="auto"/>
                <w:w w:val="94"/>
              </w:rPr>
              <w:t>NASDAQ Global Select Market</w:t>
            </w:r>
          </w:p>
        </w:tc>
      </w:tr>
    </w:tbl>
    <w:p>
      <w:pPr>
        <w:spacing w:after="0" w:line="175" w:lineRule="exact"/>
        <w:rPr>
          <w:sz w:val="24"/>
          <w:szCs w:val="24"/>
          <w:color w:val="auto"/>
        </w:rPr>
      </w:pPr>
    </w:p>
    <w:p>
      <w:pPr>
        <w:ind w:firstLine="432"/>
        <w:spacing w:after="0" w:line="227"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0" w:lineRule="exact"/>
        <w:rPr>
          <w:sz w:val="24"/>
          <w:szCs w:val="24"/>
          <w:color w:val="auto"/>
        </w:rPr>
      </w:pPr>
    </w:p>
    <w:p>
      <w:pPr>
        <w:ind w:right="220" w:firstLine="432"/>
        <w:spacing w:after="0" w:line="227"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0" w:lineRule="exact"/>
        <w:rPr>
          <w:sz w:val="24"/>
          <w:szCs w:val="24"/>
          <w:color w:val="auto"/>
        </w:rPr>
      </w:pPr>
    </w:p>
    <w:p>
      <w:pPr>
        <w:jc w:val="both"/>
        <w:ind w:right="40" w:firstLine="432"/>
        <w:spacing w:after="0" w:line="264"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p>
      <w:pPr>
        <w:spacing w:after="0" w:line="365" w:lineRule="exact"/>
        <w:rPr>
          <w:sz w:val="24"/>
          <w:szCs w:val="24"/>
          <w:color w:val="auto"/>
        </w:rPr>
      </w:pPr>
    </w:p>
    <w:tbl>
      <w:tblPr>
        <w:tblLayout w:type="fixed"/>
        <w:tblInd w:w="40" w:type="dxa"/>
        <w:tblCellMar>
          <w:top w:w="0" w:type="dxa"/>
          <w:left w:w="0" w:type="dxa"/>
          <w:bottom w:w="0" w:type="dxa"/>
          <w:right w:w="0" w:type="dxa"/>
        </w:tblCellMar>
      </w:tblPr>
      <w:tr>
        <w:trPr>
          <w:trHeight w:val="283"/>
        </w:trPr>
        <w:tc>
          <w:tcPr>
            <w:tcW w:w="190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5100" w:type="dxa"/>
            <w:vAlign w:val="bottom"/>
          </w:tcPr>
          <w:p>
            <w:pPr>
              <w:ind w:left="280"/>
              <w:spacing w:after="0" w:line="181" w:lineRule="exact"/>
              <w:rPr>
                <w:sz w:val="20"/>
                <w:szCs w:val="20"/>
                <w:color w:val="auto"/>
              </w:rPr>
            </w:pPr>
            <w:r>
              <w:rPr>
                <w:rFonts w:ascii="MS PGothic" w:cs="MS PGothic" w:eastAsia="MS PGothic" w:hAnsi="MS PGothic"/>
                <w:sz w:val="18"/>
                <w:szCs w:val="18"/>
                <w:color w:val="auto"/>
              </w:rPr>
              <w:t>☒</w:t>
            </w:r>
          </w:p>
        </w:tc>
        <w:tc>
          <w:tcPr>
            <w:tcW w:w="3500" w:type="dxa"/>
            <w:vAlign w:val="bottom"/>
          </w:tcPr>
          <w:p>
            <w:pPr>
              <w:ind w:left="1220"/>
              <w:spacing w:after="0"/>
              <w:rPr>
                <w:sz w:val="20"/>
                <w:szCs w:val="20"/>
                <w:color w:val="auto"/>
              </w:rPr>
            </w:pPr>
            <w:r>
              <w:rPr>
                <w:rFonts w:ascii="Arial" w:cs="Arial" w:eastAsia="Arial" w:hAnsi="Arial"/>
                <w:sz w:val="18"/>
                <w:szCs w:val="18"/>
                <w:color w:val="auto"/>
              </w:rPr>
              <w:t>Accelerated filer</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554"/>
        </w:trPr>
        <w:tc>
          <w:tcPr>
            <w:tcW w:w="1900" w:type="dxa"/>
            <w:vAlign w:val="bottom"/>
          </w:tcPr>
          <w:p>
            <w:pPr>
              <w:spacing w:after="0"/>
              <w:rPr>
                <w:sz w:val="20"/>
                <w:szCs w:val="20"/>
                <w:color w:val="auto"/>
              </w:rPr>
            </w:pPr>
            <w:r>
              <w:rPr>
                <w:rFonts w:ascii="Arial" w:cs="Arial" w:eastAsia="Arial" w:hAnsi="Arial"/>
                <w:sz w:val="18"/>
                <w:szCs w:val="18"/>
                <w:color w:val="auto"/>
              </w:rPr>
              <w:t>Non-accelerated filer</w:t>
            </w:r>
          </w:p>
        </w:tc>
        <w:tc>
          <w:tcPr>
            <w:tcW w:w="5100" w:type="dxa"/>
            <w:vAlign w:val="bottom"/>
          </w:tcPr>
          <w:p>
            <w:pPr>
              <w:ind w:left="2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3500" w:type="dxa"/>
            <w:vAlign w:val="bottom"/>
          </w:tcPr>
          <w:p>
            <w:pPr>
              <w:ind w:left="1220"/>
              <w:spacing w:after="0"/>
              <w:rPr>
                <w:sz w:val="20"/>
                <w:szCs w:val="20"/>
                <w:color w:val="auto"/>
              </w:rPr>
            </w:pPr>
            <w:r>
              <w:rPr>
                <w:rFonts w:ascii="Arial" w:cs="Arial" w:eastAsia="Arial" w:hAnsi="Arial"/>
                <w:sz w:val="18"/>
                <w:szCs w:val="18"/>
                <w:color w:val="auto"/>
              </w:rPr>
              <w:t>Smaller reporting company</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432"/>
        </w:trPr>
        <w:tc>
          <w:tcPr>
            <w:tcW w:w="1900" w:type="dxa"/>
            <w:vAlign w:val="bottom"/>
          </w:tcPr>
          <w:p>
            <w:pPr>
              <w:spacing w:after="0"/>
              <w:rPr>
                <w:sz w:val="24"/>
                <w:szCs w:val="24"/>
                <w:color w:val="auto"/>
              </w:rPr>
            </w:pPr>
          </w:p>
        </w:tc>
        <w:tc>
          <w:tcPr>
            <w:tcW w:w="5100" w:type="dxa"/>
            <w:vAlign w:val="bottom"/>
          </w:tcPr>
          <w:p>
            <w:pPr>
              <w:spacing w:after="0"/>
              <w:rPr>
                <w:sz w:val="24"/>
                <w:szCs w:val="24"/>
                <w:color w:val="auto"/>
              </w:rPr>
            </w:pPr>
          </w:p>
        </w:tc>
        <w:tc>
          <w:tcPr>
            <w:tcW w:w="3500" w:type="dxa"/>
            <w:vAlign w:val="bottom"/>
          </w:tcPr>
          <w:p>
            <w:pPr>
              <w:ind w:left="1220"/>
              <w:spacing w:after="0"/>
              <w:rPr>
                <w:sz w:val="20"/>
                <w:szCs w:val="20"/>
                <w:color w:val="auto"/>
              </w:rPr>
            </w:pPr>
            <w:r>
              <w:rPr>
                <w:rFonts w:ascii="Arial" w:cs="Arial" w:eastAsia="Arial" w:hAnsi="Arial"/>
                <w:sz w:val="18"/>
                <w:szCs w:val="18"/>
                <w:color w:val="auto"/>
              </w:rPr>
              <w:t>Emerging growth company</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101" w:lineRule="exact"/>
        <w:rPr>
          <w:sz w:val="24"/>
          <w:szCs w:val="24"/>
          <w:color w:val="auto"/>
        </w:rPr>
      </w:pPr>
    </w:p>
    <w:p>
      <w:pPr>
        <w:ind w:right="220" w:firstLine="432"/>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96" w:lineRule="exact"/>
        <w:rPr>
          <w:sz w:val="24"/>
          <w:szCs w:val="24"/>
          <w:color w:val="auto"/>
        </w:rPr>
      </w:pPr>
    </w:p>
    <w:p>
      <w:pPr>
        <w:ind w:left="440" w:right="1560"/>
        <w:spacing w:after="0" w:line="320" w:lineRule="exact"/>
        <w:rPr>
          <w:sz w:val="20"/>
          <w:szCs w:val="20"/>
          <w:color w:val="auto"/>
        </w:rPr>
      </w:pPr>
      <w:r>
        <w:rPr>
          <w:rFonts w:ascii="Arial" w:cs="Arial" w:eastAsia="Arial" w:hAnsi="Arial"/>
          <w:sz w:val="18"/>
          <w:szCs w:val="18"/>
          <w:color w:val="auto"/>
        </w:rPr>
        <w:t xml:space="preserve">Indicate by check mark whether the registrant is a shell company (as defined in Rule 12b-2 of the Exchange Act).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 The number of common shares of the registrant outstanding as of May 30, 2019 was 661.0 million shares.</w:t>
      </w:r>
    </w:p>
    <w:p>
      <w:pPr>
        <w:sectPr>
          <w:pgSz w:w="11900" w:h="16838" w:orient="portrait"/>
          <w:cols w:equalWidth="0" w:num="1">
            <w:col w:w="11380"/>
          </w:cols>
          <w:pgMar w:left="240" w:top="220" w:right="279" w:bottom="1440" w:gutter="0" w:footer="0" w:header="0"/>
        </w:sectPr>
      </w:pPr>
    </w:p>
    <w:bookmarkStart w:id="1" w:name="page2"/>
    <w:bookmarkEnd w:id="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356" w:lineRule="exact"/>
        <w:rPr>
          <w:sz w:val="20"/>
          <w:szCs w:val="20"/>
          <w:color w:val="auto"/>
        </w:rPr>
      </w:pPr>
    </w:p>
    <w:tbl>
      <w:tblPr>
        <w:tblLayout w:type="fixed"/>
        <w:tblInd w:w="40" w:type="dxa"/>
        <w:tblCellMar>
          <w:top w:w="0" w:type="dxa"/>
          <w:left w:w="0" w:type="dxa"/>
          <w:bottom w:w="0" w:type="dxa"/>
          <w:right w:w="0" w:type="dxa"/>
        </w:tblCellMar>
      </w:tblPr>
      <w:tr>
        <w:trPr>
          <w:trHeight w:val="192"/>
        </w:trPr>
        <w:tc>
          <w:tcPr>
            <w:tcW w:w="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4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9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60" w:type="dxa"/>
            <w:vAlign w:val="bottom"/>
            <w:tcBorders>
              <w:bottom w:val="single" w:sz="8" w:color="auto"/>
            </w:tcBorders>
            <w:gridSpan w:val="4"/>
          </w:tcPr>
          <w:p>
            <w:pPr>
              <w:ind w:left="120"/>
              <w:spacing w:after="0"/>
              <w:rPr>
                <w:sz w:val="20"/>
                <w:szCs w:val="20"/>
                <w:color w:val="auto"/>
              </w:rPr>
            </w:pPr>
            <w:r>
              <w:rPr>
                <w:rFonts w:ascii="Arial" w:cs="Arial" w:eastAsia="Arial" w:hAnsi="Arial"/>
                <w:sz w:val="14"/>
                <w:szCs w:val="14"/>
                <w:b w:val="1"/>
                <w:bCs w:val="1"/>
                <w:color w:val="auto"/>
              </w:rPr>
              <w:t>Page</w:t>
            </w:r>
          </w:p>
        </w:tc>
      </w:tr>
      <w:tr>
        <w:trPr>
          <w:trHeight w:val="189"/>
        </w:trPr>
        <w:tc>
          <w:tcPr>
            <w:tcW w:w="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460" w:type="dxa"/>
            <w:vAlign w:val="bottom"/>
          </w:tcPr>
          <w:p>
            <w:pPr>
              <w:spacing w:after="0"/>
              <w:rPr>
                <w:sz w:val="16"/>
                <w:szCs w:val="16"/>
                <w:color w:val="auto"/>
              </w:rPr>
            </w:pPr>
          </w:p>
        </w:tc>
        <w:tc>
          <w:tcPr>
            <w:tcW w:w="6680" w:type="dxa"/>
            <w:vAlign w:val="bottom"/>
            <w:gridSpan w:val="12"/>
          </w:tcPr>
          <w:p>
            <w:pPr>
              <w:jc w:val="center"/>
              <w:ind w:right="3620"/>
              <w:spacing w:after="0" w:line="189" w:lineRule="exact"/>
              <w:rPr>
                <w:rFonts w:ascii="Arial" w:cs="Arial" w:eastAsia="Arial" w:hAnsi="Arial"/>
                <w:sz w:val="18"/>
                <w:szCs w:val="18"/>
                <w:b w:val="1"/>
                <w:bCs w:val="1"/>
                <w:color w:val="0000EE"/>
              </w:rPr>
            </w:pPr>
            <w:hyperlink w:anchor="page3">
              <w:r>
                <w:rPr>
                  <w:rFonts w:ascii="Arial" w:cs="Arial" w:eastAsia="Arial" w:hAnsi="Arial"/>
                  <w:sz w:val="18"/>
                  <w:szCs w:val="18"/>
                  <w:b w:val="1"/>
                  <w:bCs w:val="1"/>
                  <w:color w:val="0000EE"/>
                </w:rPr>
                <w:t>PART I. FINANCIAL INFORMATION</w:t>
              </w:r>
            </w:hyperlink>
          </w:p>
        </w:tc>
        <w:tc>
          <w:tcPr>
            <w:tcW w:w="3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3220" w:type="dxa"/>
            <w:vAlign w:val="bottom"/>
            <w:gridSpan w:val="8"/>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3060" w:type="dxa"/>
            <w:vAlign w:val="bottom"/>
            <w:tcBorders>
              <w:top w:val="single" w:sz="8" w:color="0000EE"/>
            </w:tcBorders>
            <w:gridSpan w:val="5"/>
          </w:tcPr>
          <w:p>
            <w:pPr>
              <w:spacing w:after="0"/>
              <w:rPr>
                <w:sz w:val="21"/>
                <w:szCs w:val="21"/>
                <w:color w:val="auto"/>
              </w:rPr>
            </w:pPr>
          </w:p>
        </w:tc>
        <w:tc>
          <w:tcPr>
            <w:tcW w:w="3620" w:type="dxa"/>
            <w:vAlign w:val="bottom"/>
            <w:gridSpan w:val="7"/>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20" w:type="dxa"/>
            <w:vAlign w:val="bottom"/>
            <w:gridSpan w:val="2"/>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6660" w:type="dxa"/>
            <w:vAlign w:val="bottom"/>
            <w:tcBorders>
              <w:bottom w:val="single" w:sz="8" w:color="0000EE"/>
            </w:tcBorders>
            <w:gridSpan w:val="15"/>
          </w:tcPr>
          <w:p>
            <w:pPr>
              <w:spacing w:after="0"/>
              <w:rPr>
                <w:rFonts w:ascii="Arial" w:cs="Arial" w:eastAsia="Arial" w:hAnsi="Arial"/>
                <w:sz w:val="18"/>
                <w:szCs w:val="18"/>
                <w:color w:val="0000EE"/>
                <w:w w:val="89"/>
              </w:rPr>
            </w:pPr>
            <w:hyperlink w:anchor="page3">
              <w:r>
                <w:rPr>
                  <w:rFonts w:ascii="Arial" w:cs="Arial" w:eastAsia="Arial" w:hAnsi="Arial"/>
                  <w:sz w:val="18"/>
                  <w:szCs w:val="18"/>
                  <w:color w:val="0000EE"/>
                  <w:w w:val="89"/>
                </w:rPr>
                <w:t>Unaudited Condensed Consolidated Balance Sheets as of May 4, 2019 and February 2, 2019</w:t>
              </w:r>
            </w:hyperlink>
          </w:p>
        </w:tc>
        <w:tc>
          <w:tcPr>
            <w:tcW w:w="3240" w:type="dxa"/>
            <w:vAlign w:val="bottom"/>
            <w:gridSpan w:val="5"/>
          </w:tcPr>
          <w:p>
            <w:pPr>
              <w:spacing w:after="0"/>
              <w:rPr>
                <w:sz w:val="21"/>
                <w:szCs w:val="21"/>
                <w:color w:val="auto"/>
              </w:rPr>
            </w:pPr>
          </w:p>
        </w:tc>
        <w:tc>
          <w:tcPr>
            <w:tcW w:w="440" w:type="dxa"/>
            <w:vAlign w:val="bottom"/>
            <w:gridSpan w:val="2"/>
          </w:tcPr>
          <w:p>
            <w:pPr>
              <w:spacing w:after="0"/>
              <w:rPr>
                <w:sz w:val="21"/>
                <w:szCs w:val="21"/>
                <w:color w:val="auto"/>
              </w:rPr>
            </w:pPr>
          </w:p>
        </w:tc>
        <w:tc>
          <w:tcPr>
            <w:tcW w:w="100" w:type="dxa"/>
            <w:vAlign w:val="bottom"/>
            <w:tcBorders>
              <w:bottom w:val="single" w:sz="8" w:color="0000EE"/>
            </w:tcBorders>
          </w:tcPr>
          <w:p>
            <w:pPr>
              <w:jc w:val="right"/>
              <w:spacing w:after="0"/>
              <w:rPr>
                <w:rFonts w:ascii="Arial" w:cs="Arial" w:eastAsia="Arial" w:hAnsi="Arial"/>
                <w:sz w:val="18"/>
                <w:szCs w:val="18"/>
                <w:color w:val="0000EE"/>
                <w:w w:val="79"/>
              </w:rPr>
            </w:pPr>
            <w:hyperlink w:anchor="page3">
              <w:r>
                <w:rPr>
                  <w:rFonts w:ascii="Arial" w:cs="Arial" w:eastAsia="Arial" w:hAnsi="Arial"/>
                  <w:sz w:val="18"/>
                  <w:szCs w:val="18"/>
                  <w:color w:val="0000EE"/>
                  <w:w w:val="79"/>
                </w:rPr>
                <w:t>2</w:t>
              </w:r>
            </w:hyperlink>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1"/>
                <w:szCs w:val="21"/>
                <w:color w:val="auto"/>
              </w:rPr>
            </w:pPr>
          </w:p>
        </w:tc>
        <w:tc>
          <w:tcPr>
            <w:tcW w:w="9900" w:type="dxa"/>
            <w:vAlign w:val="bottom"/>
            <w:gridSpan w:val="20"/>
          </w:tcPr>
          <w:p>
            <w:pPr>
              <w:spacing w:after="0"/>
              <w:rPr>
                <w:rFonts w:ascii="Arial" w:cs="Arial" w:eastAsia="Arial" w:hAnsi="Arial"/>
                <w:sz w:val="18"/>
                <w:szCs w:val="18"/>
                <w:color w:val="0000EE"/>
              </w:rPr>
            </w:pPr>
            <w:hyperlink w:anchor="page4">
              <w:r>
                <w:rPr>
                  <w:rFonts w:ascii="Arial" w:cs="Arial" w:eastAsia="Arial" w:hAnsi="Arial"/>
                  <w:sz w:val="18"/>
                  <w:szCs w:val="18"/>
                  <w:color w:val="0000EE"/>
                </w:rPr>
                <w:t>Unaudited Condensed Consolidated Statements of Operations for the three months ended May 4, 2019 and May 5, 2018</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4">
              <w:r>
                <w:rPr>
                  <w:rFonts w:ascii="Arial" w:cs="Arial" w:eastAsia="Arial" w:hAnsi="Arial"/>
                  <w:sz w:val="18"/>
                  <w:szCs w:val="18"/>
                  <w:color w:val="0000EE"/>
                </w:rPr>
                <w:t>3</w:t>
              </w:r>
            </w:hyperlink>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440" w:type="dxa"/>
            <w:vAlign w:val="bottom"/>
            <w:tcBorders>
              <w:left w:val="single" w:sz="8" w:color="0000EE"/>
            </w:tcBorders>
            <w:shd w:val="clear" w:color="auto" w:fill="0000EE"/>
          </w:tcPr>
          <w:p>
            <w:pPr>
              <w:spacing w:after="0" w:line="20" w:lineRule="exact"/>
              <w:rPr>
                <w:sz w:val="1"/>
                <w:szCs w:val="1"/>
                <w:color w:val="auto"/>
              </w:rPr>
            </w:pPr>
          </w:p>
        </w:tc>
        <w:tc>
          <w:tcPr>
            <w:tcW w:w="136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2180" w:type="dxa"/>
            <w:vAlign w:val="bottom"/>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9900" w:type="dxa"/>
            <w:vAlign w:val="bottom"/>
            <w:gridSpan w:val="20"/>
          </w:tcPr>
          <w:p>
            <w:pPr>
              <w:spacing w:after="0"/>
              <w:rPr>
                <w:rFonts w:ascii="Arial" w:cs="Arial" w:eastAsia="Arial" w:hAnsi="Arial"/>
                <w:sz w:val="18"/>
                <w:szCs w:val="18"/>
                <w:color w:val="0000EE"/>
                <w:w w:val="91"/>
              </w:rPr>
            </w:pPr>
            <w:hyperlink w:anchor="page5">
              <w:r>
                <w:rPr>
                  <w:rFonts w:ascii="Arial" w:cs="Arial" w:eastAsia="Arial" w:hAnsi="Arial"/>
                  <w:sz w:val="18"/>
                  <w:szCs w:val="18"/>
                  <w:color w:val="0000EE"/>
                  <w:w w:val="91"/>
                </w:rPr>
                <w:t>Unaudited Condensed Consolidated Statements of Comprehensive Income (Loss) for the three months ended May 4, 2019 and May 5,</w:t>
              </w:r>
            </w:hyperlink>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36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4"/>
              </w:rPr>
            </w:pPr>
            <w:hyperlink w:anchor="page5">
              <w:r>
                <w:rPr>
                  <w:rFonts w:ascii="Arial" w:cs="Arial" w:eastAsia="Arial" w:hAnsi="Arial"/>
                  <w:sz w:val="18"/>
                  <w:szCs w:val="18"/>
                  <w:color w:val="0000EE"/>
                  <w:w w:val="84"/>
                </w:rPr>
                <w:t>2018</w:t>
              </w:r>
            </w:hyperlink>
          </w:p>
        </w:tc>
        <w:tc>
          <w:tcPr>
            <w:tcW w:w="24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46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960" w:type="dxa"/>
            <w:vAlign w:val="bottom"/>
            <w:tcBorders>
              <w:top w:val="single" w:sz="8" w:color="0000EE"/>
            </w:tcBorders>
          </w:tcPr>
          <w:p>
            <w:pPr>
              <w:spacing w:after="0"/>
              <w:rPr>
                <w:sz w:val="17"/>
                <w:szCs w:val="17"/>
                <w:color w:val="auto"/>
              </w:rPr>
            </w:pPr>
          </w:p>
        </w:tc>
        <w:tc>
          <w:tcPr>
            <w:tcW w:w="440" w:type="dxa"/>
            <w:vAlign w:val="bottom"/>
            <w:tcBorders>
              <w:top w:val="single" w:sz="8" w:color="0000EE"/>
            </w:tcBorders>
          </w:tcPr>
          <w:p>
            <w:pPr>
              <w:spacing w:after="0"/>
              <w:rPr>
                <w:sz w:val="17"/>
                <w:szCs w:val="17"/>
                <w:color w:val="auto"/>
              </w:rPr>
            </w:pPr>
          </w:p>
        </w:tc>
        <w:tc>
          <w:tcPr>
            <w:tcW w:w="136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180" w:type="dxa"/>
            <w:vAlign w:val="bottom"/>
            <w:tcBorders>
              <w:top w:val="single" w:sz="8" w:color="0000EE"/>
            </w:tcBorders>
          </w:tcPr>
          <w:p>
            <w:pPr>
              <w:spacing w:after="0"/>
              <w:rPr>
                <w:sz w:val="17"/>
                <w:szCs w:val="17"/>
                <w:color w:val="auto"/>
              </w:rPr>
            </w:pPr>
          </w:p>
        </w:tc>
        <w:tc>
          <w:tcPr>
            <w:tcW w:w="200" w:type="dxa"/>
            <w:vAlign w:val="bottom"/>
            <w:tcBorders>
              <w:top w:val="single" w:sz="8" w:color="0000EE"/>
            </w:tcBorders>
          </w:tcPr>
          <w:p>
            <w:pPr>
              <w:spacing w:after="0"/>
              <w:rPr>
                <w:sz w:val="17"/>
                <w:szCs w:val="17"/>
                <w:color w:val="auto"/>
              </w:rPr>
            </w:pPr>
          </w:p>
        </w:tc>
        <w:tc>
          <w:tcPr>
            <w:tcW w:w="1980" w:type="dxa"/>
            <w:vAlign w:val="bottom"/>
            <w:tcBorders>
              <w:top w:val="single" w:sz="8" w:color="0000EE"/>
            </w:tcBorders>
          </w:tcPr>
          <w:p>
            <w:pPr>
              <w:spacing w:after="0"/>
              <w:rPr>
                <w:sz w:val="17"/>
                <w:szCs w:val="17"/>
                <w:color w:val="auto"/>
              </w:rPr>
            </w:pPr>
          </w:p>
        </w:tc>
        <w:tc>
          <w:tcPr>
            <w:tcW w:w="60" w:type="dxa"/>
            <w:vAlign w:val="bottom"/>
            <w:tcBorders>
              <w:top w:val="single" w:sz="8" w:color="0000EE"/>
            </w:tcBorders>
          </w:tcPr>
          <w:p>
            <w:pPr>
              <w:spacing w:after="0"/>
              <w:rPr>
                <w:sz w:val="17"/>
                <w:szCs w:val="17"/>
                <w:color w:val="auto"/>
              </w:rPr>
            </w:pPr>
          </w:p>
        </w:tc>
        <w:tc>
          <w:tcPr>
            <w:tcW w:w="660" w:type="dxa"/>
            <w:vAlign w:val="bottom"/>
            <w:tcBorders>
              <w:top w:val="single" w:sz="8" w:color="0000EE"/>
            </w:tcBorders>
          </w:tcPr>
          <w:p>
            <w:pPr>
              <w:spacing w:after="0"/>
              <w:rPr>
                <w:sz w:val="17"/>
                <w:szCs w:val="17"/>
                <w:color w:val="auto"/>
              </w:rPr>
            </w:pPr>
          </w:p>
        </w:tc>
        <w:tc>
          <w:tcPr>
            <w:tcW w:w="320" w:type="dxa"/>
            <w:vAlign w:val="bottom"/>
            <w:tcBorders>
              <w:top w:val="single" w:sz="8" w:color="0000EE"/>
            </w:tcBorders>
          </w:tcPr>
          <w:p>
            <w:pPr>
              <w:spacing w:after="0"/>
              <w:rPr>
                <w:sz w:val="17"/>
                <w:szCs w:val="17"/>
                <w:color w:val="auto"/>
              </w:rPr>
            </w:pPr>
          </w:p>
        </w:tc>
        <w:tc>
          <w:tcPr>
            <w:tcW w:w="220" w:type="dxa"/>
            <w:vAlign w:val="bottom"/>
          </w:tcPr>
          <w:p>
            <w:pPr>
              <w:spacing w:after="0"/>
              <w:rPr>
                <w:sz w:val="17"/>
                <w:szCs w:val="17"/>
                <w:color w:val="auto"/>
              </w:rPr>
            </w:pPr>
          </w:p>
        </w:tc>
        <w:tc>
          <w:tcPr>
            <w:tcW w:w="440" w:type="dxa"/>
            <w:vAlign w:val="bottom"/>
            <w:gridSpan w:val="2"/>
          </w:tcPr>
          <w:p>
            <w:pPr>
              <w:spacing w:after="0"/>
              <w:rPr>
                <w:sz w:val="17"/>
                <w:szCs w:val="17"/>
                <w:color w:val="auto"/>
              </w:rPr>
            </w:pPr>
          </w:p>
        </w:tc>
        <w:tc>
          <w:tcPr>
            <w:tcW w:w="100" w:type="dxa"/>
            <w:vAlign w:val="bottom"/>
            <w:tcBorders>
              <w:bottom w:val="single" w:sz="8" w:color="0000EE"/>
            </w:tcBorders>
          </w:tcPr>
          <w:p>
            <w:pPr>
              <w:jc w:val="right"/>
              <w:spacing w:after="0" w:line="196" w:lineRule="exact"/>
              <w:rPr>
                <w:rFonts w:ascii="Arial" w:cs="Arial" w:eastAsia="Arial" w:hAnsi="Arial"/>
                <w:sz w:val="18"/>
                <w:szCs w:val="18"/>
                <w:color w:val="0000EE"/>
                <w:w w:val="79"/>
              </w:rPr>
            </w:pPr>
            <w:hyperlink w:anchor="page5">
              <w:r>
                <w:rPr>
                  <w:rFonts w:ascii="Arial" w:cs="Arial" w:eastAsia="Arial" w:hAnsi="Arial"/>
                  <w:sz w:val="18"/>
                  <w:szCs w:val="18"/>
                  <w:color w:val="0000EE"/>
                  <w:w w:val="79"/>
                </w:rPr>
                <w:t>4</w:t>
              </w:r>
            </w:hyperlink>
          </w:p>
        </w:tc>
        <w:tc>
          <w:tcPr>
            <w:tcW w:w="20" w:type="dxa"/>
            <w:vAlign w:val="bottom"/>
          </w:tcPr>
          <w:p>
            <w:pPr>
              <w:spacing w:after="0"/>
              <w:rPr>
                <w:sz w:val="17"/>
                <w:szCs w:val="17"/>
                <w:color w:val="auto"/>
              </w:rPr>
            </w:pPr>
          </w:p>
        </w:tc>
      </w:tr>
      <w:tr>
        <w:trPr>
          <w:trHeight w:val="250"/>
        </w:trPr>
        <w:tc>
          <w:tcPr>
            <w:tcW w:w="920" w:type="dxa"/>
            <w:vAlign w:val="bottom"/>
          </w:tcPr>
          <w:p>
            <w:pPr>
              <w:spacing w:after="0"/>
              <w:rPr>
                <w:sz w:val="21"/>
                <w:szCs w:val="21"/>
                <w:color w:val="auto"/>
              </w:rPr>
            </w:pPr>
          </w:p>
        </w:tc>
        <w:tc>
          <w:tcPr>
            <w:tcW w:w="9360" w:type="dxa"/>
            <w:vAlign w:val="bottom"/>
            <w:tcBorders>
              <w:bottom w:val="single" w:sz="8" w:color="0000EE"/>
            </w:tcBorders>
            <w:gridSpan w:val="18"/>
          </w:tcPr>
          <w:p>
            <w:pPr>
              <w:spacing w:after="0"/>
              <w:rPr>
                <w:rFonts w:ascii="Arial" w:cs="Arial" w:eastAsia="Arial" w:hAnsi="Arial"/>
                <w:sz w:val="18"/>
                <w:szCs w:val="18"/>
                <w:color w:val="0000EE"/>
                <w:w w:val="89"/>
              </w:rPr>
            </w:pPr>
            <w:hyperlink w:anchor="page6">
              <w:r>
                <w:rPr>
                  <w:rFonts w:ascii="Arial" w:cs="Arial" w:eastAsia="Arial" w:hAnsi="Arial"/>
                  <w:sz w:val="18"/>
                  <w:szCs w:val="18"/>
                  <w:color w:val="0000EE"/>
                  <w:w w:val="89"/>
                </w:rPr>
                <w:t>Unaudited Condensed Consolidated Statements of Shareholders' Equity for the three months ended May 4, 2019 and May 5, 2018</w:t>
              </w:r>
            </w:hyperlink>
          </w:p>
        </w:tc>
        <w:tc>
          <w:tcPr>
            <w:tcW w:w="540" w:type="dxa"/>
            <w:vAlign w:val="bottom"/>
            <w:gridSpan w:val="2"/>
          </w:tcPr>
          <w:p>
            <w:pPr>
              <w:spacing w:after="0"/>
              <w:rPr>
                <w:sz w:val="21"/>
                <w:szCs w:val="21"/>
                <w:color w:val="auto"/>
              </w:rPr>
            </w:pPr>
          </w:p>
        </w:tc>
        <w:tc>
          <w:tcPr>
            <w:tcW w:w="440" w:type="dxa"/>
            <w:vAlign w:val="bottom"/>
            <w:gridSpan w:val="2"/>
          </w:tcPr>
          <w:p>
            <w:pPr>
              <w:spacing w:after="0"/>
              <w:rPr>
                <w:sz w:val="21"/>
                <w:szCs w:val="21"/>
                <w:color w:val="auto"/>
              </w:rPr>
            </w:pPr>
          </w:p>
        </w:tc>
        <w:tc>
          <w:tcPr>
            <w:tcW w:w="100" w:type="dxa"/>
            <w:vAlign w:val="bottom"/>
            <w:tcBorders>
              <w:bottom w:val="single" w:sz="8" w:color="0000EE"/>
            </w:tcBorders>
          </w:tcPr>
          <w:p>
            <w:pPr>
              <w:jc w:val="right"/>
              <w:spacing w:after="0"/>
              <w:rPr>
                <w:rFonts w:ascii="Arial" w:cs="Arial" w:eastAsia="Arial" w:hAnsi="Arial"/>
                <w:sz w:val="18"/>
                <w:szCs w:val="18"/>
                <w:color w:val="0000EE"/>
                <w:w w:val="79"/>
              </w:rPr>
            </w:pPr>
            <w:hyperlink w:anchor="page6">
              <w:r>
                <w:rPr>
                  <w:rFonts w:ascii="Arial" w:cs="Arial" w:eastAsia="Arial" w:hAnsi="Arial"/>
                  <w:sz w:val="18"/>
                  <w:szCs w:val="18"/>
                  <w:color w:val="0000EE"/>
                  <w:w w:val="79"/>
                </w:rPr>
                <w:t>5</w:t>
              </w:r>
            </w:hyperlink>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1"/>
                <w:szCs w:val="21"/>
                <w:color w:val="auto"/>
              </w:rPr>
            </w:pPr>
          </w:p>
        </w:tc>
        <w:tc>
          <w:tcPr>
            <w:tcW w:w="9900" w:type="dxa"/>
            <w:vAlign w:val="bottom"/>
            <w:gridSpan w:val="20"/>
          </w:tcPr>
          <w:p>
            <w:pPr>
              <w:spacing w:after="0"/>
              <w:rPr>
                <w:rFonts w:ascii="Arial" w:cs="Arial" w:eastAsia="Arial" w:hAnsi="Arial"/>
                <w:sz w:val="18"/>
                <w:szCs w:val="18"/>
                <w:color w:val="0000EE"/>
              </w:rPr>
            </w:pPr>
            <w:hyperlink w:anchor="page7">
              <w:r>
                <w:rPr>
                  <w:rFonts w:ascii="Arial" w:cs="Arial" w:eastAsia="Arial" w:hAnsi="Arial"/>
                  <w:sz w:val="18"/>
                  <w:szCs w:val="18"/>
                  <w:color w:val="0000EE"/>
                </w:rPr>
                <w:t>Unaudited Condensed Consolidated Statements of Cash Flows for the three months ended May 4, 2019 and May 5, 2018</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7">
              <w:r>
                <w:rPr>
                  <w:rFonts w:ascii="Arial" w:cs="Arial" w:eastAsia="Arial" w:hAnsi="Arial"/>
                  <w:sz w:val="18"/>
                  <w:szCs w:val="18"/>
                  <w:color w:val="0000EE"/>
                </w:rPr>
                <w:t>6</w:t>
              </w:r>
            </w:hyperlink>
          </w:p>
        </w:tc>
      </w:tr>
      <w:tr>
        <w:trPr>
          <w:trHeight w:val="250"/>
        </w:trPr>
        <w:tc>
          <w:tcPr>
            <w:tcW w:w="920" w:type="dxa"/>
            <w:vAlign w:val="bottom"/>
          </w:tcPr>
          <w:p>
            <w:pPr>
              <w:spacing w:after="0"/>
              <w:rPr>
                <w:sz w:val="21"/>
                <w:szCs w:val="21"/>
                <w:color w:val="auto"/>
              </w:rPr>
            </w:pPr>
          </w:p>
        </w:tc>
        <w:tc>
          <w:tcPr>
            <w:tcW w:w="8700" w:type="dxa"/>
            <w:vAlign w:val="bottom"/>
            <w:tcBorders>
              <w:top w:val="single" w:sz="8" w:color="0000EE"/>
            </w:tcBorders>
            <w:gridSpan w:val="17"/>
          </w:tcPr>
          <w:p>
            <w:pPr>
              <w:spacing w:after="0"/>
              <w:rPr>
                <w:rFonts w:ascii="Arial" w:cs="Arial" w:eastAsia="Arial" w:hAnsi="Arial"/>
                <w:sz w:val="18"/>
                <w:szCs w:val="18"/>
                <w:color w:val="0000EE"/>
              </w:rPr>
            </w:pPr>
            <w:hyperlink w:anchor="page8">
              <w:r>
                <w:rPr>
                  <w:rFonts w:ascii="Arial" w:cs="Arial" w:eastAsia="Arial" w:hAnsi="Arial"/>
                  <w:sz w:val="18"/>
                  <w:szCs w:val="18"/>
                  <w:color w:val="0000EE"/>
                </w:rPr>
                <w:t>Notes to Unaudited Condensed Consolidated Financial Statements</w:t>
              </w:r>
            </w:hyperlink>
          </w:p>
        </w:tc>
        <w:tc>
          <w:tcPr>
            <w:tcW w:w="1200" w:type="dxa"/>
            <w:vAlign w:val="bottom"/>
            <w:gridSpan w:val="3"/>
          </w:tcPr>
          <w:p>
            <w:pPr>
              <w:spacing w:after="0"/>
              <w:rPr>
                <w:sz w:val="21"/>
                <w:szCs w:val="21"/>
                <w:color w:val="auto"/>
              </w:rPr>
            </w:pPr>
          </w:p>
        </w:tc>
        <w:tc>
          <w:tcPr>
            <w:tcW w:w="440" w:type="dxa"/>
            <w:vAlign w:val="bottom"/>
            <w:gridSpan w:val="2"/>
          </w:tcPr>
          <w:p>
            <w:pPr>
              <w:spacing w:after="0"/>
              <w:rPr>
                <w:sz w:val="21"/>
                <w:szCs w:val="21"/>
                <w:color w:val="auto"/>
              </w:rPr>
            </w:pPr>
          </w:p>
        </w:tc>
        <w:tc>
          <w:tcPr>
            <w:tcW w:w="100" w:type="dxa"/>
            <w:vAlign w:val="bottom"/>
            <w:tcBorders>
              <w:top w:val="single" w:sz="8" w:color="0000EE"/>
            </w:tcBorders>
          </w:tcPr>
          <w:p>
            <w:pPr>
              <w:jc w:val="right"/>
              <w:spacing w:after="0"/>
              <w:rPr>
                <w:rFonts w:ascii="Arial" w:cs="Arial" w:eastAsia="Arial" w:hAnsi="Arial"/>
                <w:sz w:val="18"/>
                <w:szCs w:val="18"/>
                <w:color w:val="0000EE"/>
                <w:w w:val="79"/>
              </w:rPr>
            </w:pPr>
            <w:hyperlink w:anchor="page8">
              <w:r>
                <w:rPr>
                  <w:rFonts w:ascii="Arial" w:cs="Arial" w:eastAsia="Arial" w:hAnsi="Arial"/>
                  <w:sz w:val="18"/>
                  <w:szCs w:val="18"/>
                  <w:color w:val="0000EE"/>
                  <w:w w:val="79"/>
                </w:rPr>
                <w:t>7</w:t>
              </w:r>
            </w:hyperlink>
          </w:p>
        </w:tc>
        <w:tc>
          <w:tcPr>
            <w:tcW w:w="20" w:type="dxa"/>
            <w:vAlign w:val="bottom"/>
          </w:tcPr>
          <w:p>
            <w:pPr>
              <w:spacing w:after="0"/>
              <w:rPr>
                <w:sz w:val="21"/>
                <w:szCs w:val="2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440" w:type="dxa"/>
            <w:vAlign w:val="bottom"/>
            <w:tcBorders>
              <w:left w:val="single" w:sz="8" w:color="0000EE"/>
            </w:tcBorders>
            <w:shd w:val="clear" w:color="auto" w:fill="0000EE"/>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440" w:type="dxa"/>
            <w:vAlign w:val="bottom"/>
            <w:gridSpan w:val="6"/>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6460" w:type="dxa"/>
            <w:vAlign w:val="bottom"/>
            <w:gridSpan w:val="14"/>
          </w:tcPr>
          <w:p>
            <w:pPr>
              <w:spacing w:after="0"/>
              <w:rPr>
                <w:rFonts w:ascii="Arial" w:cs="Arial" w:eastAsia="Arial" w:hAnsi="Arial"/>
                <w:sz w:val="18"/>
                <w:szCs w:val="18"/>
                <w:color w:val="0000EE"/>
                <w:w w:val="90"/>
              </w:rPr>
            </w:pPr>
            <w:hyperlink w:anchor="page25">
              <w:r>
                <w:rPr>
                  <w:rFonts w:ascii="Arial" w:cs="Arial" w:eastAsia="Arial" w:hAnsi="Arial"/>
                  <w:sz w:val="18"/>
                  <w:szCs w:val="18"/>
                  <w:color w:val="0000EE"/>
                  <w:w w:val="90"/>
                </w:rPr>
                <w:t>Management’s Discussion and Analysis of Financial Condition and Results of Operations</w:t>
              </w:r>
            </w:hyperlink>
          </w:p>
        </w:tc>
        <w:tc>
          <w:tcPr>
            <w:tcW w:w="3440" w:type="dxa"/>
            <w:vAlign w:val="bottom"/>
            <w:gridSpan w:val="6"/>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25">
              <w:r>
                <w:rPr>
                  <w:rFonts w:ascii="Arial" w:cs="Arial" w:eastAsia="Arial" w:hAnsi="Arial"/>
                  <w:sz w:val="18"/>
                  <w:szCs w:val="18"/>
                  <w:color w:val="0000EE"/>
                </w:rPr>
                <w:t>24</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800" w:type="dxa"/>
            <w:vAlign w:val="bottom"/>
            <w:tcBorders>
              <w:left w:val="single" w:sz="8" w:color="0000EE"/>
            </w:tcBorders>
            <w:gridSpan w:val="2"/>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3440" w:type="dxa"/>
            <w:vAlign w:val="bottom"/>
            <w:gridSpan w:val="6"/>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3.</w:t>
            </w:r>
          </w:p>
        </w:tc>
        <w:tc>
          <w:tcPr>
            <w:tcW w:w="4340" w:type="dxa"/>
            <w:vAlign w:val="bottom"/>
            <w:gridSpan w:val="10"/>
          </w:tcPr>
          <w:p>
            <w:pPr>
              <w:spacing w:after="0"/>
              <w:rPr>
                <w:rFonts w:ascii="Arial" w:cs="Arial" w:eastAsia="Arial" w:hAnsi="Arial"/>
                <w:sz w:val="18"/>
                <w:szCs w:val="18"/>
                <w:color w:val="0000EE"/>
                <w:w w:val="91"/>
              </w:rPr>
            </w:pPr>
            <w:hyperlink w:anchor="page33">
              <w:r>
                <w:rPr>
                  <w:rFonts w:ascii="Arial" w:cs="Arial" w:eastAsia="Arial" w:hAnsi="Arial"/>
                  <w:sz w:val="18"/>
                  <w:szCs w:val="18"/>
                  <w:color w:val="0000EE"/>
                  <w:w w:val="91"/>
                </w:rPr>
                <w:t>Quantitative and Qualitative Disclosures About Market Risk</w:t>
              </w:r>
            </w:hyperlink>
          </w:p>
        </w:tc>
        <w:tc>
          <w:tcPr>
            <w:tcW w:w="2120" w:type="dxa"/>
            <w:vAlign w:val="bottom"/>
            <w:gridSpan w:val="4"/>
          </w:tcPr>
          <w:p>
            <w:pPr>
              <w:spacing w:after="0"/>
              <w:rPr>
                <w:sz w:val="21"/>
                <w:szCs w:val="21"/>
                <w:color w:val="auto"/>
              </w:rPr>
            </w:pPr>
          </w:p>
        </w:tc>
        <w:tc>
          <w:tcPr>
            <w:tcW w:w="3440" w:type="dxa"/>
            <w:vAlign w:val="bottom"/>
            <w:gridSpan w:val="6"/>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33">
              <w:r>
                <w:rPr>
                  <w:rFonts w:ascii="Arial" w:cs="Arial" w:eastAsia="Arial" w:hAnsi="Arial"/>
                  <w:sz w:val="18"/>
                  <w:szCs w:val="18"/>
                  <w:color w:val="0000EE"/>
                </w:rPr>
                <w:t>32</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800" w:type="dxa"/>
            <w:vAlign w:val="bottom"/>
            <w:tcBorders>
              <w:left w:val="single" w:sz="8" w:color="0000EE"/>
            </w:tcBorders>
            <w:gridSpan w:val="2"/>
          </w:tcPr>
          <w:p>
            <w:pPr>
              <w:spacing w:after="0" w:line="20" w:lineRule="exact"/>
              <w:rPr>
                <w:sz w:val="1"/>
                <w:szCs w:val="1"/>
                <w:color w:val="auto"/>
              </w:rPr>
            </w:pPr>
          </w:p>
        </w:tc>
        <w:tc>
          <w:tcPr>
            <w:tcW w:w="3760" w:type="dxa"/>
            <w:vAlign w:val="bottom"/>
            <w:gridSpan w:val="8"/>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4.</w:t>
            </w:r>
          </w:p>
        </w:tc>
        <w:tc>
          <w:tcPr>
            <w:tcW w:w="4340" w:type="dxa"/>
            <w:vAlign w:val="bottom"/>
            <w:gridSpan w:val="10"/>
          </w:tcPr>
          <w:p>
            <w:pPr>
              <w:spacing w:after="0"/>
              <w:rPr>
                <w:rFonts w:ascii="Arial" w:cs="Arial" w:eastAsia="Arial" w:hAnsi="Arial"/>
                <w:sz w:val="18"/>
                <w:szCs w:val="18"/>
                <w:color w:val="0000EE"/>
              </w:rPr>
            </w:pPr>
            <w:hyperlink w:anchor="page33">
              <w:r>
                <w:rPr>
                  <w:rFonts w:ascii="Arial" w:cs="Arial" w:eastAsia="Arial" w:hAnsi="Arial"/>
                  <w:sz w:val="18"/>
                  <w:szCs w:val="18"/>
                  <w:color w:val="0000EE"/>
                </w:rPr>
                <w:t>Controls and Procedures</w:t>
              </w:r>
            </w:hyperlink>
          </w:p>
        </w:tc>
        <w:tc>
          <w:tcPr>
            <w:tcW w:w="5560" w:type="dxa"/>
            <w:vAlign w:val="bottom"/>
            <w:gridSpan w:val="10"/>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33">
              <w:r>
                <w:rPr>
                  <w:rFonts w:ascii="Arial" w:cs="Arial" w:eastAsia="Arial" w:hAnsi="Arial"/>
                  <w:sz w:val="18"/>
                  <w:szCs w:val="18"/>
                  <w:color w:val="0000EE"/>
                </w:rPr>
                <w:t>32</w:t>
              </w:r>
            </w:hyperlink>
          </w:p>
        </w:tc>
      </w:tr>
      <w:tr>
        <w:trPr>
          <w:trHeight w:val="250"/>
        </w:trPr>
        <w:tc>
          <w:tcPr>
            <w:tcW w:w="920" w:type="dxa"/>
            <w:vAlign w:val="bottom"/>
          </w:tcPr>
          <w:p>
            <w:pPr>
              <w:spacing w:after="0"/>
              <w:rPr>
                <w:sz w:val="21"/>
                <w:szCs w:val="21"/>
                <w:color w:val="auto"/>
              </w:rPr>
            </w:pPr>
          </w:p>
        </w:tc>
        <w:tc>
          <w:tcPr>
            <w:tcW w:w="360" w:type="dxa"/>
            <w:vAlign w:val="bottom"/>
            <w:tcBorders>
              <w:top w:val="single" w:sz="8" w:color="0000EE"/>
            </w:tcBorders>
          </w:tcPr>
          <w:p>
            <w:pPr>
              <w:spacing w:after="0"/>
              <w:rPr>
                <w:sz w:val="21"/>
                <w:szCs w:val="21"/>
                <w:color w:val="auto"/>
              </w:rPr>
            </w:pPr>
          </w:p>
        </w:tc>
        <w:tc>
          <w:tcPr>
            <w:tcW w:w="240" w:type="dxa"/>
            <w:vAlign w:val="bottom"/>
            <w:tcBorders>
              <w:top w:val="single" w:sz="8" w:color="0000EE"/>
            </w:tcBorders>
          </w:tcPr>
          <w:p>
            <w:pPr>
              <w:spacing w:after="0"/>
              <w:rPr>
                <w:sz w:val="21"/>
                <w:szCs w:val="21"/>
                <w:color w:val="auto"/>
              </w:rPr>
            </w:pPr>
          </w:p>
        </w:tc>
        <w:tc>
          <w:tcPr>
            <w:tcW w:w="160" w:type="dxa"/>
            <w:vAlign w:val="bottom"/>
            <w:tcBorders>
              <w:top w:val="single" w:sz="8" w:color="0000EE"/>
            </w:tcBorders>
          </w:tcPr>
          <w:p>
            <w:pPr>
              <w:spacing w:after="0"/>
              <w:rPr>
                <w:sz w:val="21"/>
                <w:szCs w:val="21"/>
                <w:color w:val="auto"/>
              </w:rPr>
            </w:pPr>
          </w:p>
        </w:tc>
        <w:tc>
          <w:tcPr>
            <w:tcW w:w="140" w:type="dxa"/>
            <w:vAlign w:val="bottom"/>
            <w:tcBorders>
              <w:top w:val="single" w:sz="8" w:color="0000EE"/>
            </w:tcBorders>
          </w:tcPr>
          <w:p>
            <w:pPr>
              <w:spacing w:after="0"/>
              <w:rPr>
                <w:sz w:val="21"/>
                <w:szCs w:val="21"/>
                <w:color w:val="auto"/>
              </w:rPr>
            </w:pPr>
          </w:p>
        </w:tc>
        <w:tc>
          <w:tcPr>
            <w:tcW w:w="420" w:type="dxa"/>
            <w:vAlign w:val="bottom"/>
            <w:tcBorders>
              <w:top w:val="single" w:sz="8" w:color="0000EE"/>
            </w:tcBorders>
          </w:tcPr>
          <w:p>
            <w:pPr>
              <w:spacing w:after="0"/>
              <w:rPr>
                <w:sz w:val="21"/>
                <w:szCs w:val="21"/>
                <w:color w:val="auto"/>
              </w:rPr>
            </w:pPr>
          </w:p>
        </w:tc>
        <w:tc>
          <w:tcPr>
            <w:tcW w:w="220" w:type="dxa"/>
            <w:vAlign w:val="bottom"/>
            <w:tcBorders>
              <w:top w:val="single" w:sz="8" w:color="0000EE"/>
            </w:tcBorders>
          </w:tcPr>
          <w:p>
            <w:pPr>
              <w:spacing w:after="0"/>
              <w:rPr>
                <w:sz w:val="21"/>
                <w:szCs w:val="21"/>
                <w:color w:val="auto"/>
              </w:rPr>
            </w:pPr>
          </w:p>
        </w:tc>
        <w:tc>
          <w:tcPr>
            <w:tcW w:w="220" w:type="dxa"/>
            <w:vAlign w:val="bottom"/>
            <w:tcBorders>
              <w:top w:val="single" w:sz="8" w:color="0000EE"/>
            </w:tcBorders>
          </w:tcPr>
          <w:p>
            <w:pPr>
              <w:spacing w:after="0"/>
              <w:rPr>
                <w:sz w:val="21"/>
                <w:szCs w:val="21"/>
                <w:color w:val="auto"/>
              </w:rPr>
            </w:pPr>
          </w:p>
        </w:tc>
        <w:tc>
          <w:tcPr>
            <w:tcW w:w="14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760" w:type="dxa"/>
            <w:vAlign w:val="bottom"/>
            <w:tcBorders>
              <w:bottom w:val="single" w:sz="8" w:color="0000EE"/>
            </w:tcBorders>
            <w:gridSpan w:val="3"/>
          </w:tcPr>
          <w:p>
            <w:pPr>
              <w:jc w:val="center"/>
              <w:spacing w:after="0"/>
              <w:rPr>
                <w:rFonts w:ascii="Arial" w:cs="Arial" w:eastAsia="Arial" w:hAnsi="Arial"/>
                <w:sz w:val="18"/>
                <w:szCs w:val="18"/>
                <w:b w:val="1"/>
                <w:bCs w:val="1"/>
                <w:color w:val="0000EE"/>
              </w:rPr>
            </w:pPr>
            <w:hyperlink w:anchor="page35">
              <w:r>
                <w:rPr>
                  <w:rFonts w:ascii="Arial" w:cs="Arial" w:eastAsia="Arial" w:hAnsi="Arial"/>
                  <w:sz w:val="18"/>
                  <w:szCs w:val="18"/>
                  <w:b w:val="1"/>
                  <w:bCs w:val="1"/>
                  <w:color w:val="0000EE"/>
                </w:rPr>
                <w:t>PART II. OTHER INFORMATION</w:t>
              </w:r>
            </w:hyperlink>
          </w:p>
        </w:tc>
        <w:tc>
          <w:tcPr>
            <w:tcW w:w="3760" w:type="dxa"/>
            <w:vAlign w:val="bottom"/>
            <w:gridSpan w:val="8"/>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Borders>
              <w:top w:val="single" w:sz="8" w:color="0000EE"/>
            </w:tcBorders>
          </w:tcPr>
          <w:p>
            <w:pPr>
              <w:spacing w:after="0"/>
              <w:rPr>
                <w:sz w:val="21"/>
                <w:szCs w:val="21"/>
                <w:color w:val="auto"/>
              </w:rPr>
            </w:pPr>
          </w:p>
        </w:tc>
        <w:tc>
          <w:tcPr>
            <w:tcW w:w="100" w:type="dxa"/>
            <w:vAlign w:val="bottom"/>
            <w:tcBorders>
              <w:top w:val="single" w:sz="8" w:color="0000EE"/>
            </w:tcBorders>
          </w:tcPr>
          <w:p>
            <w:pPr>
              <w:spacing w:after="0"/>
              <w:rPr>
                <w:sz w:val="21"/>
                <w:szCs w:val="21"/>
                <w:color w:val="auto"/>
              </w:rPr>
            </w:pPr>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9900" w:type="dxa"/>
            <w:vAlign w:val="bottom"/>
            <w:gridSpan w:val="20"/>
          </w:tcPr>
          <w:p>
            <w:pPr>
              <w:spacing w:after="0"/>
              <w:rPr>
                <w:rFonts w:ascii="Arial" w:cs="Arial" w:eastAsia="Arial" w:hAnsi="Arial"/>
                <w:sz w:val="18"/>
                <w:szCs w:val="18"/>
                <w:color w:val="0000EE"/>
              </w:rPr>
            </w:pPr>
            <w:hyperlink w:anchor="page35">
              <w:r>
                <w:rPr>
                  <w:rFonts w:ascii="Arial" w:cs="Arial" w:eastAsia="Arial" w:hAnsi="Arial"/>
                  <w:sz w:val="18"/>
                  <w:szCs w:val="18"/>
                  <w:color w:val="0000EE"/>
                </w:rPr>
                <w:t>Legal Proceedings</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35">
              <w:r>
                <w:rPr>
                  <w:rFonts w:ascii="Arial" w:cs="Arial" w:eastAsia="Arial" w:hAnsi="Arial"/>
                  <w:sz w:val="18"/>
                  <w:szCs w:val="18"/>
                  <w:color w:val="0000EE"/>
                </w:rPr>
                <w:t>34</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3020" w:type="dxa"/>
            <w:vAlign w:val="bottom"/>
            <w:gridSpan w:val="5"/>
          </w:tcPr>
          <w:p>
            <w:pPr>
              <w:spacing w:after="0" w:line="20" w:lineRule="exact"/>
              <w:rPr>
                <w:sz w:val="1"/>
                <w:szCs w:val="1"/>
                <w:color w:val="auto"/>
              </w:rPr>
            </w:pPr>
          </w:p>
        </w:tc>
        <w:tc>
          <w:tcPr>
            <w:tcW w:w="5560" w:type="dxa"/>
            <w:vAlign w:val="bottom"/>
            <w:gridSpan w:val="1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1A.</w:t>
            </w:r>
          </w:p>
        </w:tc>
        <w:tc>
          <w:tcPr>
            <w:tcW w:w="900" w:type="dxa"/>
            <w:vAlign w:val="bottom"/>
            <w:gridSpan w:val="4"/>
          </w:tcPr>
          <w:p>
            <w:pPr>
              <w:spacing w:after="0"/>
              <w:rPr>
                <w:rFonts w:ascii="Arial" w:cs="Arial" w:eastAsia="Arial" w:hAnsi="Arial"/>
                <w:sz w:val="18"/>
                <w:szCs w:val="18"/>
                <w:color w:val="0000EE"/>
                <w:w w:val="87"/>
              </w:rPr>
            </w:pPr>
            <w:hyperlink w:anchor="page35">
              <w:r>
                <w:rPr>
                  <w:rFonts w:ascii="Arial" w:cs="Arial" w:eastAsia="Arial" w:hAnsi="Arial"/>
                  <w:sz w:val="18"/>
                  <w:szCs w:val="18"/>
                  <w:color w:val="0000EE"/>
                  <w:w w:val="87"/>
                </w:rPr>
                <w:t>Risk Factors</w:t>
              </w:r>
            </w:hyperlink>
          </w:p>
        </w:tc>
        <w:tc>
          <w:tcPr>
            <w:tcW w:w="420" w:type="dxa"/>
            <w:vAlign w:val="bottom"/>
          </w:tcPr>
          <w:p>
            <w:pPr>
              <w:spacing w:after="0"/>
              <w:rPr>
                <w:sz w:val="21"/>
                <w:szCs w:val="21"/>
                <w:color w:val="auto"/>
              </w:rPr>
            </w:pPr>
          </w:p>
        </w:tc>
        <w:tc>
          <w:tcPr>
            <w:tcW w:w="8580" w:type="dxa"/>
            <w:vAlign w:val="bottom"/>
            <w:gridSpan w:val="15"/>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35">
              <w:r>
                <w:rPr>
                  <w:rFonts w:ascii="Arial" w:cs="Arial" w:eastAsia="Arial" w:hAnsi="Arial"/>
                  <w:sz w:val="18"/>
                  <w:szCs w:val="18"/>
                  <w:color w:val="0000EE"/>
                </w:rPr>
                <w:t>34</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440" w:type="dxa"/>
            <w:vAlign w:val="bottom"/>
            <w:gridSpan w:val="6"/>
          </w:tcPr>
          <w:p>
            <w:pPr>
              <w:spacing w:after="0" w:line="20" w:lineRule="exact"/>
              <w:rPr>
                <w:sz w:val="1"/>
                <w:szCs w:val="1"/>
                <w:color w:val="auto"/>
              </w:rPr>
            </w:pPr>
          </w:p>
        </w:tc>
        <w:tc>
          <w:tcPr>
            <w:tcW w:w="5560" w:type="dxa"/>
            <w:vAlign w:val="bottom"/>
            <w:gridSpan w:val="1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9900" w:type="dxa"/>
            <w:vAlign w:val="bottom"/>
            <w:gridSpan w:val="20"/>
          </w:tcPr>
          <w:p>
            <w:pPr>
              <w:spacing w:after="0"/>
              <w:rPr>
                <w:rFonts w:ascii="Arial" w:cs="Arial" w:eastAsia="Arial" w:hAnsi="Arial"/>
                <w:sz w:val="18"/>
                <w:szCs w:val="18"/>
                <w:color w:val="0000EE"/>
              </w:rPr>
            </w:pPr>
            <w:hyperlink w:anchor="page53">
              <w:r>
                <w:rPr>
                  <w:rFonts w:ascii="Arial" w:cs="Arial" w:eastAsia="Arial" w:hAnsi="Arial"/>
                  <w:sz w:val="18"/>
                  <w:szCs w:val="18"/>
                  <w:color w:val="0000EE"/>
                </w:rPr>
                <w:t>Unregistered Sales of Equity Securities and Use of Proceeds</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53">
              <w:r>
                <w:rPr>
                  <w:rFonts w:ascii="Arial" w:cs="Arial" w:eastAsia="Arial" w:hAnsi="Arial"/>
                  <w:sz w:val="18"/>
                  <w:szCs w:val="18"/>
                  <w:color w:val="0000EE"/>
                </w:rPr>
                <w:t>52</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3580" w:type="dxa"/>
            <w:vAlign w:val="bottom"/>
            <w:gridSpan w:val="7"/>
            <w:shd w:val="clear" w:color="auto" w:fill="0000EE"/>
          </w:tcPr>
          <w:p>
            <w:pPr>
              <w:spacing w:after="0" w:line="20" w:lineRule="exact"/>
              <w:rPr>
                <w:sz w:val="1"/>
                <w:szCs w:val="1"/>
                <w:color w:val="auto"/>
              </w:rPr>
            </w:pPr>
          </w:p>
        </w:tc>
        <w:tc>
          <w:tcPr>
            <w:tcW w:w="5560" w:type="dxa"/>
            <w:vAlign w:val="bottom"/>
            <w:gridSpan w:val="1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6.</w:t>
            </w:r>
          </w:p>
        </w:tc>
        <w:tc>
          <w:tcPr>
            <w:tcW w:w="600" w:type="dxa"/>
            <w:vAlign w:val="bottom"/>
            <w:gridSpan w:val="2"/>
          </w:tcPr>
          <w:p>
            <w:pPr>
              <w:spacing w:after="0"/>
              <w:rPr>
                <w:rFonts w:ascii="Arial" w:cs="Arial" w:eastAsia="Arial" w:hAnsi="Arial"/>
                <w:sz w:val="18"/>
                <w:szCs w:val="18"/>
                <w:color w:val="0000EE"/>
                <w:w w:val="91"/>
              </w:rPr>
            </w:pPr>
            <w:hyperlink w:anchor="page54">
              <w:r>
                <w:rPr>
                  <w:rFonts w:ascii="Arial" w:cs="Arial" w:eastAsia="Arial" w:hAnsi="Arial"/>
                  <w:sz w:val="18"/>
                  <w:szCs w:val="18"/>
                  <w:color w:val="0000EE"/>
                  <w:w w:val="91"/>
                </w:rPr>
                <w:t>Exhibits</w:t>
              </w:r>
            </w:hyperlink>
          </w:p>
        </w:tc>
        <w:tc>
          <w:tcPr>
            <w:tcW w:w="3740" w:type="dxa"/>
            <w:vAlign w:val="bottom"/>
            <w:gridSpan w:val="8"/>
          </w:tcPr>
          <w:p>
            <w:pPr>
              <w:spacing w:after="0"/>
              <w:rPr>
                <w:sz w:val="21"/>
                <w:szCs w:val="21"/>
                <w:color w:val="auto"/>
              </w:rPr>
            </w:pPr>
          </w:p>
        </w:tc>
        <w:tc>
          <w:tcPr>
            <w:tcW w:w="5560" w:type="dxa"/>
            <w:vAlign w:val="bottom"/>
            <w:gridSpan w:val="10"/>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54">
              <w:r>
                <w:rPr>
                  <w:rFonts w:ascii="Arial" w:cs="Arial" w:eastAsia="Arial" w:hAnsi="Arial"/>
                  <w:sz w:val="18"/>
                  <w:szCs w:val="18"/>
                  <w:color w:val="0000EE"/>
                </w:rPr>
                <w:t>53</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140" w:type="dxa"/>
            <w:vAlign w:val="bottom"/>
            <w:gridSpan w:val="17"/>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760" w:type="dxa"/>
            <w:vAlign w:val="bottom"/>
            <w:gridSpan w:val="3"/>
          </w:tcPr>
          <w:p>
            <w:pPr>
              <w:spacing w:after="0"/>
              <w:rPr>
                <w:rFonts w:ascii="Arial" w:cs="Arial" w:eastAsia="Arial" w:hAnsi="Arial"/>
                <w:sz w:val="18"/>
                <w:szCs w:val="18"/>
                <w:color w:val="0000EE"/>
                <w:w w:val="85"/>
              </w:rPr>
            </w:pPr>
            <w:hyperlink w:anchor="page55">
              <w:r>
                <w:rPr>
                  <w:rFonts w:ascii="Arial" w:cs="Arial" w:eastAsia="Arial" w:hAnsi="Arial"/>
                  <w:sz w:val="18"/>
                  <w:szCs w:val="18"/>
                  <w:color w:val="0000EE"/>
                  <w:w w:val="85"/>
                </w:rPr>
                <w:t>Signatures</w:t>
              </w:r>
            </w:hyperlink>
          </w:p>
        </w:tc>
        <w:tc>
          <w:tcPr>
            <w:tcW w:w="9140" w:type="dxa"/>
            <w:vAlign w:val="bottom"/>
            <w:gridSpan w:val="17"/>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55">
              <w:r>
                <w:rPr>
                  <w:rFonts w:ascii="Arial" w:cs="Arial" w:eastAsia="Arial" w:hAnsi="Arial"/>
                  <w:sz w:val="18"/>
                  <w:szCs w:val="18"/>
                  <w:color w:val="0000EE"/>
                </w:rPr>
                <w:t>54</w:t>
              </w:r>
            </w:hyperlink>
          </w:p>
        </w:tc>
      </w:tr>
      <w:tr>
        <w:trPr>
          <w:trHeight w:val="507"/>
        </w:trPr>
        <w:tc>
          <w:tcPr>
            <w:tcW w:w="920" w:type="dxa"/>
            <w:vAlign w:val="bottom"/>
          </w:tcPr>
          <w:p>
            <w:pPr>
              <w:spacing w:after="0"/>
              <w:rPr>
                <w:sz w:val="24"/>
                <w:szCs w:val="24"/>
                <w:color w:val="auto"/>
              </w:rPr>
            </w:pPr>
          </w:p>
        </w:tc>
        <w:tc>
          <w:tcPr>
            <w:tcW w:w="760" w:type="dxa"/>
            <w:vAlign w:val="bottom"/>
            <w:tcBorders>
              <w:top w:val="single" w:sz="8" w:color="0000EE"/>
            </w:tcBorders>
            <w:gridSpan w:val="3"/>
          </w:tcPr>
          <w:p>
            <w:pPr>
              <w:spacing w:after="0"/>
              <w:rPr>
                <w:sz w:val="24"/>
                <w:szCs w:val="24"/>
                <w:color w:val="auto"/>
              </w:rPr>
            </w:pPr>
          </w:p>
        </w:tc>
        <w:tc>
          <w:tcPr>
            <w:tcW w:w="5380" w:type="dxa"/>
            <w:vAlign w:val="bottom"/>
            <w:gridSpan w:val="9"/>
          </w:tcPr>
          <w:p>
            <w:pPr>
              <w:jc w:val="center"/>
              <w:ind w:left="2510"/>
              <w:spacing w:after="0"/>
              <w:rPr>
                <w:sz w:val="20"/>
                <w:szCs w:val="20"/>
                <w:color w:val="auto"/>
              </w:rPr>
            </w:pPr>
            <w:r>
              <w:rPr>
                <w:rFonts w:ascii="Arial" w:cs="Arial" w:eastAsia="Arial" w:hAnsi="Arial"/>
                <w:sz w:val="18"/>
                <w:szCs w:val="18"/>
                <w:color w:val="auto"/>
                <w:w w:val="99"/>
              </w:rPr>
              <w:t>1</w:t>
            </w: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r>
    </w:tbl>
    <w:p>
      <w:pPr>
        <w:sectPr>
          <w:pgSz w:w="11900" w:h="16838" w:orient="portrait"/>
          <w:cols w:equalWidth="0" w:num="1">
            <w:col w:w="11420"/>
          </w:cols>
          <w:pgMar w:left="240" w:top="130" w:right="239" w:bottom="1440" w:gutter="0" w:footer="0" w:header="0"/>
        </w:sectPr>
      </w:pPr>
    </w:p>
    <w:bookmarkStart w:id="2" w:name="page3"/>
    <w:bookmarkEnd w:id="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8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280" w:type="dxa"/>
            <w:vAlign w:val="bottom"/>
            <w:gridSpan w:val="2"/>
          </w:tcPr>
          <w:p>
            <w:pPr>
              <w:ind w:left="200"/>
              <w:spacing w:after="0"/>
              <w:rPr>
                <w:sz w:val="20"/>
                <w:szCs w:val="20"/>
                <w:color w:val="auto"/>
              </w:rPr>
            </w:pPr>
            <w:r>
              <w:rPr>
                <w:rFonts w:ascii="Arial" w:cs="Arial" w:eastAsia="Arial" w:hAnsi="Arial"/>
                <w:sz w:val="14"/>
                <w:szCs w:val="14"/>
                <w:b w:val="1"/>
                <w:bCs w:val="1"/>
                <w:color w:val="auto"/>
              </w:rPr>
              <w:t>May 4,</w:t>
            </w:r>
          </w:p>
        </w:tc>
        <w:tc>
          <w:tcPr>
            <w:tcW w:w="240" w:type="dxa"/>
            <w:vAlign w:val="bottom"/>
          </w:tcPr>
          <w:p>
            <w:pPr>
              <w:spacing w:after="0"/>
              <w:rPr>
                <w:sz w:val="14"/>
                <w:szCs w:val="14"/>
                <w:color w:val="auto"/>
              </w:rPr>
            </w:pPr>
          </w:p>
        </w:tc>
        <w:tc>
          <w:tcPr>
            <w:tcW w:w="1240" w:type="dxa"/>
            <w:vAlign w:val="bottom"/>
          </w:tcPr>
          <w:p>
            <w:pPr>
              <w:jc w:val="right"/>
              <w:ind w:right="311"/>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3680" w:type="dxa"/>
            <w:vAlign w:val="bottom"/>
            <w:tcBorders>
              <w:bottom w:val="single" w:sz="8" w:color="CCEEFF"/>
            </w:tcBorders>
          </w:tcPr>
          <w:p>
            <w:pPr>
              <w:spacing w:after="0"/>
              <w:rPr>
                <w:sz w:val="16"/>
                <w:szCs w:val="16"/>
                <w:color w:val="auto"/>
              </w:rPr>
            </w:pPr>
          </w:p>
        </w:tc>
        <w:tc>
          <w:tcPr>
            <w:tcW w:w="466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2019</w:t>
            </w:r>
          </w:p>
        </w:tc>
      </w:tr>
      <w:tr>
        <w:trPr>
          <w:trHeight w:val="236"/>
        </w:trPr>
        <w:tc>
          <w:tcPr>
            <w:tcW w:w="3680" w:type="dxa"/>
            <w:vAlign w:val="bottom"/>
            <w:tcBorders>
              <w:bottom w:val="single" w:sz="8" w:color="CCEEFF"/>
            </w:tcBorders>
            <w:shd w:val="clear" w:color="auto" w:fill="CCEEFF"/>
          </w:tcPr>
          <w:p>
            <w:pPr>
              <w:spacing w:after="0"/>
              <w:rPr>
                <w:sz w:val="20"/>
                <w:szCs w:val="20"/>
                <w:color w:val="auto"/>
              </w:rPr>
            </w:pPr>
          </w:p>
        </w:tc>
        <w:tc>
          <w:tcPr>
            <w:tcW w:w="4660" w:type="dxa"/>
            <w:vAlign w:val="bottom"/>
            <w:tcBorders>
              <w:bottom w:val="single" w:sz="8" w:color="CCEEFF"/>
            </w:tcBorders>
            <w:shd w:val="clear" w:color="auto" w:fill="CCEEFF"/>
          </w:tcPr>
          <w:p>
            <w:pPr>
              <w:jc w:val="right"/>
              <w:ind w:right="2210"/>
              <w:spacing w:after="0"/>
              <w:rPr>
                <w:sz w:val="20"/>
                <w:szCs w:val="20"/>
                <w:color w:val="auto"/>
              </w:rPr>
            </w:pPr>
            <w:r>
              <w:rPr>
                <w:rFonts w:ascii="Arial" w:cs="Arial" w:eastAsia="Arial" w:hAnsi="Arial"/>
                <w:sz w:val="18"/>
                <w:szCs w:val="18"/>
                <w:b w:val="1"/>
                <w:bCs w:val="1"/>
                <w:color w:val="auto"/>
              </w:rPr>
              <w:t>ASSETS</w:t>
            </w:r>
          </w:p>
        </w:tc>
        <w:tc>
          <w:tcPr>
            <w:tcW w:w="32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Current assets:</w:t>
            </w:r>
          </w:p>
        </w:tc>
        <w:tc>
          <w:tcPr>
            <w:tcW w:w="46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Cash and cash equivalents</w:t>
            </w:r>
          </w:p>
        </w:tc>
        <w:tc>
          <w:tcPr>
            <w:tcW w:w="4980" w:type="dxa"/>
            <w:vAlign w:val="bottom"/>
            <w:tcBorders>
              <w:bottom w:val="single" w:sz="8" w:color="CCEEFF"/>
            </w:tcBorders>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571,893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582,410</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Accounts receivable, net</w:t>
            </w:r>
          </w:p>
        </w:tc>
        <w:tc>
          <w:tcPr>
            <w:tcW w:w="46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470,347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493,122</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Inventories</w:t>
            </w:r>
          </w:p>
        </w:tc>
        <w:tc>
          <w:tcPr>
            <w:tcW w:w="466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260,981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276,005</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w w:val="95"/>
              </w:rPr>
              <w:t>Prepaid expenses and other current assets</w:t>
            </w:r>
          </w:p>
        </w:tc>
        <w:tc>
          <w:tcPr>
            <w:tcW w:w="46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39,711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43,721</w:t>
            </w:r>
          </w:p>
        </w:tc>
      </w:tr>
      <w:tr>
        <w:trPr>
          <w:trHeight w:val="27"/>
        </w:trPr>
        <w:tc>
          <w:tcPr>
            <w:tcW w:w="3680" w:type="dxa"/>
            <w:vAlign w:val="bottom"/>
            <w:tcBorders>
              <w:bottom w:val="single" w:sz="8" w:color="CCEEFF"/>
            </w:tcBorders>
          </w:tcPr>
          <w:p>
            <w:pPr>
              <w:spacing w:after="0"/>
              <w:rPr>
                <w:sz w:val="2"/>
                <w:szCs w:val="2"/>
                <w:color w:val="auto"/>
              </w:rPr>
            </w:pPr>
          </w:p>
        </w:tc>
        <w:tc>
          <w:tcPr>
            <w:tcW w:w="46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368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current assets</w:t>
            </w:r>
          </w:p>
        </w:tc>
        <w:tc>
          <w:tcPr>
            <w:tcW w:w="466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1,342,932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1,395,258</w:t>
            </w: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Property and equipment, net</w:t>
            </w:r>
          </w:p>
        </w:tc>
        <w:tc>
          <w:tcPr>
            <w:tcW w:w="46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326,599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318,978</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Goodwill</w:t>
            </w:r>
          </w:p>
        </w:tc>
        <w:tc>
          <w:tcPr>
            <w:tcW w:w="466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5,494,505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5,494,505</w:t>
            </w: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Acquired intangible assets, net</w:t>
            </w:r>
          </w:p>
        </w:tc>
        <w:tc>
          <w:tcPr>
            <w:tcW w:w="46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2,480,942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2,560,682</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assets</w:t>
            </w:r>
          </w:p>
        </w:tc>
        <w:tc>
          <w:tcPr>
            <w:tcW w:w="466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403,240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247,329</w:t>
            </w:r>
          </w:p>
        </w:tc>
      </w:tr>
      <w:tr>
        <w:trPr>
          <w:trHeight w:val="297"/>
        </w:trPr>
        <w:tc>
          <w:tcPr>
            <w:tcW w:w="3680" w:type="dxa"/>
            <w:vAlign w:val="bottom"/>
            <w:tcBorders>
              <w:bottom w:val="single" w:sz="8" w:color="CCEEFF"/>
            </w:tcBorders>
          </w:tcPr>
          <w:p>
            <w:pPr>
              <w:ind w:left="720"/>
              <w:spacing w:after="0"/>
              <w:rPr>
                <w:sz w:val="20"/>
                <w:szCs w:val="20"/>
                <w:color w:val="auto"/>
              </w:rPr>
            </w:pPr>
            <w:r>
              <w:rPr>
                <w:rFonts w:ascii="Arial" w:cs="Arial" w:eastAsia="Arial" w:hAnsi="Arial"/>
                <w:sz w:val="18"/>
                <w:szCs w:val="18"/>
                <w:color w:val="auto"/>
              </w:rPr>
              <w:t>Total assets</w:t>
            </w:r>
          </w:p>
        </w:tc>
        <w:tc>
          <w:tcPr>
            <w:tcW w:w="4660" w:type="dxa"/>
            <w:vAlign w:val="bottom"/>
            <w:tcBorders>
              <w:bottom w:val="single" w:sz="8" w:color="CCEEFF"/>
            </w:tcBorders>
          </w:tcPr>
          <w:p>
            <w:pPr>
              <w:spacing w:after="0"/>
              <w:rPr>
                <w:sz w:val="24"/>
                <w:szCs w:val="24"/>
                <w:color w:val="auto"/>
              </w:rPr>
            </w:pPr>
          </w:p>
        </w:tc>
        <w:tc>
          <w:tcPr>
            <w:tcW w:w="320" w:type="dxa"/>
            <w:vAlign w:val="bottom"/>
            <w:tcBorders>
              <w:top w:val="single" w:sz="8" w:color="auto"/>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10,048,218</w:t>
            </w:r>
          </w:p>
        </w:tc>
        <w:tc>
          <w:tcPr>
            <w:tcW w:w="100" w:type="dxa"/>
            <w:vAlign w:val="bottom"/>
            <w:tcBorders>
              <w:bottom w:val="single" w:sz="8" w:color="CCEEFF"/>
            </w:tcBorders>
          </w:tcPr>
          <w:p>
            <w:pPr>
              <w:spacing w:after="0"/>
              <w:rPr>
                <w:sz w:val="24"/>
                <w:szCs w:val="24"/>
                <w:color w:val="auto"/>
              </w:rPr>
            </w:pPr>
          </w:p>
        </w:tc>
        <w:tc>
          <w:tcPr>
            <w:tcW w:w="24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10,016,752</w:t>
            </w:r>
          </w:p>
        </w:tc>
      </w:tr>
      <w:tr>
        <w:trPr>
          <w:trHeight w:val="257"/>
        </w:trPr>
        <w:tc>
          <w:tcPr>
            <w:tcW w:w="3680" w:type="dxa"/>
            <w:vAlign w:val="bottom"/>
            <w:shd w:val="clear" w:color="auto" w:fill="CCEEFF"/>
          </w:tcPr>
          <w:p>
            <w:pPr>
              <w:spacing w:after="0"/>
              <w:rPr>
                <w:sz w:val="22"/>
                <w:szCs w:val="22"/>
                <w:color w:val="auto"/>
              </w:rPr>
            </w:pPr>
          </w:p>
        </w:tc>
        <w:tc>
          <w:tcPr>
            <w:tcW w:w="4660" w:type="dxa"/>
            <w:vAlign w:val="bottom"/>
            <w:shd w:val="clear" w:color="auto" w:fill="CCEEFF"/>
          </w:tcPr>
          <w:p>
            <w:pPr>
              <w:spacing w:after="0"/>
              <w:rPr>
                <w:sz w:val="22"/>
                <w:szCs w:val="22"/>
                <w:color w:val="auto"/>
              </w:rPr>
            </w:pPr>
          </w:p>
        </w:tc>
        <w:tc>
          <w:tcPr>
            <w:tcW w:w="320" w:type="dxa"/>
            <w:vAlign w:val="bottom"/>
            <w:shd w:val="clear" w:color="auto" w:fill="CCEEFF"/>
          </w:tcPr>
          <w:p>
            <w:pPr>
              <w:spacing w:after="0"/>
              <w:rPr>
                <w:sz w:val="22"/>
                <w:szCs w:val="22"/>
                <w:color w:val="auto"/>
              </w:rPr>
            </w:pPr>
          </w:p>
        </w:tc>
        <w:tc>
          <w:tcPr>
            <w:tcW w:w="118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240" w:type="dxa"/>
            <w:vAlign w:val="bottom"/>
            <w:shd w:val="clear" w:color="auto" w:fill="CCEEFF"/>
          </w:tcPr>
          <w:p>
            <w:pPr>
              <w:spacing w:after="0"/>
              <w:rPr>
                <w:sz w:val="22"/>
                <w:szCs w:val="22"/>
                <w:color w:val="auto"/>
              </w:rPr>
            </w:pPr>
          </w:p>
        </w:tc>
      </w:tr>
      <w:tr>
        <w:trPr>
          <w:trHeight w:val="243"/>
        </w:trPr>
        <w:tc>
          <w:tcPr>
            <w:tcW w:w="3680" w:type="dxa"/>
            <w:vAlign w:val="bottom"/>
          </w:tcPr>
          <w:p>
            <w:pPr>
              <w:spacing w:after="0"/>
              <w:rPr>
                <w:sz w:val="21"/>
                <w:szCs w:val="21"/>
                <w:color w:val="auto"/>
              </w:rPr>
            </w:pPr>
          </w:p>
        </w:tc>
        <w:tc>
          <w:tcPr>
            <w:tcW w:w="4980" w:type="dxa"/>
            <w:vAlign w:val="bottom"/>
            <w:gridSpan w:val="2"/>
          </w:tcPr>
          <w:p>
            <w:pPr>
              <w:jc w:val="right"/>
              <w:ind w:right="910"/>
              <w:spacing w:after="0"/>
              <w:rPr>
                <w:sz w:val="20"/>
                <w:szCs w:val="20"/>
                <w:color w:val="auto"/>
              </w:rPr>
            </w:pPr>
            <w:r>
              <w:rPr>
                <w:rFonts w:ascii="Arial" w:cs="Arial" w:eastAsia="Arial" w:hAnsi="Arial"/>
                <w:sz w:val="18"/>
                <w:szCs w:val="18"/>
                <w:b w:val="1"/>
                <w:bCs w:val="1"/>
                <w:color w:val="auto"/>
              </w:rPr>
              <w:t>LIABILITIES AND SHAREHOLDERS’ EQUITY</w:t>
            </w: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Current liabilities:</w:t>
            </w:r>
          </w:p>
        </w:tc>
        <w:tc>
          <w:tcPr>
            <w:tcW w:w="466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Accounts payable</w:t>
            </w:r>
          </w:p>
        </w:tc>
        <w:tc>
          <w:tcPr>
            <w:tcW w:w="4980" w:type="dxa"/>
            <w:vAlign w:val="bottom"/>
            <w:gridSpan w:val="2"/>
          </w:tcPr>
          <w:p>
            <w:pPr>
              <w:jc w:val="right"/>
              <w:ind w:right="11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191,249</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185,362</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Accrued liabilities</w:t>
            </w:r>
          </w:p>
        </w:tc>
        <w:tc>
          <w:tcPr>
            <w:tcW w:w="466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333,680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335,509</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Accrued employee compensation</w:t>
            </w:r>
          </w:p>
        </w:tc>
        <w:tc>
          <w:tcPr>
            <w:tcW w:w="46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122,441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115,925</w:t>
            </w:r>
          </w:p>
        </w:tc>
      </w:tr>
      <w:tr>
        <w:trPr>
          <w:trHeight w:val="27"/>
        </w:trPr>
        <w:tc>
          <w:tcPr>
            <w:tcW w:w="3680" w:type="dxa"/>
            <w:vAlign w:val="bottom"/>
            <w:tcBorders>
              <w:bottom w:val="single" w:sz="8" w:color="CCEEFF"/>
            </w:tcBorders>
          </w:tcPr>
          <w:p>
            <w:pPr>
              <w:spacing w:after="0"/>
              <w:rPr>
                <w:sz w:val="2"/>
                <w:szCs w:val="2"/>
                <w:color w:val="auto"/>
              </w:rPr>
            </w:pPr>
          </w:p>
        </w:tc>
        <w:tc>
          <w:tcPr>
            <w:tcW w:w="466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368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current liabilities</w:t>
            </w:r>
          </w:p>
        </w:tc>
        <w:tc>
          <w:tcPr>
            <w:tcW w:w="466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647,370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636,796</w:t>
            </w: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Long-term debt</w:t>
            </w:r>
          </w:p>
        </w:tc>
        <w:tc>
          <w:tcPr>
            <w:tcW w:w="46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1,684,281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1,732,699</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income taxes payable</w:t>
            </w:r>
          </w:p>
        </w:tc>
        <w:tc>
          <w:tcPr>
            <w:tcW w:w="466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56,621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59,221</w:t>
            </w: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Deferred tax liabilities</w:t>
            </w:r>
          </w:p>
        </w:tc>
        <w:tc>
          <w:tcPr>
            <w:tcW w:w="46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250,137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246,252</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liabilities</w:t>
            </w:r>
          </w:p>
        </w:tc>
        <w:tc>
          <w:tcPr>
            <w:tcW w:w="466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179,677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35,374</w:t>
            </w:r>
          </w:p>
        </w:tc>
      </w:tr>
      <w:tr>
        <w:trPr>
          <w:trHeight w:val="237"/>
        </w:trPr>
        <w:tc>
          <w:tcPr>
            <w:tcW w:w="3680" w:type="dxa"/>
            <w:vAlign w:val="bottom"/>
          </w:tcPr>
          <w:p>
            <w:pPr>
              <w:ind w:left="720"/>
              <w:spacing w:after="0"/>
              <w:rPr>
                <w:sz w:val="20"/>
                <w:szCs w:val="20"/>
                <w:color w:val="auto"/>
              </w:rPr>
            </w:pPr>
            <w:r>
              <w:rPr>
                <w:rFonts w:ascii="Arial" w:cs="Arial" w:eastAsia="Arial" w:hAnsi="Arial"/>
                <w:sz w:val="18"/>
                <w:szCs w:val="18"/>
                <w:color w:val="auto"/>
              </w:rPr>
              <w:t>Total liabilities</w:t>
            </w:r>
          </w:p>
        </w:tc>
        <w:tc>
          <w:tcPr>
            <w:tcW w:w="466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2,818,086</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2,710,342</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Commitments and contingencies (Note 10)</w:t>
            </w:r>
          </w:p>
        </w:tc>
        <w:tc>
          <w:tcPr>
            <w:tcW w:w="466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Shareholders’ equity:</w:t>
            </w:r>
          </w:p>
        </w:tc>
        <w:tc>
          <w:tcPr>
            <w:tcW w:w="46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Common shares, $0.002 par value</w:t>
            </w:r>
          </w:p>
        </w:tc>
        <w:tc>
          <w:tcPr>
            <w:tcW w:w="466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1,323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1,317</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Additional paid-in capital</w:t>
            </w:r>
          </w:p>
        </w:tc>
        <w:tc>
          <w:tcPr>
            <w:tcW w:w="46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6,200,231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6,188,598</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Retained earnings</w:t>
            </w:r>
          </w:p>
        </w:tc>
        <w:tc>
          <w:tcPr>
            <w:tcW w:w="466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1,028,578</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1,116,495</w:t>
            </w:r>
          </w:p>
        </w:tc>
      </w:tr>
      <w:tr>
        <w:trPr>
          <w:trHeight w:val="237"/>
        </w:trPr>
        <w:tc>
          <w:tcPr>
            <w:tcW w:w="3680" w:type="dxa"/>
            <w:vAlign w:val="bottom"/>
          </w:tcPr>
          <w:p>
            <w:pPr>
              <w:ind w:left="720"/>
              <w:spacing w:after="0"/>
              <w:rPr>
                <w:sz w:val="20"/>
                <w:szCs w:val="20"/>
                <w:color w:val="auto"/>
              </w:rPr>
            </w:pPr>
            <w:r>
              <w:rPr>
                <w:rFonts w:ascii="Arial" w:cs="Arial" w:eastAsia="Arial" w:hAnsi="Arial"/>
                <w:sz w:val="18"/>
                <w:szCs w:val="18"/>
                <w:color w:val="auto"/>
              </w:rPr>
              <w:t>Total shareholders’ equity</w:t>
            </w:r>
          </w:p>
        </w:tc>
        <w:tc>
          <w:tcPr>
            <w:tcW w:w="466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7,230,132</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7,306,410</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64"/>
        </w:trPr>
        <w:tc>
          <w:tcPr>
            <w:tcW w:w="3680" w:type="dxa"/>
            <w:vAlign w:val="bottom"/>
            <w:shd w:val="clear" w:color="auto" w:fill="CCEEFF"/>
          </w:tcPr>
          <w:p>
            <w:pPr>
              <w:ind w:left="720"/>
              <w:spacing w:after="0"/>
              <w:rPr>
                <w:sz w:val="20"/>
                <w:szCs w:val="20"/>
                <w:color w:val="auto"/>
              </w:rPr>
            </w:pPr>
            <w:r>
              <w:rPr>
                <w:rFonts w:ascii="Arial" w:cs="Arial" w:eastAsia="Arial" w:hAnsi="Arial"/>
                <w:sz w:val="18"/>
                <w:szCs w:val="18"/>
                <w:color w:val="auto"/>
                <w:w w:val="93"/>
              </w:rPr>
              <w:t>Total liabilities and shareholders’ equity</w:t>
            </w:r>
          </w:p>
        </w:tc>
        <w:tc>
          <w:tcPr>
            <w:tcW w:w="498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10,048,218</w:t>
            </w: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10,016,752</w:t>
            </w:r>
          </w:p>
        </w:tc>
      </w:tr>
      <w:tr>
        <w:trPr>
          <w:trHeight w:val="20"/>
        </w:trPr>
        <w:tc>
          <w:tcPr>
            <w:tcW w:w="3680" w:type="dxa"/>
            <w:vAlign w:val="bottom"/>
            <w:tcBorders>
              <w:top w:val="single" w:sz="8" w:color="CCEEFF"/>
            </w:tcBorders>
          </w:tcPr>
          <w:p>
            <w:pPr>
              <w:spacing w:after="0" w:line="20" w:lineRule="exact"/>
              <w:rPr>
                <w:sz w:val="1"/>
                <w:szCs w:val="1"/>
                <w:color w:val="auto"/>
              </w:rPr>
            </w:pPr>
          </w:p>
        </w:tc>
        <w:tc>
          <w:tcPr>
            <w:tcW w:w="466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130" w:right="239" w:bottom="1440" w:gutter="0" w:footer="0" w:header="0"/>
        </w:sectPr>
      </w:pPr>
    </w:p>
    <w:bookmarkStart w:id="3" w:name="page4"/>
    <w:bookmarkEnd w:id="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jc w:val="center"/>
        <w:ind w:left="260" w:right="2440"/>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30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4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792"/>
              <w:spacing w:after="0"/>
              <w:rPr>
                <w:sz w:val="20"/>
                <w:szCs w:val="20"/>
                <w:color w:val="auto"/>
              </w:rPr>
            </w:pPr>
            <w:r>
              <w:rPr>
                <w:rFonts w:ascii="Arial" w:cs="Arial" w:eastAsia="Arial" w:hAnsi="Arial"/>
                <w:sz w:val="14"/>
                <w:szCs w:val="14"/>
                <w:b w:val="1"/>
                <w:bCs w:val="1"/>
                <w:color w:val="auto"/>
              </w:rPr>
              <w:t>Three Months Ended</w:t>
            </w:r>
          </w:p>
        </w:tc>
      </w:tr>
      <w:tr>
        <w:trPr>
          <w:trHeight w:val="152"/>
        </w:trPr>
        <w:tc>
          <w:tcPr>
            <w:tcW w:w="83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280" w:type="dxa"/>
            <w:vAlign w:val="bottom"/>
            <w:gridSpan w:val="2"/>
          </w:tcPr>
          <w:p>
            <w:pPr>
              <w:ind w:left="200"/>
              <w:spacing w:after="0" w:line="153" w:lineRule="exact"/>
              <w:rPr>
                <w:sz w:val="20"/>
                <w:szCs w:val="20"/>
                <w:color w:val="auto"/>
              </w:rPr>
            </w:pPr>
            <w:r>
              <w:rPr>
                <w:rFonts w:ascii="Arial" w:cs="Arial" w:eastAsia="Arial" w:hAnsi="Arial"/>
                <w:sz w:val="14"/>
                <w:szCs w:val="14"/>
                <w:b w:val="1"/>
                <w:bCs w:val="1"/>
                <w:color w:val="auto"/>
              </w:rPr>
              <w:t>May 4,</w:t>
            </w:r>
          </w:p>
        </w:tc>
        <w:tc>
          <w:tcPr>
            <w:tcW w:w="320" w:type="dxa"/>
            <w:vAlign w:val="bottom"/>
          </w:tcPr>
          <w:p>
            <w:pPr>
              <w:spacing w:after="0"/>
              <w:rPr>
                <w:sz w:val="13"/>
                <w:szCs w:val="13"/>
                <w:color w:val="auto"/>
              </w:rPr>
            </w:pPr>
          </w:p>
        </w:tc>
        <w:tc>
          <w:tcPr>
            <w:tcW w:w="1160" w:type="dxa"/>
            <w:vAlign w:val="bottom"/>
          </w:tcPr>
          <w:p>
            <w:pPr>
              <w:jc w:val="right"/>
              <w:ind w:right="452"/>
              <w:spacing w:after="0" w:line="153" w:lineRule="exact"/>
              <w:rPr>
                <w:sz w:val="20"/>
                <w:szCs w:val="20"/>
                <w:color w:val="auto"/>
              </w:rPr>
            </w:pPr>
            <w:r>
              <w:rPr>
                <w:rFonts w:ascii="Arial" w:cs="Arial" w:eastAsia="Arial" w:hAnsi="Arial"/>
                <w:sz w:val="14"/>
                <w:szCs w:val="14"/>
                <w:b w:val="1"/>
                <w:bCs w:val="1"/>
                <w:color w:val="auto"/>
              </w:rPr>
              <w:t>May 5,</w:t>
            </w:r>
          </w:p>
        </w:tc>
      </w:tr>
      <w:tr>
        <w:trPr>
          <w:trHeight w:val="192"/>
        </w:trPr>
        <w:tc>
          <w:tcPr>
            <w:tcW w:w="834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2018</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662,452</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604,631</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320" w:type="dxa"/>
            <w:vAlign w:val="bottom"/>
          </w:tcPr>
          <w:p>
            <w:pPr>
              <w:spacing w:after="0"/>
              <w:rPr>
                <w:sz w:val="21"/>
                <w:szCs w:val="21"/>
                <w:color w:val="auto"/>
              </w:rPr>
            </w:pPr>
          </w:p>
        </w:tc>
        <w:tc>
          <w:tcPr>
            <w:tcW w:w="1180" w:type="dxa"/>
            <w:vAlign w:val="bottom"/>
          </w:tcPr>
          <w:p>
            <w:pPr>
              <w:jc w:val="right"/>
              <w:ind w:right="12"/>
              <w:spacing w:after="0"/>
              <w:rPr>
                <w:sz w:val="20"/>
                <w:szCs w:val="20"/>
                <w:color w:val="auto"/>
              </w:rPr>
            </w:pPr>
            <w:r>
              <w:rPr>
                <w:rFonts w:ascii="Arial" w:cs="Arial" w:eastAsia="Arial" w:hAnsi="Arial"/>
                <w:sz w:val="18"/>
                <w:szCs w:val="18"/>
                <w:color w:val="auto"/>
              </w:rPr>
              <w:t>301,024</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jc w:val="right"/>
              <w:ind w:right="12"/>
              <w:spacing w:after="0"/>
              <w:rPr>
                <w:sz w:val="20"/>
                <w:szCs w:val="20"/>
                <w:color w:val="auto"/>
              </w:rPr>
            </w:pPr>
            <w:r>
              <w:rPr>
                <w:rFonts w:ascii="Arial" w:cs="Arial" w:eastAsia="Arial" w:hAnsi="Arial"/>
                <w:sz w:val="18"/>
                <w:szCs w:val="18"/>
                <w:color w:val="auto"/>
              </w:rPr>
              <w:t>228,938</w:t>
            </w:r>
          </w:p>
        </w:tc>
      </w:tr>
      <w:tr>
        <w:trPr>
          <w:trHeight w:val="27"/>
        </w:trPr>
        <w:tc>
          <w:tcPr>
            <w:tcW w:w="834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32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361,428</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375,693</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Operating expenses:</w:t>
            </w:r>
          </w:p>
        </w:tc>
        <w:tc>
          <w:tcPr>
            <w:tcW w:w="32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spacing w:after="0"/>
              <w:rPr>
                <w:sz w:val="20"/>
                <w:szCs w:val="20"/>
                <w:color w:val="auto"/>
              </w:rPr>
            </w:pP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266,867</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176,734</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Selling, general and administrative</w:t>
            </w:r>
          </w:p>
        </w:tc>
        <w:tc>
          <w:tcPr>
            <w:tcW w:w="320" w:type="dxa"/>
            <w:vAlign w:val="bottom"/>
          </w:tcPr>
          <w:p>
            <w:pPr>
              <w:spacing w:after="0"/>
              <w:rPr>
                <w:sz w:val="21"/>
                <w:szCs w:val="21"/>
                <w:color w:val="auto"/>
              </w:rPr>
            </w:pPr>
          </w:p>
        </w:tc>
        <w:tc>
          <w:tcPr>
            <w:tcW w:w="1180" w:type="dxa"/>
            <w:vAlign w:val="bottom"/>
          </w:tcPr>
          <w:p>
            <w:pPr>
              <w:jc w:val="right"/>
              <w:ind w:right="12"/>
              <w:spacing w:after="0"/>
              <w:rPr>
                <w:sz w:val="20"/>
                <w:szCs w:val="20"/>
                <w:color w:val="auto"/>
              </w:rPr>
            </w:pPr>
            <w:r>
              <w:rPr>
                <w:rFonts w:ascii="Arial" w:cs="Arial" w:eastAsia="Arial" w:hAnsi="Arial"/>
                <w:sz w:val="18"/>
                <w:szCs w:val="18"/>
                <w:color w:val="auto"/>
              </w:rPr>
              <w:t>110,005</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jc w:val="right"/>
              <w:ind w:right="12"/>
              <w:spacing w:after="0"/>
              <w:rPr>
                <w:sz w:val="20"/>
                <w:szCs w:val="20"/>
                <w:color w:val="auto"/>
              </w:rPr>
            </w:pPr>
            <w:r>
              <w:rPr>
                <w:rFonts w:ascii="Arial" w:cs="Arial" w:eastAsia="Arial" w:hAnsi="Arial"/>
                <w:sz w:val="18"/>
                <w:szCs w:val="18"/>
                <w:color w:val="auto"/>
              </w:rPr>
              <w:t>72,313</w:t>
            </w: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Restructuring related charges</w:t>
            </w:r>
          </w:p>
        </w:tc>
        <w:tc>
          <w:tcPr>
            <w:tcW w:w="3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5,682</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1,567</w:t>
            </w:r>
          </w:p>
        </w:tc>
      </w:tr>
      <w:tr>
        <w:trPr>
          <w:trHeight w:val="237"/>
        </w:trPr>
        <w:tc>
          <w:tcPr>
            <w:tcW w:w="8340" w:type="dxa"/>
            <w:vAlign w:val="bottom"/>
          </w:tcPr>
          <w:p>
            <w:pPr>
              <w:ind w:left="720"/>
              <w:spacing w:after="0"/>
              <w:rPr>
                <w:sz w:val="20"/>
                <w:szCs w:val="20"/>
                <w:color w:val="auto"/>
              </w:rPr>
            </w:pPr>
            <w:r>
              <w:rPr>
                <w:rFonts w:ascii="Arial" w:cs="Arial" w:eastAsia="Arial" w:hAnsi="Arial"/>
                <w:sz w:val="18"/>
                <w:szCs w:val="18"/>
                <w:color w:val="auto"/>
              </w:rPr>
              <w:t>Total operating expenses</w:t>
            </w:r>
          </w:p>
        </w:tc>
        <w:tc>
          <w:tcPr>
            <w:tcW w:w="32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382,554</w:t>
            </w:r>
          </w:p>
        </w:tc>
        <w:tc>
          <w:tcPr>
            <w:tcW w:w="10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250,614</w:t>
            </w:r>
          </w:p>
        </w:tc>
      </w:tr>
      <w:tr>
        <w:trPr>
          <w:trHeight w:val="27"/>
        </w:trPr>
        <w:tc>
          <w:tcPr>
            <w:tcW w:w="834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(loss)</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(21,126)</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125,079</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Interest income</w:t>
            </w:r>
          </w:p>
        </w:tc>
        <w:tc>
          <w:tcPr>
            <w:tcW w:w="320" w:type="dxa"/>
            <w:vAlign w:val="bottom"/>
          </w:tcPr>
          <w:p>
            <w:pPr>
              <w:spacing w:after="0"/>
              <w:rPr>
                <w:sz w:val="21"/>
                <w:szCs w:val="21"/>
                <w:color w:val="auto"/>
              </w:rPr>
            </w:pPr>
          </w:p>
        </w:tc>
        <w:tc>
          <w:tcPr>
            <w:tcW w:w="1180" w:type="dxa"/>
            <w:vAlign w:val="bottom"/>
          </w:tcPr>
          <w:p>
            <w:pPr>
              <w:jc w:val="right"/>
              <w:ind w:right="12"/>
              <w:spacing w:after="0"/>
              <w:rPr>
                <w:sz w:val="20"/>
                <w:szCs w:val="20"/>
                <w:color w:val="auto"/>
              </w:rPr>
            </w:pPr>
            <w:r>
              <w:rPr>
                <w:rFonts w:ascii="Arial" w:cs="Arial" w:eastAsia="Arial" w:hAnsi="Arial"/>
                <w:sz w:val="18"/>
                <w:szCs w:val="18"/>
                <w:color w:val="auto"/>
              </w:rPr>
              <w:t>1,268</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jc w:val="right"/>
              <w:ind w:right="12"/>
              <w:spacing w:after="0"/>
              <w:rPr>
                <w:sz w:val="20"/>
                <w:szCs w:val="20"/>
                <w:color w:val="auto"/>
              </w:rPr>
            </w:pPr>
            <w:r>
              <w:rPr>
                <w:rFonts w:ascii="Arial" w:cs="Arial" w:eastAsia="Arial" w:hAnsi="Arial"/>
                <w:sz w:val="18"/>
                <w:szCs w:val="18"/>
                <w:color w:val="auto"/>
              </w:rPr>
              <w:t>6,069</w:t>
            </w: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Interest expense</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(21,203)</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(244)</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Other income (loss), net</w:t>
            </w:r>
          </w:p>
        </w:tc>
        <w:tc>
          <w:tcPr>
            <w:tcW w:w="3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(116)</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jc w:val="right"/>
              <w:ind w:right="12"/>
              <w:spacing w:after="0"/>
              <w:rPr>
                <w:sz w:val="20"/>
                <w:szCs w:val="20"/>
                <w:color w:val="auto"/>
              </w:rPr>
            </w:pPr>
            <w:r>
              <w:rPr>
                <w:rFonts w:ascii="Arial" w:cs="Arial" w:eastAsia="Arial" w:hAnsi="Arial"/>
                <w:sz w:val="18"/>
                <w:szCs w:val="18"/>
                <w:color w:val="auto"/>
              </w:rPr>
              <w:t>1,471</w:t>
            </w:r>
          </w:p>
        </w:tc>
      </w:tr>
      <w:tr>
        <w:trPr>
          <w:trHeight w:val="27"/>
        </w:trPr>
        <w:tc>
          <w:tcPr>
            <w:tcW w:w="834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Interest and other income (loss), net</w:t>
            </w:r>
          </w:p>
        </w:tc>
        <w:tc>
          <w:tcPr>
            <w:tcW w:w="32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(20,051)</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7,296</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Income (loss) before income taxes</w:t>
            </w:r>
          </w:p>
        </w:tc>
        <w:tc>
          <w:tcPr>
            <w:tcW w:w="32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(41,177)</w:t>
            </w:r>
          </w:p>
        </w:tc>
        <w:tc>
          <w:tcPr>
            <w:tcW w:w="10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132,375</w:t>
            </w: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Provision for income taxes</w:t>
            </w:r>
          </w:p>
        </w:tc>
        <w:tc>
          <w:tcPr>
            <w:tcW w:w="3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7,273</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3,763</w:t>
            </w:r>
          </w:p>
        </w:tc>
      </w:tr>
      <w:tr>
        <w:trPr>
          <w:trHeight w:val="297"/>
        </w:trPr>
        <w:tc>
          <w:tcPr>
            <w:tcW w:w="834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 (loss)</w:t>
            </w:r>
          </w:p>
        </w:tc>
        <w:tc>
          <w:tcPr>
            <w:tcW w:w="320" w:type="dxa"/>
            <w:vAlign w:val="bottom"/>
            <w:tcBorders>
              <w:top w:val="single" w:sz="8" w:color="auto"/>
              <w:bottom w:val="single" w:sz="8" w:color="auto"/>
            </w:tcBorders>
          </w:tcPr>
          <w:p>
            <w:pPr>
              <w:spacing w:after="0"/>
              <w:rPr>
                <w:sz w:val="24"/>
                <w:szCs w:val="24"/>
                <w:color w:val="auto"/>
              </w:rPr>
            </w:pP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(48,450)</w:t>
            </w:r>
          </w:p>
        </w:tc>
        <w:tc>
          <w:tcPr>
            <w:tcW w:w="100" w:type="dxa"/>
            <w:vAlign w:val="bottom"/>
            <w:tcBorders>
              <w:bottom w:val="single" w:sz="8" w:color="CCEEFF"/>
            </w:tcBorders>
          </w:tcPr>
          <w:p>
            <w:pPr>
              <w:spacing w:after="0"/>
              <w:rPr>
                <w:sz w:val="24"/>
                <w:szCs w:val="24"/>
                <w:color w:val="auto"/>
              </w:rPr>
            </w:pPr>
          </w:p>
        </w:tc>
        <w:tc>
          <w:tcPr>
            <w:tcW w:w="320" w:type="dxa"/>
            <w:vAlign w:val="bottom"/>
            <w:tcBorders>
              <w:top w:val="single" w:sz="8" w:color="auto"/>
              <w:bottom w:val="single" w:sz="8" w:color="auto"/>
            </w:tcBorders>
          </w:tcPr>
          <w:p>
            <w:pPr>
              <w:spacing w:after="0"/>
              <w:rPr>
                <w:sz w:val="24"/>
                <w:szCs w:val="24"/>
                <w:color w:val="auto"/>
              </w:rPr>
            </w:pPr>
          </w:p>
        </w:tc>
        <w:tc>
          <w:tcPr>
            <w:tcW w:w="1160" w:type="dxa"/>
            <w:vAlign w:val="bottom"/>
            <w:tcBorders>
              <w:top w:val="single" w:sz="8" w:color="auto"/>
              <w:bottom w:val="single" w:sz="8" w:color="auto"/>
            </w:tcBorders>
          </w:tcPr>
          <w:p>
            <w:pPr>
              <w:jc w:val="right"/>
              <w:ind w:right="12"/>
              <w:spacing w:after="0"/>
              <w:rPr>
                <w:sz w:val="20"/>
                <w:szCs w:val="20"/>
                <w:color w:val="auto"/>
              </w:rPr>
            </w:pPr>
            <w:r>
              <w:rPr>
                <w:rFonts w:ascii="Arial" w:cs="Arial" w:eastAsia="Arial" w:hAnsi="Arial"/>
                <w:sz w:val="18"/>
                <w:szCs w:val="18"/>
                <w:color w:val="auto"/>
              </w:rPr>
              <w:t>128,612</w:t>
            </w:r>
          </w:p>
        </w:tc>
      </w:tr>
      <w:tr>
        <w:trPr>
          <w:trHeight w:val="311"/>
        </w:trPr>
        <w:tc>
          <w:tcPr>
            <w:tcW w:w="834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r>
      <w:tr>
        <w:trPr>
          <w:trHeight w:val="304"/>
        </w:trPr>
        <w:tc>
          <w:tcPr>
            <w:tcW w:w="834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 (loss) per share - Basic</w:t>
            </w: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(0.07)</w:t>
            </w:r>
          </w:p>
        </w:tc>
        <w:tc>
          <w:tcPr>
            <w:tcW w:w="100" w:type="dxa"/>
            <w:vAlign w:val="bottom"/>
            <w:tcBorders>
              <w:bottom w:val="single" w:sz="8" w:color="CCEEFF"/>
            </w:tcBorders>
          </w:tcPr>
          <w:p>
            <w:pPr>
              <w:spacing w:after="0"/>
              <w:rPr>
                <w:sz w:val="24"/>
                <w:szCs w:val="24"/>
                <w:color w:val="auto"/>
              </w:rPr>
            </w:pP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0.26</w:t>
            </w:r>
          </w:p>
        </w:tc>
      </w:tr>
      <w:tr>
        <w:trPr>
          <w:trHeight w:val="311"/>
        </w:trPr>
        <w:tc>
          <w:tcPr>
            <w:tcW w:w="834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r>
      <w:tr>
        <w:trPr>
          <w:trHeight w:val="304"/>
        </w:trPr>
        <w:tc>
          <w:tcPr>
            <w:tcW w:w="834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 (loss) per share - Diluted</w:t>
            </w: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(0.07)</w:t>
            </w:r>
          </w:p>
        </w:tc>
        <w:tc>
          <w:tcPr>
            <w:tcW w:w="100" w:type="dxa"/>
            <w:vAlign w:val="bottom"/>
            <w:tcBorders>
              <w:bottom w:val="single" w:sz="8" w:color="CCEEFF"/>
            </w:tcBorders>
          </w:tcPr>
          <w:p>
            <w:pPr>
              <w:spacing w:after="0"/>
              <w:rPr>
                <w:sz w:val="24"/>
                <w:szCs w:val="24"/>
                <w:color w:val="auto"/>
              </w:rPr>
            </w:pP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0.25</w:t>
            </w:r>
          </w:p>
        </w:tc>
      </w:tr>
      <w:tr>
        <w:trPr>
          <w:trHeight w:val="311"/>
        </w:trPr>
        <w:tc>
          <w:tcPr>
            <w:tcW w:w="834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Weighted average shares:</w:t>
            </w: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Basic</w:t>
            </w:r>
          </w:p>
        </w:tc>
        <w:tc>
          <w:tcPr>
            <w:tcW w:w="320" w:type="dxa"/>
            <w:vAlign w:val="bottom"/>
            <w:tcBorders>
              <w:bottom w:val="single" w:sz="8" w:color="auto"/>
            </w:tcBorders>
            <w:shd w:val="clear" w:color="auto" w:fill="CCEEFF"/>
          </w:tcPr>
          <w:p>
            <w:pPr>
              <w:spacing w:after="0"/>
              <w:rPr>
                <w:sz w:val="22"/>
                <w:szCs w:val="22"/>
                <w:color w:val="auto"/>
              </w:rPr>
            </w:pPr>
          </w:p>
        </w:tc>
        <w:tc>
          <w:tcPr>
            <w:tcW w:w="11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658,963</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auto"/>
            </w:tcBorders>
            <w:shd w:val="clear" w:color="auto" w:fill="CCEEFF"/>
          </w:tcPr>
          <w:p>
            <w:pPr>
              <w:spacing w:after="0"/>
              <w:rPr>
                <w:sz w:val="22"/>
                <w:szCs w:val="22"/>
                <w:color w:val="auto"/>
              </w:rPr>
            </w:pPr>
          </w:p>
        </w:tc>
        <w:tc>
          <w:tcPr>
            <w:tcW w:w="116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497,335</w:t>
            </w:r>
          </w:p>
        </w:tc>
      </w:tr>
      <w:tr>
        <w:trPr>
          <w:trHeight w:val="20"/>
        </w:trPr>
        <w:tc>
          <w:tcPr>
            <w:tcW w:w="83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r>
      <w:tr>
        <w:trPr>
          <w:trHeight w:val="251"/>
        </w:trPr>
        <w:tc>
          <w:tcPr>
            <w:tcW w:w="8340" w:type="dxa"/>
            <w:vAlign w:val="bottom"/>
          </w:tcPr>
          <w:p>
            <w:pPr>
              <w:ind w:left="380"/>
              <w:spacing w:after="0"/>
              <w:rPr>
                <w:sz w:val="20"/>
                <w:szCs w:val="20"/>
                <w:color w:val="auto"/>
              </w:rPr>
            </w:pPr>
            <w:r>
              <w:rPr>
                <w:rFonts w:ascii="Arial" w:cs="Arial" w:eastAsia="Arial" w:hAnsi="Arial"/>
                <w:sz w:val="18"/>
                <w:szCs w:val="18"/>
                <w:color w:val="auto"/>
              </w:rPr>
              <w:t>Diluted</w:t>
            </w:r>
          </w:p>
        </w:tc>
        <w:tc>
          <w:tcPr>
            <w:tcW w:w="320" w:type="dxa"/>
            <w:vAlign w:val="bottom"/>
            <w:tcBorders>
              <w:bottom w:val="single" w:sz="8" w:color="auto"/>
            </w:tcBorders>
          </w:tcPr>
          <w:p>
            <w:pPr>
              <w:spacing w:after="0"/>
              <w:rPr>
                <w:sz w:val="21"/>
                <w:szCs w:val="21"/>
                <w:color w:val="auto"/>
              </w:rPr>
            </w:pPr>
          </w:p>
        </w:tc>
        <w:tc>
          <w:tcPr>
            <w:tcW w:w="118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658,963</w:t>
            </w:r>
          </w:p>
        </w:tc>
        <w:tc>
          <w:tcPr>
            <w:tcW w:w="100" w:type="dxa"/>
            <w:vAlign w:val="bottom"/>
          </w:tcPr>
          <w:p>
            <w:pPr>
              <w:spacing w:after="0"/>
              <w:rPr>
                <w:sz w:val="21"/>
                <w:szCs w:val="21"/>
                <w:color w:val="auto"/>
              </w:rPr>
            </w:pPr>
          </w:p>
        </w:tc>
        <w:tc>
          <w:tcPr>
            <w:tcW w:w="320" w:type="dxa"/>
            <w:vAlign w:val="bottom"/>
            <w:tcBorders>
              <w:bottom w:val="single" w:sz="8" w:color="auto"/>
            </w:tcBorders>
          </w:tcPr>
          <w:p>
            <w:pPr>
              <w:spacing w:after="0"/>
              <w:rPr>
                <w:sz w:val="21"/>
                <w:szCs w:val="21"/>
                <w:color w:val="auto"/>
              </w:rPr>
            </w:pPr>
          </w:p>
        </w:tc>
        <w:tc>
          <w:tcPr>
            <w:tcW w:w="116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508,716</w:t>
            </w:r>
          </w:p>
        </w:tc>
      </w:tr>
      <w:tr>
        <w:trPr>
          <w:trHeight w:val="20"/>
        </w:trPr>
        <w:tc>
          <w:tcPr>
            <w:tcW w:w="83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130" w:right="239" w:bottom="1440" w:gutter="0" w:footer="0" w:header="0"/>
        </w:sectPr>
      </w:pPr>
    </w:p>
    <w:bookmarkStart w:id="4" w:name="page5"/>
    <w:bookmarkEnd w:id="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338"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4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796"/>
              <w:spacing w:after="0"/>
              <w:rPr>
                <w:sz w:val="20"/>
                <w:szCs w:val="20"/>
                <w:color w:val="auto"/>
              </w:rPr>
            </w:pPr>
            <w:r>
              <w:rPr>
                <w:rFonts w:ascii="Arial" w:cs="Arial" w:eastAsia="Arial" w:hAnsi="Arial"/>
                <w:sz w:val="14"/>
                <w:szCs w:val="14"/>
                <w:b w:val="1"/>
                <w:bCs w:val="1"/>
                <w:color w:val="auto"/>
              </w:rPr>
              <w:t>Three Months Ended</w:t>
            </w:r>
          </w:p>
        </w:tc>
      </w:tr>
      <w:tr>
        <w:trPr>
          <w:trHeight w:val="152"/>
        </w:trPr>
        <w:tc>
          <w:tcPr>
            <w:tcW w:w="83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280" w:type="dxa"/>
            <w:vAlign w:val="bottom"/>
            <w:gridSpan w:val="2"/>
          </w:tcPr>
          <w:p>
            <w:pPr>
              <w:ind w:left="200"/>
              <w:spacing w:after="0" w:line="153" w:lineRule="exact"/>
              <w:rPr>
                <w:sz w:val="20"/>
                <w:szCs w:val="20"/>
                <w:color w:val="auto"/>
              </w:rPr>
            </w:pPr>
            <w:r>
              <w:rPr>
                <w:rFonts w:ascii="Arial" w:cs="Arial" w:eastAsia="Arial" w:hAnsi="Arial"/>
                <w:sz w:val="14"/>
                <w:szCs w:val="14"/>
                <w:b w:val="1"/>
                <w:bCs w:val="1"/>
                <w:color w:val="auto"/>
              </w:rPr>
              <w:t>May 4,</w:t>
            </w:r>
          </w:p>
        </w:tc>
        <w:tc>
          <w:tcPr>
            <w:tcW w:w="320" w:type="dxa"/>
            <w:vAlign w:val="bottom"/>
          </w:tcPr>
          <w:p>
            <w:pPr>
              <w:spacing w:after="0"/>
              <w:rPr>
                <w:sz w:val="13"/>
                <w:szCs w:val="13"/>
                <w:color w:val="auto"/>
              </w:rPr>
            </w:pPr>
          </w:p>
        </w:tc>
        <w:tc>
          <w:tcPr>
            <w:tcW w:w="1160" w:type="dxa"/>
            <w:vAlign w:val="bottom"/>
          </w:tcPr>
          <w:p>
            <w:pPr>
              <w:jc w:val="right"/>
              <w:ind w:right="456"/>
              <w:spacing w:after="0" w:line="153" w:lineRule="exact"/>
              <w:rPr>
                <w:sz w:val="20"/>
                <w:szCs w:val="20"/>
                <w:color w:val="auto"/>
              </w:rPr>
            </w:pPr>
            <w:r>
              <w:rPr>
                <w:rFonts w:ascii="Arial" w:cs="Arial" w:eastAsia="Arial" w:hAnsi="Arial"/>
                <w:sz w:val="14"/>
                <w:szCs w:val="14"/>
                <w:b w:val="1"/>
                <w:bCs w:val="1"/>
                <w:color w:val="auto"/>
              </w:rPr>
              <w:t>May 5,</w:t>
            </w:r>
          </w:p>
        </w:tc>
      </w:tr>
      <w:tr>
        <w:trPr>
          <w:trHeight w:val="192"/>
        </w:trPr>
        <w:tc>
          <w:tcPr>
            <w:tcW w:w="834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8"/>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2018</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(48,450)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128,612</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Other comprehensive income (loss), net of tax:</w:t>
            </w: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Net change in unrealized gain (loss) on marketable securities</w:t>
            </w:r>
          </w:p>
        </w:tc>
        <w:tc>
          <w:tcPr>
            <w:tcW w:w="32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(82)</w:t>
            </w:r>
          </w:p>
        </w:tc>
      </w:tr>
      <w:tr>
        <w:trPr>
          <w:trHeight w:val="237"/>
        </w:trPr>
        <w:tc>
          <w:tcPr>
            <w:tcW w:w="8340" w:type="dxa"/>
            <w:vAlign w:val="bottom"/>
          </w:tcPr>
          <w:p>
            <w:pPr>
              <w:ind w:left="720"/>
              <w:spacing w:after="0"/>
              <w:rPr>
                <w:sz w:val="20"/>
                <w:szCs w:val="20"/>
                <w:color w:val="auto"/>
              </w:rPr>
            </w:pPr>
            <w:r>
              <w:rPr>
                <w:rFonts w:ascii="Arial" w:cs="Arial" w:eastAsia="Arial" w:hAnsi="Arial"/>
                <w:sz w:val="18"/>
                <w:szCs w:val="18"/>
                <w:color w:val="auto"/>
              </w:rPr>
              <w:t>Other comprehensive income (loss), net of tax</w:t>
            </w:r>
          </w:p>
        </w:tc>
        <w:tc>
          <w:tcPr>
            <w:tcW w:w="32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18"/>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(82)</w:t>
            </w:r>
          </w:p>
        </w:tc>
      </w:tr>
      <w:tr>
        <w:trPr>
          <w:trHeight w:val="27"/>
        </w:trPr>
        <w:tc>
          <w:tcPr>
            <w:tcW w:w="834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9"/>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Comprehensive income (loss), net of tax</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(48,450)</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128,530</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130" w:right="239" w:bottom="1440" w:gutter="0" w:footer="0" w:header="0"/>
        </w:sectPr>
      </w:pPr>
    </w:p>
    <w:bookmarkStart w:id="5" w:name="page6"/>
    <w:bookmarkEnd w:id="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SHAREHOLDERS' EQUITY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36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780" w:type="dxa"/>
            <w:vAlign w:val="bottom"/>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136"/>
              <w:spacing w:after="0"/>
              <w:rPr>
                <w:sz w:val="20"/>
                <w:szCs w:val="20"/>
                <w:color w:val="auto"/>
              </w:rPr>
            </w:pPr>
            <w:r>
              <w:rPr>
                <w:rFonts w:ascii="Arial" w:cs="Arial" w:eastAsia="Arial" w:hAnsi="Arial"/>
                <w:sz w:val="14"/>
                <w:szCs w:val="14"/>
                <w:b w:val="1"/>
                <w:bCs w:val="1"/>
                <w:color w:val="auto"/>
                <w:w w:val="98"/>
              </w:rPr>
              <w:t>Three-Month Period Ended May 4, 2019</w:t>
            </w:r>
          </w:p>
        </w:tc>
        <w:tc>
          <w:tcPr>
            <w:tcW w:w="1020" w:type="dxa"/>
            <w:vAlign w:val="bottom"/>
            <w:tcBorders>
              <w:bottom w:val="single" w:sz="8" w:color="auto"/>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3780" w:type="dxa"/>
            <w:vAlign w:val="bottom"/>
          </w:tcPr>
          <w:p>
            <w:pPr>
              <w:spacing w:after="0"/>
              <w:rPr>
                <w:sz w:val="18"/>
                <w:szCs w:val="18"/>
                <w:color w:val="auto"/>
              </w:rPr>
            </w:pPr>
          </w:p>
        </w:tc>
        <w:tc>
          <w:tcPr>
            <w:tcW w:w="2200" w:type="dxa"/>
            <w:vAlign w:val="bottom"/>
            <w:gridSpan w:val="4"/>
          </w:tcPr>
          <w:p>
            <w:pPr>
              <w:jc w:val="right"/>
              <w:ind w:right="532"/>
              <w:spacing w:after="0"/>
              <w:rPr>
                <w:sz w:val="20"/>
                <w:szCs w:val="20"/>
                <w:color w:val="auto"/>
              </w:rPr>
            </w:pPr>
            <w:r>
              <w:rPr>
                <w:rFonts w:ascii="Arial" w:cs="Arial" w:eastAsia="Arial" w:hAnsi="Arial"/>
                <w:sz w:val="14"/>
                <w:szCs w:val="14"/>
                <w:b w:val="1"/>
                <w:bCs w:val="1"/>
                <w:color w:val="auto"/>
              </w:rPr>
              <w:t>Common Stock</w:t>
            </w:r>
          </w:p>
        </w:tc>
        <w:tc>
          <w:tcPr>
            <w:tcW w:w="3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480" w:type="dxa"/>
            <w:vAlign w:val="bottom"/>
            <w:gridSpan w:val="2"/>
          </w:tcPr>
          <w:p>
            <w:pPr>
              <w:jc w:val="center"/>
              <w:spacing w:after="0"/>
              <w:rPr>
                <w:sz w:val="20"/>
                <w:szCs w:val="20"/>
                <w:color w:val="auto"/>
              </w:rPr>
            </w:pPr>
            <w:r>
              <w:rPr>
                <w:rFonts w:ascii="Arial" w:cs="Arial" w:eastAsia="Arial" w:hAnsi="Arial"/>
                <w:sz w:val="14"/>
                <w:szCs w:val="14"/>
                <w:b w:val="1"/>
                <w:bCs w:val="1"/>
                <w:color w:val="auto"/>
                <w:w w:val="94"/>
              </w:rPr>
              <w:t>Accumulated Other</w:t>
            </w:r>
          </w:p>
        </w:tc>
        <w:tc>
          <w:tcPr>
            <w:tcW w:w="3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54"/>
        </w:trPr>
        <w:tc>
          <w:tcPr>
            <w:tcW w:w="3780" w:type="dxa"/>
            <w:vAlign w:val="bottom"/>
          </w:tcPr>
          <w:p>
            <w:pPr>
              <w:spacing w:after="0"/>
              <w:rPr>
                <w:sz w:val="4"/>
                <w:szCs w:val="4"/>
                <w:color w:val="auto"/>
              </w:rPr>
            </w:pPr>
          </w:p>
        </w:tc>
        <w:tc>
          <w:tcPr>
            <w:tcW w:w="104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180" w:type="dxa"/>
            <w:vAlign w:val="bottom"/>
            <w:tcBorders>
              <w:bottom w:val="single" w:sz="8" w:color="auto"/>
            </w:tcBorders>
          </w:tcPr>
          <w:p>
            <w:pPr>
              <w:spacing w:after="0"/>
              <w:rPr>
                <w:sz w:val="4"/>
                <w:szCs w:val="4"/>
                <w:color w:val="auto"/>
              </w:rPr>
            </w:pPr>
          </w:p>
        </w:tc>
        <w:tc>
          <w:tcPr>
            <w:tcW w:w="860" w:type="dxa"/>
            <w:vAlign w:val="bottom"/>
            <w:tcBorders>
              <w:bottom w:val="single" w:sz="8" w:color="auto"/>
            </w:tcBorders>
          </w:tcPr>
          <w:p>
            <w:pPr>
              <w:spacing w:after="0"/>
              <w:rPr>
                <w:sz w:val="4"/>
                <w:szCs w:val="4"/>
                <w:color w:val="auto"/>
              </w:rPr>
            </w:pPr>
          </w:p>
        </w:tc>
        <w:tc>
          <w:tcPr>
            <w:tcW w:w="1280" w:type="dxa"/>
            <w:vAlign w:val="bottom"/>
            <w:gridSpan w:val="2"/>
            <w:vMerge w:val="restart"/>
          </w:tcPr>
          <w:p>
            <w:pPr>
              <w:jc w:val="center"/>
              <w:spacing w:after="0" w:line="139" w:lineRule="exact"/>
              <w:rPr>
                <w:sz w:val="20"/>
                <w:szCs w:val="20"/>
                <w:color w:val="auto"/>
              </w:rPr>
            </w:pPr>
            <w:r>
              <w:rPr>
                <w:rFonts w:ascii="Arial" w:cs="Arial" w:eastAsia="Arial" w:hAnsi="Arial"/>
                <w:sz w:val="14"/>
                <w:szCs w:val="14"/>
                <w:b w:val="1"/>
                <w:bCs w:val="1"/>
                <w:color w:val="auto"/>
                <w:w w:val="95"/>
              </w:rPr>
              <w:t>Additional Paid-</w:t>
            </w:r>
          </w:p>
        </w:tc>
        <w:tc>
          <w:tcPr>
            <w:tcW w:w="220" w:type="dxa"/>
            <w:vAlign w:val="bottom"/>
          </w:tcPr>
          <w:p>
            <w:pPr>
              <w:spacing w:after="0"/>
              <w:rPr>
                <w:sz w:val="4"/>
                <w:szCs w:val="4"/>
                <w:color w:val="auto"/>
              </w:rPr>
            </w:pPr>
          </w:p>
        </w:tc>
        <w:tc>
          <w:tcPr>
            <w:tcW w:w="1260" w:type="dxa"/>
            <w:vAlign w:val="bottom"/>
            <w:vMerge w:val="restart"/>
          </w:tcPr>
          <w:p>
            <w:pPr>
              <w:jc w:val="center"/>
              <w:ind w:right="113"/>
              <w:spacing w:after="0" w:line="139" w:lineRule="exact"/>
              <w:rPr>
                <w:sz w:val="20"/>
                <w:szCs w:val="20"/>
                <w:color w:val="auto"/>
              </w:rPr>
            </w:pPr>
            <w:r>
              <w:rPr>
                <w:rFonts w:ascii="Arial" w:cs="Arial" w:eastAsia="Arial" w:hAnsi="Arial"/>
                <w:sz w:val="14"/>
                <w:szCs w:val="14"/>
                <w:b w:val="1"/>
                <w:bCs w:val="1"/>
                <w:color w:val="auto"/>
                <w:w w:val="89"/>
              </w:rPr>
              <w:t>Comprehensive</w:t>
            </w:r>
          </w:p>
        </w:tc>
        <w:tc>
          <w:tcPr>
            <w:tcW w:w="340" w:type="dxa"/>
            <w:vAlign w:val="bottom"/>
          </w:tcPr>
          <w:p>
            <w:pPr>
              <w:spacing w:after="0"/>
              <w:rPr>
                <w:sz w:val="4"/>
                <w:szCs w:val="4"/>
                <w:color w:val="auto"/>
              </w:rPr>
            </w:pPr>
          </w:p>
        </w:tc>
        <w:tc>
          <w:tcPr>
            <w:tcW w:w="1020" w:type="dxa"/>
            <w:vAlign w:val="bottom"/>
          </w:tcPr>
          <w:p>
            <w:pPr>
              <w:spacing w:after="0"/>
              <w:rPr>
                <w:sz w:val="4"/>
                <w:szCs w:val="4"/>
                <w:color w:val="auto"/>
              </w:rPr>
            </w:pPr>
          </w:p>
        </w:tc>
        <w:tc>
          <w:tcPr>
            <w:tcW w:w="340" w:type="dxa"/>
            <w:vAlign w:val="bottom"/>
          </w:tcPr>
          <w:p>
            <w:pPr>
              <w:spacing w:after="0"/>
              <w:rPr>
                <w:sz w:val="4"/>
                <w:szCs w:val="4"/>
                <w:color w:val="auto"/>
              </w:rPr>
            </w:pPr>
          </w:p>
        </w:tc>
        <w:tc>
          <w:tcPr>
            <w:tcW w:w="9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65"/>
        </w:trPr>
        <w:tc>
          <w:tcPr>
            <w:tcW w:w="3780" w:type="dxa"/>
            <w:vAlign w:val="bottom"/>
          </w:tcPr>
          <w:p>
            <w:pPr>
              <w:spacing w:after="0"/>
              <w:rPr>
                <w:sz w:val="5"/>
                <w:szCs w:val="5"/>
                <w:color w:val="auto"/>
              </w:rPr>
            </w:pPr>
          </w:p>
        </w:tc>
        <w:tc>
          <w:tcPr>
            <w:tcW w:w="1160" w:type="dxa"/>
            <w:vAlign w:val="bottom"/>
            <w:gridSpan w:val="2"/>
            <w:vMerge w:val="restart"/>
          </w:tcPr>
          <w:p>
            <w:pPr>
              <w:ind w:left="300"/>
              <w:spacing w:after="0"/>
              <w:rPr>
                <w:sz w:val="20"/>
                <w:szCs w:val="20"/>
                <w:color w:val="auto"/>
              </w:rPr>
            </w:pPr>
            <w:r>
              <w:rPr>
                <w:rFonts w:ascii="Arial" w:cs="Arial" w:eastAsia="Arial" w:hAnsi="Arial"/>
                <w:sz w:val="14"/>
                <w:szCs w:val="14"/>
                <w:b w:val="1"/>
                <w:bCs w:val="1"/>
                <w:color w:val="auto"/>
              </w:rPr>
              <w:t>Shares</w:t>
            </w:r>
          </w:p>
        </w:tc>
        <w:tc>
          <w:tcPr>
            <w:tcW w:w="180" w:type="dxa"/>
            <w:vAlign w:val="bottom"/>
          </w:tcPr>
          <w:p>
            <w:pPr>
              <w:spacing w:after="0"/>
              <w:rPr>
                <w:sz w:val="5"/>
                <w:szCs w:val="5"/>
                <w:color w:val="auto"/>
              </w:rPr>
            </w:pPr>
          </w:p>
        </w:tc>
        <w:tc>
          <w:tcPr>
            <w:tcW w:w="860" w:type="dxa"/>
            <w:vAlign w:val="bottom"/>
            <w:vMerge w:val="restart"/>
          </w:tcPr>
          <w:p>
            <w:pPr>
              <w:jc w:val="right"/>
              <w:ind w:right="192"/>
              <w:spacing w:after="0"/>
              <w:rPr>
                <w:sz w:val="20"/>
                <w:szCs w:val="20"/>
                <w:color w:val="auto"/>
              </w:rPr>
            </w:pPr>
            <w:r>
              <w:rPr>
                <w:rFonts w:ascii="Arial" w:cs="Arial" w:eastAsia="Arial" w:hAnsi="Arial"/>
                <w:sz w:val="14"/>
                <w:szCs w:val="14"/>
                <w:b w:val="1"/>
                <w:bCs w:val="1"/>
                <w:color w:val="auto"/>
              </w:rPr>
              <w:t>Amount</w:t>
            </w:r>
          </w:p>
        </w:tc>
        <w:tc>
          <w:tcPr>
            <w:tcW w:w="1280" w:type="dxa"/>
            <w:vAlign w:val="bottom"/>
            <w:gridSpan w:val="2"/>
            <w:vMerge w:val="continue"/>
          </w:tcPr>
          <w:p>
            <w:pPr>
              <w:spacing w:after="0"/>
              <w:rPr>
                <w:sz w:val="5"/>
                <w:szCs w:val="5"/>
                <w:color w:val="auto"/>
              </w:rPr>
            </w:pPr>
          </w:p>
        </w:tc>
        <w:tc>
          <w:tcPr>
            <w:tcW w:w="220" w:type="dxa"/>
            <w:vAlign w:val="bottom"/>
          </w:tcPr>
          <w:p>
            <w:pPr>
              <w:spacing w:after="0"/>
              <w:rPr>
                <w:sz w:val="5"/>
                <w:szCs w:val="5"/>
                <w:color w:val="auto"/>
              </w:rPr>
            </w:pPr>
          </w:p>
        </w:tc>
        <w:tc>
          <w:tcPr>
            <w:tcW w:w="1260" w:type="dxa"/>
            <w:vAlign w:val="bottom"/>
            <w:vMerge w:val="continue"/>
          </w:tcPr>
          <w:p>
            <w:pPr>
              <w:spacing w:after="0"/>
              <w:rPr>
                <w:sz w:val="5"/>
                <w:szCs w:val="5"/>
                <w:color w:val="auto"/>
              </w:rPr>
            </w:pPr>
          </w:p>
        </w:tc>
        <w:tc>
          <w:tcPr>
            <w:tcW w:w="1360" w:type="dxa"/>
            <w:vAlign w:val="bottom"/>
            <w:gridSpan w:val="2"/>
            <w:vMerge w:val="restart"/>
          </w:tcPr>
          <w:p>
            <w:pPr>
              <w:jc w:val="right"/>
              <w:ind w:right="10"/>
              <w:spacing w:after="0"/>
              <w:rPr>
                <w:sz w:val="20"/>
                <w:szCs w:val="20"/>
                <w:color w:val="auto"/>
              </w:rPr>
            </w:pPr>
            <w:r>
              <w:rPr>
                <w:rFonts w:ascii="Arial" w:cs="Arial" w:eastAsia="Arial" w:hAnsi="Arial"/>
                <w:sz w:val="14"/>
                <w:szCs w:val="14"/>
                <w:b w:val="1"/>
                <w:bCs w:val="1"/>
                <w:color w:val="auto"/>
              </w:rPr>
              <w:t>Retained Earnings</w:t>
            </w:r>
          </w:p>
        </w:tc>
        <w:tc>
          <w:tcPr>
            <w:tcW w:w="340" w:type="dxa"/>
            <w:vAlign w:val="bottom"/>
          </w:tcPr>
          <w:p>
            <w:pPr>
              <w:spacing w:after="0"/>
              <w:rPr>
                <w:sz w:val="5"/>
                <w:szCs w:val="5"/>
                <w:color w:val="auto"/>
              </w:rPr>
            </w:pPr>
          </w:p>
        </w:tc>
        <w:tc>
          <w:tcPr>
            <w:tcW w:w="980" w:type="dxa"/>
            <w:vAlign w:val="bottom"/>
            <w:vMerge w:val="restart"/>
          </w:tcPr>
          <w:p>
            <w:pPr>
              <w:jc w:val="right"/>
              <w:ind w:right="39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3780" w:type="dxa"/>
            <w:vAlign w:val="bottom"/>
          </w:tcPr>
          <w:p>
            <w:pPr>
              <w:spacing w:after="0"/>
              <w:rPr>
                <w:sz w:val="16"/>
                <w:szCs w:val="16"/>
                <w:color w:val="auto"/>
              </w:rPr>
            </w:pPr>
          </w:p>
        </w:tc>
        <w:tc>
          <w:tcPr>
            <w:tcW w:w="1160" w:type="dxa"/>
            <w:vAlign w:val="bottom"/>
            <w:gridSpan w:val="2"/>
            <w:vMerge w:val="continue"/>
          </w:tcPr>
          <w:p>
            <w:pPr>
              <w:spacing w:after="0"/>
              <w:rPr>
                <w:sz w:val="16"/>
                <w:szCs w:val="16"/>
                <w:color w:val="auto"/>
              </w:rPr>
            </w:pPr>
          </w:p>
        </w:tc>
        <w:tc>
          <w:tcPr>
            <w:tcW w:w="18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300" w:type="dxa"/>
            <w:vAlign w:val="bottom"/>
          </w:tcPr>
          <w:p>
            <w:pPr>
              <w:spacing w:after="0"/>
              <w:rPr>
                <w:sz w:val="16"/>
                <w:szCs w:val="16"/>
                <w:color w:val="auto"/>
              </w:rPr>
            </w:pPr>
          </w:p>
        </w:tc>
        <w:tc>
          <w:tcPr>
            <w:tcW w:w="980" w:type="dxa"/>
            <w:vAlign w:val="bottom"/>
          </w:tcPr>
          <w:p>
            <w:pPr>
              <w:jc w:val="center"/>
              <w:ind w:right="153"/>
              <w:spacing w:after="0"/>
              <w:rPr>
                <w:sz w:val="20"/>
                <w:szCs w:val="20"/>
                <w:color w:val="auto"/>
              </w:rPr>
            </w:pPr>
            <w:r>
              <w:rPr>
                <w:rFonts w:ascii="Arial" w:cs="Arial" w:eastAsia="Arial" w:hAnsi="Arial"/>
                <w:sz w:val="14"/>
                <w:szCs w:val="14"/>
                <w:b w:val="1"/>
                <w:bCs w:val="1"/>
                <w:color w:val="auto"/>
                <w:w w:val="97"/>
              </w:rPr>
              <w:t>in-Capital</w:t>
            </w:r>
          </w:p>
        </w:tc>
        <w:tc>
          <w:tcPr>
            <w:tcW w:w="220" w:type="dxa"/>
            <w:vAlign w:val="bottom"/>
          </w:tcPr>
          <w:p>
            <w:pPr>
              <w:spacing w:after="0"/>
              <w:rPr>
                <w:sz w:val="16"/>
                <w:szCs w:val="16"/>
                <w:color w:val="auto"/>
              </w:rPr>
            </w:pPr>
          </w:p>
        </w:tc>
        <w:tc>
          <w:tcPr>
            <w:tcW w:w="1260" w:type="dxa"/>
            <w:vAlign w:val="bottom"/>
          </w:tcPr>
          <w:p>
            <w:pPr>
              <w:jc w:val="center"/>
              <w:ind w:right="113"/>
              <w:spacing w:after="0"/>
              <w:rPr>
                <w:sz w:val="20"/>
                <w:szCs w:val="20"/>
                <w:color w:val="auto"/>
              </w:rPr>
            </w:pPr>
            <w:r>
              <w:rPr>
                <w:rFonts w:ascii="Arial" w:cs="Arial" w:eastAsia="Arial" w:hAnsi="Arial"/>
                <w:sz w:val="14"/>
                <w:szCs w:val="14"/>
                <w:b w:val="1"/>
                <w:bCs w:val="1"/>
                <w:color w:val="auto"/>
                <w:w w:val="90"/>
              </w:rPr>
              <w:t>Income (Loss)</w:t>
            </w:r>
          </w:p>
        </w:tc>
        <w:tc>
          <w:tcPr>
            <w:tcW w:w="1360" w:type="dxa"/>
            <w:vAlign w:val="bottom"/>
            <w:gridSpan w:val="2"/>
            <w:vMerge w:val="continue"/>
          </w:tcPr>
          <w:p>
            <w:pPr>
              <w:spacing w:after="0"/>
              <w:rPr>
                <w:sz w:val="16"/>
                <w:szCs w:val="16"/>
                <w:color w:val="auto"/>
              </w:rPr>
            </w:pPr>
          </w:p>
        </w:tc>
        <w:tc>
          <w:tcPr>
            <w:tcW w:w="340" w:type="dxa"/>
            <w:vAlign w:val="bottom"/>
          </w:tcPr>
          <w:p>
            <w:pPr>
              <w:spacing w:after="0"/>
              <w:rPr>
                <w:sz w:val="16"/>
                <w:szCs w:val="16"/>
                <w:color w:val="auto"/>
              </w:rPr>
            </w:pPr>
          </w:p>
        </w:tc>
        <w:tc>
          <w:tcPr>
            <w:tcW w:w="9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43"/>
        </w:trPr>
        <w:tc>
          <w:tcPr>
            <w:tcW w:w="3780" w:type="dxa"/>
            <w:vAlign w:val="bottom"/>
          </w:tcPr>
          <w:p>
            <w:pPr>
              <w:ind w:left="40"/>
              <w:spacing w:after="0"/>
              <w:rPr>
                <w:sz w:val="20"/>
                <w:szCs w:val="20"/>
                <w:color w:val="auto"/>
              </w:rPr>
            </w:pPr>
            <w:r>
              <w:rPr>
                <w:rFonts w:ascii="Arial" w:cs="Arial" w:eastAsia="Arial" w:hAnsi="Arial"/>
                <w:sz w:val="18"/>
                <w:szCs w:val="18"/>
                <w:b w:val="1"/>
                <w:bCs w:val="1"/>
                <w:color w:val="auto"/>
              </w:rPr>
              <w:t>Balance at February 2, 2019</w:t>
            </w:r>
          </w:p>
        </w:tc>
        <w:tc>
          <w:tcPr>
            <w:tcW w:w="10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658,514</w:t>
            </w:r>
          </w:p>
        </w:tc>
        <w:tc>
          <w:tcPr>
            <w:tcW w:w="120" w:type="dxa"/>
            <w:vAlign w:val="bottom"/>
          </w:tcPr>
          <w:p>
            <w:pPr>
              <w:spacing w:after="0"/>
              <w:rPr>
                <w:sz w:val="21"/>
                <w:szCs w:val="21"/>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1,317</w:t>
            </w:r>
          </w:p>
        </w:tc>
        <w:tc>
          <w:tcPr>
            <w:tcW w:w="3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980" w:type="dxa"/>
            <w:vAlign w:val="bottom"/>
            <w:tcBorders>
              <w:top w:val="single" w:sz="8" w:color="auto"/>
            </w:tcBorders>
          </w:tcPr>
          <w:p>
            <w:pPr>
              <w:jc w:val="right"/>
              <w:ind w:right="53"/>
              <w:spacing w:after="0"/>
              <w:rPr>
                <w:sz w:val="20"/>
                <w:szCs w:val="20"/>
                <w:color w:val="auto"/>
              </w:rPr>
            </w:pPr>
            <w:r>
              <w:rPr>
                <w:rFonts w:ascii="Arial" w:cs="Arial" w:eastAsia="Arial" w:hAnsi="Arial"/>
                <w:sz w:val="18"/>
                <w:szCs w:val="18"/>
                <w:color w:val="auto"/>
              </w:rPr>
              <w:t>6,188,598</w:t>
            </w:r>
          </w:p>
        </w:tc>
        <w:tc>
          <w:tcPr>
            <w:tcW w:w="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top w:val="single" w:sz="8" w:color="auto"/>
            </w:tcBorders>
          </w:tcPr>
          <w:p>
            <w:pPr>
              <w:jc w:val="right"/>
              <w:ind w:right="73"/>
              <w:spacing w:after="0"/>
              <w:rPr>
                <w:sz w:val="20"/>
                <w:szCs w:val="20"/>
                <w:color w:val="auto"/>
              </w:rPr>
            </w:pPr>
            <w:r>
              <w:rPr>
                <w:rFonts w:ascii="Arial" w:cs="Arial" w:eastAsia="Arial" w:hAnsi="Arial"/>
                <w:sz w:val="18"/>
                <w:szCs w:val="18"/>
                <w:color w:val="auto"/>
              </w:rPr>
              <w:t>—</w:t>
            </w:r>
          </w:p>
        </w:tc>
        <w:tc>
          <w:tcPr>
            <w:tcW w:w="34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rPr>
              <w:t>$</w:t>
            </w:r>
          </w:p>
        </w:tc>
        <w:tc>
          <w:tcPr>
            <w:tcW w:w="102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1,116,495</w:t>
            </w:r>
          </w:p>
        </w:tc>
        <w:tc>
          <w:tcPr>
            <w:tcW w:w="34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w:t>
            </w:r>
          </w:p>
        </w:tc>
        <w:tc>
          <w:tcPr>
            <w:tcW w:w="98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7,306,410</w:t>
            </w:r>
          </w:p>
        </w:tc>
        <w:tc>
          <w:tcPr>
            <w:tcW w:w="0" w:type="dxa"/>
            <w:vAlign w:val="bottom"/>
          </w:tcPr>
          <w:p>
            <w:pPr>
              <w:spacing w:after="0"/>
              <w:rPr>
                <w:sz w:val="1"/>
                <w:szCs w:val="1"/>
                <w:color w:val="auto"/>
              </w:rPr>
            </w:pPr>
          </w:p>
        </w:tc>
      </w:tr>
      <w:tr>
        <w:trPr>
          <w:trHeight w:val="27"/>
        </w:trPr>
        <w:tc>
          <w:tcPr>
            <w:tcW w:w="37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860" w:type="dxa"/>
            <w:vAlign w:val="bottom"/>
          </w:tcPr>
          <w:p>
            <w:pPr>
              <w:spacing w:after="0"/>
              <w:rPr>
                <w:sz w:val="2"/>
                <w:szCs w:val="2"/>
                <w:color w:val="auto"/>
              </w:rPr>
            </w:pPr>
          </w:p>
        </w:tc>
        <w:tc>
          <w:tcPr>
            <w:tcW w:w="30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780" w:type="dxa"/>
            <w:vAlign w:val="bottom"/>
            <w:shd w:val="clear" w:color="auto" w:fill="CCEEFF"/>
          </w:tcPr>
          <w:p>
            <w:pPr>
              <w:ind w:left="40"/>
              <w:spacing w:after="0"/>
              <w:rPr>
                <w:sz w:val="20"/>
                <w:szCs w:val="20"/>
                <w:color w:val="auto"/>
              </w:rPr>
            </w:pPr>
            <w:r>
              <w:rPr>
                <w:rFonts w:ascii="Arial" w:cs="Arial" w:eastAsia="Arial" w:hAnsi="Arial"/>
                <w:sz w:val="18"/>
                <w:szCs w:val="18"/>
                <w:color w:val="auto"/>
                <w:w w:val="99"/>
              </w:rPr>
              <w:t>Issuance of common shares in connection with</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6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equity incentive plans</w:t>
            </w:r>
          </w:p>
        </w:tc>
        <w:tc>
          <w:tcPr>
            <w:tcW w:w="10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5,120</w:t>
            </w:r>
          </w:p>
        </w:tc>
        <w:tc>
          <w:tcPr>
            <w:tcW w:w="12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11</w:t>
            </w:r>
          </w:p>
        </w:tc>
        <w:tc>
          <w:tcPr>
            <w:tcW w:w="3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30,985</w:t>
            </w:r>
          </w:p>
        </w:tc>
        <w:tc>
          <w:tcPr>
            <w:tcW w:w="22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30,996</w:t>
            </w:r>
          </w:p>
        </w:tc>
        <w:tc>
          <w:tcPr>
            <w:tcW w:w="0" w:type="dxa"/>
            <w:vAlign w:val="bottom"/>
          </w:tcPr>
          <w:p>
            <w:pPr>
              <w:spacing w:after="0"/>
              <w:rPr>
                <w:sz w:val="1"/>
                <w:szCs w:val="1"/>
                <w:color w:val="auto"/>
              </w:rPr>
            </w:pPr>
          </w:p>
        </w:tc>
      </w:tr>
      <w:tr>
        <w:trPr>
          <w:trHeight w:val="229"/>
        </w:trPr>
        <w:tc>
          <w:tcPr>
            <w:tcW w:w="3780" w:type="dxa"/>
            <w:vAlign w:val="bottom"/>
          </w:tcPr>
          <w:p>
            <w:pPr>
              <w:ind w:left="40"/>
              <w:spacing w:after="0"/>
              <w:rPr>
                <w:sz w:val="20"/>
                <w:szCs w:val="20"/>
                <w:color w:val="auto"/>
              </w:rPr>
            </w:pPr>
            <w:r>
              <w:rPr>
                <w:rFonts w:ascii="Arial" w:cs="Arial" w:eastAsia="Arial" w:hAnsi="Arial"/>
                <w:sz w:val="18"/>
                <w:szCs w:val="18"/>
                <w:color w:val="auto"/>
                <w:w w:val="92"/>
              </w:rPr>
              <w:t>Tax withholdings related to net share settlement of</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780" w:type="dxa"/>
            <w:vAlign w:val="bottom"/>
          </w:tcPr>
          <w:p>
            <w:pPr>
              <w:ind w:left="40"/>
              <w:spacing w:after="0"/>
              <w:rPr>
                <w:sz w:val="20"/>
                <w:szCs w:val="20"/>
                <w:color w:val="auto"/>
              </w:rPr>
            </w:pPr>
            <w:r>
              <w:rPr>
                <w:rFonts w:ascii="Arial" w:cs="Arial" w:eastAsia="Arial" w:hAnsi="Arial"/>
                <w:sz w:val="18"/>
                <w:szCs w:val="18"/>
                <w:color w:val="auto"/>
              </w:rPr>
              <w:t>restricted stock units</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860" w:type="dxa"/>
            <w:vAlign w:val="bottom"/>
          </w:tcPr>
          <w:p>
            <w:pPr>
              <w:jc w:val="right"/>
              <w:ind w:right="32"/>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(28,756)</w:t>
            </w:r>
          </w:p>
        </w:tc>
        <w:tc>
          <w:tcPr>
            <w:tcW w:w="220" w:type="dxa"/>
            <w:vAlign w:val="bottom"/>
          </w:tcPr>
          <w:p>
            <w:pPr>
              <w:spacing w:after="0"/>
              <w:rPr>
                <w:sz w:val="20"/>
                <w:szCs w:val="20"/>
                <w:color w:val="auto"/>
              </w:rPr>
            </w:pPr>
          </w:p>
        </w:tc>
        <w:tc>
          <w:tcPr>
            <w:tcW w:w="1260" w:type="dxa"/>
            <w:vAlign w:val="bottom"/>
          </w:tcPr>
          <w:p>
            <w:pPr>
              <w:jc w:val="right"/>
              <w:ind w:right="73"/>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0"/>
                <w:szCs w:val="20"/>
                <w:color w:val="auto"/>
              </w:rPr>
            </w:pPr>
          </w:p>
        </w:tc>
        <w:tc>
          <w:tcPr>
            <w:tcW w:w="102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(28,756)</w:t>
            </w:r>
          </w:p>
        </w:tc>
        <w:tc>
          <w:tcPr>
            <w:tcW w:w="0" w:type="dxa"/>
            <w:vAlign w:val="bottom"/>
          </w:tcPr>
          <w:p>
            <w:pPr>
              <w:spacing w:after="0"/>
              <w:rPr>
                <w:sz w:val="1"/>
                <w:szCs w:val="1"/>
                <w:color w:val="auto"/>
              </w:rPr>
            </w:pPr>
          </w:p>
        </w:tc>
      </w:tr>
      <w:tr>
        <w:trPr>
          <w:trHeight w:val="27"/>
        </w:trPr>
        <w:tc>
          <w:tcPr>
            <w:tcW w:w="37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860" w:type="dxa"/>
            <w:vAlign w:val="bottom"/>
          </w:tcPr>
          <w:p>
            <w:pPr>
              <w:spacing w:after="0"/>
              <w:rPr>
                <w:sz w:val="2"/>
                <w:szCs w:val="2"/>
                <w:color w:val="auto"/>
              </w:rPr>
            </w:pPr>
          </w:p>
        </w:tc>
        <w:tc>
          <w:tcPr>
            <w:tcW w:w="30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Share-based compensation</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59,422</w:t>
            </w: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59,422</w:t>
            </w:r>
          </w:p>
        </w:tc>
        <w:tc>
          <w:tcPr>
            <w:tcW w:w="0" w:type="dxa"/>
            <w:vAlign w:val="bottom"/>
          </w:tcPr>
          <w:p>
            <w:pPr>
              <w:spacing w:after="0"/>
              <w:rPr>
                <w:sz w:val="1"/>
                <w:szCs w:val="1"/>
                <w:color w:val="auto"/>
              </w:rPr>
            </w:pPr>
          </w:p>
        </w:tc>
      </w:tr>
      <w:tr>
        <w:trPr>
          <w:trHeight w:val="243"/>
        </w:trPr>
        <w:tc>
          <w:tcPr>
            <w:tcW w:w="3780" w:type="dxa"/>
            <w:vAlign w:val="bottom"/>
          </w:tcPr>
          <w:p>
            <w:pPr>
              <w:ind w:left="40"/>
              <w:spacing w:after="0"/>
              <w:rPr>
                <w:sz w:val="20"/>
                <w:szCs w:val="20"/>
                <w:color w:val="auto"/>
              </w:rPr>
            </w:pPr>
            <w:r>
              <w:rPr>
                <w:rFonts w:ascii="Arial" w:cs="Arial" w:eastAsia="Arial" w:hAnsi="Arial"/>
                <w:sz w:val="18"/>
                <w:szCs w:val="18"/>
                <w:color w:val="auto"/>
              </w:rPr>
              <w:t>Repurchase of common stock</w:t>
            </w:r>
          </w:p>
        </w:tc>
        <w:tc>
          <w:tcPr>
            <w:tcW w:w="1040" w:type="dxa"/>
            <w:vAlign w:val="bottom"/>
          </w:tcPr>
          <w:p>
            <w:pPr>
              <w:jc w:val="right"/>
              <w:spacing w:after="0"/>
              <w:rPr>
                <w:sz w:val="20"/>
                <w:szCs w:val="20"/>
                <w:color w:val="auto"/>
              </w:rPr>
            </w:pPr>
            <w:r>
              <w:rPr>
                <w:rFonts w:ascii="Arial" w:cs="Arial" w:eastAsia="Arial" w:hAnsi="Arial"/>
                <w:sz w:val="18"/>
                <w:szCs w:val="18"/>
                <w:color w:val="auto"/>
              </w:rPr>
              <w:t>(2,359)</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w:t>
            </w:r>
          </w:p>
        </w:tc>
        <w:tc>
          <w:tcPr>
            <w:tcW w:w="30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(50,018)</w:t>
            </w:r>
          </w:p>
        </w:tc>
        <w:tc>
          <w:tcPr>
            <w:tcW w:w="220" w:type="dxa"/>
            <w:vAlign w:val="bottom"/>
          </w:tcPr>
          <w:p>
            <w:pPr>
              <w:spacing w:after="0"/>
              <w:rPr>
                <w:sz w:val="21"/>
                <w:szCs w:val="21"/>
                <w:color w:val="auto"/>
              </w:rPr>
            </w:pPr>
          </w:p>
        </w:tc>
        <w:tc>
          <w:tcPr>
            <w:tcW w:w="1260" w:type="dxa"/>
            <w:vAlign w:val="bottom"/>
          </w:tcPr>
          <w:p>
            <w:pPr>
              <w:jc w:val="right"/>
              <w:ind w:right="73"/>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02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(50,023)</w:t>
            </w:r>
          </w:p>
        </w:tc>
        <w:tc>
          <w:tcPr>
            <w:tcW w:w="0" w:type="dxa"/>
            <w:vAlign w:val="bottom"/>
          </w:tcPr>
          <w:p>
            <w:pPr>
              <w:spacing w:after="0"/>
              <w:rPr>
                <w:sz w:val="1"/>
                <w:szCs w:val="1"/>
                <w:color w:val="auto"/>
              </w:rPr>
            </w:pPr>
          </w:p>
        </w:tc>
      </w:tr>
      <w:tr>
        <w:trPr>
          <w:trHeight w:val="27"/>
        </w:trPr>
        <w:tc>
          <w:tcPr>
            <w:tcW w:w="37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860" w:type="dxa"/>
            <w:vAlign w:val="bottom"/>
          </w:tcPr>
          <w:p>
            <w:pPr>
              <w:spacing w:after="0"/>
              <w:rPr>
                <w:sz w:val="2"/>
                <w:szCs w:val="2"/>
                <w:color w:val="auto"/>
              </w:rPr>
            </w:pPr>
          </w:p>
        </w:tc>
        <w:tc>
          <w:tcPr>
            <w:tcW w:w="30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780" w:type="dxa"/>
            <w:vAlign w:val="bottom"/>
            <w:shd w:val="clear" w:color="auto" w:fill="CCEEFF"/>
          </w:tcPr>
          <w:p>
            <w:pPr>
              <w:ind w:left="40"/>
              <w:spacing w:after="0"/>
              <w:rPr>
                <w:sz w:val="20"/>
                <w:szCs w:val="20"/>
                <w:color w:val="auto"/>
              </w:rPr>
            </w:pPr>
            <w:r>
              <w:rPr>
                <w:rFonts w:ascii="Arial" w:cs="Arial" w:eastAsia="Arial" w:hAnsi="Arial"/>
                <w:sz w:val="18"/>
                <w:szCs w:val="18"/>
                <w:color w:val="auto"/>
                <w:w w:val="97"/>
              </w:rPr>
              <w:t>Cash dividends declared and paid (cumulatively</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6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$0.06 per share)</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(39,467)</w:t>
            </w:r>
          </w:p>
        </w:tc>
        <w:tc>
          <w:tcPr>
            <w:tcW w:w="34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(39,467)</w:t>
            </w:r>
          </w:p>
        </w:tc>
        <w:tc>
          <w:tcPr>
            <w:tcW w:w="0" w:type="dxa"/>
            <w:vAlign w:val="bottom"/>
          </w:tcPr>
          <w:p>
            <w:pPr>
              <w:spacing w:after="0"/>
              <w:rPr>
                <w:sz w:val="1"/>
                <w:szCs w:val="1"/>
                <w:color w:val="auto"/>
              </w:rPr>
            </w:pPr>
          </w:p>
        </w:tc>
      </w:tr>
      <w:tr>
        <w:trPr>
          <w:trHeight w:val="243"/>
        </w:trPr>
        <w:tc>
          <w:tcPr>
            <w:tcW w:w="3780" w:type="dxa"/>
            <w:vAlign w:val="bottom"/>
          </w:tcPr>
          <w:p>
            <w:pPr>
              <w:ind w:left="40"/>
              <w:spacing w:after="0"/>
              <w:rPr>
                <w:sz w:val="20"/>
                <w:szCs w:val="20"/>
                <w:color w:val="auto"/>
              </w:rPr>
            </w:pPr>
            <w:r>
              <w:rPr>
                <w:rFonts w:ascii="Arial" w:cs="Arial" w:eastAsia="Arial" w:hAnsi="Arial"/>
                <w:sz w:val="18"/>
                <w:szCs w:val="18"/>
                <w:color w:val="auto"/>
              </w:rPr>
              <w:t>Net loss</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Pr>
          <w:p>
            <w:pPr>
              <w:jc w:val="right"/>
              <w:ind w:right="32"/>
              <w:spacing w:after="0"/>
              <w:rPr>
                <w:sz w:val="20"/>
                <w:szCs w:val="20"/>
                <w:color w:val="auto"/>
              </w:rPr>
            </w:pPr>
            <w:r>
              <w:rPr>
                <w:rFonts w:ascii="Arial" w:cs="Arial" w:eastAsia="Arial" w:hAnsi="Arial"/>
                <w:sz w:val="18"/>
                <w:szCs w:val="18"/>
                <w:color w:val="auto"/>
              </w:rPr>
              <w:t>—</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980" w:type="dxa"/>
            <w:vAlign w:val="bottom"/>
          </w:tcPr>
          <w:p>
            <w:pPr>
              <w:jc w:val="right"/>
              <w:ind w:right="53"/>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260" w:type="dxa"/>
            <w:vAlign w:val="bottom"/>
          </w:tcPr>
          <w:p>
            <w:pPr>
              <w:jc w:val="right"/>
              <w:ind w:right="73"/>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020" w:type="dxa"/>
            <w:vAlign w:val="bottom"/>
          </w:tcPr>
          <w:p>
            <w:pPr>
              <w:jc w:val="right"/>
              <w:ind w:right="10"/>
              <w:spacing w:after="0"/>
              <w:rPr>
                <w:sz w:val="20"/>
                <w:szCs w:val="20"/>
                <w:color w:val="auto"/>
              </w:rPr>
            </w:pPr>
            <w:r>
              <w:rPr>
                <w:rFonts w:ascii="Arial" w:cs="Arial" w:eastAsia="Arial" w:hAnsi="Arial"/>
                <w:sz w:val="18"/>
                <w:szCs w:val="18"/>
                <w:color w:val="auto"/>
              </w:rPr>
              <w:t>(48,450)</w:t>
            </w:r>
          </w:p>
        </w:tc>
        <w:tc>
          <w:tcPr>
            <w:tcW w:w="34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(48,450)</w:t>
            </w:r>
          </w:p>
        </w:tc>
        <w:tc>
          <w:tcPr>
            <w:tcW w:w="0" w:type="dxa"/>
            <w:vAlign w:val="bottom"/>
          </w:tcPr>
          <w:p>
            <w:pPr>
              <w:spacing w:after="0"/>
              <w:rPr>
                <w:sz w:val="1"/>
                <w:szCs w:val="1"/>
                <w:color w:val="auto"/>
              </w:rPr>
            </w:pPr>
          </w:p>
        </w:tc>
      </w:tr>
      <w:tr>
        <w:trPr>
          <w:trHeight w:val="27"/>
        </w:trPr>
        <w:tc>
          <w:tcPr>
            <w:tcW w:w="3780" w:type="dxa"/>
            <w:vAlign w:val="bottom"/>
            <w:tcBorders>
              <w:bottom w:val="single" w:sz="8" w:color="CCEEFF"/>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3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Balance at May 4, 2019</w:t>
            </w:r>
          </w:p>
        </w:tc>
        <w:tc>
          <w:tcPr>
            <w:tcW w:w="10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661,275</w:t>
            </w:r>
          </w:p>
        </w:tc>
        <w:tc>
          <w:tcPr>
            <w:tcW w:w="1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1,323</w:t>
            </w:r>
          </w:p>
        </w:tc>
        <w:tc>
          <w:tcPr>
            <w:tcW w:w="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6,200,231</w:t>
            </w:r>
          </w:p>
        </w:tc>
        <w:tc>
          <w:tcPr>
            <w:tcW w:w="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rPr>
              <w:t>$</w:t>
            </w:r>
          </w:p>
        </w:tc>
        <w:tc>
          <w:tcPr>
            <w:tcW w:w="102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1,028,578</w:t>
            </w:r>
          </w:p>
        </w:tc>
        <w:tc>
          <w:tcPr>
            <w:tcW w:w="34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7,230,132</w:t>
            </w:r>
          </w:p>
        </w:tc>
        <w:tc>
          <w:tcPr>
            <w:tcW w:w="0" w:type="dxa"/>
            <w:vAlign w:val="bottom"/>
          </w:tcPr>
          <w:p>
            <w:pPr>
              <w:spacing w:after="0"/>
              <w:rPr>
                <w:sz w:val="1"/>
                <w:szCs w:val="1"/>
                <w:color w:val="auto"/>
              </w:rPr>
            </w:pPr>
          </w:p>
        </w:tc>
      </w:tr>
      <w:tr>
        <w:trPr>
          <w:trHeight w:val="20"/>
        </w:trPr>
        <w:tc>
          <w:tcPr>
            <w:tcW w:w="378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2800" w:type="dxa"/>
            <w:vAlign w:val="bottom"/>
            <w:tcBorders>
              <w:top w:val="single" w:sz="8" w:color="auto"/>
              <w:bottom w:val="single" w:sz="8" w:color="auto"/>
            </w:tcBorders>
            <w:gridSpan w:val="4"/>
          </w:tcPr>
          <w:p>
            <w:pPr>
              <w:spacing w:after="0" w:line="20" w:lineRule="exact"/>
              <w:rPr>
                <w:sz w:val="1"/>
                <w:szCs w:val="1"/>
                <w:color w:val="auto"/>
              </w:rPr>
            </w:pPr>
          </w:p>
        </w:tc>
        <w:tc>
          <w:tcPr>
            <w:tcW w:w="10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528"/>
        </w:trPr>
        <w:tc>
          <w:tcPr>
            <w:tcW w:w="3780" w:type="dxa"/>
            <w:vAlign w:val="bottom"/>
          </w:tcPr>
          <w:p>
            <w:pPr>
              <w:spacing w:after="0"/>
              <w:rPr>
                <w:sz w:val="24"/>
                <w:szCs w:val="24"/>
                <w:color w:val="auto"/>
              </w:rPr>
            </w:pPr>
          </w:p>
        </w:tc>
        <w:tc>
          <w:tcPr>
            <w:tcW w:w="10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86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2800" w:type="dxa"/>
            <w:vAlign w:val="bottom"/>
            <w:tcBorders>
              <w:bottom w:val="single" w:sz="8" w:color="auto"/>
            </w:tcBorders>
            <w:gridSpan w:val="4"/>
          </w:tcPr>
          <w:p>
            <w:pPr>
              <w:jc w:val="right"/>
              <w:ind w:right="136"/>
              <w:spacing w:after="0"/>
              <w:rPr>
                <w:sz w:val="20"/>
                <w:szCs w:val="20"/>
                <w:color w:val="auto"/>
              </w:rPr>
            </w:pPr>
            <w:r>
              <w:rPr>
                <w:rFonts w:ascii="Arial" w:cs="Arial" w:eastAsia="Arial" w:hAnsi="Arial"/>
                <w:sz w:val="14"/>
                <w:szCs w:val="14"/>
                <w:b w:val="1"/>
                <w:bCs w:val="1"/>
                <w:color w:val="auto"/>
                <w:w w:val="98"/>
              </w:rPr>
              <w:t>Three-Month Period Ended May 5, 2018</w:t>
            </w:r>
          </w:p>
        </w:tc>
        <w:tc>
          <w:tcPr>
            <w:tcW w:w="1020" w:type="dxa"/>
            <w:vAlign w:val="bottom"/>
            <w:tcBorders>
              <w:bottom w:val="single" w:sz="8" w:color="auto"/>
            </w:tcBorders>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9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3780" w:type="dxa"/>
            <w:vAlign w:val="bottom"/>
          </w:tcPr>
          <w:p>
            <w:pPr>
              <w:spacing w:after="0"/>
              <w:rPr>
                <w:sz w:val="18"/>
                <w:szCs w:val="18"/>
                <w:color w:val="auto"/>
              </w:rPr>
            </w:pPr>
          </w:p>
        </w:tc>
        <w:tc>
          <w:tcPr>
            <w:tcW w:w="2200" w:type="dxa"/>
            <w:vAlign w:val="bottom"/>
            <w:gridSpan w:val="4"/>
          </w:tcPr>
          <w:p>
            <w:pPr>
              <w:jc w:val="right"/>
              <w:ind w:right="532"/>
              <w:spacing w:after="0"/>
              <w:rPr>
                <w:sz w:val="20"/>
                <w:szCs w:val="20"/>
                <w:color w:val="auto"/>
              </w:rPr>
            </w:pPr>
            <w:r>
              <w:rPr>
                <w:rFonts w:ascii="Arial" w:cs="Arial" w:eastAsia="Arial" w:hAnsi="Arial"/>
                <w:sz w:val="14"/>
                <w:szCs w:val="14"/>
                <w:b w:val="1"/>
                <w:bCs w:val="1"/>
                <w:color w:val="auto"/>
              </w:rPr>
              <w:t>Common Stock</w:t>
            </w:r>
          </w:p>
        </w:tc>
        <w:tc>
          <w:tcPr>
            <w:tcW w:w="3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480" w:type="dxa"/>
            <w:vAlign w:val="bottom"/>
            <w:gridSpan w:val="2"/>
          </w:tcPr>
          <w:p>
            <w:pPr>
              <w:jc w:val="center"/>
              <w:spacing w:after="0"/>
              <w:rPr>
                <w:sz w:val="20"/>
                <w:szCs w:val="20"/>
                <w:color w:val="auto"/>
              </w:rPr>
            </w:pPr>
            <w:r>
              <w:rPr>
                <w:rFonts w:ascii="Arial" w:cs="Arial" w:eastAsia="Arial" w:hAnsi="Arial"/>
                <w:sz w:val="14"/>
                <w:szCs w:val="14"/>
                <w:b w:val="1"/>
                <w:bCs w:val="1"/>
                <w:color w:val="auto"/>
                <w:w w:val="94"/>
              </w:rPr>
              <w:t>Accumulated Other</w:t>
            </w:r>
          </w:p>
        </w:tc>
        <w:tc>
          <w:tcPr>
            <w:tcW w:w="3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54"/>
        </w:trPr>
        <w:tc>
          <w:tcPr>
            <w:tcW w:w="3780" w:type="dxa"/>
            <w:vAlign w:val="bottom"/>
          </w:tcPr>
          <w:p>
            <w:pPr>
              <w:spacing w:after="0"/>
              <w:rPr>
                <w:sz w:val="4"/>
                <w:szCs w:val="4"/>
                <w:color w:val="auto"/>
              </w:rPr>
            </w:pPr>
          </w:p>
        </w:tc>
        <w:tc>
          <w:tcPr>
            <w:tcW w:w="104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180" w:type="dxa"/>
            <w:vAlign w:val="bottom"/>
            <w:tcBorders>
              <w:bottom w:val="single" w:sz="8" w:color="auto"/>
            </w:tcBorders>
          </w:tcPr>
          <w:p>
            <w:pPr>
              <w:spacing w:after="0"/>
              <w:rPr>
                <w:sz w:val="4"/>
                <w:szCs w:val="4"/>
                <w:color w:val="auto"/>
              </w:rPr>
            </w:pPr>
          </w:p>
        </w:tc>
        <w:tc>
          <w:tcPr>
            <w:tcW w:w="860" w:type="dxa"/>
            <w:vAlign w:val="bottom"/>
            <w:tcBorders>
              <w:bottom w:val="single" w:sz="8" w:color="auto"/>
            </w:tcBorders>
          </w:tcPr>
          <w:p>
            <w:pPr>
              <w:spacing w:after="0"/>
              <w:rPr>
                <w:sz w:val="4"/>
                <w:szCs w:val="4"/>
                <w:color w:val="auto"/>
              </w:rPr>
            </w:pPr>
          </w:p>
        </w:tc>
        <w:tc>
          <w:tcPr>
            <w:tcW w:w="1280" w:type="dxa"/>
            <w:vAlign w:val="bottom"/>
            <w:gridSpan w:val="2"/>
            <w:vMerge w:val="restart"/>
          </w:tcPr>
          <w:p>
            <w:pPr>
              <w:jc w:val="center"/>
              <w:spacing w:after="0" w:line="139" w:lineRule="exact"/>
              <w:rPr>
                <w:sz w:val="20"/>
                <w:szCs w:val="20"/>
                <w:color w:val="auto"/>
              </w:rPr>
            </w:pPr>
            <w:r>
              <w:rPr>
                <w:rFonts w:ascii="Arial" w:cs="Arial" w:eastAsia="Arial" w:hAnsi="Arial"/>
                <w:sz w:val="14"/>
                <w:szCs w:val="14"/>
                <w:b w:val="1"/>
                <w:bCs w:val="1"/>
                <w:color w:val="auto"/>
                <w:w w:val="95"/>
              </w:rPr>
              <w:t>Additional Paid-</w:t>
            </w:r>
          </w:p>
        </w:tc>
        <w:tc>
          <w:tcPr>
            <w:tcW w:w="220" w:type="dxa"/>
            <w:vAlign w:val="bottom"/>
          </w:tcPr>
          <w:p>
            <w:pPr>
              <w:spacing w:after="0"/>
              <w:rPr>
                <w:sz w:val="4"/>
                <w:szCs w:val="4"/>
                <w:color w:val="auto"/>
              </w:rPr>
            </w:pPr>
          </w:p>
        </w:tc>
        <w:tc>
          <w:tcPr>
            <w:tcW w:w="1260" w:type="dxa"/>
            <w:vAlign w:val="bottom"/>
            <w:vMerge w:val="restart"/>
          </w:tcPr>
          <w:p>
            <w:pPr>
              <w:jc w:val="center"/>
              <w:ind w:right="113"/>
              <w:spacing w:after="0" w:line="139" w:lineRule="exact"/>
              <w:rPr>
                <w:sz w:val="20"/>
                <w:szCs w:val="20"/>
                <w:color w:val="auto"/>
              </w:rPr>
            </w:pPr>
            <w:r>
              <w:rPr>
                <w:rFonts w:ascii="Arial" w:cs="Arial" w:eastAsia="Arial" w:hAnsi="Arial"/>
                <w:sz w:val="14"/>
                <w:szCs w:val="14"/>
                <w:b w:val="1"/>
                <w:bCs w:val="1"/>
                <w:color w:val="auto"/>
                <w:w w:val="89"/>
              </w:rPr>
              <w:t>Comprehensive</w:t>
            </w:r>
          </w:p>
        </w:tc>
        <w:tc>
          <w:tcPr>
            <w:tcW w:w="340" w:type="dxa"/>
            <w:vAlign w:val="bottom"/>
          </w:tcPr>
          <w:p>
            <w:pPr>
              <w:spacing w:after="0"/>
              <w:rPr>
                <w:sz w:val="4"/>
                <w:szCs w:val="4"/>
                <w:color w:val="auto"/>
              </w:rPr>
            </w:pPr>
          </w:p>
        </w:tc>
        <w:tc>
          <w:tcPr>
            <w:tcW w:w="1020" w:type="dxa"/>
            <w:vAlign w:val="bottom"/>
          </w:tcPr>
          <w:p>
            <w:pPr>
              <w:spacing w:after="0"/>
              <w:rPr>
                <w:sz w:val="4"/>
                <w:szCs w:val="4"/>
                <w:color w:val="auto"/>
              </w:rPr>
            </w:pPr>
          </w:p>
        </w:tc>
        <w:tc>
          <w:tcPr>
            <w:tcW w:w="340" w:type="dxa"/>
            <w:vAlign w:val="bottom"/>
          </w:tcPr>
          <w:p>
            <w:pPr>
              <w:spacing w:after="0"/>
              <w:rPr>
                <w:sz w:val="4"/>
                <w:szCs w:val="4"/>
                <w:color w:val="auto"/>
              </w:rPr>
            </w:pPr>
          </w:p>
        </w:tc>
        <w:tc>
          <w:tcPr>
            <w:tcW w:w="9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65"/>
        </w:trPr>
        <w:tc>
          <w:tcPr>
            <w:tcW w:w="3780" w:type="dxa"/>
            <w:vAlign w:val="bottom"/>
          </w:tcPr>
          <w:p>
            <w:pPr>
              <w:spacing w:after="0"/>
              <w:rPr>
                <w:sz w:val="5"/>
                <w:szCs w:val="5"/>
                <w:color w:val="auto"/>
              </w:rPr>
            </w:pPr>
          </w:p>
        </w:tc>
        <w:tc>
          <w:tcPr>
            <w:tcW w:w="1160" w:type="dxa"/>
            <w:vAlign w:val="bottom"/>
            <w:gridSpan w:val="2"/>
            <w:vMerge w:val="restart"/>
          </w:tcPr>
          <w:p>
            <w:pPr>
              <w:ind w:left="300"/>
              <w:spacing w:after="0"/>
              <w:rPr>
                <w:sz w:val="20"/>
                <w:szCs w:val="20"/>
                <w:color w:val="auto"/>
              </w:rPr>
            </w:pPr>
            <w:r>
              <w:rPr>
                <w:rFonts w:ascii="Arial" w:cs="Arial" w:eastAsia="Arial" w:hAnsi="Arial"/>
                <w:sz w:val="14"/>
                <w:szCs w:val="14"/>
                <w:b w:val="1"/>
                <w:bCs w:val="1"/>
                <w:color w:val="auto"/>
              </w:rPr>
              <w:t>Shares</w:t>
            </w:r>
          </w:p>
        </w:tc>
        <w:tc>
          <w:tcPr>
            <w:tcW w:w="180" w:type="dxa"/>
            <w:vAlign w:val="bottom"/>
          </w:tcPr>
          <w:p>
            <w:pPr>
              <w:spacing w:after="0"/>
              <w:rPr>
                <w:sz w:val="5"/>
                <w:szCs w:val="5"/>
                <w:color w:val="auto"/>
              </w:rPr>
            </w:pPr>
          </w:p>
        </w:tc>
        <w:tc>
          <w:tcPr>
            <w:tcW w:w="860" w:type="dxa"/>
            <w:vAlign w:val="bottom"/>
            <w:vMerge w:val="restart"/>
          </w:tcPr>
          <w:p>
            <w:pPr>
              <w:jc w:val="right"/>
              <w:ind w:right="192"/>
              <w:spacing w:after="0"/>
              <w:rPr>
                <w:sz w:val="20"/>
                <w:szCs w:val="20"/>
                <w:color w:val="auto"/>
              </w:rPr>
            </w:pPr>
            <w:r>
              <w:rPr>
                <w:rFonts w:ascii="Arial" w:cs="Arial" w:eastAsia="Arial" w:hAnsi="Arial"/>
                <w:sz w:val="14"/>
                <w:szCs w:val="14"/>
                <w:b w:val="1"/>
                <w:bCs w:val="1"/>
                <w:color w:val="auto"/>
              </w:rPr>
              <w:t>Amount</w:t>
            </w:r>
          </w:p>
        </w:tc>
        <w:tc>
          <w:tcPr>
            <w:tcW w:w="1280" w:type="dxa"/>
            <w:vAlign w:val="bottom"/>
            <w:gridSpan w:val="2"/>
            <w:vMerge w:val="continue"/>
          </w:tcPr>
          <w:p>
            <w:pPr>
              <w:spacing w:after="0"/>
              <w:rPr>
                <w:sz w:val="5"/>
                <w:szCs w:val="5"/>
                <w:color w:val="auto"/>
              </w:rPr>
            </w:pPr>
          </w:p>
        </w:tc>
        <w:tc>
          <w:tcPr>
            <w:tcW w:w="220" w:type="dxa"/>
            <w:vAlign w:val="bottom"/>
          </w:tcPr>
          <w:p>
            <w:pPr>
              <w:spacing w:after="0"/>
              <w:rPr>
                <w:sz w:val="5"/>
                <w:szCs w:val="5"/>
                <w:color w:val="auto"/>
              </w:rPr>
            </w:pPr>
          </w:p>
        </w:tc>
        <w:tc>
          <w:tcPr>
            <w:tcW w:w="1260" w:type="dxa"/>
            <w:vAlign w:val="bottom"/>
            <w:vMerge w:val="continue"/>
          </w:tcPr>
          <w:p>
            <w:pPr>
              <w:spacing w:after="0"/>
              <w:rPr>
                <w:sz w:val="5"/>
                <w:szCs w:val="5"/>
                <w:color w:val="auto"/>
              </w:rPr>
            </w:pPr>
          </w:p>
        </w:tc>
        <w:tc>
          <w:tcPr>
            <w:tcW w:w="1360" w:type="dxa"/>
            <w:vAlign w:val="bottom"/>
            <w:gridSpan w:val="2"/>
            <w:vMerge w:val="restart"/>
          </w:tcPr>
          <w:p>
            <w:pPr>
              <w:jc w:val="right"/>
              <w:ind w:right="10"/>
              <w:spacing w:after="0"/>
              <w:rPr>
                <w:sz w:val="20"/>
                <w:szCs w:val="20"/>
                <w:color w:val="auto"/>
              </w:rPr>
            </w:pPr>
            <w:r>
              <w:rPr>
                <w:rFonts w:ascii="Arial" w:cs="Arial" w:eastAsia="Arial" w:hAnsi="Arial"/>
                <w:sz w:val="14"/>
                <w:szCs w:val="14"/>
                <w:b w:val="1"/>
                <w:bCs w:val="1"/>
                <w:color w:val="auto"/>
              </w:rPr>
              <w:t>Retained Earnings</w:t>
            </w:r>
          </w:p>
        </w:tc>
        <w:tc>
          <w:tcPr>
            <w:tcW w:w="340" w:type="dxa"/>
            <w:vAlign w:val="bottom"/>
          </w:tcPr>
          <w:p>
            <w:pPr>
              <w:spacing w:after="0"/>
              <w:rPr>
                <w:sz w:val="5"/>
                <w:szCs w:val="5"/>
                <w:color w:val="auto"/>
              </w:rPr>
            </w:pPr>
          </w:p>
        </w:tc>
        <w:tc>
          <w:tcPr>
            <w:tcW w:w="980" w:type="dxa"/>
            <w:vAlign w:val="bottom"/>
            <w:vMerge w:val="restart"/>
          </w:tcPr>
          <w:p>
            <w:pPr>
              <w:jc w:val="right"/>
              <w:ind w:right="39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3780" w:type="dxa"/>
            <w:vAlign w:val="bottom"/>
          </w:tcPr>
          <w:p>
            <w:pPr>
              <w:spacing w:after="0"/>
              <w:rPr>
                <w:sz w:val="16"/>
                <w:szCs w:val="16"/>
                <w:color w:val="auto"/>
              </w:rPr>
            </w:pPr>
          </w:p>
        </w:tc>
        <w:tc>
          <w:tcPr>
            <w:tcW w:w="1160" w:type="dxa"/>
            <w:vAlign w:val="bottom"/>
            <w:gridSpan w:val="2"/>
            <w:vMerge w:val="continue"/>
          </w:tcPr>
          <w:p>
            <w:pPr>
              <w:spacing w:after="0"/>
              <w:rPr>
                <w:sz w:val="16"/>
                <w:szCs w:val="16"/>
                <w:color w:val="auto"/>
              </w:rPr>
            </w:pPr>
          </w:p>
        </w:tc>
        <w:tc>
          <w:tcPr>
            <w:tcW w:w="18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300" w:type="dxa"/>
            <w:vAlign w:val="bottom"/>
          </w:tcPr>
          <w:p>
            <w:pPr>
              <w:spacing w:after="0"/>
              <w:rPr>
                <w:sz w:val="16"/>
                <w:szCs w:val="16"/>
                <w:color w:val="auto"/>
              </w:rPr>
            </w:pPr>
          </w:p>
        </w:tc>
        <w:tc>
          <w:tcPr>
            <w:tcW w:w="980" w:type="dxa"/>
            <w:vAlign w:val="bottom"/>
          </w:tcPr>
          <w:p>
            <w:pPr>
              <w:jc w:val="center"/>
              <w:ind w:right="153"/>
              <w:spacing w:after="0"/>
              <w:rPr>
                <w:sz w:val="20"/>
                <w:szCs w:val="20"/>
                <w:color w:val="auto"/>
              </w:rPr>
            </w:pPr>
            <w:r>
              <w:rPr>
                <w:rFonts w:ascii="Arial" w:cs="Arial" w:eastAsia="Arial" w:hAnsi="Arial"/>
                <w:sz w:val="14"/>
                <w:szCs w:val="14"/>
                <w:b w:val="1"/>
                <w:bCs w:val="1"/>
                <w:color w:val="auto"/>
                <w:w w:val="97"/>
              </w:rPr>
              <w:t>in-Capital</w:t>
            </w:r>
          </w:p>
        </w:tc>
        <w:tc>
          <w:tcPr>
            <w:tcW w:w="220" w:type="dxa"/>
            <w:vAlign w:val="bottom"/>
          </w:tcPr>
          <w:p>
            <w:pPr>
              <w:spacing w:after="0"/>
              <w:rPr>
                <w:sz w:val="16"/>
                <w:szCs w:val="16"/>
                <w:color w:val="auto"/>
              </w:rPr>
            </w:pPr>
          </w:p>
        </w:tc>
        <w:tc>
          <w:tcPr>
            <w:tcW w:w="1260" w:type="dxa"/>
            <w:vAlign w:val="bottom"/>
          </w:tcPr>
          <w:p>
            <w:pPr>
              <w:jc w:val="center"/>
              <w:ind w:right="113"/>
              <w:spacing w:after="0"/>
              <w:rPr>
                <w:sz w:val="20"/>
                <w:szCs w:val="20"/>
                <w:color w:val="auto"/>
              </w:rPr>
            </w:pPr>
            <w:r>
              <w:rPr>
                <w:rFonts w:ascii="Arial" w:cs="Arial" w:eastAsia="Arial" w:hAnsi="Arial"/>
                <w:sz w:val="14"/>
                <w:szCs w:val="14"/>
                <w:b w:val="1"/>
                <w:bCs w:val="1"/>
                <w:color w:val="auto"/>
                <w:w w:val="90"/>
              </w:rPr>
              <w:t>Income (Loss)</w:t>
            </w:r>
          </w:p>
        </w:tc>
        <w:tc>
          <w:tcPr>
            <w:tcW w:w="1360" w:type="dxa"/>
            <w:vAlign w:val="bottom"/>
            <w:gridSpan w:val="2"/>
            <w:vMerge w:val="continue"/>
          </w:tcPr>
          <w:p>
            <w:pPr>
              <w:spacing w:after="0"/>
              <w:rPr>
                <w:sz w:val="16"/>
                <w:szCs w:val="16"/>
                <w:color w:val="auto"/>
              </w:rPr>
            </w:pPr>
          </w:p>
        </w:tc>
        <w:tc>
          <w:tcPr>
            <w:tcW w:w="340" w:type="dxa"/>
            <w:vAlign w:val="bottom"/>
          </w:tcPr>
          <w:p>
            <w:pPr>
              <w:spacing w:after="0"/>
              <w:rPr>
                <w:sz w:val="16"/>
                <w:szCs w:val="16"/>
                <w:color w:val="auto"/>
              </w:rPr>
            </w:pPr>
          </w:p>
        </w:tc>
        <w:tc>
          <w:tcPr>
            <w:tcW w:w="9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43"/>
        </w:trPr>
        <w:tc>
          <w:tcPr>
            <w:tcW w:w="3780" w:type="dxa"/>
            <w:vAlign w:val="bottom"/>
          </w:tcPr>
          <w:p>
            <w:pPr>
              <w:ind w:left="40"/>
              <w:spacing w:after="0"/>
              <w:rPr>
                <w:sz w:val="20"/>
                <w:szCs w:val="20"/>
                <w:color w:val="auto"/>
              </w:rPr>
            </w:pPr>
            <w:r>
              <w:rPr>
                <w:rFonts w:ascii="Arial" w:cs="Arial" w:eastAsia="Arial" w:hAnsi="Arial"/>
                <w:sz w:val="18"/>
                <w:szCs w:val="18"/>
                <w:b w:val="1"/>
                <w:bCs w:val="1"/>
                <w:color w:val="auto"/>
              </w:rPr>
              <w:t>Balance at February 3, 2018</w:t>
            </w:r>
          </w:p>
        </w:tc>
        <w:tc>
          <w:tcPr>
            <w:tcW w:w="10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495,913</w:t>
            </w:r>
          </w:p>
        </w:tc>
        <w:tc>
          <w:tcPr>
            <w:tcW w:w="120" w:type="dxa"/>
            <w:vAlign w:val="bottom"/>
          </w:tcPr>
          <w:p>
            <w:pPr>
              <w:spacing w:after="0"/>
              <w:rPr>
                <w:sz w:val="21"/>
                <w:szCs w:val="21"/>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991</w:t>
            </w:r>
          </w:p>
        </w:tc>
        <w:tc>
          <w:tcPr>
            <w:tcW w:w="3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980" w:type="dxa"/>
            <w:vAlign w:val="bottom"/>
            <w:tcBorders>
              <w:top w:val="single" w:sz="8" w:color="auto"/>
            </w:tcBorders>
          </w:tcPr>
          <w:p>
            <w:pPr>
              <w:jc w:val="right"/>
              <w:ind w:right="53"/>
              <w:spacing w:after="0"/>
              <w:rPr>
                <w:sz w:val="20"/>
                <w:szCs w:val="20"/>
                <w:color w:val="auto"/>
              </w:rPr>
            </w:pPr>
            <w:r>
              <w:rPr>
                <w:rFonts w:ascii="Arial" w:cs="Arial" w:eastAsia="Arial" w:hAnsi="Arial"/>
                <w:sz w:val="18"/>
                <w:szCs w:val="18"/>
                <w:color w:val="auto"/>
              </w:rPr>
              <w:t>2,733,292</w:t>
            </w:r>
          </w:p>
        </w:tc>
        <w:tc>
          <w:tcPr>
            <w:tcW w:w="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(2,322)</w:t>
            </w:r>
          </w:p>
        </w:tc>
        <w:tc>
          <w:tcPr>
            <w:tcW w:w="34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rPr>
              <w:t>$</w:t>
            </w:r>
          </w:p>
        </w:tc>
        <w:tc>
          <w:tcPr>
            <w:tcW w:w="102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1,409,452</w:t>
            </w:r>
          </w:p>
        </w:tc>
        <w:tc>
          <w:tcPr>
            <w:tcW w:w="34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w:t>
            </w:r>
          </w:p>
        </w:tc>
        <w:tc>
          <w:tcPr>
            <w:tcW w:w="98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4,141,413</w:t>
            </w:r>
          </w:p>
        </w:tc>
        <w:tc>
          <w:tcPr>
            <w:tcW w:w="0" w:type="dxa"/>
            <w:vAlign w:val="bottom"/>
          </w:tcPr>
          <w:p>
            <w:pPr>
              <w:spacing w:after="0"/>
              <w:rPr>
                <w:sz w:val="1"/>
                <w:szCs w:val="1"/>
                <w:color w:val="auto"/>
              </w:rPr>
            </w:pPr>
          </w:p>
        </w:tc>
      </w:tr>
      <w:tr>
        <w:trPr>
          <w:trHeight w:val="27"/>
        </w:trPr>
        <w:tc>
          <w:tcPr>
            <w:tcW w:w="3780" w:type="dxa"/>
            <w:vAlign w:val="bottom"/>
          </w:tcPr>
          <w:p>
            <w:pPr>
              <w:spacing w:after="0"/>
              <w:rPr>
                <w:sz w:val="2"/>
                <w:szCs w:val="2"/>
                <w:color w:val="auto"/>
              </w:rPr>
            </w:pPr>
          </w:p>
        </w:tc>
        <w:tc>
          <w:tcPr>
            <w:tcW w:w="1160" w:type="dxa"/>
            <w:vAlign w:val="bottom"/>
            <w:gridSpan w:val="2"/>
          </w:tcPr>
          <w:p>
            <w:pPr>
              <w:spacing w:after="0"/>
              <w:rPr>
                <w:sz w:val="2"/>
                <w:szCs w:val="2"/>
                <w:color w:val="auto"/>
              </w:rPr>
            </w:pPr>
          </w:p>
        </w:tc>
        <w:tc>
          <w:tcPr>
            <w:tcW w:w="180" w:type="dxa"/>
            <w:vAlign w:val="bottom"/>
          </w:tcPr>
          <w:p>
            <w:pPr>
              <w:spacing w:after="0"/>
              <w:rPr>
                <w:sz w:val="2"/>
                <w:szCs w:val="2"/>
                <w:color w:val="auto"/>
              </w:rPr>
            </w:pPr>
          </w:p>
        </w:tc>
        <w:tc>
          <w:tcPr>
            <w:tcW w:w="860" w:type="dxa"/>
            <w:vAlign w:val="bottom"/>
          </w:tcPr>
          <w:p>
            <w:pPr>
              <w:spacing w:after="0"/>
              <w:rPr>
                <w:sz w:val="2"/>
                <w:szCs w:val="2"/>
                <w:color w:val="auto"/>
              </w:rPr>
            </w:pPr>
          </w:p>
        </w:tc>
        <w:tc>
          <w:tcPr>
            <w:tcW w:w="30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w w:val="96"/>
              </w:rPr>
              <w:t>Effect of revenue recognition accounting change</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02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34,171</w:t>
            </w:r>
          </w:p>
        </w:tc>
        <w:tc>
          <w:tcPr>
            <w:tcW w:w="34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34,171</w:t>
            </w:r>
          </w:p>
        </w:tc>
        <w:tc>
          <w:tcPr>
            <w:tcW w:w="0" w:type="dxa"/>
            <w:vAlign w:val="bottom"/>
          </w:tcPr>
          <w:p>
            <w:pPr>
              <w:spacing w:after="0"/>
              <w:rPr>
                <w:sz w:val="1"/>
                <w:szCs w:val="1"/>
                <w:color w:val="auto"/>
              </w:rPr>
            </w:pPr>
          </w:p>
        </w:tc>
      </w:tr>
      <w:tr>
        <w:trPr>
          <w:trHeight w:val="229"/>
        </w:trPr>
        <w:tc>
          <w:tcPr>
            <w:tcW w:w="3780" w:type="dxa"/>
            <w:vAlign w:val="bottom"/>
          </w:tcPr>
          <w:p>
            <w:pPr>
              <w:ind w:left="40"/>
              <w:spacing w:after="0"/>
              <w:rPr>
                <w:sz w:val="20"/>
                <w:szCs w:val="20"/>
                <w:color w:val="auto"/>
              </w:rPr>
            </w:pPr>
            <w:r>
              <w:rPr>
                <w:rFonts w:ascii="Arial" w:cs="Arial" w:eastAsia="Arial" w:hAnsi="Arial"/>
                <w:sz w:val="18"/>
                <w:szCs w:val="18"/>
                <w:color w:val="auto"/>
                <w:w w:val="99"/>
              </w:rPr>
              <w:t>Issuance of common shares in connection with</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780" w:type="dxa"/>
            <w:vAlign w:val="bottom"/>
          </w:tcPr>
          <w:p>
            <w:pPr>
              <w:ind w:left="40"/>
              <w:spacing w:after="0"/>
              <w:rPr>
                <w:sz w:val="20"/>
                <w:szCs w:val="20"/>
                <w:color w:val="auto"/>
              </w:rPr>
            </w:pPr>
            <w:r>
              <w:rPr>
                <w:rFonts w:ascii="Arial" w:cs="Arial" w:eastAsia="Arial" w:hAnsi="Arial"/>
                <w:sz w:val="18"/>
                <w:szCs w:val="18"/>
                <w:color w:val="auto"/>
              </w:rPr>
              <w:t>equity incentive plans</w:t>
            </w:r>
          </w:p>
        </w:tc>
        <w:tc>
          <w:tcPr>
            <w:tcW w:w="1040" w:type="dxa"/>
            <w:vAlign w:val="bottom"/>
          </w:tcPr>
          <w:p>
            <w:pPr>
              <w:jc w:val="right"/>
              <w:ind w:right="33"/>
              <w:spacing w:after="0"/>
              <w:rPr>
                <w:sz w:val="20"/>
                <w:szCs w:val="20"/>
                <w:color w:val="auto"/>
              </w:rPr>
            </w:pPr>
            <w:r>
              <w:rPr>
                <w:rFonts w:ascii="Arial" w:cs="Arial" w:eastAsia="Arial" w:hAnsi="Arial"/>
                <w:sz w:val="18"/>
                <w:szCs w:val="18"/>
                <w:color w:val="auto"/>
              </w:rPr>
              <w:t>3,837</w:t>
            </w: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860" w:type="dxa"/>
            <w:vAlign w:val="bottom"/>
          </w:tcPr>
          <w:p>
            <w:pPr>
              <w:jc w:val="right"/>
              <w:ind w:right="32"/>
              <w:spacing w:after="0"/>
              <w:rPr>
                <w:sz w:val="20"/>
                <w:szCs w:val="20"/>
                <w:color w:val="auto"/>
              </w:rPr>
            </w:pPr>
            <w:r>
              <w:rPr>
                <w:rFonts w:ascii="Arial" w:cs="Arial" w:eastAsia="Arial" w:hAnsi="Arial"/>
                <w:sz w:val="18"/>
                <w:szCs w:val="18"/>
                <w:color w:val="auto"/>
              </w:rPr>
              <w:t>9</w:t>
            </w:r>
          </w:p>
        </w:tc>
        <w:tc>
          <w:tcPr>
            <w:tcW w:w="300" w:type="dxa"/>
            <w:vAlign w:val="bottom"/>
          </w:tcPr>
          <w:p>
            <w:pPr>
              <w:spacing w:after="0"/>
              <w:rPr>
                <w:sz w:val="20"/>
                <w:szCs w:val="20"/>
                <w:color w:val="auto"/>
              </w:rPr>
            </w:pPr>
          </w:p>
        </w:tc>
        <w:tc>
          <w:tcPr>
            <w:tcW w:w="980" w:type="dxa"/>
            <w:vAlign w:val="bottom"/>
          </w:tcPr>
          <w:p>
            <w:pPr>
              <w:jc w:val="right"/>
              <w:ind w:right="53"/>
              <w:spacing w:after="0"/>
              <w:rPr>
                <w:sz w:val="20"/>
                <w:szCs w:val="20"/>
                <w:color w:val="auto"/>
              </w:rPr>
            </w:pPr>
            <w:r>
              <w:rPr>
                <w:rFonts w:ascii="Arial" w:cs="Arial" w:eastAsia="Arial" w:hAnsi="Arial"/>
                <w:sz w:val="18"/>
                <w:szCs w:val="18"/>
                <w:color w:val="auto"/>
              </w:rPr>
              <w:t>11,045</w:t>
            </w:r>
          </w:p>
        </w:tc>
        <w:tc>
          <w:tcPr>
            <w:tcW w:w="220" w:type="dxa"/>
            <w:vAlign w:val="bottom"/>
          </w:tcPr>
          <w:p>
            <w:pPr>
              <w:spacing w:after="0"/>
              <w:rPr>
                <w:sz w:val="20"/>
                <w:szCs w:val="20"/>
                <w:color w:val="auto"/>
              </w:rPr>
            </w:pPr>
          </w:p>
        </w:tc>
        <w:tc>
          <w:tcPr>
            <w:tcW w:w="1260" w:type="dxa"/>
            <w:vAlign w:val="bottom"/>
          </w:tcPr>
          <w:p>
            <w:pPr>
              <w:jc w:val="right"/>
              <w:ind w:right="73"/>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0"/>
                <w:szCs w:val="20"/>
                <w:color w:val="auto"/>
              </w:rPr>
            </w:pPr>
          </w:p>
        </w:tc>
        <w:tc>
          <w:tcPr>
            <w:tcW w:w="102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0"/>
                <w:szCs w:val="20"/>
                <w:color w:val="auto"/>
              </w:rPr>
            </w:pP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11,054</w:t>
            </w:r>
          </w:p>
        </w:tc>
        <w:tc>
          <w:tcPr>
            <w:tcW w:w="0" w:type="dxa"/>
            <w:vAlign w:val="bottom"/>
          </w:tcPr>
          <w:p>
            <w:pPr>
              <w:spacing w:after="0"/>
              <w:rPr>
                <w:sz w:val="1"/>
                <w:szCs w:val="1"/>
                <w:color w:val="auto"/>
              </w:rPr>
            </w:pPr>
          </w:p>
        </w:tc>
      </w:tr>
      <w:tr>
        <w:trPr>
          <w:trHeight w:val="27"/>
        </w:trPr>
        <w:tc>
          <w:tcPr>
            <w:tcW w:w="37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860" w:type="dxa"/>
            <w:vAlign w:val="bottom"/>
          </w:tcPr>
          <w:p>
            <w:pPr>
              <w:spacing w:after="0"/>
              <w:rPr>
                <w:sz w:val="2"/>
                <w:szCs w:val="2"/>
                <w:color w:val="auto"/>
              </w:rPr>
            </w:pPr>
          </w:p>
        </w:tc>
        <w:tc>
          <w:tcPr>
            <w:tcW w:w="30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780" w:type="dxa"/>
            <w:vAlign w:val="bottom"/>
            <w:shd w:val="clear" w:color="auto" w:fill="CCEEFF"/>
          </w:tcPr>
          <w:p>
            <w:pPr>
              <w:ind w:left="40"/>
              <w:spacing w:after="0"/>
              <w:rPr>
                <w:sz w:val="20"/>
                <w:szCs w:val="20"/>
                <w:color w:val="auto"/>
              </w:rPr>
            </w:pPr>
            <w:r>
              <w:rPr>
                <w:rFonts w:ascii="Arial" w:cs="Arial" w:eastAsia="Arial" w:hAnsi="Arial"/>
                <w:sz w:val="18"/>
                <w:szCs w:val="18"/>
                <w:color w:val="auto"/>
                <w:w w:val="92"/>
              </w:rPr>
              <w:t>Tax withholdings related to net share settlement of</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6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restricted stock units</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(23,892)</w:t>
            </w:r>
          </w:p>
        </w:tc>
        <w:tc>
          <w:tcPr>
            <w:tcW w:w="22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(23,892)</w:t>
            </w:r>
          </w:p>
        </w:tc>
        <w:tc>
          <w:tcPr>
            <w:tcW w:w="0" w:type="dxa"/>
            <w:vAlign w:val="bottom"/>
          </w:tcPr>
          <w:p>
            <w:pPr>
              <w:spacing w:after="0"/>
              <w:rPr>
                <w:sz w:val="1"/>
                <w:szCs w:val="1"/>
                <w:color w:val="auto"/>
              </w:rPr>
            </w:pPr>
          </w:p>
        </w:tc>
      </w:tr>
      <w:tr>
        <w:trPr>
          <w:trHeight w:val="243"/>
        </w:trPr>
        <w:tc>
          <w:tcPr>
            <w:tcW w:w="3780" w:type="dxa"/>
            <w:vAlign w:val="bottom"/>
          </w:tcPr>
          <w:p>
            <w:pPr>
              <w:ind w:left="40"/>
              <w:spacing w:after="0"/>
              <w:rPr>
                <w:sz w:val="20"/>
                <w:szCs w:val="20"/>
                <w:color w:val="auto"/>
              </w:rPr>
            </w:pPr>
            <w:r>
              <w:rPr>
                <w:rFonts w:ascii="Arial" w:cs="Arial" w:eastAsia="Arial" w:hAnsi="Arial"/>
                <w:sz w:val="18"/>
                <w:szCs w:val="18"/>
                <w:color w:val="auto"/>
              </w:rPr>
              <w:t>Share-based compensation</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860" w:type="dxa"/>
            <w:vAlign w:val="bottom"/>
          </w:tcPr>
          <w:p>
            <w:pPr>
              <w:jc w:val="right"/>
              <w:ind w:right="32"/>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980" w:type="dxa"/>
            <w:vAlign w:val="bottom"/>
          </w:tcPr>
          <w:p>
            <w:pPr>
              <w:jc w:val="right"/>
              <w:ind w:right="53"/>
              <w:spacing w:after="0"/>
              <w:rPr>
                <w:sz w:val="20"/>
                <w:szCs w:val="20"/>
                <w:color w:val="auto"/>
              </w:rPr>
            </w:pPr>
            <w:r>
              <w:rPr>
                <w:rFonts w:ascii="Arial" w:cs="Arial" w:eastAsia="Arial" w:hAnsi="Arial"/>
                <w:sz w:val="18"/>
                <w:szCs w:val="18"/>
                <w:color w:val="auto"/>
              </w:rPr>
              <w:t>24,033</w:t>
            </w:r>
          </w:p>
        </w:tc>
        <w:tc>
          <w:tcPr>
            <w:tcW w:w="220" w:type="dxa"/>
            <w:vAlign w:val="bottom"/>
          </w:tcPr>
          <w:p>
            <w:pPr>
              <w:spacing w:after="0"/>
              <w:rPr>
                <w:sz w:val="21"/>
                <w:szCs w:val="21"/>
                <w:color w:val="auto"/>
              </w:rPr>
            </w:pPr>
          </w:p>
        </w:tc>
        <w:tc>
          <w:tcPr>
            <w:tcW w:w="1260" w:type="dxa"/>
            <w:vAlign w:val="bottom"/>
          </w:tcPr>
          <w:p>
            <w:pPr>
              <w:jc w:val="right"/>
              <w:ind w:right="73"/>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020" w:type="dxa"/>
            <w:vAlign w:val="bottom"/>
          </w:tcPr>
          <w:p>
            <w:pPr>
              <w:jc w:val="right"/>
              <w:ind w:right="7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24,033</w:t>
            </w:r>
          </w:p>
        </w:tc>
        <w:tc>
          <w:tcPr>
            <w:tcW w:w="0" w:type="dxa"/>
            <w:vAlign w:val="bottom"/>
          </w:tcPr>
          <w:p>
            <w:pPr>
              <w:spacing w:after="0"/>
              <w:rPr>
                <w:sz w:val="1"/>
                <w:szCs w:val="1"/>
                <w:color w:val="auto"/>
              </w:rPr>
            </w:pPr>
          </w:p>
        </w:tc>
      </w:tr>
      <w:tr>
        <w:trPr>
          <w:trHeight w:val="27"/>
        </w:trPr>
        <w:tc>
          <w:tcPr>
            <w:tcW w:w="37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860" w:type="dxa"/>
            <w:vAlign w:val="bottom"/>
          </w:tcPr>
          <w:p>
            <w:pPr>
              <w:spacing w:after="0"/>
              <w:rPr>
                <w:sz w:val="2"/>
                <w:szCs w:val="2"/>
                <w:color w:val="auto"/>
              </w:rPr>
            </w:pPr>
          </w:p>
        </w:tc>
        <w:tc>
          <w:tcPr>
            <w:tcW w:w="30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780" w:type="dxa"/>
            <w:vAlign w:val="bottom"/>
            <w:shd w:val="clear" w:color="auto" w:fill="CCEEFF"/>
          </w:tcPr>
          <w:p>
            <w:pPr>
              <w:ind w:left="40"/>
              <w:spacing w:after="0"/>
              <w:rPr>
                <w:sz w:val="20"/>
                <w:szCs w:val="20"/>
                <w:color w:val="auto"/>
              </w:rPr>
            </w:pPr>
            <w:r>
              <w:rPr>
                <w:rFonts w:ascii="Arial" w:cs="Arial" w:eastAsia="Arial" w:hAnsi="Arial"/>
                <w:sz w:val="18"/>
                <w:szCs w:val="18"/>
                <w:color w:val="auto"/>
                <w:w w:val="97"/>
              </w:rPr>
              <w:t>Cash dividends declared and paid (cumulatively</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6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$0.06 per share)</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jc w:val="right"/>
              <w:ind w:right="73"/>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0"/>
                <w:szCs w:val="20"/>
                <w:color w:val="auto"/>
              </w:rPr>
            </w:pPr>
          </w:p>
        </w:tc>
        <w:tc>
          <w:tcPr>
            <w:tcW w:w="10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(29,798)</w:t>
            </w:r>
          </w:p>
        </w:tc>
        <w:tc>
          <w:tcPr>
            <w:tcW w:w="34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(29,798)</w:t>
            </w:r>
          </w:p>
        </w:tc>
        <w:tc>
          <w:tcPr>
            <w:tcW w:w="0" w:type="dxa"/>
            <w:vAlign w:val="bottom"/>
          </w:tcPr>
          <w:p>
            <w:pPr>
              <w:spacing w:after="0"/>
              <w:rPr>
                <w:sz w:val="1"/>
                <w:szCs w:val="1"/>
                <w:color w:val="auto"/>
              </w:rPr>
            </w:pPr>
          </w:p>
        </w:tc>
      </w:tr>
      <w:tr>
        <w:trPr>
          <w:trHeight w:val="243"/>
        </w:trPr>
        <w:tc>
          <w:tcPr>
            <w:tcW w:w="3780" w:type="dxa"/>
            <w:vAlign w:val="bottom"/>
          </w:tcPr>
          <w:p>
            <w:pPr>
              <w:ind w:left="40"/>
              <w:spacing w:after="0"/>
              <w:rPr>
                <w:sz w:val="20"/>
                <w:szCs w:val="20"/>
                <w:color w:val="auto"/>
              </w:rPr>
            </w:pPr>
            <w:r>
              <w:rPr>
                <w:rFonts w:ascii="Arial" w:cs="Arial" w:eastAsia="Arial" w:hAnsi="Arial"/>
                <w:sz w:val="18"/>
                <w:szCs w:val="18"/>
                <w:color w:val="auto"/>
              </w:rPr>
              <w:t>Net income</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860" w:type="dxa"/>
            <w:vAlign w:val="bottom"/>
          </w:tcPr>
          <w:p>
            <w:pPr>
              <w:jc w:val="right"/>
              <w:ind w:right="32"/>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980" w:type="dxa"/>
            <w:vAlign w:val="bottom"/>
          </w:tcPr>
          <w:p>
            <w:pPr>
              <w:jc w:val="right"/>
              <w:ind w:right="53"/>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1260" w:type="dxa"/>
            <w:vAlign w:val="bottom"/>
          </w:tcPr>
          <w:p>
            <w:pPr>
              <w:jc w:val="right"/>
              <w:ind w:right="73"/>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020" w:type="dxa"/>
            <w:vAlign w:val="bottom"/>
          </w:tcPr>
          <w:p>
            <w:pPr>
              <w:jc w:val="right"/>
              <w:ind w:right="70"/>
              <w:spacing w:after="0"/>
              <w:rPr>
                <w:sz w:val="20"/>
                <w:szCs w:val="20"/>
                <w:color w:val="auto"/>
              </w:rPr>
            </w:pPr>
            <w:r>
              <w:rPr>
                <w:rFonts w:ascii="Arial" w:cs="Arial" w:eastAsia="Arial" w:hAnsi="Arial"/>
                <w:sz w:val="18"/>
                <w:szCs w:val="18"/>
                <w:color w:val="auto"/>
              </w:rPr>
              <w:t>128,612</w:t>
            </w:r>
          </w:p>
        </w:tc>
        <w:tc>
          <w:tcPr>
            <w:tcW w:w="340" w:type="dxa"/>
            <w:vAlign w:val="bottom"/>
          </w:tcPr>
          <w:p>
            <w:pPr>
              <w:spacing w:after="0"/>
              <w:rPr>
                <w:sz w:val="21"/>
                <w:szCs w:val="21"/>
                <w:color w:val="auto"/>
              </w:rPr>
            </w:pPr>
          </w:p>
        </w:tc>
        <w:tc>
          <w:tcPr>
            <w:tcW w:w="980" w:type="dxa"/>
            <w:vAlign w:val="bottom"/>
          </w:tcPr>
          <w:p>
            <w:pPr>
              <w:jc w:val="right"/>
              <w:ind w:right="12"/>
              <w:spacing w:after="0"/>
              <w:rPr>
                <w:sz w:val="20"/>
                <w:szCs w:val="20"/>
                <w:color w:val="auto"/>
              </w:rPr>
            </w:pPr>
            <w:r>
              <w:rPr>
                <w:rFonts w:ascii="Arial" w:cs="Arial" w:eastAsia="Arial" w:hAnsi="Arial"/>
                <w:sz w:val="18"/>
                <w:szCs w:val="18"/>
                <w:color w:val="auto"/>
              </w:rPr>
              <w:t>128,612</w:t>
            </w:r>
          </w:p>
        </w:tc>
        <w:tc>
          <w:tcPr>
            <w:tcW w:w="0" w:type="dxa"/>
            <w:vAlign w:val="bottom"/>
          </w:tcPr>
          <w:p>
            <w:pPr>
              <w:spacing w:after="0"/>
              <w:rPr>
                <w:sz w:val="1"/>
                <w:szCs w:val="1"/>
                <w:color w:val="auto"/>
              </w:rPr>
            </w:pPr>
          </w:p>
        </w:tc>
      </w:tr>
      <w:tr>
        <w:trPr>
          <w:trHeight w:val="27"/>
        </w:trPr>
        <w:tc>
          <w:tcPr>
            <w:tcW w:w="3780" w:type="dxa"/>
            <w:vAlign w:val="bottom"/>
          </w:tcPr>
          <w:p>
            <w:pPr>
              <w:spacing w:after="0"/>
              <w:rPr>
                <w:sz w:val="2"/>
                <w:szCs w:val="2"/>
                <w:color w:val="auto"/>
              </w:rPr>
            </w:pPr>
          </w:p>
        </w:tc>
        <w:tc>
          <w:tcPr>
            <w:tcW w:w="1160" w:type="dxa"/>
            <w:vAlign w:val="bottom"/>
            <w:gridSpan w:val="2"/>
          </w:tcPr>
          <w:p>
            <w:pPr>
              <w:spacing w:after="0"/>
              <w:rPr>
                <w:sz w:val="2"/>
                <w:szCs w:val="2"/>
                <w:color w:val="auto"/>
              </w:rPr>
            </w:pPr>
          </w:p>
        </w:tc>
        <w:tc>
          <w:tcPr>
            <w:tcW w:w="180" w:type="dxa"/>
            <w:vAlign w:val="bottom"/>
          </w:tcPr>
          <w:p>
            <w:pPr>
              <w:spacing w:after="0"/>
              <w:rPr>
                <w:sz w:val="2"/>
                <w:szCs w:val="2"/>
                <w:color w:val="auto"/>
              </w:rPr>
            </w:pPr>
          </w:p>
        </w:tc>
        <w:tc>
          <w:tcPr>
            <w:tcW w:w="860" w:type="dxa"/>
            <w:vAlign w:val="bottom"/>
          </w:tcPr>
          <w:p>
            <w:pPr>
              <w:spacing w:after="0"/>
              <w:rPr>
                <w:sz w:val="2"/>
                <w:szCs w:val="2"/>
                <w:color w:val="auto"/>
              </w:rPr>
            </w:pPr>
          </w:p>
        </w:tc>
        <w:tc>
          <w:tcPr>
            <w:tcW w:w="300" w:type="dxa"/>
            <w:vAlign w:val="bottom"/>
          </w:tcPr>
          <w:p>
            <w:pPr>
              <w:spacing w:after="0"/>
              <w:rPr>
                <w:sz w:val="2"/>
                <w:szCs w:val="2"/>
                <w:color w:val="auto"/>
              </w:rPr>
            </w:pPr>
          </w:p>
        </w:tc>
        <w:tc>
          <w:tcPr>
            <w:tcW w:w="9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34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7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comprehensive loss</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8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53"/>
              <w:spacing w:after="0"/>
              <w:rPr>
                <w:sz w:val="20"/>
                <w:szCs w:val="20"/>
                <w:color w:val="auto"/>
              </w:rPr>
            </w:pPr>
            <w:r>
              <w:rPr>
                <w:rFonts w:ascii="Arial" w:cs="Arial" w:eastAsia="Arial" w:hAnsi="Arial"/>
                <w:sz w:val="18"/>
                <w:szCs w:val="18"/>
                <w:color w:val="auto"/>
              </w:rPr>
              <w:t>—</w:t>
            </w:r>
          </w:p>
        </w:tc>
        <w:tc>
          <w:tcPr>
            <w:tcW w:w="2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(82)</w:t>
            </w:r>
          </w:p>
        </w:tc>
        <w:tc>
          <w:tcPr>
            <w:tcW w:w="340" w:type="dxa"/>
            <w:vAlign w:val="bottom"/>
            <w:tcBorders>
              <w:bottom w:val="single" w:sz="8" w:color="CCEEFF"/>
            </w:tcBorders>
            <w:shd w:val="clear" w:color="auto" w:fill="CCEEFF"/>
          </w:tcPr>
          <w:p>
            <w:pPr>
              <w:spacing w:after="0"/>
              <w:rPr>
                <w:sz w:val="23"/>
                <w:szCs w:val="23"/>
                <w:color w:val="auto"/>
              </w:rPr>
            </w:pPr>
          </w:p>
        </w:tc>
        <w:tc>
          <w:tcPr>
            <w:tcW w:w="102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(82)</w:t>
            </w:r>
          </w:p>
        </w:tc>
        <w:tc>
          <w:tcPr>
            <w:tcW w:w="0" w:type="dxa"/>
            <w:vAlign w:val="bottom"/>
          </w:tcPr>
          <w:p>
            <w:pPr>
              <w:spacing w:after="0"/>
              <w:rPr>
                <w:sz w:val="1"/>
                <w:szCs w:val="1"/>
                <w:color w:val="auto"/>
              </w:rPr>
            </w:pPr>
          </w:p>
        </w:tc>
      </w:tr>
      <w:tr>
        <w:trPr>
          <w:trHeight w:val="237"/>
        </w:trPr>
        <w:tc>
          <w:tcPr>
            <w:tcW w:w="3780" w:type="dxa"/>
            <w:vAlign w:val="bottom"/>
          </w:tcPr>
          <w:p>
            <w:pPr>
              <w:ind w:left="40"/>
              <w:spacing w:after="0"/>
              <w:rPr>
                <w:sz w:val="20"/>
                <w:szCs w:val="20"/>
                <w:color w:val="auto"/>
              </w:rPr>
            </w:pPr>
            <w:r>
              <w:rPr>
                <w:rFonts w:ascii="Arial" w:cs="Arial" w:eastAsia="Arial" w:hAnsi="Arial"/>
                <w:sz w:val="18"/>
                <w:szCs w:val="18"/>
                <w:b w:val="1"/>
                <w:bCs w:val="1"/>
                <w:color w:val="auto"/>
              </w:rPr>
              <w:t>Balance at May 5, 2018</w:t>
            </w:r>
          </w:p>
        </w:tc>
        <w:tc>
          <w:tcPr>
            <w:tcW w:w="10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499,750</w:t>
            </w:r>
          </w:p>
        </w:tc>
        <w:tc>
          <w:tcPr>
            <w:tcW w:w="120" w:type="dxa"/>
            <w:vAlign w:val="bottom"/>
            <w:tcBorders>
              <w:top w:val="single" w:sz="8" w:color="auto"/>
            </w:tcBorders>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1,000</w:t>
            </w:r>
          </w:p>
        </w:tc>
        <w:tc>
          <w:tcPr>
            <w:tcW w:w="3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980" w:type="dxa"/>
            <w:vAlign w:val="bottom"/>
            <w:tcBorders>
              <w:top w:val="single" w:sz="8" w:color="auto"/>
            </w:tcBorders>
          </w:tcPr>
          <w:p>
            <w:pPr>
              <w:jc w:val="right"/>
              <w:ind w:right="53"/>
              <w:spacing w:after="0"/>
              <w:rPr>
                <w:sz w:val="20"/>
                <w:szCs w:val="20"/>
                <w:color w:val="auto"/>
              </w:rPr>
            </w:pPr>
            <w:r>
              <w:rPr>
                <w:rFonts w:ascii="Arial" w:cs="Arial" w:eastAsia="Arial" w:hAnsi="Arial"/>
                <w:sz w:val="18"/>
                <w:szCs w:val="18"/>
                <w:color w:val="auto"/>
              </w:rPr>
              <w:t>2,744,478</w:t>
            </w:r>
          </w:p>
        </w:tc>
        <w:tc>
          <w:tcPr>
            <w:tcW w:w="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(2,404)</w:t>
            </w:r>
          </w:p>
        </w:tc>
        <w:tc>
          <w:tcPr>
            <w:tcW w:w="34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rPr>
              <w:t>$</w:t>
            </w:r>
          </w:p>
        </w:tc>
        <w:tc>
          <w:tcPr>
            <w:tcW w:w="102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1,542,437</w:t>
            </w:r>
          </w:p>
        </w:tc>
        <w:tc>
          <w:tcPr>
            <w:tcW w:w="34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rPr>
              <w:t>$</w:t>
            </w:r>
          </w:p>
        </w:tc>
        <w:tc>
          <w:tcPr>
            <w:tcW w:w="98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4,285,511</w:t>
            </w:r>
          </w:p>
        </w:tc>
        <w:tc>
          <w:tcPr>
            <w:tcW w:w="0" w:type="dxa"/>
            <w:vAlign w:val="bottom"/>
          </w:tcPr>
          <w:p>
            <w:pPr>
              <w:spacing w:after="0"/>
              <w:rPr>
                <w:sz w:val="1"/>
                <w:szCs w:val="1"/>
                <w:color w:val="auto"/>
              </w:rPr>
            </w:pPr>
          </w:p>
        </w:tc>
      </w:tr>
      <w:tr>
        <w:trPr>
          <w:trHeight w:val="27"/>
        </w:trPr>
        <w:tc>
          <w:tcPr>
            <w:tcW w:w="3780" w:type="dxa"/>
            <w:vAlign w:val="bottom"/>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378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7" w:lineRule="exact"/>
        <w:rPr>
          <w:sz w:val="20"/>
          <w:szCs w:val="20"/>
          <w:color w:val="auto"/>
        </w:rPr>
      </w:pPr>
    </w:p>
    <w:p>
      <w:pPr>
        <w:jc w:val="center"/>
        <w:spacing w:after="0"/>
        <w:rPr>
          <w:sz w:val="20"/>
          <w:szCs w:val="20"/>
          <w:color w:val="auto"/>
        </w:rPr>
      </w:pPr>
      <w:r>
        <w:rPr>
          <w:rFonts w:ascii="Arial" w:cs="Arial" w:eastAsia="Arial" w:hAnsi="Arial"/>
          <w:sz w:val="14"/>
          <w:szCs w:val="14"/>
          <w:color w:val="auto"/>
        </w:rPr>
        <w:t>See accompanying notes to unaudited condensed consolidated financial statements</w:t>
      </w:r>
    </w:p>
    <w:p>
      <w:pPr>
        <w:spacing w:after="0" w:line="2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364" w:right="239" w:bottom="1440" w:gutter="0" w:footer="0" w:header="0"/>
        </w:sectPr>
      </w:pPr>
    </w:p>
    <w:bookmarkStart w:id="6" w:name="page7"/>
    <w:bookmarkEnd w:id="6"/>
    <w:p>
      <w:pPr>
        <w:jc w:val="center"/>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3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4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791"/>
              <w:spacing w:after="0"/>
              <w:rPr>
                <w:sz w:val="20"/>
                <w:szCs w:val="20"/>
                <w:color w:val="auto"/>
              </w:rPr>
            </w:pPr>
            <w:r>
              <w:rPr>
                <w:rFonts w:ascii="Arial" w:cs="Arial" w:eastAsia="Arial" w:hAnsi="Arial"/>
                <w:sz w:val="14"/>
                <w:szCs w:val="14"/>
                <w:b w:val="1"/>
                <w:bCs w:val="1"/>
                <w:color w:val="auto"/>
              </w:rPr>
              <w:t>Three Months Ended</w:t>
            </w:r>
          </w:p>
        </w:tc>
      </w:tr>
      <w:tr>
        <w:trPr>
          <w:trHeight w:val="152"/>
        </w:trPr>
        <w:tc>
          <w:tcPr>
            <w:tcW w:w="83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280" w:type="dxa"/>
            <w:vAlign w:val="bottom"/>
            <w:gridSpan w:val="2"/>
          </w:tcPr>
          <w:p>
            <w:pPr>
              <w:ind w:left="200"/>
              <w:spacing w:after="0" w:line="153" w:lineRule="exact"/>
              <w:rPr>
                <w:sz w:val="20"/>
                <w:szCs w:val="20"/>
                <w:color w:val="auto"/>
              </w:rPr>
            </w:pPr>
            <w:r>
              <w:rPr>
                <w:rFonts w:ascii="Arial" w:cs="Arial" w:eastAsia="Arial" w:hAnsi="Arial"/>
                <w:sz w:val="14"/>
                <w:szCs w:val="14"/>
                <w:b w:val="1"/>
                <w:bCs w:val="1"/>
                <w:color w:val="auto"/>
              </w:rPr>
              <w:t>May 4,</w:t>
            </w:r>
          </w:p>
        </w:tc>
        <w:tc>
          <w:tcPr>
            <w:tcW w:w="320" w:type="dxa"/>
            <w:vAlign w:val="bottom"/>
          </w:tcPr>
          <w:p>
            <w:pPr>
              <w:spacing w:after="0"/>
              <w:rPr>
                <w:sz w:val="13"/>
                <w:szCs w:val="13"/>
                <w:color w:val="auto"/>
              </w:rPr>
            </w:pPr>
          </w:p>
        </w:tc>
        <w:tc>
          <w:tcPr>
            <w:tcW w:w="1160" w:type="dxa"/>
            <w:vAlign w:val="bottom"/>
          </w:tcPr>
          <w:p>
            <w:pPr>
              <w:jc w:val="right"/>
              <w:ind w:right="451"/>
              <w:spacing w:after="0" w:line="153" w:lineRule="exact"/>
              <w:rPr>
                <w:sz w:val="20"/>
                <w:szCs w:val="20"/>
                <w:color w:val="auto"/>
              </w:rPr>
            </w:pPr>
            <w:r>
              <w:rPr>
                <w:rFonts w:ascii="Arial" w:cs="Arial" w:eastAsia="Arial" w:hAnsi="Arial"/>
                <w:sz w:val="14"/>
                <w:szCs w:val="14"/>
                <w:b w:val="1"/>
                <w:bCs w:val="1"/>
                <w:color w:val="auto"/>
              </w:rPr>
              <w:t>May 5,</w:t>
            </w:r>
          </w:p>
        </w:tc>
      </w:tr>
      <w:tr>
        <w:trPr>
          <w:trHeight w:val="192"/>
        </w:trPr>
        <w:tc>
          <w:tcPr>
            <w:tcW w:w="834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2018</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operating activities:</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Net income (loss)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(48,450)</w:t>
            </w:r>
          </w:p>
        </w:tc>
        <w:tc>
          <w:tcPr>
            <w:tcW w:w="10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128,612</w:t>
            </w: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Depreciation and amortization</w:t>
            </w:r>
          </w:p>
        </w:tc>
        <w:tc>
          <w:tcPr>
            <w:tcW w:w="32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44,298</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20,343</w:t>
            </w: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Share-based compensation</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58,598</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23,852</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Amortization of acquired intangible assets</w:t>
            </w:r>
          </w:p>
        </w:tc>
        <w:tc>
          <w:tcPr>
            <w:tcW w:w="32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79,740</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Amortization of deferred debt issuance costs and debt discounts</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1,681</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Other non-cash expense, net</w:t>
            </w:r>
          </w:p>
        </w:tc>
        <w:tc>
          <w:tcPr>
            <w:tcW w:w="32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5,252</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891</w:t>
            </w: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Deferred income taxes</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4,356</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824</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Changes in assets and liabilities:</w:t>
            </w: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Accounts receivable</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22,775</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(47,393)</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Inventories</w:t>
            </w:r>
          </w:p>
        </w:tc>
        <w:tc>
          <w:tcPr>
            <w:tcW w:w="32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15,848</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2,680</w:t>
            </w: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Prepaid expenses and other assets</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8,004</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(14,108)</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Accounts payable</w:t>
            </w:r>
          </w:p>
        </w:tc>
        <w:tc>
          <w:tcPr>
            <w:tcW w:w="3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(1,873)</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14,744</w:t>
            </w: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Accrued liabilities and other non-current liabilities</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(30,929)</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20,439</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Accrued employee compensation</w:t>
            </w:r>
          </w:p>
        </w:tc>
        <w:tc>
          <w:tcPr>
            <w:tcW w:w="32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6,516</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(22,110)</w:t>
            </w:r>
          </w:p>
        </w:tc>
      </w:tr>
      <w:tr>
        <w:trPr>
          <w:trHeight w:val="27"/>
        </w:trPr>
        <w:tc>
          <w:tcPr>
            <w:tcW w:w="834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1460"/>
              <w:spacing w:after="0"/>
              <w:rPr>
                <w:sz w:val="20"/>
                <w:szCs w:val="20"/>
                <w:color w:val="auto"/>
              </w:rPr>
            </w:pPr>
            <w:r>
              <w:rPr>
                <w:rFonts w:ascii="Arial" w:cs="Arial" w:eastAsia="Arial" w:hAnsi="Arial"/>
                <w:sz w:val="18"/>
                <w:szCs w:val="18"/>
                <w:color w:val="auto"/>
              </w:rPr>
              <w:t>Net cash provided by operating activities</w:t>
            </w:r>
          </w:p>
        </w:tc>
        <w:tc>
          <w:tcPr>
            <w:tcW w:w="32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165,816</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128,774</w:t>
            </w:r>
          </w:p>
        </w:tc>
      </w:tr>
      <w:tr>
        <w:trPr>
          <w:trHeight w:val="223"/>
        </w:trPr>
        <w:tc>
          <w:tcPr>
            <w:tcW w:w="8340" w:type="dxa"/>
            <w:vAlign w:val="bottom"/>
          </w:tcPr>
          <w:p>
            <w:pPr>
              <w:ind w:left="40"/>
              <w:spacing w:after="0"/>
              <w:rPr>
                <w:sz w:val="20"/>
                <w:szCs w:val="20"/>
                <w:color w:val="auto"/>
              </w:rPr>
            </w:pPr>
            <w:r>
              <w:rPr>
                <w:rFonts w:ascii="Arial" w:cs="Arial" w:eastAsia="Arial" w:hAnsi="Arial"/>
                <w:sz w:val="18"/>
                <w:szCs w:val="18"/>
                <w:b w:val="1"/>
                <w:bCs w:val="1"/>
                <w:color w:val="auto"/>
              </w:rPr>
              <w:t>Cash flows from investing activities:</w:t>
            </w:r>
          </w:p>
        </w:tc>
        <w:tc>
          <w:tcPr>
            <w:tcW w:w="320" w:type="dxa"/>
            <w:vAlign w:val="bottom"/>
            <w:tcBorders>
              <w:top w:val="single" w:sz="8" w:color="auto"/>
            </w:tcBorders>
          </w:tcPr>
          <w:p>
            <w:pPr>
              <w:spacing w:after="0"/>
              <w:rPr>
                <w:sz w:val="19"/>
                <w:szCs w:val="19"/>
                <w:color w:val="auto"/>
              </w:rPr>
            </w:pPr>
          </w:p>
        </w:tc>
        <w:tc>
          <w:tcPr>
            <w:tcW w:w="11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r>
      <w:tr>
        <w:trPr>
          <w:trHeight w:val="41"/>
        </w:trPr>
        <w:tc>
          <w:tcPr>
            <w:tcW w:w="8340" w:type="dxa"/>
            <w:vAlign w:val="bottom"/>
          </w:tcPr>
          <w:p>
            <w:pPr>
              <w:spacing w:after="0"/>
              <w:rPr>
                <w:sz w:val="3"/>
                <w:szCs w:val="3"/>
                <w:color w:val="auto"/>
              </w:rPr>
            </w:pPr>
          </w:p>
        </w:tc>
        <w:tc>
          <w:tcPr>
            <w:tcW w:w="3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160" w:type="dxa"/>
            <w:vAlign w:val="bottom"/>
          </w:tcPr>
          <w:p>
            <w:pPr>
              <w:spacing w:after="0"/>
              <w:rPr>
                <w:sz w:val="3"/>
                <w:szCs w:val="3"/>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Purchases of available-for-sale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(13,457)</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Sales of available-for-sale securities</w:t>
            </w:r>
          </w:p>
        </w:tc>
        <w:tc>
          <w:tcPr>
            <w:tcW w:w="320" w:type="dxa"/>
            <w:vAlign w:val="bottom"/>
          </w:tcPr>
          <w:p>
            <w:pPr>
              <w:spacing w:after="0"/>
              <w:rPr>
                <w:sz w:val="21"/>
                <w:szCs w:val="21"/>
                <w:color w:val="auto"/>
              </w:rPr>
            </w:pPr>
          </w:p>
        </w:tc>
        <w:tc>
          <w:tcPr>
            <w:tcW w:w="12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70,273</w:t>
            </w: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Maturities of available-for-sale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128,820</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Purchases of time deposits</w:t>
            </w:r>
          </w:p>
        </w:tc>
        <w:tc>
          <w:tcPr>
            <w:tcW w:w="320" w:type="dxa"/>
            <w:vAlign w:val="bottom"/>
          </w:tcPr>
          <w:p>
            <w:pPr>
              <w:spacing w:after="0"/>
              <w:rPr>
                <w:sz w:val="21"/>
                <w:szCs w:val="21"/>
                <w:color w:val="auto"/>
              </w:rPr>
            </w:pPr>
          </w:p>
        </w:tc>
        <w:tc>
          <w:tcPr>
            <w:tcW w:w="12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(25,000)</w:t>
            </w: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Maturities of 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75,000</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Purchases of technology licenses</w:t>
            </w:r>
          </w:p>
        </w:tc>
        <w:tc>
          <w:tcPr>
            <w:tcW w:w="3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(1,484)</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(360)</w:t>
            </w: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Purchases of property and equipment</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(19,183)</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(13,588)</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Other</w:t>
            </w:r>
          </w:p>
        </w:tc>
        <w:tc>
          <w:tcPr>
            <w:tcW w:w="3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(342)</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(4,989)</w:t>
            </w:r>
          </w:p>
        </w:tc>
      </w:tr>
      <w:tr>
        <w:trPr>
          <w:trHeight w:val="27"/>
        </w:trPr>
        <w:tc>
          <w:tcPr>
            <w:tcW w:w="834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1460"/>
              <w:spacing w:after="0"/>
              <w:rPr>
                <w:sz w:val="20"/>
                <w:szCs w:val="20"/>
                <w:color w:val="auto"/>
              </w:rPr>
            </w:pPr>
            <w:r>
              <w:rPr>
                <w:rFonts w:ascii="Arial" w:cs="Arial" w:eastAsia="Arial" w:hAnsi="Arial"/>
                <w:sz w:val="18"/>
                <w:szCs w:val="18"/>
                <w:color w:val="auto"/>
              </w:rPr>
              <w:t>Net cash provided by (used in) investing activities</w:t>
            </w:r>
          </w:p>
        </w:tc>
        <w:tc>
          <w:tcPr>
            <w:tcW w:w="32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(21,009)</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216,699</w:t>
            </w:r>
          </w:p>
        </w:tc>
      </w:tr>
      <w:tr>
        <w:trPr>
          <w:trHeight w:val="223"/>
        </w:trPr>
        <w:tc>
          <w:tcPr>
            <w:tcW w:w="8340" w:type="dxa"/>
            <w:vAlign w:val="bottom"/>
          </w:tcPr>
          <w:p>
            <w:pPr>
              <w:ind w:left="40"/>
              <w:spacing w:after="0"/>
              <w:rPr>
                <w:sz w:val="20"/>
                <w:szCs w:val="20"/>
                <w:color w:val="auto"/>
              </w:rPr>
            </w:pPr>
            <w:r>
              <w:rPr>
                <w:rFonts w:ascii="Arial" w:cs="Arial" w:eastAsia="Arial" w:hAnsi="Arial"/>
                <w:sz w:val="18"/>
                <w:szCs w:val="18"/>
                <w:b w:val="1"/>
                <w:bCs w:val="1"/>
                <w:color w:val="auto"/>
              </w:rPr>
              <w:t>Cash flows from financing activities:</w:t>
            </w:r>
          </w:p>
        </w:tc>
        <w:tc>
          <w:tcPr>
            <w:tcW w:w="320" w:type="dxa"/>
            <w:vAlign w:val="bottom"/>
            <w:tcBorders>
              <w:top w:val="single" w:sz="8" w:color="auto"/>
            </w:tcBorders>
          </w:tcPr>
          <w:p>
            <w:pPr>
              <w:spacing w:after="0"/>
              <w:rPr>
                <w:sz w:val="19"/>
                <w:szCs w:val="19"/>
                <w:color w:val="auto"/>
              </w:rPr>
            </w:pPr>
          </w:p>
        </w:tc>
        <w:tc>
          <w:tcPr>
            <w:tcW w:w="118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r>
      <w:tr>
        <w:trPr>
          <w:trHeight w:val="41"/>
        </w:trPr>
        <w:tc>
          <w:tcPr>
            <w:tcW w:w="8340" w:type="dxa"/>
            <w:vAlign w:val="bottom"/>
          </w:tcPr>
          <w:p>
            <w:pPr>
              <w:spacing w:after="0"/>
              <w:rPr>
                <w:sz w:val="3"/>
                <w:szCs w:val="3"/>
                <w:color w:val="auto"/>
              </w:rPr>
            </w:pPr>
          </w:p>
        </w:tc>
        <w:tc>
          <w:tcPr>
            <w:tcW w:w="3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160" w:type="dxa"/>
            <w:vAlign w:val="bottom"/>
          </w:tcPr>
          <w:p>
            <w:pPr>
              <w:spacing w:after="0"/>
              <w:rPr>
                <w:sz w:val="3"/>
                <w:szCs w:val="3"/>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Repurchases of common stock</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(48,022)</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Proceeds from employee stock plans</w:t>
            </w:r>
          </w:p>
        </w:tc>
        <w:tc>
          <w:tcPr>
            <w:tcW w:w="320" w:type="dxa"/>
            <w:vAlign w:val="bottom"/>
          </w:tcPr>
          <w:p>
            <w:pPr>
              <w:spacing w:after="0"/>
              <w:rPr>
                <w:sz w:val="21"/>
                <w:szCs w:val="21"/>
                <w:color w:val="auto"/>
              </w:rPr>
            </w:pPr>
          </w:p>
        </w:tc>
        <w:tc>
          <w:tcPr>
            <w:tcW w:w="1180" w:type="dxa"/>
            <w:vAlign w:val="bottom"/>
          </w:tcPr>
          <w:p>
            <w:pPr>
              <w:jc w:val="right"/>
              <w:ind w:right="11"/>
              <w:spacing w:after="0"/>
              <w:rPr>
                <w:sz w:val="20"/>
                <w:szCs w:val="20"/>
                <w:color w:val="auto"/>
              </w:rPr>
            </w:pPr>
            <w:r>
              <w:rPr>
                <w:rFonts w:ascii="Arial" w:cs="Arial" w:eastAsia="Arial" w:hAnsi="Arial"/>
                <w:sz w:val="18"/>
                <w:szCs w:val="18"/>
                <w:color w:val="auto"/>
              </w:rPr>
              <w:t>31,084</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11,055</w:t>
            </w: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(28,758)</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(23,893)</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Dividend payments to shareholders</w:t>
            </w:r>
          </w:p>
        </w:tc>
        <w:tc>
          <w:tcPr>
            <w:tcW w:w="3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(39,467)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(29,798)</w:t>
            </w: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Payments on technology license obligations</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(15,268)</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(20,461)</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Principal payments of debt</w:t>
            </w:r>
          </w:p>
        </w:tc>
        <w:tc>
          <w:tcPr>
            <w:tcW w:w="3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(50,000)</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Payment of equity and debt financing costs</w:t>
            </w:r>
          </w:p>
        </w:tc>
        <w:tc>
          <w:tcPr>
            <w:tcW w:w="32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(3,600)</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Other</w:t>
            </w:r>
          </w:p>
        </w:tc>
        <w:tc>
          <w:tcPr>
            <w:tcW w:w="3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(4,893)</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1460"/>
              <w:spacing w:after="0"/>
              <w:rPr>
                <w:sz w:val="20"/>
                <w:szCs w:val="20"/>
                <w:color w:val="auto"/>
              </w:rPr>
            </w:pPr>
            <w:r>
              <w:rPr>
                <w:rFonts w:ascii="Arial" w:cs="Arial" w:eastAsia="Arial" w:hAnsi="Arial"/>
                <w:sz w:val="18"/>
                <w:szCs w:val="18"/>
                <w:color w:val="auto"/>
              </w:rPr>
              <w:t>Net cash used in financing activities</w:t>
            </w:r>
          </w:p>
        </w:tc>
        <w:tc>
          <w:tcPr>
            <w:tcW w:w="32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(155,324)</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(66,697)</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Net increase (decrease) in cash and cash equivalents</w:t>
            </w:r>
          </w:p>
        </w:tc>
        <w:tc>
          <w:tcPr>
            <w:tcW w:w="32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(10,517)</w:t>
            </w:r>
          </w:p>
        </w:tc>
        <w:tc>
          <w:tcPr>
            <w:tcW w:w="10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278,776</w:t>
            </w:r>
          </w:p>
        </w:tc>
      </w:tr>
      <w:tr>
        <w:trPr>
          <w:trHeight w:val="27"/>
        </w:trPr>
        <w:tc>
          <w:tcPr>
            <w:tcW w:w="83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and cash equivalents at beginning of period</w:t>
            </w:r>
          </w:p>
        </w:tc>
        <w:tc>
          <w:tcPr>
            <w:tcW w:w="3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582,410</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888,482</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Cash and cash equivalents at end of period</w:t>
            </w: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571,893</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1,167,258</w:t>
            </w:r>
          </w:p>
        </w:tc>
      </w:tr>
      <w:tr>
        <w:trPr>
          <w:trHeight w:val="27"/>
        </w:trPr>
        <w:tc>
          <w:tcPr>
            <w:tcW w:w="83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ectPr>
          <w:pgSz w:w="11900" w:h="16838" w:orient="portrait"/>
          <w:cols w:equalWidth="0" w:num="1">
            <w:col w:w="11420"/>
          </w:cols>
          <w:pgMar w:left="240" w:top="688" w:right="239" w:bottom="1440" w:gutter="0" w:footer="0" w:header="0"/>
        </w:sectPr>
      </w:pP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6</w:t>
      </w:r>
    </w:p>
    <w:p>
      <w:pPr>
        <w:sectPr>
          <w:pgSz w:w="11900" w:h="16838" w:orient="portrait"/>
          <w:cols w:equalWidth="0" w:num="1">
            <w:col w:w="11420"/>
          </w:cols>
          <w:pgMar w:left="240" w:top="688" w:right="239" w:bottom="1440" w:gutter="0" w:footer="0" w:header="0"/>
          <w:type w:val="continuous"/>
        </w:sectPr>
      </w:pPr>
    </w:p>
    <w:bookmarkStart w:id="7" w:name="page8"/>
    <w:bookmarkEnd w:id="7"/>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Basis of Presentation</w:t>
      </w:r>
    </w:p>
    <w:p>
      <w:pPr>
        <w:spacing w:after="0" w:line="229" w:lineRule="exact"/>
        <w:rPr>
          <w:sz w:val="20"/>
          <w:szCs w:val="20"/>
          <w:color w:val="auto"/>
        </w:rPr>
      </w:pPr>
    </w:p>
    <w:p>
      <w:pPr>
        <w:ind w:right="40" w:firstLine="405"/>
        <w:spacing w:after="0" w:line="269" w:lineRule="auto"/>
        <w:rPr>
          <w:sz w:val="20"/>
          <w:szCs w:val="20"/>
          <w:color w:val="auto"/>
        </w:rPr>
      </w:pPr>
      <w:r>
        <w:rPr>
          <w:rFonts w:ascii="Arial" w:cs="Arial" w:eastAsia="Arial" w:hAnsi="Arial"/>
          <w:sz w:val="17"/>
          <w:szCs w:val="17"/>
          <w:color w:val="auto"/>
        </w:rPr>
        <w:t>The unaudited condensed consolidated financial statements of Marvell Technology Group Ltd., a Bermuda exempted company, and its wholly owned subsidiaries (the “Company”), as of and for the three months ended May 4, 2019,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2019 audited financial statements included in the Company's Annual Report on Form 10-K for the fiscal year ended February 2, 2019.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Certain prior year amounts have been reclassified to conform to current year presentation. These amounts were not material to any of the periods presented. These financial statements should also be read in conjunction with the Company’s critical accounting policies included in the Company’s Annual Report on Form 10-K for the year ended February 2, 2019 and those included in this Form 10-Q below.</w:t>
      </w:r>
    </w:p>
    <w:p>
      <w:pPr>
        <w:spacing w:after="0" w:line="180" w:lineRule="exact"/>
        <w:rPr>
          <w:sz w:val="20"/>
          <w:szCs w:val="20"/>
          <w:color w:val="auto"/>
        </w:rPr>
      </w:pPr>
    </w:p>
    <w:p>
      <w:pPr>
        <w:ind w:right="100" w:firstLine="405"/>
        <w:spacing w:after="0" w:line="264"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2019 had a 52-week year. Fiscal 2020 is a 52-week year.</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2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225" w:lineRule="exact"/>
        <w:rPr>
          <w:sz w:val="20"/>
          <w:szCs w:val="20"/>
          <w:color w:val="auto"/>
        </w:rPr>
      </w:pPr>
    </w:p>
    <w:p>
      <w:pPr>
        <w:ind w:right="20" w:firstLine="405"/>
        <w:spacing w:after="0" w:line="257" w:lineRule="auto"/>
        <w:rPr>
          <w:sz w:val="20"/>
          <w:szCs w:val="20"/>
          <w:color w:val="auto"/>
        </w:rPr>
      </w:pPr>
      <w:r>
        <w:rPr>
          <w:rFonts w:ascii="Arial" w:cs="Arial" w:eastAsia="Arial" w:hAnsi="Arial"/>
          <w:sz w:val="18"/>
          <w:szCs w:val="18"/>
          <w:color w:val="auto"/>
        </w:rPr>
        <w:t>In February 2016, the Financial Accounting Standards Board (“FASB”) issued a new standard on the accounting for leases, which amends the existing guidance to require lessees to recognize assets and liabilities on the balance sheet for the rights and obligation created by long-term leases and to disclose additional quantitative and qualitative information about leasing arrangements. The Company adopted the new lease accounting standard on February 3, 2019, using the modified retrospective approach by applying the new standard to leases existing at the date of initial application and not restating comparative periods. See “Note 3 - Leases” for additional information.</w:t>
      </w:r>
    </w:p>
    <w:p>
      <w:pPr>
        <w:spacing w:after="0" w:line="18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225" w:lineRule="exact"/>
        <w:rPr>
          <w:sz w:val="20"/>
          <w:szCs w:val="20"/>
          <w:color w:val="auto"/>
        </w:rPr>
      </w:pPr>
    </w:p>
    <w:p>
      <w:pPr>
        <w:ind w:right="40" w:firstLine="405"/>
        <w:spacing w:after="0" w:line="255" w:lineRule="auto"/>
        <w:rPr>
          <w:sz w:val="20"/>
          <w:szCs w:val="20"/>
          <w:color w:val="auto"/>
        </w:rPr>
      </w:pPr>
      <w:r>
        <w:rPr>
          <w:rFonts w:ascii="Arial" w:cs="Arial" w:eastAsia="Arial" w:hAnsi="Arial"/>
          <w:sz w:val="18"/>
          <w:szCs w:val="18"/>
          <w:color w:val="auto"/>
        </w:rPr>
        <w:t>In June 2016, the FASB issued a new standard requiring financial assets measured at amortized cost be presented at the net amount expected to be collected, through an allowance for credit losses that is deducted from the amortized cost basis. The standard eliminates the threshold for initial recognition in current GAAP and reflects an entity’s current estimate of all expected credit losses. The measurement of expected credit losses is based on historical experience, current conditions, and reasonable and supportable forecasts that affect the collectability of the financial assets. The standard is effective for the Company beginning in the first quarter of fiscal year 2021. The Company does not expect the adoption of this guidance will have a material effect on its consolidated financial statements.</w:t>
      </w:r>
    </w:p>
    <w:p>
      <w:pPr>
        <w:spacing w:after="0" w:line="193"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In August 2018, the FASB issued an accounting standards update to align the requirements for capitalizing implementation costs incurred in a software hosting arrangement that is a service contract and costs to develop or obtain internal-use software. The guidance is effective for the Company beginning in the first quarter of fiscal year 2021, with early adoption permitted. The Company is evaluating the effect this new guidance will have on its consolidated financial statements.</w:t>
      </w:r>
    </w:p>
    <w:p>
      <w:pPr>
        <w:spacing w:after="0" w:line="187"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In August 2018, the FASB issued an accounting standards update that modifies the disclosure requirements on fair value measurements. The new guidance adds, modifies and removes certain fair value measurement disclosure requirements. The guidance is effective for the company beginning in the first quarter of fiscal year 2021, with early adoption permitted. The Company is evaluating the effect this new guidance will have on its consolidated financial statements.</w:t>
      </w:r>
    </w:p>
    <w:p>
      <w:pPr>
        <w:spacing w:after="0" w:line="200" w:lineRule="exact"/>
        <w:rPr>
          <w:sz w:val="20"/>
          <w:szCs w:val="20"/>
          <w:color w:val="auto"/>
        </w:rPr>
      </w:pPr>
    </w:p>
    <w:p>
      <w:pPr>
        <w:spacing w:after="0" w:line="2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337" w:right="239" w:bottom="1440" w:gutter="0" w:footer="0" w:header="0"/>
        </w:sectPr>
      </w:pPr>
    </w:p>
    <w:bookmarkStart w:id="8" w:name="page9"/>
    <w:bookmarkEnd w:id="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right="20" w:firstLine="405"/>
        <w:spacing w:after="0" w:line="273" w:lineRule="auto"/>
        <w:rPr>
          <w:sz w:val="20"/>
          <w:szCs w:val="20"/>
          <w:color w:val="auto"/>
        </w:rPr>
      </w:pPr>
      <w:r>
        <w:rPr>
          <w:rFonts w:ascii="Arial" w:cs="Arial" w:eastAsia="Arial" w:hAnsi="Arial"/>
          <w:sz w:val="17"/>
          <w:szCs w:val="17"/>
          <w:color w:val="auto"/>
        </w:rPr>
        <w:t>In November 2018, the FASB issued an accounting standards update that clarifies when transactions between participants in a collaborative arrangement are within the scope of the new revenue recognition standard that the Company adopted at the beginning of fiscal 2019. The guidance is effective for the Company beginning in the first quarter of fiscal year 2021, with early adoption permitted. The guidance must be applied retrospectively as of the date of initial application of the revenue recognition standard. In addition, entities may elect to apply the guidance to all collaborative arrangements or only to collaborative arrangements that are not completed as of the date of initial application of the aforementioned revenue recognition standard. The Company is evaluating the effect this new guidance will have on its consolidated financial statements.</w:t>
      </w:r>
    </w:p>
    <w:p>
      <w:pPr>
        <w:spacing w:after="0" w:line="200" w:lineRule="exact"/>
        <w:rPr>
          <w:sz w:val="20"/>
          <w:szCs w:val="20"/>
          <w:color w:val="auto"/>
        </w:rPr>
      </w:pPr>
    </w:p>
    <w:p>
      <w:pPr>
        <w:spacing w:after="0" w:line="29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Leases</w:t>
      </w:r>
    </w:p>
    <w:p>
      <w:pPr>
        <w:spacing w:after="0" w:line="310" w:lineRule="exact"/>
        <w:rPr>
          <w:sz w:val="20"/>
          <w:szCs w:val="20"/>
          <w:color w:val="auto"/>
        </w:rPr>
      </w:pPr>
    </w:p>
    <w:p>
      <w:pPr>
        <w:ind w:right="60" w:firstLine="378"/>
        <w:spacing w:after="0" w:line="272" w:lineRule="auto"/>
        <w:rPr>
          <w:sz w:val="20"/>
          <w:szCs w:val="20"/>
          <w:color w:val="auto"/>
        </w:rPr>
      </w:pPr>
      <w:r>
        <w:rPr>
          <w:rFonts w:ascii="Arial" w:cs="Arial" w:eastAsia="Arial" w:hAnsi="Arial"/>
          <w:sz w:val="17"/>
          <w:szCs w:val="17"/>
          <w:color w:val="auto"/>
        </w:rPr>
        <w:t>Effective February 3, 2019, the Company adopted the new lease accounting standard using the modified retrospective approach. The Company elected the package of practical expedients permitted under the transition guidance within the new standard, which among other things, allows the Company to carry forward the historical lease classification. The Company elected to apply the short-term lease measurement and recognition exemption in which right-of use assets (“ROU”) and lease liabilities are not recognized for short-term leases. Adoption of this standard resulted in the recording of net operating lease ROU assets and corresponding operating lease liabilities of $125 million and $149 million, respectively. The net ROU asset includes the effect of reclassifying a portion of facilities-related restructuring reserves as an offset in accordance with the transition guidance. The standard did not materially affect the condensed consolidated statements of operations and had no impact on cash flows.</w:t>
      </w:r>
    </w:p>
    <w:p>
      <w:pPr>
        <w:spacing w:after="0" w:line="178" w:lineRule="exact"/>
        <w:rPr>
          <w:sz w:val="20"/>
          <w:szCs w:val="20"/>
          <w:color w:val="auto"/>
        </w:rPr>
      </w:pPr>
    </w:p>
    <w:p>
      <w:pPr>
        <w:ind w:right="20" w:firstLine="378"/>
        <w:spacing w:after="0" w:line="255" w:lineRule="auto"/>
        <w:rPr>
          <w:sz w:val="20"/>
          <w:szCs w:val="20"/>
          <w:color w:val="auto"/>
        </w:rPr>
      </w:pPr>
      <w:r>
        <w:rPr>
          <w:rFonts w:ascii="Arial" w:cs="Arial" w:eastAsia="Arial" w:hAnsi="Arial"/>
          <w:sz w:val="18"/>
          <w:szCs w:val="18"/>
          <w:color w:val="auto"/>
        </w:rPr>
        <w:t>The Company determines if an arrangement is a lease at inception. Operating lease ROU assets and liabilities are recognized at commencement date based on the present value of lease payments over the lease term. Operating lease ROU assets also include any initial direct costs and prepayments less lease incentives. Lease terms may include options to extend or terminate the lease when it is reasonably certain that the Company will exercise such options. As the Company's leases generally do not provide an implicit rate, the Company uses its collateralized incremental borrowing rate based on the information available at the lease commencement date, including lease term, in determining the present value of lease payments. Lease expense for these leases is recognized on a straight line basis over the lease term.</w:t>
      </w:r>
    </w:p>
    <w:p>
      <w:pPr>
        <w:spacing w:after="0" w:line="193" w:lineRule="exact"/>
        <w:rPr>
          <w:sz w:val="20"/>
          <w:szCs w:val="20"/>
          <w:color w:val="auto"/>
        </w:rPr>
      </w:pPr>
    </w:p>
    <w:p>
      <w:pPr>
        <w:ind w:right="380" w:firstLine="378"/>
        <w:spacing w:after="0" w:line="277" w:lineRule="auto"/>
        <w:rPr>
          <w:sz w:val="20"/>
          <w:szCs w:val="20"/>
          <w:color w:val="auto"/>
        </w:rPr>
      </w:pPr>
      <w:r>
        <w:rPr>
          <w:rFonts w:ascii="Arial" w:cs="Arial" w:eastAsia="Arial" w:hAnsi="Arial"/>
          <w:sz w:val="18"/>
          <w:szCs w:val="18"/>
          <w:color w:val="auto"/>
        </w:rPr>
        <w:t>The Company's leases include facility leases and data center leases, which are all classified as operating leases. For data center leases, the Company elected the practical expedient to account for the lease and non-lease component as a single lease component.</w:t>
      </w:r>
    </w:p>
    <w:p>
      <w:pPr>
        <w:spacing w:after="0" w:line="170" w:lineRule="exact"/>
        <w:rPr>
          <w:sz w:val="20"/>
          <w:szCs w:val="20"/>
          <w:color w:val="auto"/>
        </w:rPr>
      </w:pPr>
    </w:p>
    <w:p>
      <w:pPr>
        <w:ind w:left="420"/>
        <w:spacing w:after="0"/>
        <w:rPr>
          <w:sz w:val="20"/>
          <w:szCs w:val="20"/>
          <w:color w:val="auto"/>
        </w:rPr>
      </w:pPr>
      <w:r>
        <w:rPr>
          <w:rFonts w:ascii="Arial" w:cs="Arial" w:eastAsia="Arial" w:hAnsi="Arial"/>
          <w:sz w:val="18"/>
          <w:szCs w:val="18"/>
          <w:color w:val="auto"/>
        </w:rPr>
        <w:t>Lease expense and supplemental cash flow information are as follows (in thousands):</w:t>
      </w:r>
    </w:p>
    <w:p>
      <w:pPr>
        <w:spacing w:after="0" w:line="200" w:lineRule="exact"/>
        <w:rPr>
          <w:sz w:val="20"/>
          <w:szCs w:val="20"/>
          <w:color w:val="auto"/>
        </w:rPr>
      </w:pPr>
    </w:p>
    <w:p>
      <w:pPr>
        <w:spacing w:after="0" w:line="24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0" w:type="dxa"/>
            <w:vAlign w:val="bottom"/>
          </w:tcPr>
          <w:p>
            <w:pPr>
              <w:spacing w:after="0"/>
              <w:rPr>
                <w:sz w:val="16"/>
                <w:szCs w:val="16"/>
                <w:color w:val="auto"/>
              </w:rPr>
            </w:pPr>
          </w:p>
        </w:tc>
        <w:tc>
          <w:tcPr>
            <w:tcW w:w="5600" w:type="dxa"/>
            <w:vAlign w:val="bottom"/>
            <w:tcBorders>
              <w:bottom w:val="single" w:sz="8" w:color="CCEEFF"/>
            </w:tcBorders>
          </w:tcPr>
          <w:p>
            <w:pPr>
              <w:spacing w:after="0"/>
              <w:rPr>
                <w:sz w:val="16"/>
                <w:szCs w:val="16"/>
                <w:color w:val="auto"/>
              </w:rPr>
            </w:pPr>
          </w:p>
        </w:tc>
        <w:tc>
          <w:tcPr>
            <w:tcW w:w="2040" w:type="dxa"/>
            <w:vAlign w:val="bottom"/>
            <w:tcBorders>
              <w:bottom w:val="single" w:sz="8" w:color="CCEEFF"/>
            </w:tcBorders>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2600" w:type="dxa"/>
            <w:vAlign w:val="bottom"/>
            <w:tcBorders>
              <w:bottom w:val="single" w:sz="8" w:color="auto"/>
            </w:tcBorders>
            <w:gridSpan w:val="3"/>
          </w:tcPr>
          <w:p>
            <w:pPr>
              <w:jc w:val="right"/>
              <w:ind w:right="68"/>
              <w:spacing w:after="0"/>
              <w:rPr>
                <w:sz w:val="20"/>
                <w:szCs w:val="20"/>
                <w:color w:val="auto"/>
              </w:rPr>
            </w:pPr>
            <w:r>
              <w:rPr>
                <w:rFonts w:ascii="Arial" w:cs="Arial" w:eastAsia="Arial" w:hAnsi="Arial"/>
                <w:sz w:val="14"/>
                <w:szCs w:val="14"/>
                <w:b w:val="1"/>
                <w:bCs w:val="1"/>
                <w:color w:val="auto"/>
              </w:rPr>
              <w:t>Three Months Ended May 4, 2019</w:t>
            </w:r>
          </w:p>
        </w:tc>
        <w:tc>
          <w:tcPr>
            <w:tcW w:w="680" w:type="dxa"/>
            <w:vAlign w:val="bottom"/>
            <w:tcBorders>
              <w:bottom w:val="single" w:sz="8" w:color="auto"/>
            </w:tcBorders>
          </w:tcPr>
          <w:p>
            <w:pPr>
              <w:spacing w:after="0"/>
              <w:rPr>
                <w:sz w:val="16"/>
                <w:szCs w:val="16"/>
                <w:color w:val="auto"/>
              </w:rPr>
            </w:pPr>
          </w:p>
        </w:tc>
        <w:tc>
          <w:tcPr>
            <w:tcW w:w="20" w:type="dxa"/>
            <w:vAlign w:val="bottom"/>
          </w:tcPr>
          <w:p>
            <w:pPr>
              <w:spacing w:after="0"/>
              <w:rPr>
                <w:sz w:val="16"/>
                <w:szCs w:val="16"/>
                <w:color w:val="auto"/>
              </w:rPr>
            </w:pPr>
          </w:p>
        </w:tc>
      </w:tr>
      <w:tr>
        <w:trPr>
          <w:trHeight w:val="250"/>
        </w:trPr>
        <w:tc>
          <w:tcPr>
            <w:tcW w:w="20" w:type="dxa"/>
            <w:vAlign w:val="bottom"/>
          </w:tcPr>
          <w:p>
            <w:pPr>
              <w:spacing w:after="0"/>
              <w:rPr>
                <w:sz w:val="21"/>
                <w:szCs w:val="21"/>
                <w:color w:val="auto"/>
              </w:rPr>
            </w:pPr>
          </w:p>
        </w:tc>
        <w:tc>
          <w:tcPr>
            <w:tcW w:w="56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Operating lease expenses</w:t>
            </w:r>
          </w:p>
        </w:tc>
        <w:tc>
          <w:tcPr>
            <w:tcW w:w="2040" w:type="dxa"/>
            <w:vAlign w:val="bottom"/>
            <w:tcBorders>
              <w:bottom w:val="single" w:sz="8" w:color="CCEEFF"/>
            </w:tcBorders>
            <w:shd w:val="clear" w:color="auto" w:fill="CCEEFF"/>
          </w:tcPr>
          <w:p>
            <w:pPr>
              <w:spacing w:after="0"/>
              <w:rPr>
                <w:sz w:val="21"/>
                <w:szCs w:val="21"/>
                <w:color w:val="auto"/>
              </w:rPr>
            </w:pPr>
          </w:p>
        </w:tc>
        <w:tc>
          <w:tcPr>
            <w:tcW w:w="460" w:type="dxa"/>
            <w:vAlign w:val="bottom"/>
            <w:tcBorders>
              <w:bottom w:val="single" w:sz="8" w:color="CCEEFF"/>
            </w:tcBorders>
            <w:shd w:val="clear" w:color="auto" w:fill="CCEEFF"/>
          </w:tcPr>
          <w:p>
            <w:pPr>
              <w:jc w:val="right"/>
              <w:ind w:right="27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spacing w:after="0"/>
              <w:rPr>
                <w:sz w:val="21"/>
                <w:szCs w:val="21"/>
                <w:color w:val="auto"/>
              </w:rPr>
            </w:pPr>
          </w:p>
        </w:tc>
        <w:tc>
          <w:tcPr>
            <w:tcW w:w="6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10,668</w:t>
            </w:r>
          </w:p>
        </w:tc>
        <w:tc>
          <w:tcPr>
            <w:tcW w:w="20" w:type="dxa"/>
            <w:vAlign w:val="bottom"/>
          </w:tcPr>
          <w:p>
            <w:pPr>
              <w:spacing w:after="0"/>
              <w:rPr>
                <w:sz w:val="21"/>
                <w:szCs w:val="21"/>
                <w:color w:val="auto"/>
              </w:rPr>
            </w:pPr>
          </w:p>
        </w:tc>
      </w:tr>
      <w:tr>
        <w:trPr>
          <w:trHeight w:val="243"/>
        </w:trPr>
        <w:tc>
          <w:tcPr>
            <w:tcW w:w="20" w:type="dxa"/>
            <w:vAlign w:val="bottom"/>
          </w:tcPr>
          <w:p>
            <w:pPr>
              <w:spacing w:after="0"/>
              <w:rPr>
                <w:sz w:val="21"/>
                <w:szCs w:val="21"/>
                <w:color w:val="auto"/>
              </w:rPr>
            </w:pPr>
          </w:p>
        </w:tc>
        <w:tc>
          <w:tcPr>
            <w:tcW w:w="7640" w:type="dxa"/>
            <w:vAlign w:val="bottom"/>
            <w:gridSpan w:val="2"/>
          </w:tcPr>
          <w:p>
            <w:pPr>
              <w:ind w:left="20"/>
              <w:spacing w:after="0"/>
              <w:rPr>
                <w:sz w:val="20"/>
                <w:szCs w:val="20"/>
                <w:color w:val="auto"/>
              </w:rPr>
            </w:pPr>
            <w:r>
              <w:rPr>
                <w:rFonts w:ascii="Arial" w:cs="Arial" w:eastAsia="Arial" w:hAnsi="Arial"/>
                <w:sz w:val="18"/>
                <w:szCs w:val="18"/>
                <w:color w:val="auto"/>
              </w:rPr>
              <w:t>Cash paid for amounts included in the measurement of operating lease liabilities</w:t>
            </w:r>
          </w:p>
        </w:tc>
        <w:tc>
          <w:tcPr>
            <w:tcW w:w="460" w:type="dxa"/>
            <w:vAlign w:val="bottom"/>
          </w:tcPr>
          <w:p>
            <w:pPr>
              <w:jc w:val="right"/>
              <w:ind w:right="270"/>
              <w:spacing w:after="0"/>
              <w:rPr>
                <w:sz w:val="20"/>
                <w:szCs w:val="20"/>
                <w:color w:val="auto"/>
              </w:rPr>
            </w:pPr>
            <w:r>
              <w:rPr>
                <w:rFonts w:ascii="Arial" w:cs="Arial" w:eastAsia="Arial" w:hAnsi="Arial"/>
                <w:sz w:val="18"/>
                <w:szCs w:val="18"/>
                <w:color w:val="auto"/>
                <w:w w:val="79"/>
              </w:rPr>
              <w:t>$</w:t>
            </w:r>
          </w:p>
        </w:tc>
        <w:tc>
          <w:tcPr>
            <w:tcW w:w="10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680" w:type="dxa"/>
            <w:vAlign w:val="bottom"/>
          </w:tcPr>
          <w:p>
            <w:pPr>
              <w:jc w:val="right"/>
              <w:ind w:right="10"/>
              <w:spacing w:after="0"/>
              <w:rPr>
                <w:sz w:val="20"/>
                <w:szCs w:val="20"/>
                <w:color w:val="auto"/>
              </w:rPr>
            </w:pPr>
            <w:r>
              <w:rPr>
                <w:rFonts w:ascii="Arial" w:cs="Arial" w:eastAsia="Arial" w:hAnsi="Arial"/>
                <w:sz w:val="18"/>
                <w:szCs w:val="18"/>
                <w:color w:val="auto"/>
              </w:rPr>
              <w:t>7,244</w:t>
            </w:r>
          </w:p>
        </w:tc>
        <w:tc>
          <w:tcPr>
            <w:tcW w:w="20" w:type="dxa"/>
            <w:vAlign w:val="bottom"/>
          </w:tcPr>
          <w:p>
            <w:pPr>
              <w:spacing w:after="0"/>
              <w:rPr>
                <w:sz w:val="21"/>
                <w:szCs w:val="21"/>
                <w:color w:val="auto"/>
              </w:rPr>
            </w:pPr>
          </w:p>
        </w:tc>
      </w:tr>
      <w:tr>
        <w:trPr>
          <w:trHeight w:val="27"/>
        </w:trPr>
        <w:tc>
          <w:tcPr>
            <w:tcW w:w="20" w:type="dxa"/>
            <w:vAlign w:val="bottom"/>
          </w:tcPr>
          <w:p>
            <w:pPr>
              <w:spacing w:after="0"/>
              <w:rPr>
                <w:sz w:val="2"/>
                <w:szCs w:val="2"/>
                <w:color w:val="auto"/>
              </w:rPr>
            </w:pPr>
          </w:p>
        </w:tc>
        <w:tc>
          <w:tcPr>
            <w:tcW w:w="5600" w:type="dxa"/>
            <w:vAlign w:val="bottom"/>
          </w:tcPr>
          <w:p>
            <w:pPr>
              <w:spacing w:after="0"/>
              <w:rPr>
                <w:sz w:val="2"/>
                <w:szCs w:val="2"/>
                <w:color w:val="auto"/>
              </w:rPr>
            </w:pPr>
          </w:p>
        </w:tc>
        <w:tc>
          <w:tcPr>
            <w:tcW w:w="2040" w:type="dxa"/>
            <w:vAlign w:val="bottom"/>
          </w:tcPr>
          <w:p>
            <w:pPr>
              <w:spacing w:after="0"/>
              <w:rPr>
                <w:sz w:val="2"/>
                <w:szCs w:val="2"/>
                <w:color w:val="auto"/>
              </w:rPr>
            </w:pPr>
          </w:p>
        </w:tc>
        <w:tc>
          <w:tcPr>
            <w:tcW w:w="4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6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r>
      <w:tr>
        <w:trPr>
          <w:trHeight w:val="250"/>
        </w:trPr>
        <w:tc>
          <w:tcPr>
            <w:tcW w:w="20" w:type="dxa"/>
            <w:vAlign w:val="bottom"/>
          </w:tcPr>
          <w:p>
            <w:pPr>
              <w:spacing w:after="0"/>
              <w:rPr>
                <w:sz w:val="21"/>
                <w:szCs w:val="21"/>
                <w:color w:val="auto"/>
              </w:rPr>
            </w:pPr>
          </w:p>
        </w:tc>
        <w:tc>
          <w:tcPr>
            <w:tcW w:w="56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Right-of-use assets obtained in exchange for lease obligation</w:t>
            </w:r>
          </w:p>
        </w:tc>
        <w:tc>
          <w:tcPr>
            <w:tcW w:w="2040" w:type="dxa"/>
            <w:vAlign w:val="bottom"/>
            <w:tcBorders>
              <w:bottom w:val="single" w:sz="8" w:color="CCEEFF"/>
            </w:tcBorders>
            <w:shd w:val="clear" w:color="auto" w:fill="CCEEFF"/>
          </w:tcPr>
          <w:p>
            <w:pPr>
              <w:spacing w:after="0"/>
              <w:rPr>
                <w:sz w:val="21"/>
                <w:szCs w:val="21"/>
                <w:color w:val="auto"/>
              </w:rPr>
            </w:pPr>
          </w:p>
        </w:tc>
        <w:tc>
          <w:tcPr>
            <w:tcW w:w="460" w:type="dxa"/>
            <w:vAlign w:val="bottom"/>
            <w:tcBorders>
              <w:bottom w:val="single" w:sz="8" w:color="CCEEFF"/>
            </w:tcBorders>
            <w:shd w:val="clear" w:color="auto" w:fill="CCEEFF"/>
          </w:tcPr>
          <w:p>
            <w:pPr>
              <w:jc w:val="right"/>
              <w:ind w:right="27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spacing w:after="0"/>
              <w:rPr>
                <w:sz w:val="21"/>
                <w:szCs w:val="21"/>
                <w:color w:val="auto"/>
              </w:rPr>
            </w:pPr>
          </w:p>
        </w:tc>
        <w:tc>
          <w:tcPr>
            <w:tcW w:w="6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1,137</w:t>
            </w:r>
          </w:p>
        </w:tc>
        <w:tc>
          <w:tcPr>
            <w:tcW w:w="20" w:type="dxa"/>
            <w:vAlign w:val="bottom"/>
          </w:tcPr>
          <w:p>
            <w:pPr>
              <w:spacing w:after="0"/>
              <w:rPr>
                <w:sz w:val="21"/>
                <w:szCs w:val="21"/>
                <w:color w:val="auto"/>
              </w:rPr>
            </w:pPr>
          </w:p>
        </w:tc>
      </w:tr>
      <w:tr>
        <w:trPr>
          <w:trHeight w:val="594"/>
        </w:trPr>
        <w:tc>
          <w:tcPr>
            <w:tcW w:w="20" w:type="dxa"/>
            <w:vAlign w:val="bottom"/>
          </w:tcPr>
          <w:p>
            <w:pPr>
              <w:spacing w:after="0"/>
              <w:rPr>
                <w:sz w:val="24"/>
                <w:szCs w:val="24"/>
                <w:color w:val="auto"/>
              </w:rPr>
            </w:pPr>
          </w:p>
        </w:tc>
        <w:tc>
          <w:tcPr>
            <w:tcW w:w="7640" w:type="dxa"/>
            <w:vAlign w:val="bottom"/>
            <w:gridSpan w:val="2"/>
          </w:tcPr>
          <w:p>
            <w:pPr>
              <w:ind w:left="400"/>
              <w:spacing w:after="0"/>
              <w:rPr>
                <w:sz w:val="20"/>
                <w:szCs w:val="20"/>
                <w:color w:val="auto"/>
              </w:rPr>
            </w:pPr>
            <w:r>
              <w:rPr>
                <w:rFonts w:ascii="Arial" w:cs="Arial" w:eastAsia="Arial" w:hAnsi="Arial"/>
                <w:sz w:val="18"/>
                <w:szCs w:val="18"/>
                <w:color w:val="auto"/>
              </w:rPr>
              <w:t>Supplemental balance sheet information related to leases are as follows (in thousands):</w:t>
            </w:r>
          </w:p>
        </w:tc>
        <w:tc>
          <w:tcPr>
            <w:tcW w:w="4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504"/>
        </w:trPr>
        <w:tc>
          <w:tcPr>
            <w:tcW w:w="20" w:type="dxa"/>
            <w:vAlign w:val="bottom"/>
          </w:tcPr>
          <w:p>
            <w:pPr>
              <w:spacing w:after="0"/>
              <w:rPr>
                <w:sz w:val="24"/>
                <w:szCs w:val="24"/>
                <w:color w:val="auto"/>
              </w:rPr>
            </w:pPr>
          </w:p>
        </w:tc>
        <w:tc>
          <w:tcPr>
            <w:tcW w:w="5600" w:type="dxa"/>
            <w:vAlign w:val="bottom"/>
          </w:tcPr>
          <w:p>
            <w:pPr>
              <w:spacing w:after="0"/>
              <w:rPr>
                <w:sz w:val="24"/>
                <w:szCs w:val="24"/>
                <w:color w:val="auto"/>
              </w:rPr>
            </w:pPr>
          </w:p>
        </w:tc>
        <w:tc>
          <w:tcPr>
            <w:tcW w:w="5100" w:type="dxa"/>
            <w:vAlign w:val="bottom"/>
            <w:gridSpan w:val="5"/>
          </w:tcPr>
          <w:p>
            <w:pPr>
              <w:jc w:val="center"/>
              <w:ind w:right="1508"/>
              <w:spacing w:after="0"/>
              <w:rPr>
                <w:sz w:val="20"/>
                <w:szCs w:val="20"/>
                <w:color w:val="auto"/>
              </w:rPr>
            </w:pPr>
            <w:r>
              <w:rPr>
                <w:rFonts w:ascii="Arial" w:cs="Arial" w:eastAsia="Arial" w:hAnsi="Arial"/>
                <w:sz w:val="14"/>
                <w:szCs w:val="14"/>
                <w:b w:val="1"/>
                <w:bCs w:val="1"/>
                <w:color w:val="auto"/>
                <w:w w:val="90"/>
              </w:rPr>
              <w:t>Classification on the Condensed Consolidated Balance</w:t>
            </w: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192"/>
        </w:trPr>
        <w:tc>
          <w:tcPr>
            <w:tcW w:w="20" w:type="dxa"/>
            <w:vAlign w:val="bottom"/>
            <w:tcBorders>
              <w:bottom w:val="single" w:sz="8" w:color="CCEEFF"/>
            </w:tcBorders>
          </w:tcPr>
          <w:p>
            <w:pPr>
              <w:spacing w:after="0"/>
              <w:rPr>
                <w:sz w:val="16"/>
                <w:szCs w:val="16"/>
                <w:color w:val="auto"/>
              </w:rPr>
            </w:pPr>
          </w:p>
        </w:tc>
        <w:tc>
          <w:tcPr>
            <w:tcW w:w="5600" w:type="dxa"/>
            <w:vAlign w:val="bottom"/>
            <w:tcBorders>
              <w:bottom w:val="single" w:sz="8" w:color="CCEEFF"/>
            </w:tcBorders>
          </w:tcPr>
          <w:p>
            <w:pPr>
              <w:spacing w:after="0"/>
              <w:rPr>
                <w:sz w:val="16"/>
                <w:szCs w:val="16"/>
                <w:color w:val="auto"/>
              </w:rPr>
            </w:pPr>
          </w:p>
        </w:tc>
        <w:tc>
          <w:tcPr>
            <w:tcW w:w="2040" w:type="dxa"/>
            <w:vAlign w:val="bottom"/>
            <w:tcBorders>
              <w:bottom w:val="single" w:sz="8" w:color="auto"/>
            </w:tcBorders>
          </w:tcPr>
          <w:p>
            <w:pPr>
              <w:jc w:val="center"/>
              <w:ind w:left="1396"/>
              <w:spacing w:after="0"/>
              <w:rPr>
                <w:sz w:val="20"/>
                <w:szCs w:val="20"/>
                <w:color w:val="auto"/>
              </w:rPr>
            </w:pPr>
            <w:r>
              <w:rPr>
                <w:rFonts w:ascii="Arial" w:cs="Arial" w:eastAsia="Arial" w:hAnsi="Arial"/>
                <w:sz w:val="14"/>
                <w:szCs w:val="14"/>
                <w:b w:val="1"/>
                <w:bCs w:val="1"/>
                <w:color w:val="auto"/>
                <w:w w:val="83"/>
              </w:rPr>
              <w:t>Sheet</w:t>
            </w:r>
          </w:p>
        </w:tc>
        <w:tc>
          <w:tcPr>
            <w:tcW w:w="46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4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May 4, 2019</w:t>
            </w:r>
          </w:p>
        </w:tc>
        <w:tc>
          <w:tcPr>
            <w:tcW w:w="680" w:type="dxa"/>
            <w:vAlign w:val="bottom"/>
            <w:tcBorders>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r>
      <w:tr>
        <w:trPr>
          <w:trHeight w:val="250"/>
        </w:trPr>
        <w:tc>
          <w:tcPr>
            <w:tcW w:w="20" w:type="dxa"/>
            <w:vAlign w:val="bottom"/>
            <w:tcBorders>
              <w:bottom w:val="single" w:sz="8" w:color="CCEEFF"/>
            </w:tcBorders>
            <w:shd w:val="clear" w:color="auto" w:fill="CCEEFF"/>
          </w:tcPr>
          <w:p>
            <w:pPr>
              <w:spacing w:after="0"/>
              <w:rPr>
                <w:sz w:val="21"/>
                <w:szCs w:val="21"/>
                <w:color w:val="auto"/>
              </w:rPr>
            </w:pPr>
          </w:p>
        </w:tc>
        <w:tc>
          <w:tcPr>
            <w:tcW w:w="56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Right-of-use assets</w:t>
            </w:r>
          </w:p>
        </w:tc>
        <w:tc>
          <w:tcPr>
            <w:tcW w:w="20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460" w:type="dxa"/>
            <w:vAlign w:val="bottom"/>
            <w:tcBorders>
              <w:bottom w:val="single" w:sz="8" w:color="CCEEFF"/>
            </w:tcBorders>
            <w:shd w:val="clear" w:color="auto" w:fill="CCEEFF"/>
          </w:tcPr>
          <w:p>
            <w:pPr>
              <w:spacing w:after="0"/>
              <w:rPr>
                <w:sz w:val="21"/>
                <w:szCs w:val="21"/>
                <w:color w:val="auto"/>
              </w:rPr>
            </w:pPr>
          </w:p>
        </w:tc>
        <w:tc>
          <w:tcPr>
            <w:tcW w:w="2600" w:type="dxa"/>
            <w:vAlign w:val="bottom"/>
            <w:tcBorders>
              <w:bottom w:val="single" w:sz="8" w:color="CCEEFF"/>
            </w:tcBorders>
            <w:gridSpan w:val="3"/>
            <w:shd w:val="clear" w:color="auto" w:fill="CCEEFF"/>
          </w:tcPr>
          <w:p>
            <w:pPr>
              <w:jc w:val="right"/>
              <w:ind w:right="1268"/>
              <w:spacing w:after="0"/>
              <w:rPr>
                <w:sz w:val="20"/>
                <w:szCs w:val="20"/>
                <w:color w:val="auto"/>
              </w:rPr>
            </w:pPr>
            <w:r>
              <w:rPr>
                <w:rFonts w:ascii="Arial" w:cs="Arial" w:eastAsia="Arial" w:hAnsi="Arial"/>
                <w:sz w:val="18"/>
                <w:szCs w:val="18"/>
                <w:color w:val="auto"/>
              </w:rPr>
              <w:t>$</w:t>
            </w:r>
          </w:p>
        </w:tc>
        <w:tc>
          <w:tcPr>
            <w:tcW w:w="6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9"/>
              </w:rPr>
              <w:t>118,624</w:t>
            </w:r>
          </w:p>
        </w:tc>
        <w:tc>
          <w:tcPr>
            <w:tcW w:w="20" w:type="dxa"/>
            <w:vAlign w:val="bottom"/>
            <w:tcBorders>
              <w:bottom w:val="single" w:sz="8" w:color="CCEEFF"/>
            </w:tcBorders>
            <w:shd w:val="clear" w:color="auto" w:fill="CCEEFF"/>
          </w:tcPr>
          <w:p>
            <w:pPr>
              <w:spacing w:after="0"/>
              <w:rPr>
                <w:sz w:val="21"/>
                <w:szCs w:val="21"/>
                <w:color w:val="auto"/>
              </w:rPr>
            </w:pPr>
          </w:p>
        </w:tc>
      </w:tr>
      <w:tr>
        <w:trPr>
          <w:trHeight w:val="324"/>
        </w:trPr>
        <w:tc>
          <w:tcPr>
            <w:tcW w:w="20" w:type="dxa"/>
            <w:vAlign w:val="bottom"/>
          </w:tcPr>
          <w:p>
            <w:pPr>
              <w:spacing w:after="0"/>
              <w:rPr>
                <w:sz w:val="24"/>
                <w:szCs w:val="24"/>
                <w:color w:val="auto"/>
              </w:rPr>
            </w:pPr>
          </w:p>
        </w:tc>
        <w:tc>
          <w:tcPr>
            <w:tcW w:w="5600" w:type="dxa"/>
            <w:vAlign w:val="bottom"/>
          </w:tcPr>
          <w:p>
            <w:pPr>
              <w:spacing w:after="0"/>
              <w:rPr>
                <w:sz w:val="24"/>
                <w:szCs w:val="24"/>
                <w:color w:val="auto"/>
              </w:rPr>
            </w:pPr>
          </w:p>
        </w:tc>
        <w:tc>
          <w:tcPr>
            <w:tcW w:w="20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250"/>
        </w:trPr>
        <w:tc>
          <w:tcPr>
            <w:tcW w:w="20" w:type="dxa"/>
            <w:vAlign w:val="bottom"/>
            <w:tcBorders>
              <w:bottom w:val="single" w:sz="8" w:color="CCEEFF"/>
            </w:tcBorders>
            <w:shd w:val="clear" w:color="auto" w:fill="CCEEFF"/>
          </w:tcPr>
          <w:p>
            <w:pPr>
              <w:spacing w:after="0"/>
              <w:rPr>
                <w:sz w:val="21"/>
                <w:szCs w:val="21"/>
                <w:color w:val="auto"/>
              </w:rPr>
            </w:pPr>
          </w:p>
        </w:tc>
        <w:tc>
          <w:tcPr>
            <w:tcW w:w="5600" w:type="dxa"/>
            <w:vAlign w:val="bottom"/>
            <w:tcBorders>
              <w:bottom w:val="single" w:sz="8" w:color="CCEEFF"/>
            </w:tcBorders>
            <w:shd w:val="clear" w:color="auto" w:fill="CCEEFF"/>
          </w:tcPr>
          <w:p>
            <w:pPr>
              <w:ind w:left="160"/>
              <w:spacing w:after="0"/>
              <w:rPr>
                <w:sz w:val="20"/>
                <w:szCs w:val="20"/>
                <w:color w:val="auto"/>
              </w:rPr>
            </w:pPr>
            <w:r>
              <w:rPr>
                <w:rFonts w:ascii="Arial" w:cs="Arial" w:eastAsia="Arial" w:hAnsi="Arial"/>
                <w:sz w:val="18"/>
                <w:szCs w:val="18"/>
                <w:color w:val="auto"/>
              </w:rPr>
              <w:t>Current portion of lease liabilities</w:t>
            </w:r>
          </w:p>
        </w:tc>
        <w:tc>
          <w:tcPr>
            <w:tcW w:w="20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Accrued liabilities</w:t>
            </w:r>
          </w:p>
        </w:tc>
        <w:tc>
          <w:tcPr>
            <w:tcW w:w="46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60" w:type="dxa"/>
            <w:vAlign w:val="bottom"/>
            <w:tcBorders>
              <w:bottom w:val="single" w:sz="8" w:color="CCEEFF"/>
            </w:tcBorders>
            <w:shd w:val="clear" w:color="auto" w:fill="CCEEFF"/>
          </w:tcPr>
          <w:p>
            <w:pPr>
              <w:spacing w:after="0"/>
              <w:rPr>
                <w:sz w:val="21"/>
                <w:szCs w:val="21"/>
                <w:color w:val="auto"/>
              </w:rPr>
            </w:pPr>
          </w:p>
        </w:tc>
        <w:tc>
          <w:tcPr>
            <w:tcW w:w="6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27,959</w:t>
            </w:r>
          </w:p>
        </w:tc>
        <w:tc>
          <w:tcPr>
            <w:tcW w:w="20" w:type="dxa"/>
            <w:vAlign w:val="bottom"/>
            <w:tcBorders>
              <w:bottom w:val="single" w:sz="8" w:color="CCEEFF"/>
            </w:tcBorders>
            <w:shd w:val="clear" w:color="auto" w:fill="CCEEFF"/>
          </w:tcPr>
          <w:p>
            <w:pPr>
              <w:spacing w:after="0"/>
              <w:rPr>
                <w:sz w:val="21"/>
                <w:szCs w:val="21"/>
                <w:color w:val="auto"/>
              </w:rPr>
            </w:pPr>
          </w:p>
        </w:tc>
      </w:tr>
      <w:tr>
        <w:trPr>
          <w:trHeight w:val="243"/>
        </w:trPr>
        <w:tc>
          <w:tcPr>
            <w:tcW w:w="20" w:type="dxa"/>
            <w:vAlign w:val="bottom"/>
          </w:tcPr>
          <w:p>
            <w:pPr>
              <w:spacing w:after="0"/>
              <w:rPr>
                <w:sz w:val="21"/>
                <w:szCs w:val="21"/>
                <w:color w:val="auto"/>
              </w:rPr>
            </w:pPr>
          </w:p>
        </w:tc>
        <w:tc>
          <w:tcPr>
            <w:tcW w:w="5600" w:type="dxa"/>
            <w:vAlign w:val="bottom"/>
          </w:tcPr>
          <w:p>
            <w:pPr>
              <w:ind w:left="160"/>
              <w:spacing w:after="0"/>
              <w:rPr>
                <w:sz w:val="20"/>
                <w:szCs w:val="20"/>
                <w:color w:val="auto"/>
              </w:rPr>
            </w:pPr>
            <w:r>
              <w:rPr>
                <w:rFonts w:ascii="Arial" w:cs="Arial" w:eastAsia="Arial" w:hAnsi="Arial"/>
                <w:sz w:val="18"/>
                <w:szCs w:val="18"/>
                <w:color w:val="auto"/>
              </w:rPr>
              <w:t>Non-current portion of lease liabilities</w:t>
            </w:r>
          </w:p>
        </w:tc>
        <w:tc>
          <w:tcPr>
            <w:tcW w:w="2040" w:type="dxa"/>
            <w:vAlign w:val="bottom"/>
          </w:tcPr>
          <w:p>
            <w:pPr>
              <w:ind w:left="20"/>
              <w:spacing w:after="0"/>
              <w:rPr>
                <w:sz w:val="20"/>
                <w:szCs w:val="20"/>
                <w:color w:val="auto"/>
              </w:rPr>
            </w:pPr>
            <w:r>
              <w:rPr>
                <w:rFonts w:ascii="Arial" w:cs="Arial" w:eastAsia="Arial" w:hAnsi="Arial"/>
                <w:sz w:val="18"/>
                <w:szCs w:val="18"/>
                <w:color w:val="auto"/>
                <w:w w:val="92"/>
              </w:rPr>
              <w:t>Other non-current liabilities</w:t>
            </w:r>
          </w:p>
        </w:tc>
        <w:tc>
          <w:tcPr>
            <w:tcW w:w="46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60" w:type="dxa"/>
            <w:vAlign w:val="bottom"/>
          </w:tcPr>
          <w:p>
            <w:pPr>
              <w:spacing w:after="0"/>
              <w:rPr>
                <w:sz w:val="21"/>
                <w:szCs w:val="21"/>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w w:val="89"/>
              </w:rPr>
              <w:t>118,688</w:t>
            </w:r>
          </w:p>
        </w:tc>
        <w:tc>
          <w:tcPr>
            <w:tcW w:w="20" w:type="dxa"/>
            <w:vAlign w:val="bottom"/>
          </w:tcPr>
          <w:p>
            <w:pPr>
              <w:spacing w:after="0"/>
              <w:rPr>
                <w:sz w:val="21"/>
                <w:szCs w:val="21"/>
                <w:color w:val="auto"/>
              </w:rPr>
            </w:pPr>
          </w:p>
        </w:tc>
      </w:tr>
      <w:tr>
        <w:trPr>
          <w:trHeight w:val="27"/>
        </w:trPr>
        <w:tc>
          <w:tcPr>
            <w:tcW w:w="20" w:type="dxa"/>
            <w:vAlign w:val="bottom"/>
            <w:tcBorders>
              <w:bottom w:val="single" w:sz="8" w:color="CCEEFF"/>
            </w:tcBorders>
          </w:tcPr>
          <w:p>
            <w:pPr>
              <w:spacing w:after="0"/>
              <w:rPr>
                <w:sz w:val="2"/>
                <w:szCs w:val="2"/>
                <w:color w:val="auto"/>
              </w:rPr>
            </w:pPr>
          </w:p>
        </w:tc>
        <w:tc>
          <w:tcPr>
            <w:tcW w:w="5600" w:type="dxa"/>
            <w:vAlign w:val="bottom"/>
            <w:tcBorders>
              <w:bottom w:val="single" w:sz="8" w:color="CCEEFF"/>
            </w:tcBorders>
          </w:tcPr>
          <w:p>
            <w:pPr>
              <w:spacing w:after="0"/>
              <w:rPr>
                <w:sz w:val="2"/>
                <w:szCs w:val="2"/>
                <w:color w:val="auto"/>
              </w:rPr>
            </w:pPr>
          </w:p>
        </w:tc>
        <w:tc>
          <w:tcPr>
            <w:tcW w:w="2040" w:type="dxa"/>
            <w:vAlign w:val="bottom"/>
            <w:tcBorders>
              <w:bottom w:val="single" w:sz="8" w:color="CCEEFF"/>
            </w:tcBorders>
          </w:tcPr>
          <w:p>
            <w:pPr>
              <w:spacing w:after="0"/>
              <w:rPr>
                <w:sz w:val="2"/>
                <w:szCs w:val="2"/>
                <w:color w:val="auto"/>
              </w:rPr>
            </w:pPr>
          </w:p>
        </w:tc>
        <w:tc>
          <w:tcPr>
            <w:tcW w:w="460" w:type="dxa"/>
            <w:vAlign w:val="bottom"/>
            <w:tcBorders>
              <w:bottom w:val="single" w:sz="8" w:color="CCEEFF"/>
            </w:tcBorders>
          </w:tcPr>
          <w:p>
            <w:pPr>
              <w:spacing w:after="0"/>
              <w:rPr>
                <w:sz w:val="2"/>
                <w:szCs w:val="2"/>
                <w:color w:val="auto"/>
              </w:rPr>
            </w:pPr>
          </w:p>
        </w:tc>
        <w:tc>
          <w:tcPr>
            <w:tcW w:w="10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60" w:type="dxa"/>
            <w:vAlign w:val="bottom"/>
            <w:tcBorders>
              <w:bottom w:val="single" w:sz="8" w:color="auto"/>
            </w:tcBorders>
          </w:tcPr>
          <w:p>
            <w:pPr>
              <w:spacing w:after="0"/>
              <w:rPr>
                <w:sz w:val="2"/>
                <w:szCs w:val="2"/>
                <w:color w:val="auto"/>
              </w:rPr>
            </w:pPr>
          </w:p>
        </w:tc>
        <w:tc>
          <w:tcPr>
            <w:tcW w:w="6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r>
      <w:tr>
        <w:trPr>
          <w:trHeight w:val="244"/>
        </w:trPr>
        <w:tc>
          <w:tcPr>
            <w:tcW w:w="20" w:type="dxa"/>
            <w:vAlign w:val="bottom"/>
            <w:tcBorders>
              <w:bottom w:val="single" w:sz="8" w:color="CCEEFF"/>
            </w:tcBorders>
            <w:shd w:val="clear" w:color="auto" w:fill="CCEEFF"/>
          </w:tcPr>
          <w:p>
            <w:pPr>
              <w:spacing w:after="0"/>
              <w:rPr>
                <w:sz w:val="21"/>
                <w:szCs w:val="21"/>
                <w:color w:val="auto"/>
              </w:rPr>
            </w:pPr>
          </w:p>
        </w:tc>
        <w:tc>
          <w:tcPr>
            <w:tcW w:w="56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lease liabilities</w:t>
            </w:r>
          </w:p>
        </w:tc>
        <w:tc>
          <w:tcPr>
            <w:tcW w:w="2040" w:type="dxa"/>
            <w:vAlign w:val="bottom"/>
            <w:tcBorders>
              <w:bottom w:val="single" w:sz="8" w:color="CCEEFF"/>
            </w:tcBorders>
            <w:shd w:val="clear" w:color="auto" w:fill="CCEEFF"/>
          </w:tcPr>
          <w:p>
            <w:pPr>
              <w:spacing w:after="0"/>
              <w:rPr>
                <w:sz w:val="21"/>
                <w:szCs w:val="21"/>
                <w:color w:val="auto"/>
              </w:rPr>
            </w:pPr>
          </w:p>
        </w:tc>
        <w:tc>
          <w:tcPr>
            <w:tcW w:w="460" w:type="dxa"/>
            <w:vAlign w:val="bottom"/>
            <w:tcBorders>
              <w:bottom w:val="single" w:sz="8" w:color="CCEEFF"/>
            </w:tcBorders>
            <w:shd w:val="clear" w:color="auto" w:fill="CCEEFF"/>
          </w:tcPr>
          <w:p>
            <w:pPr>
              <w:spacing w:after="0"/>
              <w:rPr>
                <w:sz w:val="21"/>
                <w:szCs w:val="21"/>
                <w:color w:val="auto"/>
              </w:rPr>
            </w:pPr>
          </w:p>
        </w:tc>
        <w:tc>
          <w:tcPr>
            <w:tcW w:w="2600" w:type="dxa"/>
            <w:vAlign w:val="bottom"/>
            <w:tcBorders>
              <w:bottom w:val="single" w:sz="8" w:color="CCEEFF"/>
            </w:tcBorders>
            <w:gridSpan w:val="3"/>
            <w:shd w:val="clear" w:color="auto" w:fill="CCEEFF"/>
          </w:tcPr>
          <w:p>
            <w:pPr>
              <w:jc w:val="right"/>
              <w:ind w:right="1268"/>
              <w:spacing w:after="0"/>
              <w:rPr>
                <w:sz w:val="20"/>
                <w:szCs w:val="20"/>
                <w:color w:val="auto"/>
              </w:rPr>
            </w:pPr>
            <w:r>
              <w:rPr>
                <w:rFonts w:ascii="Arial" w:cs="Arial" w:eastAsia="Arial" w:hAnsi="Arial"/>
                <w:sz w:val="18"/>
                <w:szCs w:val="18"/>
                <w:color w:val="auto"/>
              </w:rPr>
              <w:t>$</w:t>
            </w:r>
          </w:p>
        </w:tc>
        <w:tc>
          <w:tcPr>
            <w:tcW w:w="6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9"/>
              </w:rPr>
              <w:t>146,647</w:t>
            </w:r>
          </w:p>
        </w:tc>
        <w:tc>
          <w:tcPr>
            <w:tcW w:w="20" w:type="dxa"/>
            <w:vAlign w:val="bottom"/>
            <w:tcBorders>
              <w:bottom w:val="single" w:sz="8" w:color="CCEEFF"/>
            </w:tcBorders>
            <w:shd w:val="clear" w:color="auto" w:fill="CCEEFF"/>
          </w:tcPr>
          <w:p>
            <w:pPr>
              <w:spacing w:after="0"/>
              <w:rPr>
                <w:sz w:val="21"/>
                <w:szCs w:val="21"/>
                <w:color w:val="auto"/>
              </w:rPr>
            </w:pPr>
          </w:p>
        </w:tc>
      </w:tr>
      <w:tr>
        <w:trPr>
          <w:trHeight w:val="675"/>
        </w:trPr>
        <w:tc>
          <w:tcPr>
            <w:tcW w:w="20" w:type="dxa"/>
            <w:vAlign w:val="bottom"/>
          </w:tcPr>
          <w:p>
            <w:pPr>
              <w:spacing w:after="0"/>
              <w:rPr>
                <w:sz w:val="24"/>
                <w:szCs w:val="24"/>
                <w:color w:val="auto"/>
              </w:rPr>
            </w:pPr>
          </w:p>
        </w:tc>
        <w:tc>
          <w:tcPr>
            <w:tcW w:w="5600" w:type="dxa"/>
            <w:vAlign w:val="bottom"/>
          </w:tcPr>
          <w:p>
            <w:pPr>
              <w:spacing w:after="0"/>
              <w:rPr>
                <w:sz w:val="24"/>
                <w:szCs w:val="24"/>
                <w:color w:val="auto"/>
              </w:rPr>
            </w:pPr>
          </w:p>
        </w:tc>
        <w:tc>
          <w:tcPr>
            <w:tcW w:w="2040" w:type="dxa"/>
            <w:vAlign w:val="bottom"/>
          </w:tcPr>
          <w:p>
            <w:pPr>
              <w:jc w:val="right"/>
              <w:ind w:right="1816"/>
              <w:spacing w:after="0"/>
              <w:rPr>
                <w:sz w:val="20"/>
                <w:szCs w:val="20"/>
                <w:color w:val="auto"/>
              </w:rPr>
            </w:pPr>
            <w:r>
              <w:rPr>
                <w:rFonts w:ascii="Arial" w:cs="Arial" w:eastAsia="Arial" w:hAnsi="Arial"/>
                <w:sz w:val="18"/>
                <w:szCs w:val="18"/>
                <w:color w:val="auto"/>
              </w:rPr>
              <w:t>8</w:t>
            </w:r>
          </w:p>
        </w:tc>
        <w:tc>
          <w:tcPr>
            <w:tcW w:w="4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r>
    </w:tbl>
    <w:p>
      <w:pPr>
        <w:sectPr>
          <w:pgSz w:w="11900" w:h="16838" w:orient="portrait"/>
          <w:cols w:equalWidth="0" w:num="1">
            <w:col w:w="11420"/>
          </w:cols>
          <w:pgMar w:left="240" w:top="130" w:right="239" w:bottom="1440" w:gutter="0" w:footer="0" w:header="0"/>
        </w:sectPr>
      </w:pPr>
    </w:p>
    <w:bookmarkStart w:id="9" w:name="page10"/>
    <w:bookmarkEnd w:id="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aggregate future lease payments for operating leases as of May 4, 2019 are as follows (in thousands):</w:t>
      </w:r>
    </w:p>
    <w:p>
      <w:pPr>
        <w:spacing w:after="0" w:line="200" w:lineRule="exact"/>
        <w:rPr>
          <w:sz w:val="20"/>
          <w:szCs w:val="20"/>
          <w:color w:val="auto"/>
        </w:rPr>
      </w:pPr>
    </w:p>
    <w:p>
      <w:pPr>
        <w:spacing w:after="0" w:line="246"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4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Fiscal Year</w:t>
            </w:r>
          </w:p>
        </w:tc>
        <w:tc>
          <w:tcPr>
            <w:tcW w:w="240" w:type="dxa"/>
            <w:vAlign w:val="bottom"/>
            <w:tcBorders>
              <w:bottom w:val="single" w:sz="8" w:color="CCEEFF"/>
            </w:tcBorders>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3020" w:type="dxa"/>
            <w:vAlign w:val="bottom"/>
            <w:tcBorders>
              <w:bottom w:val="single" w:sz="8" w:color="auto"/>
            </w:tcBorders>
          </w:tcPr>
          <w:p>
            <w:pPr>
              <w:jc w:val="right"/>
              <w:ind w:right="1252"/>
              <w:spacing w:after="0"/>
              <w:rPr>
                <w:sz w:val="20"/>
                <w:szCs w:val="20"/>
                <w:color w:val="auto"/>
              </w:rPr>
            </w:pPr>
            <w:r>
              <w:rPr>
                <w:rFonts w:ascii="Arial" w:cs="Arial" w:eastAsia="Arial" w:hAnsi="Arial"/>
                <w:sz w:val="14"/>
                <w:szCs w:val="14"/>
                <w:b w:val="1"/>
                <w:bCs w:val="1"/>
                <w:color w:val="auto"/>
              </w:rPr>
              <w:t>Operating Leases</w:t>
            </w:r>
          </w:p>
        </w:tc>
      </w:tr>
      <w:tr>
        <w:trPr>
          <w:trHeight w:val="250"/>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Remainder of 2020</w:t>
            </w:r>
          </w:p>
        </w:tc>
        <w:tc>
          <w:tcPr>
            <w:tcW w:w="720" w:type="dxa"/>
            <w:vAlign w:val="bottom"/>
            <w:tcBorders>
              <w:bottom w:val="single" w:sz="8" w:color="CCEEFF"/>
            </w:tcBorders>
            <w:shd w:val="clear" w:color="auto" w:fill="CCEEFF"/>
          </w:tcPr>
          <w:p>
            <w:pPr>
              <w:jc w:val="right"/>
              <w:ind w:right="530"/>
              <w:spacing w:after="0"/>
              <w:rPr>
                <w:sz w:val="20"/>
                <w:szCs w:val="20"/>
                <w:color w:val="auto"/>
              </w:rPr>
            </w:pPr>
            <w:r>
              <w:rPr>
                <w:rFonts w:ascii="Arial" w:cs="Arial" w:eastAsia="Arial" w:hAnsi="Arial"/>
                <w:sz w:val="18"/>
                <w:szCs w:val="18"/>
                <w:color w:val="auto"/>
                <w:w w:val="79"/>
              </w:rPr>
              <w:t>$</w:t>
            </w: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27,835</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2021</w:t>
            </w:r>
          </w:p>
        </w:tc>
        <w:tc>
          <w:tcPr>
            <w:tcW w:w="24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32,637</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72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2022</w:t>
            </w:r>
          </w:p>
        </w:tc>
        <w:tc>
          <w:tcPr>
            <w:tcW w:w="24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29,578</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2023</w:t>
            </w:r>
          </w:p>
        </w:tc>
        <w:tc>
          <w:tcPr>
            <w:tcW w:w="24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22,716</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72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4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14,647</w:t>
            </w:r>
          </w:p>
        </w:tc>
      </w:tr>
      <w:tr>
        <w:trPr>
          <w:trHeight w:val="243"/>
        </w:trPr>
        <w:tc>
          <w:tcPr>
            <w:tcW w:w="764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40,422</w:t>
            </w:r>
          </w:p>
        </w:tc>
      </w:tr>
      <w:tr>
        <w:trPr>
          <w:trHeight w:val="27"/>
        </w:trPr>
        <w:tc>
          <w:tcPr>
            <w:tcW w:w="740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3020" w:type="dxa"/>
            <w:vAlign w:val="bottom"/>
            <w:tcBorders>
              <w:bottom w:val="single" w:sz="8" w:color="auto"/>
            </w:tcBorders>
          </w:tcPr>
          <w:p>
            <w:pPr>
              <w:spacing w:after="0"/>
              <w:rPr>
                <w:sz w:val="2"/>
                <w:szCs w:val="2"/>
                <w:color w:val="auto"/>
              </w:rPr>
            </w:pPr>
          </w:p>
        </w:tc>
      </w:tr>
      <w:tr>
        <w:trPr>
          <w:trHeight w:val="244"/>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 lease payments</w:t>
            </w: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167,835</w:t>
            </w:r>
          </w:p>
        </w:tc>
      </w:tr>
      <w:tr>
        <w:trPr>
          <w:trHeight w:val="243"/>
        </w:trPr>
        <w:tc>
          <w:tcPr>
            <w:tcW w:w="7640" w:type="dxa"/>
            <w:vAlign w:val="bottom"/>
            <w:gridSpan w:val="2"/>
          </w:tcPr>
          <w:p>
            <w:pPr>
              <w:ind w:left="20"/>
              <w:spacing w:after="0"/>
              <w:rPr>
                <w:sz w:val="20"/>
                <w:szCs w:val="20"/>
                <w:color w:val="auto"/>
              </w:rPr>
            </w:pPr>
            <w:r>
              <w:rPr>
                <w:rFonts w:ascii="Arial" w:cs="Arial" w:eastAsia="Arial" w:hAnsi="Arial"/>
                <w:sz w:val="18"/>
                <w:szCs w:val="18"/>
                <w:color w:val="auto"/>
              </w:rPr>
              <w:t>Less: Interest</w:t>
            </w: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21,188</w:t>
            </w:r>
          </w:p>
        </w:tc>
      </w:tr>
      <w:tr>
        <w:trPr>
          <w:trHeight w:val="27"/>
        </w:trPr>
        <w:tc>
          <w:tcPr>
            <w:tcW w:w="740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3020" w:type="dxa"/>
            <w:vAlign w:val="bottom"/>
            <w:tcBorders>
              <w:bottom w:val="single" w:sz="8" w:color="auto"/>
            </w:tcBorders>
          </w:tcPr>
          <w:p>
            <w:pPr>
              <w:spacing w:after="0"/>
              <w:rPr>
                <w:sz w:val="2"/>
                <w:szCs w:val="2"/>
                <w:color w:val="auto"/>
              </w:rPr>
            </w:pPr>
          </w:p>
        </w:tc>
      </w:tr>
      <w:tr>
        <w:trPr>
          <w:trHeight w:val="257"/>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Present value of lease liabilities</w:t>
            </w:r>
          </w:p>
        </w:tc>
        <w:tc>
          <w:tcPr>
            <w:tcW w:w="720" w:type="dxa"/>
            <w:vAlign w:val="bottom"/>
            <w:tcBorders>
              <w:bottom w:val="single" w:sz="8" w:color="auto"/>
            </w:tcBorders>
            <w:shd w:val="clear" w:color="auto" w:fill="CCEEFF"/>
          </w:tcPr>
          <w:p>
            <w:pPr>
              <w:jc w:val="right"/>
              <w:ind w:right="530"/>
              <w:spacing w:after="0"/>
              <w:rPr>
                <w:sz w:val="20"/>
                <w:szCs w:val="20"/>
                <w:color w:val="auto"/>
              </w:rPr>
            </w:pPr>
            <w:r>
              <w:rPr>
                <w:rFonts w:ascii="Arial" w:cs="Arial" w:eastAsia="Arial" w:hAnsi="Arial"/>
                <w:sz w:val="18"/>
                <w:szCs w:val="18"/>
                <w:color w:val="auto"/>
                <w:w w:val="79"/>
              </w:rPr>
              <w:t>$</w:t>
            </w:r>
          </w:p>
        </w:tc>
        <w:tc>
          <w:tcPr>
            <w:tcW w:w="302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146,647</w:t>
            </w:r>
          </w:p>
        </w:tc>
      </w:tr>
      <w:tr>
        <w:trPr>
          <w:trHeight w:val="20"/>
        </w:trPr>
        <w:tc>
          <w:tcPr>
            <w:tcW w:w="74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020" w:type="dxa"/>
            <w:vAlign w:val="bottom"/>
            <w:tcBorders>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aggregate future lease payments for operating leases as of February 2, 2019 are as follows (in thousands):</w:t>
      </w:r>
    </w:p>
    <w:p>
      <w:pPr>
        <w:spacing w:after="0" w:line="200" w:lineRule="exact"/>
        <w:rPr>
          <w:sz w:val="20"/>
          <w:szCs w:val="20"/>
          <w:color w:val="auto"/>
        </w:rPr>
      </w:pPr>
    </w:p>
    <w:p>
      <w:pPr>
        <w:spacing w:after="0" w:line="246"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640" w:type="dxa"/>
            <w:vAlign w:val="bottom"/>
            <w:gridSpan w:val="3"/>
          </w:tcPr>
          <w:p>
            <w:pPr>
              <w:ind w:left="20"/>
              <w:spacing w:after="0"/>
              <w:rPr>
                <w:sz w:val="20"/>
                <w:szCs w:val="20"/>
                <w:color w:val="auto"/>
              </w:rPr>
            </w:pPr>
            <w:r>
              <w:rPr>
                <w:rFonts w:ascii="Arial" w:cs="Arial" w:eastAsia="Arial" w:hAnsi="Arial"/>
                <w:sz w:val="14"/>
                <w:szCs w:val="14"/>
                <w:b w:val="1"/>
                <w:bCs w:val="1"/>
                <w:color w:val="auto"/>
              </w:rPr>
              <w:t>Fiscal Year</w:t>
            </w:r>
          </w:p>
        </w:tc>
        <w:tc>
          <w:tcPr>
            <w:tcW w:w="440" w:type="dxa"/>
            <w:vAlign w:val="bottom"/>
          </w:tcPr>
          <w:p>
            <w:pPr>
              <w:spacing w:after="0"/>
              <w:rPr>
                <w:sz w:val="16"/>
                <w:szCs w:val="16"/>
                <w:color w:val="auto"/>
              </w:rPr>
            </w:pPr>
          </w:p>
        </w:tc>
        <w:tc>
          <w:tcPr>
            <w:tcW w:w="3300" w:type="dxa"/>
            <w:vAlign w:val="bottom"/>
          </w:tcPr>
          <w:p>
            <w:pPr>
              <w:jc w:val="right"/>
              <w:ind w:right="1253"/>
              <w:spacing w:after="0"/>
              <w:rPr>
                <w:sz w:val="20"/>
                <w:szCs w:val="20"/>
                <w:color w:val="auto"/>
              </w:rPr>
            </w:pPr>
            <w:r>
              <w:rPr>
                <w:rFonts w:ascii="Arial" w:cs="Arial" w:eastAsia="Arial" w:hAnsi="Arial"/>
                <w:sz w:val="14"/>
                <w:szCs w:val="14"/>
                <w:b w:val="1"/>
                <w:bCs w:val="1"/>
                <w:color w:val="auto"/>
              </w:rPr>
              <w:t>Operating Leases</w:t>
            </w:r>
          </w:p>
        </w:tc>
        <w:tc>
          <w:tcPr>
            <w:tcW w:w="0" w:type="dxa"/>
            <w:vAlign w:val="bottom"/>
          </w:tcPr>
          <w:p>
            <w:pPr>
              <w:spacing w:after="0"/>
              <w:rPr>
                <w:sz w:val="1"/>
                <w:szCs w:val="1"/>
                <w:color w:val="auto"/>
              </w:rPr>
            </w:pPr>
          </w:p>
        </w:tc>
      </w:tr>
      <w:tr>
        <w:trPr>
          <w:trHeight w:val="250"/>
        </w:trPr>
        <w:tc>
          <w:tcPr>
            <w:tcW w:w="740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2020</w:t>
            </w:r>
          </w:p>
        </w:tc>
        <w:tc>
          <w:tcPr>
            <w:tcW w:w="160" w:type="dxa"/>
            <w:vAlign w:val="bottom"/>
            <w:tcBorders>
              <w:top w:val="single" w:sz="8" w:color="CCEEFF"/>
              <w:bottom w:val="single" w:sz="8" w:color="CCEEFF"/>
            </w:tcBorders>
            <w:shd w:val="clear" w:color="auto" w:fill="CCEEFF"/>
          </w:tcPr>
          <w:p>
            <w:pPr>
              <w:spacing w:after="0"/>
              <w:rPr>
                <w:sz w:val="21"/>
                <w:szCs w:val="21"/>
                <w:color w:val="auto"/>
              </w:rPr>
            </w:pPr>
          </w:p>
        </w:tc>
        <w:tc>
          <w:tcPr>
            <w:tcW w:w="80" w:type="dxa"/>
            <w:vAlign w:val="bottom"/>
            <w:tcBorders>
              <w:top w:val="single" w:sz="8" w:color="CCEEFF"/>
              <w:bottom w:val="single" w:sz="8" w:color="CCEEFF"/>
            </w:tcBorders>
            <w:shd w:val="clear" w:color="auto" w:fill="CCEEFF"/>
          </w:tcPr>
          <w:p>
            <w:pPr>
              <w:spacing w:after="0"/>
              <w:rPr>
                <w:sz w:val="21"/>
                <w:szCs w:val="21"/>
                <w:color w:val="auto"/>
              </w:rPr>
            </w:pPr>
          </w:p>
        </w:tc>
        <w:tc>
          <w:tcPr>
            <w:tcW w:w="440" w:type="dxa"/>
            <w:vAlign w:val="bottom"/>
            <w:tcBorders>
              <w:top w:val="single" w:sz="8" w:color="auto"/>
              <w:bottom w:val="single" w:sz="8" w:color="CCEEFF"/>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3300" w:type="dxa"/>
            <w:vAlign w:val="bottom"/>
            <w:tcBorders>
              <w:top w:val="single" w:sz="8" w:color="auto"/>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43,286</w:t>
            </w:r>
          </w:p>
        </w:tc>
        <w:tc>
          <w:tcPr>
            <w:tcW w:w="0" w:type="dxa"/>
            <w:vAlign w:val="bottom"/>
          </w:tcPr>
          <w:p>
            <w:pPr>
              <w:spacing w:after="0"/>
              <w:rPr>
                <w:sz w:val="1"/>
                <w:szCs w:val="1"/>
                <w:color w:val="auto"/>
              </w:rPr>
            </w:pP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2021</w:t>
            </w:r>
          </w:p>
        </w:tc>
        <w:tc>
          <w:tcPr>
            <w:tcW w:w="1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3300" w:type="dxa"/>
            <w:vAlign w:val="bottom"/>
          </w:tcPr>
          <w:p>
            <w:pPr>
              <w:jc w:val="right"/>
              <w:ind w:right="13"/>
              <w:spacing w:after="0"/>
              <w:rPr>
                <w:sz w:val="20"/>
                <w:szCs w:val="20"/>
                <w:color w:val="auto"/>
              </w:rPr>
            </w:pPr>
            <w:r>
              <w:rPr>
                <w:rFonts w:ascii="Arial" w:cs="Arial" w:eastAsia="Arial" w:hAnsi="Arial"/>
                <w:sz w:val="18"/>
                <w:szCs w:val="18"/>
                <w:color w:val="auto"/>
              </w:rPr>
              <w:t>29,866</w:t>
            </w:r>
          </w:p>
        </w:tc>
        <w:tc>
          <w:tcPr>
            <w:tcW w:w="0" w:type="dxa"/>
            <w:vAlign w:val="bottom"/>
          </w:tcPr>
          <w:p>
            <w:pPr>
              <w:spacing w:after="0"/>
              <w:rPr>
                <w:sz w:val="1"/>
                <w:szCs w:val="1"/>
                <w:color w:val="auto"/>
              </w:rPr>
            </w:pPr>
          </w:p>
        </w:tc>
      </w:tr>
      <w:tr>
        <w:trPr>
          <w:trHeight w:val="27"/>
        </w:trPr>
        <w:tc>
          <w:tcPr>
            <w:tcW w:w="740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tcPr>
          <w:p>
            <w:pPr>
              <w:spacing w:after="0"/>
              <w:rPr>
                <w:sz w:val="2"/>
                <w:szCs w:val="2"/>
                <w:color w:val="auto"/>
              </w:rPr>
            </w:pPr>
          </w:p>
        </w:tc>
        <w:tc>
          <w:tcPr>
            <w:tcW w:w="440" w:type="dxa"/>
            <w:vAlign w:val="bottom"/>
          </w:tcPr>
          <w:p>
            <w:pPr>
              <w:spacing w:after="0"/>
              <w:rPr>
                <w:sz w:val="2"/>
                <w:szCs w:val="2"/>
                <w:color w:val="auto"/>
              </w:rPr>
            </w:pPr>
          </w:p>
        </w:tc>
        <w:tc>
          <w:tcPr>
            <w:tcW w:w="33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2022</w:t>
            </w:r>
          </w:p>
        </w:tc>
        <w:tc>
          <w:tcPr>
            <w:tcW w:w="16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33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26,612</w:t>
            </w:r>
          </w:p>
        </w:tc>
        <w:tc>
          <w:tcPr>
            <w:tcW w:w="0" w:type="dxa"/>
            <w:vAlign w:val="bottom"/>
          </w:tcPr>
          <w:p>
            <w:pPr>
              <w:spacing w:after="0"/>
              <w:rPr>
                <w:sz w:val="1"/>
                <w:szCs w:val="1"/>
                <w:color w:val="auto"/>
              </w:rPr>
            </w:pP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2023</w:t>
            </w:r>
          </w:p>
        </w:tc>
        <w:tc>
          <w:tcPr>
            <w:tcW w:w="1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3300" w:type="dxa"/>
            <w:vAlign w:val="bottom"/>
          </w:tcPr>
          <w:p>
            <w:pPr>
              <w:jc w:val="right"/>
              <w:ind w:right="13"/>
              <w:spacing w:after="0"/>
              <w:rPr>
                <w:sz w:val="20"/>
                <w:szCs w:val="20"/>
                <w:color w:val="auto"/>
              </w:rPr>
            </w:pPr>
            <w:r>
              <w:rPr>
                <w:rFonts w:ascii="Arial" w:cs="Arial" w:eastAsia="Arial" w:hAnsi="Arial"/>
                <w:sz w:val="18"/>
                <w:szCs w:val="18"/>
                <w:color w:val="auto"/>
              </w:rPr>
              <w:t>21,272</w:t>
            </w:r>
          </w:p>
        </w:tc>
        <w:tc>
          <w:tcPr>
            <w:tcW w:w="0" w:type="dxa"/>
            <w:vAlign w:val="bottom"/>
          </w:tcPr>
          <w:p>
            <w:pPr>
              <w:spacing w:after="0"/>
              <w:rPr>
                <w:sz w:val="1"/>
                <w:szCs w:val="1"/>
                <w:color w:val="auto"/>
              </w:rPr>
            </w:pPr>
          </w:p>
        </w:tc>
      </w:tr>
      <w:tr>
        <w:trPr>
          <w:trHeight w:val="27"/>
        </w:trPr>
        <w:tc>
          <w:tcPr>
            <w:tcW w:w="7400" w:type="dxa"/>
            <w:vAlign w:val="bottom"/>
          </w:tcPr>
          <w:p>
            <w:pPr>
              <w:spacing w:after="0"/>
              <w:rPr>
                <w:sz w:val="2"/>
                <w:szCs w:val="2"/>
                <w:color w:val="auto"/>
              </w:rPr>
            </w:pPr>
          </w:p>
        </w:tc>
        <w:tc>
          <w:tcPr>
            <w:tcW w:w="160" w:type="dxa"/>
            <w:vAlign w:val="bottom"/>
          </w:tcPr>
          <w:p>
            <w:pPr>
              <w:spacing w:after="0"/>
              <w:rPr>
                <w:sz w:val="2"/>
                <w:szCs w:val="2"/>
                <w:color w:val="auto"/>
              </w:rPr>
            </w:pPr>
          </w:p>
        </w:tc>
        <w:tc>
          <w:tcPr>
            <w:tcW w:w="80" w:type="dxa"/>
            <w:vAlign w:val="bottom"/>
          </w:tcPr>
          <w:p>
            <w:pPr>
              <w:spacing w:after="0"/>
              <w:rPr>
                <w:sz w:val="2"/>
                <w:szCs w:val="2"/>
                <w:color w:val="auto"/>
              </w:rPr>
            </w:pPr>
          </w:p>
        </w:tc>
        <w:tc>
          <w:tcPr>
            <w:tcW w:w="440" w:type="dxa"/>
            <w:vAlign w:val="bottom"/>
          </w:tcPr>
          <w:p>
            <w:pPr>
              <w:spacing w:after="0"/>
              <w:rPr>
                <w:sz w:val="2"/>
                <w:szCs w:val="2"/>
                <w:color w:val="auto"/>
              </w:rPr>
            </w:pPr>
          </w:p>
        </w:tc>
        <w:tc>
          <w:tcPr>
            <w:tcW w:w="33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160" w:type="dxa"/>
            <w:vAlign w:val="bottom"/>
            <w:tcBorders>
              <w:bottom w:val="single" w:sz="8" w:color="CCEEFF"/>
            </w:tcBorders>
            <w:shd w:val="clear" w:color="auto" w:fill="CCEEFF"/>
          </w:tcPr>
          <w:p>
            <w:pPr>
              <w:spacing w:after="0"/>
              <w:rPr>
                <w:sz w:val="21"/>
                <w:szCs w:val="21"/>
                <w:color w:val="auto"/>
              </w:rPr>
            </w:pPr>
          </w:p>
        </w:tc>
        <w:tc>
          <w:tcPr>
            <w:tcW w:w="80" w:type="dxa"/>
            <w:vAlign w:val="bottom"/>
            <w:tcBorders>
              <w:bottom w:val="single" w:sz="8" w:color="CCEEFF"/>
            </w:tcBorders>
            <w:shd w:val="clear" w:color="auto" w:fill="CCEEFF"/>
          </w:tcPr>
          <w:p>
            <w:pPr>
              <w:spacing w:after="0"/>
              <w:rPr>
                <w:sz w:val="21"/>
                <w:szCs w:val="21"/>
                <w:color w:val="auto"/>
              </w:rPr>
            </w:pPr>
          </w:p>
        </w:tc>
        <w:tc>
          <w:tcPr>
            <w:tcW w:w="440" w:type="dxa"/>
            <w:vAlign w:val="bottom"/>
            <w:tcBorders>
              <w:bottom w:val="single" w:sz="8" w:color="CCEEFF"/>
            </w:tcBorders>
            <w:shd w:val="clear" w:color="auto" w:fill="CCEEFF"/>
          </w:tcPr>
          <w:p>
            <w:pPr>
              <w:spacing w:after="0"/>
              <w:rPr>
                <w:sz w:val="21"/>
                <w:szCs w:val="21"/>
                <w:color w:val="auto"/>
              </w:rPr>
            </w:pPr>
          </w:p>
        </w:tc>
        <w:tc>
          <w:tcPr>
            <w:tcW w:w="33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13,690</w:t>
            </w:r>
          </w:p>
        </w:tc>
        <w:tc>
          <w:tcPr>
            <w:tcW w:w="0" w:type="dxa"/>
            <w:vAlign w:val="bottom"/>
          </w:tcPr>
          <w:p>
            <w:pPr>
              <w:spacing w:after="0"/>
              <w:rPr>
                <w:sz w:val="1"/>
                <w:szCs w:val="1"/>
                <w:color w:val="auto"/>
              </w:rPr>
            </w:pPr>
          </w:p>
        </w:tc>
      </w:tr>
      <w:tr>
        <w:trPr>
          <w:trHeight w:val="243"/>
        </w:trPr>
        <w:tc>
          <w:tcPr>
            <w:tcW w:w="7640" w:type="dxa"/>
            <w:vAlign w:val="bottom"/>
            <w:gridSpan w:val="3"/>
          </w:tcPr>
          <w:p>
            <w:pPr>
              <w:ind w:left="20"/>
              <w:spacing w:after="0"/>
              <w:rPr>
                <w:sz w:val="20"/>
                <w:szCs w:val="20"/>
                <w:color w:val="auto"/>
              </w:rPr>
            </w:pPr>
            <w:r>
              <w:rPr>
                <w:rFonts w:ascii="Arial" w:cs="Arial" w:eastAsia="Arial" w:hAnsi="Arial"/>
                <w:sz w:val="18"/>
                <w:szCs w:val="18"/>
                <w:color w:val="auto"/>
              </w:rPr>
              <w:t>Thereafter</w:t>
            </w:r>
          </w:p>
        </w:tc>
        <w:tc>
          <w:tcPr>
            <w:tcW w:w="440" w:type="dxa"/>
            <w:vAlign w:val="bottom"/>
          </w:tcPr>
          <w:p>
            <w:pPr>
              <w:spacing w:after="0"/>
              <w:rPr>
                <w:sz w:val="21"/>
                <w:szCs w:val="21"/>
                <w:color w:val="auto"/>
              </w:rPr>
            </w:pPr>
          </w:p>
        </w:tc>
        <w:tc>
          <w:tcPr>
            <w:tcW w:w="3300" w:type="dxa"/>
            <w:vAlign w:val="bottom"/>
          </w:tcPr>
          <w:p>
            <w:pPr>
              <w:jc w:val="right"/>
              <w:ind w:right="13"/>
              <w:spacing w:after="0"/>
              <w:rPr>
                <w:sz w:val="20"/>
                <w:szCs w:val="20"/>
                <w:color w:val="auto"/>
              </w:rPr>
            </w:pPr>
            <w:r>
              <w:rPr>
                <w:rFonts w:ascii="Arial" w:cs="Arial" w:eastAsia="Arial" w:hAnsi="Arial"/>
                <w:sz w:val="18"/>
                <w:szCs w:val="18"/>
                <w:color w:val="auto"/>
              </w:rPr>
              <w:t>40,100</w:t>
            </w:r>
          </w:p>
        </w:tc>
        <w:tc>
          <w:tcPr>
            <w:tcW w:w="0" w:type="dxa"/>
            <w:vAlign w:val="bottom"/>
          </w:tcPr>
          <w:p>
            <w:pPr>
              <w:spacing w:after="0"/>
              <w:rPr>
                <w:sz w:val="1"/>
                <w:szCs w:val="1"/>
                <w:color w:val="auto"/>
              </w:rPr>
            </w:pPr>
          </w:p>
        </w:tc>
      </w:tr>
      <w:tr>
        <w:trPr>
          <w:trHeight w:val="27"/>
        </w:trPr>
        <w:tc>
          <w:tcPr>
            <w:tcW w:w="7400" w:type="dxa"/>
            <w:vAlign w:val="bottom"/>
            <w:tcBorders>
              <w:bottom w:val="single" w:sz="8" w:color="CCEEFF"/>
            </w:tcBorders>
          </w:tcPr>
          <w:p>
            <w:pPr>
              <w:spacing w:after="0"/>
              <w:rPr>
                <w:sz w:val="2"/>
                <w:szCs w:val="2"/>
                <w:color w:val="auto"/>
              </w:rPr>
            </w:pPr>
          </w:p>
        </w:tc>
        <w:tc>
          <w:tcPr>
            <w:tcW w:w="160" w:type="dxa"/>
            <w:vAlign w:val="bottom"/>
            <w:tcBorders>
              <w:bottom w:val="single" w:sz="8" w:color="CCEEFF"/>
            </w:tcBorders>
          </w:tcPr>
          <w:p>
            <w:pPr>
              <w:spacing w:after="0"/>
              <w:rPr>
                <w:sz w:val="2"/>
                <w:szCs w:val="2"/>
                <w:color w:val="auto"/>
              </w:rPr>
            </w:pPr>
          </w:p>
        </w:tc>
        <w:tc>
          <w:tcPr>
            <w:tcW w:w="80" w:type="dxa"/>
            <w:vAlign w:val="bottom"/>
            <w:tcBorders>
              <w:bottom w:val="single" w:sz="8" w:color="CCEEFF"/>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33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57"/>
        </w:trPr>
        <w:tc>
          <w:tcPr>
            <w:tcW w:w="7640" w:type="dxa"/>
            <w:vAlign w:val="bottom"/>
            <w:tcBorders>
              <w:bottom w:val="single" w:sz="8" w:color="CCEEFF"/>
            </w:tcBorders>
            <w:gridSpan w:val="3"/>
            <w:shd w:val="clear" w:color="auto" w:fill="CCEEFF"/>
          </w:tcPr>
          <w:p>
            <w:pPr>
              <w:ind w:left="20"/>
              <w:spacing w:after="0"/>
              <w:rPr>
                <w:sz w:val="20"/>
                <w:szCs w:val="20"/>
                <w:color w:val="auto"/>
              </w:rPr>
            </w:pPr>
            <w:r>
              <w:rPr>
                <w:rFonts w:ascii="Arial" w:cs="Arial" w:eastAsia="Arial" w:hAnsi="Arial"/>
                <w:sz w:val="18"/>
                <w:szCs w:val="18"/>
                <w:color w:val="auto"/>
              </w:rPr>
              <w:t>Total</w:t>
            </w:r>
          </w:p>
        </w:tc>
        <w:tc>
          <w:tcPr>
            <w:tcW w:w="440" w:type="dxa"/>
            <w:vAlign w:val="bottom"/>
            <w:tcBorders>
              <w:bottom w:val="single" w:sz="8" w:color="auto"/>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330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174,826</w:t>
            </w:r>
          </w:p>
        </w:tc>
        <w:tc>
          <w:tcPr>
            <w:tcW w:w="0" w:type="dxa"/>
            <w:vAlign w:val="bottom"/>
          </w:tcPr>
          <w:p>
            <w:pPr>
              <w:spacing w:after="0"/>
              <w:rPr>
                <w:sz w:val="1"/>
                <w:szCs w:val="1"/>
                <w:color w:val="auto"/>
              </w:rPr>
            </w:pPr>
          </w:p>
        </w:tc>
      </w:tr>
      <w:tr>
        <w:trPr>
          <w:trHeight w:val="20"/>
        </w:trPr>
        <w:tc>
          <w:tcPr>
            <w:tcW w:w="7640" w:type="dxa"/>
            <w:vAlign w:val="bottom"/>
            <w:gridSpan w:val="3"/>
            <w:vMerge w:val="restart"/>
          </w:tcPr>
          <w:p>
            <w:pPr>
              <w:ind w:left="400"/>
              <w:spacing w:after="0"/>
              <w:rPr>
                <w:sz w:val="20"/>
                <w:szCs w:val="20"/>
                <w:color w:val="auto"/>
              </w:rPr>
            </w:pPr>
            <w:r>
              <w:rPr>
                <w:rFonts w:ascii="Arial" w:cs="Arial" w:eastAsia="Arial" w:hAnsi="Arial"/>
                <w:sz w:val="18"/>
                <w:szCs w:val="18"/>
                <w:color w:val="auto"/>
              </w:rPr>
              <w:t>Average lease terms and discount rates were as follows:</w:t>
            </w:r>
          </w:p>
        </w:tc>
        <w:tc>
          <w:tcPr>
            <w:tcW w:w="440" w:type="dxa"/>
            <w:vAlign w:val="bottom"/>
            <w:tcBorders>
              <w:bottom w:val="single" w:sz="8" w:color="auto"/>
            </w:tcBorders>
          </w:tcPr>
          <w:p>
            <w:pPr>
              <w:spacing w:after="0" w:line="20" w:lineRule="exact"/>
              <w:rPr>
                <w:sz w:val="1"/>
                <w:szCs w:val="1"/>
                <w:color w:val="auto"/>
              </w:rPr>
            </w:pPr>
          </w:p>
        </w:tc>
        <w:tc>
          <w:tcPr>
            <w:tcW w:w="33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9"/>
        </w:trPr>
        <w:tc>
          <w:tcPr>
            <w:tcW w:w="7640" w:type="dxa"/>
            <w:vAlign w:val="bottom"/>
            <w:gridSpan w:val="3"/>
            <w:vMerge w:val="continue"/>
          </w:tcPr>
          <w:p>
            <w:pPr>
              <w:spacing w:after="0"/>
              <w:rPr>
                <w:sz w:val="24"/>
                <w:szCs w:val="24"/>
                <w:color w:val="auto"/>
              </w:rPr>
            </w:pPr>
          </w:p>
        </w:tc>
        <w:tc>
          <w:tcPr>
            <w:tcW w:w="440" w:type="dxa"/>
            <w:vAlign w:val="bottom"/>
          </w:tcPr>
          <w:p>
            <w:pPr>
              <w:spacing w:after="0"/>
              <w:rPr>
                <w:sz w:val="24"/>
                <w:szCs w:val="24"/>
                <w:color w:val="auto"/>
              </w:rPr>
            </w:pPr>
          </w:p>
        </w:tc>
        <w:tc>
          <w:tcPr>
            <w:tcW w:w="3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615"/>
        </w:trPr>
        <w:tc>
          <w:tcPr>
            <w:tcW w:w="7400" w:type="dxa"/>
            <w:vAlign w:val="bottom"/>
            <w:tcBorders>
              <w:bottom w:val="single" w:sz="8" w:color="CCEEFF"/>
            </w:tcBorders>
          </w:tcPr>
          <w:p>
            <w:pPr>
              <w:spacing w:after="0"/>
              <w:rPr>
                <w:sz w:val="24"/>
                <w:szCs w:val="24"/>
                <w:color w:val="auto"/>
              </w:rPr>
            </w:pPr>
          </w:p>
        </w:tc>
        <w:tc>
          <w:tcPr>
            <w:tcW w:w="160" w:type="dxa"/>
            <w:vAlign w:val="bottom"/>
            <w:tcBorders>
              <w:bottom w:val="single" w:sz="8" w:color="CCEEFF"/>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40" w:type="dxa"/>
            <w:vAlign w:val="bottom"/>
            <w:tcBorders>
              <w:bottom w:val="single" w:sz="8" w:color="auto"/>
            </w:tcBorders>
          </w:tcPr>
          <w:p>
            <w:pPr>
              <w:spacing w:after="0"/>
              <w:rPr>
                <w:sz w:val="24"/>
                <w:szCs w:val="24"/>
                <w:color w:val="auto"/>
              </w:rPr>
            </w:pPr>
          </w:p>
        </w:tc>
        <w:tc>
          <w:tcPr>
            <w:tcW w:w="3300" w:type="dxa"/>
            <w:vAlign w:val="bottom"/>
            <w:tcBorders>
              <w:bottom w:val="single" w:sz="8" w:color="auto"/>
            </w:tcBorders>
          </w:tcPr>
          <w:p>
            <w:pPr>
              <w:jc w:val="right"/>
              <w:ind w:right="773"/>
              <w:spacing w:after="0"/>
              <w:rPr>
                <w:sz w:val="20"/>
                <w:szCs w:val="20"/>
                <w:color w:val="auto"/>
              </w:rPr>
            </w:pPr>
            <w:r>
              <w:rPr>
                <w:rFonts w:ascii="Arial" w:cs="Arial" w:eastAsia="Arial" w:hAnsi="Arial"/>
                <w:sz w:val="14"/>
                <w:szCs w:val="14"/>
                <w:b w:val="1"/>
                <w:bCs w:val="1"/>
                <w:color w:val="auto"/>
              </w:rPr>
              <w:t>Three Months Ended May 4, 2019</w:t>
            </w:r>
          </w:p>
        </w:tc>
        <w:tc>
          <w:tcPr>
            <w:tcW w:w="0" w:type="dxa"/>
            <w:vAlign w:val="bottom"/>
          </w:tcPr>
          <w:p>
            <w:pPr>
              <w:spacing w:after="0"/>
              <w:rPr>
                <w:sz w:val="1"/>
                <w:szCs w:val="1"/>
                <w:color w:val="auto"/>
              </w:rPr>
            </w:pPr>
          </w:p>
        </w:tc>
      </w:tr>
      <w:tr>
        <w:trPr>
          <w:trHeight w:val="250"/>
        </w:trPr>
        <w:tc>
          <w:tcPr>
            <w:tcW w:w="7640" w:type="dxa"/>
            <w:vAlign w:val="bottom"/>
            <w:tcBorders>
              <w:bottom w:val="single" w:sz="8" w:color="CCEEFF"/>
            </w:tcBorders>
            <w:gridSpan w:val="3"/>
            <w:shd w:val="clear" w:color="auto" w:fill="CCEEFF"/>
          </w:tcPr>
          <w:p>
            <w:pPr>
              <w:ind w:left="20"/>
              <w:spacing w:after="0"/>
              <w:rPr>
                <w:sz w:val="20"/>
                <w:szCs w:val="20"/>
                <w:color w:val="auto"/>
              </w:rPr>
            </w:pPr>
            <w:r>
              <w:rPr>
                <w:rFonts w:ascii="Arial" w:cs="Arial" w:eastAsia="Arial" w:hAnsi="Arial"/>
                <w:sz w:val="18"/>
                <w:szCs w:val="18"/>
                <w:color w:val="auto"/>
              </w:rPr>
              <w:t>Weighted-average remaining lease term (years)</w:t>
            </w:r>
          </w:p>
        </w:tc>
        <w:tc>
          <w:tcPr>
            <w:tcW w:w="440" w:type="dxa"/>
            <w:vAlign w:val="bottom"/>
            <w:tcBorders>
              <w:bottom w:val="single" w:sz="8" w:color="CCEEFF"/>
            </w:tcBorders>
            <w:shd w:val="clear" w:color="auto" w:fill="CCEEFF"/>
          </w:tcPr>
          <w:p>
            <w:pPr>
              <w:spacing w:after="0"/>
              <w:rPr>
                <w:sz w:val="21"/>
                <w:szCs w:val="21"/>
                <w:color w:val="auto"/>
              </w:rPr>
            </w:pPr>
          </w:p>
        </w:tc>
        <w:tc>
          <w:tcPr>
            <w:tcW w:w="3300" w:type="dxa"/>
            <w:vAlign w:val="bottom"/>
            <w:tcBorders>
              <w:bottom w:val="single" w:sz="8" w:color="CCEEFF"/>
            </w:tcBorders>
            <w:shd w:val="clear" w:color="auto" w:fill="CCEEFF"/>
          </w:tcPr>
          <w:p>
            <w:pPr>
              <w:ind w:left="2800"/>
              <w:spacing w:after="0"/>
              <w:rPr>
                <w:sz w:val="20"/>
                <w:szCs w:val="20"/>
                <w:color w:val="auto"/>
              </w:rPr>
            </w:pPr>
            <w:r>
              <w:rPr>
                <w:rFonts w:ascii="Arial" w:cs="Arial" w:eastAsia="Arial" w:hAnsi="Arial"/>
                <w:sz w:val="18"/>
                <w:szCs w:val="18"/>
                <w:color w:val="auto"/>
              </w:rPr>
              <w:t>5.90</w:t>
            </w:r>
          </w:p>
        </w:tc>
        <w:tc>
          <w:tcPr>
            <w:tcW w:w="0" w:type="dxa"/>
            <w:vAlign w:val="bottom"/>
          </w:tcPr>
          <w:p>
            <w:pPr>
              <w:spacing w:after="0"/>
              <w:rPr>
                <w:sz w:val="1"/>
                <w:szCs w:val="1"/>
                <w:color w:val="auto"/>
              </w:rPr>
            </w:pPr>
          </w:p>
        </w:tc>
      </w:tr>
      <w:tr>
        <w:trPr>
          <w:trHeight w:val="243"/>
        </w:trPr>
        <w:tc>
          <w:tcPr>
            <w:tcW w:w="7640" w:type="dxa"/>
            <w:vAlign w:val="bottom"/>
            <w:gridSpan w:val="3"/>
          </w:tcPr>
          <w:p>
            <w:pPr>
              <w:ind w:left="20"/>
              <w:spacing w:after="0"/>
              <w:rPr>
                <w:sz w:val="20"/>
                <w:szCs w:val="20"/>
                <w:color w:val="auto"/>
              </w:rPr>
            </w:pPr>
            <w:r>
              <w:rPr>
                <w:rFonts w:ascii="Arial" w:cs="Arial" w:eastAsia="Arial" w:hAnsi="Arial"/>
                <w:sz w:val="18"/>
                <w:szCs w:val="18"/>
                <w:color w:val="auto"/>
              </w:rPr>
              <w:t>Weighted-average discount rate</w:t>
            </w:r>
          </w:p>
        </w:tc>
        <w:tc>
          <w:tcPr>
            <w:tcW w:w="440" w:type="dxa"/>
            <w:vAlign w:val="bottom"/>
          </w:tcPr>
          <w:p>
            <w:pPr>
              <w:spacing w:after="0"/>
              <w:rPr>
                <w:sz w:val="21"/>
                <w:szCs w:val="21"/>
                <w:color w:val="auto"/>
              </w:rPr>
            </w:pPr>
          </w:p>
        </w:tc>
        <w:tc>
          <w:tcPr>
            <w:tcW w:w="3300" w:type="dxa"/>
            <w:vAlign w:val="bottom"/>
          </w:tcPr>
          <w:p>
            <w:pPr>
              <w:ind w:left="2800"/>
              <w:spacing w:after="0"/>
              <w:rPr>
                <w:sz w:val="20"/>
                <w:szCs w:val="20"/>
                <w:color w:val="auto"/>
              </w:rPr>
            </w:pPr>
            <w:r>
              <w:rPr>
                <w:rFonts w:ascii="Arial" w:cs="Arial" w:eastAsia="Arial" w:hAnsi="Arial"/>
                <w:sz w:val="18"/>
                <w:szCs w:val="18"/>
                <w:color w:val="auto"/>
                <w:w w:val="93"/>
              </w:rPr>
              <w:t>3.85%</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Business Combination</w:t>
      </w:r>
    </w:p>
    <w:p>
      <w:pPr>
        <w:spacing w:after="0" w:line="121" w:lineRule="exact"/>
        <w:rPr>
          <w:sz w:val="20"/>
          <w:szCs w:val="20"/>
          <w:color w:val="auto"/>
        </w:rPr>
      </w:pPr>
    </w:p>
    <w:p>
      <w:pPr>
        <w:ind w:right="360" w:firstLine="459"/>
        <w:spacing w:after="0" w:line="273" w:lineRule="auto"/>
        <w:rPr>
          <w:sz w:val="20"/>
          <w:szCs w:val="20"/>
          <w:color w:val="auto"/>
        </w:rPr>
      </w:pPr>
      <w:r>
        <w:rPr>
          <w:rFonts w:ascii="Arial" w:cs="Arial" w:eastAsia="Arial" w:hAnsi="Arial"/>
          <w:sz w:val="17"/>
          <w:szCs w:val="17"/>
          <w:color w:val="auto"/>
        </w:rPr>
        <w:t>On July 6, 2018, the Company completed the acquisition of Cavium (the “Cavium acquisition”). Cavium is a provider of highly integrated semiconductor processors that enable intelligent processing for wired and wireless infrastructure and cloud for networking, communications, storage and security applications. The Cavium acquisition was primarily intended to create an opportunity for the combined company to emerge as a leader in infrastructure solutions. The total consideration paid to acquire Cavium, which consisted of cash, common stock of the Company and share based compensation awards was approximately $6.2 billion. The merger consideration was funded with a combination of cash on hand, new debt financing and issuance of the Company’s common shares. See “Note 8 - Debt” for discussion of the debt financing.</w:t>
      </w:r>
    </w:p>
    <w:p>
      <w:pPr>
        <w:spacing w:after="0" w:line="192" w:lineRule="exact"/>
        <w:rPr>
          <w:sz w:val="20"/>
          <w:szCs w:val="20"/>
          <w:color w:val="auto"/>
        </w:rPr>
      </w:pPr>
    </w:p>
    <w:p>
      <w:pPr>
        <w:ind w:right="700" w:firstLine="459"/>
        <w:spacing w:after="0" w:line="342" w:lineRule="auto"/>
        <w:rPr>
          <w:sz w:val="20"/>
          <w:szCs w:val="20"/>
          <w:color w:val="auto"/>
        </w:rPr>
      </w:pPr>
      <w:r>
        <w:rPr>
          <w:rFonts w:ascii="Arial" w:cs="Arial" w:eastAsia="Arial" w:hAnsi="Arial"/>
          <w:sz w:val="16"/>
          <w:szCs w:val="16"/>
          <w:color w:val="auto"/>
        </w:rPr>
        <w:t>The merger consideration allocation set forth herein is preliminary and may be revised as additional information becomes available during the measurement period which could be up to 12 months from the closing date of the acquisition. Any such revisions or changes may be material.</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00"/>
          </w:cols>
          <w:pgMar w:left="240" w:top="130" w:right="259" w:bottom="1440" w:gutter="0" w:footer="0" w:header="0"/>
        </w:sectPr>
      </w:pPr>
    </w:p>
    <w:bookmarkStart w:id="10" w:name="page11"/>
    <w:bookmarkEnd w:id="1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purchase price allocation is as follows:</w:t>
      </w:r>
    </w:p>
    <w:p>
      <w:pPr>
        <w:spacing w:after="0" w:line="177"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76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220" w:type="dxa"/>
            <w:vAlign w:val="bottom"/>
          </w:tcPr>
          <w:p>
            <w:pPr>
              <w:jc w:val="right"/>
              <w:ind w:right="1152"/>
              <w:spacing w:after="0"/>
              <w:rPr>
                <w:sz w:val="20"/>
                <w:szCs w:val="20"/>
                <w:color w:val="auto"/>
              </w:rPr>
            </w:pPr>
            <w:r>
              <w:rPr>
                <w:rFonts w:ascii="Arial" w:cs="Arial" w:eastAsia="Arial" w:hAnsi="Arial"/>
                <w:sz w:val="14"/>
                <w:szCs w:val="14"/>
                <w:b w:val="1"/>
                <w:bCs w:val="1"/>
                <w:color w:val="auto"/>
              </w:rPr>
              <w:t>Previously Reported</w:t>
            </w:r>
          </w:p>
        </w:tc>
      </w:tr>
      <w:tr>
        <w:trPr>
          <w:trHeight w:val="192"/>
        </w:trPr>
        <w:tc>
          <w:tcPr>
            <w:tcW w:w="7640" w:type="dxa"/>
            <w:vAlign w:val="bottom"/>
            <w:tcBorders>
              <w:bottom w:val="single" w:sz="8" w:color="CCEEFF"/>
            </w:tcBorders>
          </w:tcPr>
          <w:p>
            <w:pPr>
              <w:spacing w:after="0"/>
              <w:rPr>
                <w:sz w:val="16"/>
                <w:szCs w:val="16"/>
                <w:color w:val="auto"/>
              </w:rPr>
            </w:pPr>
          </w:p>
        </w:tc>
        <w:tc>
          <w:tcPr>
            <w:tcW w:w="520" w:type="dxa"/>
            <w:vAlign w:val="bottom"/>
            <w:tcBorders>
              <w:bottom w:val="single" w:sz="8" w:color="auto"/>
            </w:tcBorders>
          </w:tcPr>
          <w:p>
            <w:pPr>
              <w:spacing w:after="0"/>
              <w:rPr>
                <w:sz w:val="16"/>
                <w:szCs w:val="16"/>
                <w:color w:val="auto"/>
              </w:rPr>
            </w:pPr>
          </w:p>
        </w:tc>
        <w:tc>
          <w:tcPr>
            <w:tcW w:w="3220" w:type="dxa"/>
            <w:vAlign w:val="bottom"/>
            <w:tcBorders>
              <w:bottom w:val="single" w:sz="8" w:color="auto"/>
            </w:tcBorders>
          </w:tcPr>
          <w:p>
            <w:pPr>
              <w:jc w:val="right"/>
              <w:ind w:right="852"/>
              <w:spacing w:after="0"/>
              <w:rPr>
                <w:sz w:val="20"/>
                <w:szCs w:val="20"/>
                <w:color w:val="auto"/>
              </w:rPr>
            </w:pPr>
            <w:r>
              <w:rPr>
                <w:rFonts w:ascii="Arial" w:cs="Arial" w:eastAsia="Arial" w:hAnsi="Arial"/>
                <w:sz w:val="14"/>
                <w:szCs w:val="14"/>
                <w:b w:val="1"/>
                <w:bCs w:val="1"/>
                <w:color w:val="auto"/>
              </w:rPr>
              <w:t>February 2, 2019 (Provisional)</w:t>
            </w: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Cash and cash equivalents</w:t>
            </w:r>
          </w:p>
        </w:tc>
        <w:tc>
          <w:tcPr>
            <w:tcW w:w="520" w:type="dxa"/>
            <w:vAlign w:val="bottom"/>
            <w:tcBorders>
              <w:bottom w:val="single" w:sz="8" w:color="CCEEFF"/>
            </w:tcBorders>
            <w:shd w:val="clear" w:color="auto" w:fill="CCEEFF"/>
          </w:tcPr>
          <w:p>
            <w:pPr>
              <w:jc w:val="right"/>
              <w:ind w:right="330"/>
              <w:spacing w:after="0"/>
              <w:rPr>
                <w:sz w:val="20"/>
                <w:szCs w:val="20"/>
                <w:color w:val="auto"/>
              </w:rPr>
            </w:pPr>
            <w:r>
              <w:rPr>
                <w:rFonts w:ascii="Arial" w:cs="Arial" w:eastAsia="Arial" w:hAnsi="Arial"/>
                <w:sz w:val="18"/>
                <w:szCs w:val="18"/>
                <w:color w:val="auto"/>
                <w:w w:val="79"/>
              </w:rPr>
              <w:t>$</w:t>
            </w:r>
          </w:p>
        </w:tc>
        <w:tc>
          <w:tcPr>
            <w:tcW w:w="3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180,989</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Accounts receivable</w:t>
            </w:r>
          </w:p>
        </w:tc>
        <w:tc>
          <w:tcPr>
            <w:tcW w:w="520" w:type="dxa"/>
            <w:vAlign w:val="bottom"/>
          </w:tcPr>
          <w:p>
            <w:pPr>
              <w:spacing w:after="0"/>
              <w:rPr>
                <w:sz w:val="21"/>
                <w:szCs w:val="21"/>
                <w:color w:val="auto"/>
              </w:rPr>
            </w:pPr>
          </w:p>
        </w:tc>
        <w:tc>
          <w:tcPr>
            <w:tcW w:w="3220" w:type="dxa"/>
            <w:vAlign w:val="bottom"/>
          </w:tcPr>
          <w:p>
            <w:pPr>
              <w:jc w:val="right"/>
              <w:ind w:right="12"/>
              <w:spacing w:after="0"/>
              <w:rPr>
                <w:sz w:val="20"/>
                <w:szCs w:val="20"/>
                <w:color w:val="auto"/>
              </w:rPr>
            </w:pPr>
            <w:r>
              <w:rPr>
                <w:rFonts w:ascii="Arial" w:cs="Arial" w:eastAsia="Arial" w:hAnsi="Arial"/>
                <w:sz w:val="18"/>
                <w:szCs w:val="18"/>
                <w:color w:val="auto"/>
              </w:rPr>
              <w:t>112,270</w:t>
            </w:r>
          </w:p>
        </w:tc>
      </w:tr>
      <w:tr>
        <w:trPr>
          <w:trHeight w:val="27"/>
        </w:trPr>
        <w:tc>
          <w:tcPr>
            <w:tcW w:w="7640" w:type="dxa"/>
            <w:vAlign w:val="bottom"/>
          </w:tcPr>
          <w:p>
            <w:pPr>
              <w:spacing w:after="0"/>
              <w:rPr>
                <w:sz w:val="2"/>
                <w:szCs w:val="2"/>
                <w:color w:val="auto"/>
              </w:rPr>
            </w:pPr>
          </w:p>
        </w:tc>
        <w:tc>
          <w:tcPr>
            <w:tcW w:w="5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Inventories</w:t>
            </w:r>
          </w:p>
        </w:tc>
        <w:tc>
          <w:tcPr>
            <w:tcW w:w="520" w:type="dxa"/>
            <w:vAlign w:val="bottom"/>
            <w:tcBorders>
              <w:bottom w:val="single" w:sz="8" w:color="CCEEFF"/>
            </w:tcBorders>
            <w:shd w:val="clear" w:color="auto" w:fill="CCEEFF"/>
          </w:tcPr>
          <w:p>
            <w:pPr>
              <w:spacing w:after="0"/>
              <w:rPr>
                <w:sz w:val="21"/>
                <w:szCs w:val="21"/>
                <w:color w:val="auto"/>
              </w:rPr>
            </w:pPr>
          </w:p>
        </w:tc>
        <w:tc>
          <w:tcPr>
            <w:tcW w:w="3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330,778</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Prepaid expense and other current assets</w:t>
            </w:r>
          </w:p>
        </w:tc>
        <w:tc>
          <w:tcPr>
            <w:tcW w:w="520" w:type="dxa"/>
            <w:vAlign w:val="bottom"/>
          </w:tcPr>
          <w:p>
            <w:pPr>
              <w:spacing w:after="0"/>
              <w:rPr>
                <w:sz w:val="21"/>
                <w:szCs w:val="21"/>
                <w:color w:val="auto"/>
              </w:rPr>
            </w:pPr>
          </w:p>
        </w:tc>
        <w:tc>
          <w:tcPr>
            <w:tcW w:w="3220" w:type="dxa"/>
            <w:vAlign w:val="bottom"/>
          </w:tcPr>
          <w:p>
            <w:pPr>
              <w:jc w:val="right"/>
              <w:ind w:right="12"/>
              <w:spacing w:after="0"/>
              <w:rPr>
                <w:sz w:val="20"/>
                <w:szCs w:val="20"/>
                <w:color w:val="auto"/>
              </w:rPr>
            </w:pPr>
            <w:r>
              <w:rPr>
                <w:rFonts w:ascii="Arial" w:cs="Arial" w:eastAsia="Arial" w:hAnsi="Arial"/>
                <w:sz w:val="18"/>
                <w:szCs w:val="18"/>
                <w:color w:val="auto"/>
              </w:rPr>
              <w:t>19,890</w:t>
            </w:r>
          </w:p>
        </w:tc>
      </w:tr>
      <w:tr>
        <w:trPr>
          <w:trHeight w:val="27"/>
        </w:trPr>
        <w:tc>
          <w:tcPr>
            <w:tcW w:w="7640" w:type="dxa"/>
            <w:vAlign w:val="bottom"/>
          </w:tcPr>
          <w:p>
            <w:pPr>
              <w:spacing w:after="0"/>
              <w:rPr>
                <w:sz w:val="2"/>
                <w:szCs w:val="2"/>
                <w:color w:val="auto"/>
              </w:rPr>
            </w:pPr>
          </w:p>
        </w:tc>
        <w:tc>
          <w:tcPr>
            <w:tcW w:w="5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Assets held for sale</w:t>
            </w:r>
          </w:p>
        </w:tc>
        <w:tc>
          <w:tcPr>
            <w:tcW w:w="520" w:type="dxa"/>
            <w:vAlign w:val="bottom"/>
            <w:tcBorders>
              <w:bottom w:val="single" w:sz="8" w:color="CCEEFF"/>
            </w:tcBorders>
            <w:shd w:val="clear" w:color="auto" w:fill="CCEEFF"/>
          </w:tcPr>
          <w:p>
            <w:pPr>
              <w:spacing w:after="0"/>
              <w:rPr>
                <w:sz w:val="21"/>
                <w:szCs w:val="21"/>
                <w:color w:val="auto"/>
              </w:rPr>
            </w:pPr>
          </w:p>
        </w:tc>
        <w:tc>
          <w:tcPr>
            <w:tcW w:w="3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483</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Property and equipment</w:t>
            </w:r>
          </w:p>
        </w:tc>
        <w:tc>
          <w:tcPr>
            <w:tcW w:w="520" w:type="dxa"/>
            <w:vAlign w:val="bottom"/>
          </w:tcPr>
          <w:p>
            <w:pPr>
              <w:spacing w:after="0"/>
              <w:rPr>
                <w:sz w:val="21"/>
                <w:szCs w:val="21"/>
                <w:color w:val="auto"/>
              </w:rPr>
            </w:pPr>
          </w:p>
        </w:tc>
        <w:tc>
          <w:tcPr>
            <w:tcW w:w="3220" w:type="dxa"/>
            <w:vAlign w:val="bottom"/>
          </w:tcPr>
          <w:p>
            <w:pPr>
              <w:jc w:val="right"/>
              <w:ind w:right="12"/>
              <w:spacing w:after="0"/>
              <w:rPr>
                <w:sz w:val="20"/>
                <w:szCs w:val="20"/>
                <w:color w:val="auto"/>
              </w:rPr>
            </w:pPr>
            <w:r>
              <w:rPr>
                <w:rFonts w:ascii="Arial" w:cs="Arial" w:eastAsia="Arial" w:hAnsi="Arial"/>
                <w:sz w:val="18"/>
                <w:szCs w:val="18"/>
                <w:color w:val="auto"/>
              </w:rPr>
              <w:t>115,428</w:t>
            </w:r>
          </w:p>
        </w:tc>
      </w:tr>
      <w:tr>
        <w:trPr>
          <w:trHeight w:val="27"/>
        </w:trPr>
        <w:tc>
          <w:tcPr>
            <w:tcW w:w="7640" w:type="dxa"/>
            <w:vAlign w:val="bottom"/>
          </w:tcPr>
          <w:p>
            <w:pPr>
              <w:spacing w:after="0"/>
              <w:rPr>
                <w:sz w:val="2"/>
                <w:szCs w:val="2"/>
                <w:color w:val="auto"/>
              </w:rPr>
            </w:pPr>
          </w:p>
        </w:tc>
        <w:tc>
          <w:tcPr>
            <w:tcW w:w="5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Acquired intangible assets</w:t>
            </w:r>
          </w:p>
        </w:tc>
        <w:tc>
          <w:tcPr>
            <w:tcW w:w="520" w:type="dxa"/>
            <w:vAlign w:val="bottom"/>
            <w:tcBorders>
              <w:bottom w:val="single" w:sz="8" w:color="CCEEFF"/>
            </w:tcBorders>
            <w:shd w:val="clear" w:color="auto" w:fill="CCEEFF"/>
          </w:tcPr>
          <w:p>
            <w:pPr>
              <w:spacing w:after="0"/>
              <w:rPr>
                <w:sz w:val="21"/>
                <w:szCs w:val="21"/>
                <w:color w:val="auto"/>
              </w:rPr>
            </w:pPr>
          </w:p>
        </w:tc>
        <w:tc>
          <w:tcPr>
            <w:tcW w:w="3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2,744,000</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520" w:type="dxa"/>
            <w:vAlign w:val="bottom"/>
          </w:tcPr>
          <w:p>
            <w:pPr>
              <w:spacing w:after="0"/>
              <w:rPr>
                <w:sz w:val="21"/>
                <w:szCs w:val="21"/>
                <w:color w:val="auto"/>
              </w:rPr>
            </w:pPr>
          </w:p>
        </w:tc>
        <w:tc>
          <w:tcPr>
            <w:tcW w:w="3220" w:type="dxa"/>
            <w:vAlign w:val="bottom"/>
          </w:tcPr>
          <w:p>
            <w:pPr>
              <w:jc w:val="right"/>
              <w:ind w:right="12"/>
              <w:spacing w:after="0"/>
              <w:rPr>
                <w:sz w:val="20"/>
                <w:szCs w:val="20"/>
                <w:color w:val="auto"/>
              </w:rPr>
            </w:pPr>
            <w:r>
              <w:rPr>
                <w:rFonts w:ascii="Arial" w:cs="Arial" w:eastAsia="Arial" w:hAnsi="Arial"/>
                <w:sz w:val="18"/>
                <w:szCs w:val="18"/>
                <w:color w:val="auto"/>
              </w:rPr>
              <w:t>89,139</w:t>
            </w:r>
          </w:p>
        </w:tc>
      </w:tr>
      <w:tr>
        <w:trPr>
          <w:trHeight w:val="27"/>
        </w:trPr>
        <w:tc>
          <w:tcPr>
            <w:tcW w:w="7640" w:type="dxa"/>
            <w:vAlign w:val="bottom"/>
          </w:tcPr>
          <w:p>
            <w:pPr>
              <w:spacing w:after="0"/>
              <w:rPr>
                <w:sz w:val="2"/>
                <w:szCs w:val="2"/>
                <w:color w:val="auto"/>
              </w:rPr>
            </w:pPr>
          </w:p>
        </w:tc>
        <w:tc>
          <w:tcPr>
            <w:tcW w:w="5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520" w:type="dxa"/>
            <w:vAlign w:val="bottom"/>
            <w:tcBorders>
              <w:bottom w:val="single" w:sz="8" w:color="CCEEFF"/>
            </w:tcBorders>
            <w:shd w:val="clear" w:color="auto" w:fill="CCEEFF"/>
          </w:tcPr>
          <w:p>
            <w:pPr>
              <w:spacing w:after="0"/>
              <w:rPr>
                <w:sz w:val="21"/>
                <w:szCs w:val="21"/>
                <w:color w:val="auto"/>
              </w:rPr>
            </w:pPr>
          </w:p>
        </w:tc>
        <w:tc>
          <w:tcPr>
            <w:tcW w:w="3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3,501,195</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Accounts payable</w:t>
            </w:r>
          </w:p>
        </w:tc>
        <w:tc>
          <w:tcPr>
            <w:tcW w:w="520" w:type="dxa"/>
            <w:vAlign w:val="bottom"/>
          </w:tcPr>
          <w:p>
            <w:pPr>
              <w:spacing w:after="0"/>
              <w:rPr>
                <w:sz w:val="21"/>
                <w:szCs w:val="21"/>
                <w:color w:val="auto"/>
              </w:rPr>
            </w:pPr>
          </w:p>
        </w:tc>
        <w:tc>
          <w:tcPr>
            <w:tcW w:w="3220" w:type="dxa"/>
            <w:vAlign w:val="bottom"/>
          </w:tcPr>
          <w:p>
            <w:pPr>
              <w:jc w:val="right"/>
              <w:spacing w:after="0"/>
              <w:rPr>
                <w:sz w:val="20"/>
                <w:szCs w:val="20"/>
                <w:color w:val="auto"/>
              </w:rPr>
            </w:pPr>
            <w:r>
              <w:rPr>
                <w:rFonts w:ascii="Arial" w:cs="Arial" w:eastAsia="Arial" w:hAnsi="Arial"/>
                <w:sz w:val="18"/>
                <w:szCs w:val="18"/>
                <w:color w:val="auto"/>
              </w:rPr>
              <w:t>(52,383)</w:t>
            </w:r>
          </w:p>
        </w:tc>
      </w:tr>
      <w:tr>
        <w:trPr>
          <w:trHeight w:val="27"/>
        </w:trPr>
        <w:tc>
          <w:tcPr>
            <w:tcW w:w="7640" w:type="dxa"/>
            <w:vAlign w:val="bottom"/>
          </w:tcPr>
          <w:p>
            <w:pPr>
              <w:spacing w:after="0"/>
              <w:rPr>
                <w:sz w:val="2"/>
                <w:szCs w:val="2"/>
                <w:color w:val="auto"/>
              </w:rPr>
            </w:pPr>
          </w:p>
        </w:tc>
        <w:tc>
          <w:tcPr>
            <w:tcW w:w="5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Accrued liabilities</w:t>
            </w:r>
          </w:p>
        </w:tc>
        <w:tc>
          <w:tcPr>
            <w:tcW w:w="520" w:type="dxa"/>
            <w:vAlign w:val="bottom"/>
            <w:tcBorders>
              <w:bottom w:val="single" w:sz="8" w:color="CCEEFF"/>
            </w:tcBorders>
            <w:shd w:val="clear" w:color="auto" w:fill="CCEEFF"/>
          </w:tcPr>
          <w:p>
            <w:pPr>
              <w:spacing w:after="0"/>
              <w:rPr>
                <w:sz w:val="21"/>
                <w:szCs w:val="21"/>
                <w:color w:val="auto"/>
              </w:rPr>
            </w:pPr>
          </w:p>
        </w:tc>
        <w:tc>
          <w:tcPr>
            <w:tcW w:w="3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(126,007)</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Accrued employee compensation</w:t>
            </w:r>
          </w:p>
        </w:tc>
        <w:tc>
          <w:tcPr>
            <w:tcW w:w="520" w:type="dxa"/>
            <w:vAlign w:val="bottom"/>
          </w:tcPr>
          <w:p>
            <w:pPr>
              <w:spacing w:after="0"/>
              <w:rPr>
                <w:sz w:val="21"/>
                <w:szCs w:val="21"/>
                <w:color w:val="auto"/>
              </w:rPr>
            </w:pPr>
          </w:p>
        </w:tc>
        <w:tc>
          <w:tcPr>
            <w:tcW w:w="3220" w:type="dxa"/>
            <w:vAlign w:val="bottom"/>
          </w:tcPr>
          <w:p>
            <w:pPr>
              <w:jc w:val="right"/>
              <w:spacing w:after="0"/>
              <w:rPr>
                <w:sz w:val="20"/>
                <w:szCs w:val="20"/>
                <w:color w:val="auto"/>
              </w:rPr>
            </w:pPr>
            <w:r>
              <w:rPr>
                <w:rFonts w:ascii="Arial" w:cs="Arial" w:eastAsia="Arial" w:hAnsi="Arial"/>
                <w:sz w:val="18"/>
                <w:szCs w:val="18"/>
                <w:color w:val="auto"/>
              </w:rPr>
              <w:t>(34,813)</w:t>
            </w:r>
          </w:p>
        </w:tc>
      </w:tr>
      <w:tr>
        <w:trPr>
          <w:trHeight w:val="27"/>
        </w:trPr>
        <w:tc>
          <w:tcPr>
            <w:tcW w:w="7640" w:type="dxa"/>
            <w:vAlign w:val="bottom"/>
          </w:tcPr>
          <w:p>
            <w:pPr>
              <w:spacing w:after="0"/>
              <w:rPr>
                <w:sz w:val="2"/>
                <w:szCs w:val="2"/>
                <w:color w:val="auto"/>
              </w:rPr>
            </w:pPr>
          </w:p>
        </w:tc>
        <w:tc>
          <w:tcPr>
            <w:tcW w:w="5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Deferred income</w:t>
            </w:r>
          </w:p>
        </w:tc>
        <w:tc>
          <w:tcPr>
            <w:tcW w:w="520" w:type="dxa"/>
            <w:vAlign w:val="bottom"/>
            <w:tcBorders>
              <w:bottom w:val="single" w:sz="8" w:color="CCEEFF"/>
            </w:tcBorders>
            <w:shd w:val="clear" w:color="auto" w:fill="CCEEFF"/>
          </w:tcPr>
          <w:p>
            <w:pPr>
              <w:spacing w:after="0"/>
              <w:rPr>
                <w:sz w:val="21"/>
                <w:szCs w:val="21"/>
                <w:color w:val="auto"/>
              </w:rPr>
            </w:pPr>
          </w:p>
        </w:tc>
        <w:tc>
          <w:tcPr>
            <w:tcW w:w="3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(2,466)</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Current portion of long-term debt</w:t>
            </w:r>
          </w:p>
        </w:tc>
        <w:tc>
          <w:tcPr>
            <w:tcW w:w="520" w:type="dxa"/>
            <w:vAlign w:val="bottom"/>
          </w:tcPr>
          <w:p>
            <w:pPr>
              <w:spacing w:after="0"/>
              <w:rPr>
                <w:sz w:val="21"/>
                <w:szCs w:val="21"/>
                <w:color w:val="auto"/>
              </w:rPr>
            </w:pPr>
          </w:p>
        </w:tc>
        <w:tc>
          <w:tcPr>
            <w:tcW w:w="3220" w:type="dxa"/>
            <w:vAlign w:val="bottom"/>
          </w:tcPr>
          <w:p>
            <w:pPr>
              <w:jc w:val="right"/>
              <w:spacing w:after="0"/>
              <w:rPr>
                <w:sz w:val="20"/>
                <w:szCs w:val="20"/>
                <w:color w:val="auto"/>
              </w:rPr>
            </w:pPr>
            <w:r>
              <w:rPr>
                <w:rFonts w:ascii="Arial" w:cs="Arial" w:eastAsia="Arial" w:hAnsi="Arial"/>
                <w:sz w:val="18"/>
                <w:szCs w:val="18"/>
                <w:color w:val="auto"/>
              </w:rPr>
              <w:t>(6,123)</w:t>
            </w:r>
          </w:p>
        </w:tc>
      </w:tr>
      <w:tr>
        <w:trPr>
          <w:trHeight w:val="27"/>
        </w:trPr>
        <w:tc>
          <w:tcPr>
            <w:tcW w:w="7640" w:type="dxa"/>
            <w:vAlign w:val="bottom"/>
          </w:tcPr>
          <w:p>
            <w:pPr>
              <w:spacing w:after="0"/>
              <w:rPr>
                <w:sz w:val="2"/>
                <w:szCs w:val="2"/>
                <w:color w:val="auto"/>
              </w:rPr>
            </w:pPr>
          </w:p>
        </w:tc>
        <w:tc>
          <w:tcPr>
            <w:tcW w:w="5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Liabilities held for sale</w:t>
            </w:r>
          </w:p>
        </w:tc>
        <w:tc>
          <w:tcPr>
            <w:tcW w:w="520" w:type="dxa"/>
            <w:vAlign w:val="bottom"/>
            <w:tcBorders>
              <w:bottom w:val="single" w:sz="8" w:color="CCEEFF"/>
            </w:tcBorders>
            <w:shd w:val="clear" w:color="auto" w:fill="CCEEFF"/>
          </w:tcPr>
          <w:p>
            <w:pPr>
              <w:spacing w:after="0"/>
              <w:rPr>
                <w:sz w:val="21"/>
                <w:szCs w:val="21"/>
                <w:color w:val="auto"/>
              </w:rPr>
            </w:pPr>
          </w:p>
        </w:tc>
        <w:tc>
          <w:tcPr>
            <w:tcW w:w="3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(3,032)</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520" w:type="dxa"/>
            <w:vAlign w:val="bottom"/>
          </w:tcPr>
          <w:p>
            <w:pPr>
              <w:spacing w:after="0"/>
              <w:rPr>
                <w:sz w:val="21"/>
                <w:szCs w:val="21"/>
                <w:color w:val="auto"/>
              </w:rPr>
            </w:pPr>
          </w:p>
        </w:tc>
        <w:tc>
          <w:tcPr>
            <w:tcW w:w="3220" w:type="dxa"/>
            <w:vAlign w:val="bottom"/>
          </w:tcPr>
          <w:p>
            <w:pPr>
              <w:jc w:val="right"/>
              <w:spacing w:after="0"/>
              <w:rPr>
                <w:sz w:val="20"/>
                <w:szCs w:val="20"/>
                <w:color w:val="auto"/>
              </w:rPr>
            </w:pPr>
            <w:r>
              <w:rPr>
                <w:rFonts w:ascii="Arial" w:cs="Arial" w:eastAsia="Arial" w:hAnsi="Arial"/>
                <w:sz w:val="18"/>
                <w:szCs w:val="18"/>
                <w:color w:val="auto"/>
              </w:rPr>
              <w:t>(600,005)</w:t>
            </w:r>
          </w:p>
        </w:tc>
      </w:tr>
      <w:tr>
        <w:trPr>
          <w:trHeight w:val="27"/>
        </w:trPr>
        <w:tc>
          <w:tcPr>
            <w:tcW w:w="7640" w:type="dxa"/>
            <w:vAlign w:val="bottom"/>
          </w:tcPr>
          <w:p>
            <w:pPr>
              <w:spacing w:after="0"/>
              <w:rPr>
                <w:sz w:val="2"/>
                <w:szCs w:val="2"/>
                <w:color w:val="auto"/>
              </w:rPr>
            </w:pPr>
          </w:p>
        </w:tc>
        <w:tc>
          <w:tcPr>
            <w:tcW w:w="5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Non-current income taxes payable</w:t>
            </w:r>
          </w:p>
        </w:tc>
        <w:tc>
          <w:tcPr>
            <w:tcW w:w="520" w:type="dxa"/>
            <w:vAlign w:val="bottom"/>
            <w:tcBorders>
              <w:bottom w:val="single" w:sz="8" w:color="CCEEFF"/>
            </w:tcBorders>
            <w:shd w:val="clear" w:color="auto" w:fill="CCEEFF"/>
          </w:tcPr>
          <w:p>
            <w:pPr>
              <w:spacing w:after="0"/>
              <w:rPr>
                <w:sz w:val="21"/>
                <w:szCs w:val="21"/>
                <w:color w:val="auto"/>
              </w:rPr>
            </w:pPr>
          </w:p>
        </w:tc>
        <w:tc>
          <w:tcPr>
            <w:tcW w:w="3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(8,454)</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Deferred tax liabilities</w:t>
            </w:r>
          </w:p>
        </w:tc>
        <w:tc>
          <w:tcPr>
            <w:tcW w:w="520" w:type="dxa"/>
            <w:vAlign w:val="bottom"/>
          </w:tcPr>
          <w:p>
            <w:pPr>
              <w:spacing w:after="0"/>
              <w:rPr>
                <w:sz w:val="21"/>
                <w:szCs w:val="21"/>
                <w:color w:val="auto"/>
              </w:rPr>
            </w:pPr>
          </w:p>
        </w:tc>
        <w:tc>
          <w:tcPr>
            <w:tcW w:w="3220" w:type="dxa"/>
            <w:vAlign w:val="bottom"/>
          </w:tcPr>
          <w:p>
            <w:pPr>
              <w:jc w:val="right"/>
              <w:spacing w:after="0"/>
              <w:rPr>
                <w:sz w:val="20"/>
                <w:szCs w:val="20"/>
                <w:color w:val="auto"/>
              </w:rPr>
            </w:pPr>
            <w:r>
              <w:rPr>
                <w:rFonts w:ascii="Arial" w:cs="Arial" w:eastAsia="Arial" w:hAnsi="Arial"/>
                <w:sz w:val="18"/>
                <w:szCs w:val="18"/>
                <w:color w:val="auto"/>
              </w:rPr>
              <w:t>(82,994)</w:t>
            </w:r>
          </w:p>
        </w:tc>
      </w:tr>
      <w:tr>
        <w:trPr>
          <w:trHeight w:val="27"/>
        </w:trPr>
        <w:tc>
          <w:tcPr>
            <w:tcW w:w="7640" w:type="dxa"/>
            <w:vAlign w:val="bottom"/>
          </w:tcPr>
          <w:p>
            <w:pPr>
              <w:spacing w:after="0"/>
              <w:rPr>
                <w:sz w:val="2"/>
                <w:szCs w:val="2"/>
                <w:color w:val="auto"/>
              </w:rPr>
            </w:pPr>
          </w:p>
        </w:tc>
        <w:tc>
          <w:tcPr>
            <w:tcW w:w="520" w:type="dxa"/>
            <w:vAlign w:val="bottom"/>
          </w:tcPr>
          <w:p>
            <w:pPr>
              <w:spacing w:after="0"/>
              <w:rPr>
                <w:sz w:val="2"/>
                <w:szCs w:val="2"/>
                <w:color w:val="auto"/>
              </w:rPr>
            </w:pPr>
          </w:p>
        </w:tc>
        <w:tc>
          <w:tcPr>
            <w:tcW w:w="3220" w:type="dxa"/>
            <w:vAlign w:val="bottom"/>
          </w:tcPr>
          <w:p>
            <w:pPr>
              <w:spacing w:after="0"/>
              <w:rPr>
                <w:sz w:val="2"/>
                <w:szCs w:val="2"/>
                <w:color w:val="auto"/>
              </w:rPr>
            </w:pPr>
          </w:p>
        </w:tc>
      </w:tr>
      <w:tr>
        <w:trPr>
          <w:trHeight w:val="27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520" w:type="dxa"/>
            <w:vAlign w:val="bottom"/>
            <w:tcBorders>
              <w:bottom w:val="single" w:sz="8" w:color="CCEEFF"/>
            </w:tcBorders>
            <w:shd w:val="clear" w:color="auto" w:fill="CCEEFF"/>
          </w:tcPr>
          <w:p>
            <w:pPr>
              <w:spacing w:after="0"/>
              <w:rPr>
                <w:sz w:val="23"/>
                <w:szCs w:val="23"/>
                <w:color w:val="auto"/>
              </w:rPr>
            </w:pPr>
          </w:p>
        </w:tc>
        <w:tc>
          <w:tcPr>
            <w:tcW w:w="3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(16,099)</w:t>
            </w:r>
          </w:p>
        </w:tc>
      </w:tr>
      <w:tr>
        <w:trPr>
          <w:trHeight w:val="257"/>
        </w:trPr>
        <w:tc>
          <w:tcPr>
            <w:tcW w:w="7640" w:type="dxa"/>
            <w:vAlign w:val="bottom"/>
          </w:tcPr>
          <w:p>
            <w:pPr>
              <w:ind w:left="20"/>
              <w:spacing w:after="0"/>
              <w:rPr>
                <w:sz w:val="20"/>
                <w:szCs w:val="20"/>
                <w:color w:val="auto"/>
              </w:rPr>
            </w:pPr>
            <w:r>
              <w:rPr>
                <w:rFonts w:ascii="Arial" w:cs="Arial" w:eastAsia="Arial" w:hAnsi="Arial"/>
                <w:sz w:val="18"/>
                <w:szCs w:val="18"/>
                <w:color w:val="auto"/>
              </w:rPr>
              <w:t>Total merger consideration</w:t>
            </w:r>
          </w:p>
        </w:tc>
        <w:tc>
          <w:tcPr>
            <w:tcW w:w="520" w:type="dxa"/>
            <w:vAlign w:val="bottom"/>
            <w:tcBorders>
              <w:top w:val="single" w:sz="8" w:color="auto"/>
              <w:bottom w:val="single" w:sz="8" w:color="auto"/>
            </w:tcBorders>
          </w:tcPr>
          <w:p>
            <w:pPr>
              <w:jc w:val="right"/>
              <w:ind w:right="330"/>
              <w:spacing w:after="0"/>
              <w:rPr>
                <w:sz w:val="20"/>
                <w:szCs w:val="20"/>
                <w:color w:val="auto"/>
              </w:rPr>
            </w:pPr>
            <w:r>
              <w:rPr>
                <w:rFonts w:ascii="Arial" w:cs="Arial" w:eastAsia="Arial" w:hAnsi="Arial"/>
                <w:sz w:val="18"/>
                <w:szCs w:val="18"/>
                <w:color w:val="auto"/>
                <w:w w:val="79"/>
              </w:rPr>
              <w:t>$</w:t>
            </w:r>
          </w:p>
        </w:tc>
        <w:tc>
          <w:tcPr>
            <w:tcW w:w="3220" w:type="dxa"/>
            <w:vAlign w:val="bottom"/>
            <w:tcBorders>
              <w:top w:val="single" w:sz="8" w:color="auto"/>
              <w:bottom w:val="single" w:sz="8" w:color="auto"/>
            </w:tcBorders>
          </w:tcPr>
          <w:p>
            <w:pPr>
              <w:jc w:val="right"/>
              <w:ind w:right="12"/>
              <w:spacing w:after="0"/>
              <w:rPr>
                <w:sz w:val="20"/>
                <w:szCs w:val="20"/>
                <w:color w:val="auto"/>
              </w:rPr>
            </w:pPr>
            <w:r>
              <w:rPr>
                <w:rFonts w:ascii="Arial" w:cs="Arial" w:eastAsia="Arial" w:hAnsi="Arial"/>
                <w:sz w:val="18"/>
                <w:szCs w:val="18"/>
                <w:color w:val="auto"/>
              </w:rPr>
              <w:t>6,161,796</w:t>
            </w:r>
          </w:p>
        </w:tc>
      </w:tr>
      <w:tr>
        <w:trPr>
          <w:trHeight w:val="20"/>
        </w:trPr>
        <w:tc>
          <w:tcPr>
            <w:tcW w:w="7640" w:type="dxa"/>
            <w:vAlign w:val="bottom"/>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3220" w:type="dxa"/>
            <w:vAlign w:val="bottom"/>
            <w:tcBorders>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right="180" w:firstLine="405"/>
        <w:spacing w:after="0" w:line="308" w:lineRule="auto"/>
        <w:rPr>
          <w:sz w:val="20"/>
          <w:szCs w:val="20"/>
          <w:color w:val="auto"/>
        </w:rPr>
      </w:pPr>
      <w:r>
        <w:rPr>
          <w:rFonts w:ascii="Arial" w:cs="Arial" w:eastAsia="Arial" w:hAnsi="Arial"/>
          <w:sz w:val="17"/>
          <w:szCs w:val="17"/>
          <w:color w:val="auto"/>
        </w:rPr>
        <w:t>The provisional amounts presented in the table above pertained to the preliminary purchase price allocation reported in the Company’s Form 10-K for the year ended February 2, 2019. There have been no measurement period adjustments during the three months ended May 4, 2019.</w:t>
      </w:r>
    </w:p>
    <w:p>
      <w:pPr>
        <w:spacing w:after="0" w:line="160" w:lineRule="exact"/>
        <w:rPr>
          <w:sz w:val="20"/>
          <w:szCs w:val="20"/>
          <w:color w:val="auto"/>
        </w:rPr>
      </w:pPr>
    </w:p>
    <w:p>
      <w:pPr>
        <w:ind w:right="120" w:firstLine="405"/>
        <w:spacing w:after="0" w:line="297" w:lineRule="auto"/>
        <w:rPr>
          <w:sz w:val="20"/>
          <w:szCs w:val="20"/>
          <w:color w:val="auto"/>
        </w:rPr>
      </w:pPr>
      <w:r>
        <w:rPr>
          <w:rFonts w:ascii="Arial" w:cs="Arial" w:eastAsia="Arial" w:hAnsi="Arial"/>
          <w:sz w:val="16"/>
          <w:szCs w:val="16"/>
          <w:color w:val="auto"/>
        </w:rPr>
        <w:t>The Company incurred total acquisition related costs of $53.7 million. The Company also incurred $22.8 million of debt financing costs. As of May 4, 2019, $0.4 million associated with the Revolving Credit Facility was classified in prepaid expenses and other current assets, $1.2 million associated with the Revolving Credit Facility was classified in other non-current assets, and $9.2 million associated with the term loan and senior notes was classified in long-term debt in the condensed consolidated balance sheet. See “Note 8. Debt” for additional information. Additionally, the Company incurred $2.9 million of equity issuance costs, which were recorded in additional paid-in capital in the condensed consolidated balance sheet.</w:t>
      </w:r>
    </w:p>
    <w:p>
      <w:pPr>
        <w:spacing w:after="0" w:line="29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117" w:lineRule="exact"/>
        <w:rPr>
          <w:sz w:val="20"/>
          <w:szCs w:val="20"/>
          <w:color w:val="auto"/>
        </w:rPr>
      </w:pPr>
    </w:p>
    <w:p>
      <w:pPr>
        <w:ind w:right="40" w:firstLine="405"/>
        <w:spacing w:after="0" w:line="279"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 are reasonable under the circumstances.</w:t>
      </w:r>
    </w:p>
    <w:p>
      <w:pPr>
        <w:spacing w:after="0" w:line="200" w:lineRule="exact"/>
        <w:rPr>
          <w:sz w:val="20"/>
          <w:szCs w:val="20"/>
          <w:color w:val="auto"/>
        </w:rPr>
      </w:pPr>
    </w:p>
    <w:p>
      <w:pPr>
        <w:spacing w:after="0" w:line="3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00"/>
          </w:cols>
          <w:pgMar w:left="240" w:top="130" w:right="259" w:bottom="1440" w:gutter="0" w:footer="0" w:header="0"/>
        </w:sectPr>
      </w:pPr>
    </w:p>
    <w:bookmarkStart w:id="11" w:name="page12"/>
    <w:bookmarkEnd w:id="1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right="80" w:firstLine="405"/>
        <w:spacing w:after="0" w:line="273" w:lineRule="auto"/>
        <w:rPr>
          <w:sz w:val="20"/>
          <w:szCs w:val="20"/>
          <w:color w:val="auto"/>
        </w:rPr>
      </w:pPr>
      <w:r>
        <w:rPr>
          <w:rFonts w:ascii="Arial" w:cs="Arial" w:eastAsia="Arial" w:hAnsi="Arial"/>
          <w:sz w:val="17"/>
          <w:szCs w:val="17"/>
          <w:color w:val="auto"/>
        </w:rPr>
        <w:t>The following unaudited supplemental pro forma information presents the combined results of operations for the period presented, as if Cavium had been acquired as of the beginning of fiscal year 2018. The unaudited supplemental pro forma information includes adjustments to amortization and depreciation for acquired intangible assets and property and equipment, adjustments to share-based compensation expense, the purchase accounting effect on inventories acquired, interest expense, and transaction costs. The unaudited supplemental pro forma information presented below is for informational purposes only and is not necessarily indicative of our consolidated results of operations of the combined business had the Cavium acquisition actually occurred at the beginning of fiscal year 2018 or of the results of our future operations of the combined business.</w:t>
      </w:r>
    </w:p>
    <w:p>
      <w:pPr>
        <w:spacing w:after="0" w:line="19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unaudited supplemental pro forma financial information for the period presented is as follows (in thousands):</w:t>
      </w:r>
    </w:p>
    <w:p>
      <w:pPr>
        <w:spacing w:after="0" w:line="200" w:lineRule="exact"/>
        <w:rPr>
          <w:sz w:val="20"/>
          <w:szCs w:val="20"/>
          <w:color w:val="auto"/>
        </w:rPr>
      </w:pPr>
    </w:p>
    <w:p>
      <w:pPr>
        <w:spacing w:after="0" w:line="260" w:lineRule="exact"/>
        <w:rPr>
          <w:sz w:val="20"/>
          <w:szCs w:val="20"/>
          <w:color w:val="auto"/>
        </w:rPr>
      </w:pPr>
    </w:p>
    <w:tbl>
      <w:tblPr>
        <w:tblLayout w:type="fixed"/>
        <w:tblInd w:w="20" w:type="dxa"/>
        <w:tblCellMar>
          <w:top w:w="0" w:type="dxa"/>
          <w:left w:w="0" w:type="dxa"/>
          <w:bottom w:w="0" w:type="dxa"/>
          <w:right w:w="0" w:type="dxa"/>
        </w:tblCellMar>
      </w:tblPr>
      <w:tr>
        <w:trPr>
          <w:trHeight w:val="186"/>
        </w:trPr>
        <w:tc>
          <w:tcPr>
            <w:tcW w:w="76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3060" w:type="dxa"/>
            <w:vAlign w:val="bottom"/>
          </w:tcPr>
          <w:p>
            <w:pPr>
              <w:jc w:val="right"/>
              <w:ind w:right="1159"/>
              <w:spacing w:after="0"/>
              <w:rPr>
                <w:sz w:val="20"/>
                <w:szCs w:val="20"/>
                <w:color w:val="auto"/>
              </w:rPr>
            </w:pPr>
            <w:r>
              <w:rPr>
                <w:rFonts w:ascii="Arial" w:cs="Arial" w:eastAsia="Arial" w:hAnsi="Arial"/>
                <w:sz w:val="14"/>
                <w:szCs w:val="14"/>
                <w:b w:val="1"/>
                <w:bCs w:val="1"/>
                <w:color w:val="auto"/>
              </w:rPr>
              <w:t>Three months ended</w:t>
            </w:r>
          </w:p>
        </w:tc>
      </w:tr>
      <w:tr>
        <w:trPr>
          <w:trHeight w:val="276"/>
        </w:trPr>
        <w:tc>
          <w:tcPr>
            <w:tcW w:w="7640" w:type="dxa"/>
            <w:vAlign w:val="bottom"/>
            <w:tcBorders>
              <w:bottom w:val="single" w:sz="8" w:color="CCEEFF"/>
            </w:tcBorders>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3060" w:type="dxa"/>
            <w:vAlign w:val="bottom"/>
            <w:tcBorders>
              <w:bottom w:val="single" w:sz="8" w:color="auto"/>
            </w:tcBorders>
          </w:tcPr>
          <w:p>
            <w:pPr>
              <w:jc w:val="right"/>
              <w:ind w:right="1419"/>
              <w:spacing w:after="0"/>
              <w:rPr>
                <w:sz w:val="20"/>
                <w:szCs w:val="20"/>
                <w:color w:val="auto"/>
              </w:rPr>
            </w:pPr>
            <w:r>
              <w:rPr>
                <w:rFonts w:ascii="Arial" w:cs="Arial" w:eastAsia="Arial" w:hAnsi="Arial"/>
                <w:sz w:val="14"/>
                <w:szCs w:val="14"/>
                <w:b w:val="1"/>
                <w:bCs w:val="1"/>
                <w:color w:val="auto"/>
              </w:rPr>
              <w:t>May 5, 2018</w:t>
            </w: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shd w:val="clear" w:color="auto" w:fill="CCEEFF"/>
              </w:rPr>
              <w:t>Pro forma net revenue</w:t>
            </w:r>
          </w:p>
        </w:tc>
        <w:tc>
          <w:tcPr>
            <w:tcW w:w="680" w:type="dxa"/>
            <w:vAlign w:val="bottom"/>
            <w:tcBorders>
              <w:bottom w:val="single" w:sz="8" w:color="CCEEFF"/>
            </w:tcBorders>
            <w:shd w:val="clear" w:color="auto" w:fill="CCEEFF"/>
          </w:tcPr>
          <w:p>
            <w:pPr>
              <w:jc w:val="right"/>
              <w:ind w:right="490"/>
              <w:spacing w:after="0"/>
              <w:rPr>
                <w:sz w:val="20"/>
                <w:szCs w:val="20"/>
                <w:color w:val="auto"/>
              </w:rPr>
            </w:pPr>
            <w:r>
              <w:rPr>
                <w:rFonts w:ascii="Arial" w:cs="Arial" w:eastAsia="Arial" w:hAnsi="Arial"/>
                <w:sz w:val="18"/>
                <w:szCs w:val="18"/>
                <w:color w:val="auto"/>
                <w:w w:val="79"/>
              </w:rPr>
              <w:t>$</w:t>
            </w:r>
          </w:p>
        </w:tc>
        <w:tc>
          <w:tcPr>
            <w:tcW w:w="30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835,392</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Pro forma net income</w:t>
            </w:r>
          </w:p>
        </w:tc>
        <w:tc>
          <w:tcPr>
            <w:tcW w:w="680" w:type="dxa"/>
            <w:vAlign w:val="bottom"/>
          </w:tcPr>
          <w:p>
            <w:pPr>
              <w:jc w:val="right"/>
              <w:ind w:right="490"/>
              <w:spacing w:after="0"/>
              <w:rPr>
                <w:sz w:val="20"/>
                <w:szCs w:val="20"/>
                <w:color w:val="auto"/>
              </w:rPr>
            </w:pPr>
            <w:r>
              <w:rPr>
                <w:rFonts w:ascii="Arial" w:cs="Arial" w:eastAsia="Arial" w:hAnsi="Arial"/>
                <w:sz w:val="18"/>
                <w:szCs w:val="18"/>
                <w:color w:val="auto"/>
                <w:w w:val="79"/>
              </w:rPr>
              <w:t>$</w:t>
            </w:r>
          </w:p>
        </w:tc>
        <w:tc>
          <w:tcPr>
            <w:tcW w:w="3060" w:type="dxa"/>
            <w:vAlign w:val="bottom"/>
          </w:tcPr>
          <w:p>
            <w:pPr>
              <w:jc w:val="right"/>
              <w:ind w:right="19"/>
              <w:spacing w:after="0"/>
              <w:rPr>
                <w:sz w:val="20"/>
                <w:szCs w:val="20"/>
                <w:color w:val="auto"/>
              </w:rPr>
            </w:pPr>
            <w:r>
              <w:rPr>
                <w:rFonts w:ascii="Arial" w:cs="Arial" w:eastAsia="Arial" w:hAnsi="Arial"/>
                <w:sz w:val="18"/>
                <w:szCs w:val="18"/>
                <w:color w:val="auto"/>
              </w:rPr>
              <w:t>52,065</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Supplemental Financial Information (in thousands)</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b w:val="1"/>
          <w:bCs w:val="1"/>
          <w:color w:val="auto"/>
        </w:rPr>
        <w:t>Consolidated Balance Sheets</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280" w:type="dxa"/>
            <w:vAlign w:val="bottom"/>
            <w:gridSpan w:val="2"/>
          </w:tcPr>
          <w:p>
            <w:pPr>
              <w:ind w:left="200"/>
              <w:spacing w:after="0"/>
              <w:rPr>
                <w:sz w:val="20"/>
                <w:szCs w:val="20"/>
                <w:color w:val="auto"/>
              </w:rPr>
            </w:pPr>
            <w:r>
              <w:rPr>
                <w:rFonts w:ascii="Arial" w:cs="Arial" w:eastAsia="Arial" w:hAnsi="Arial"/>
                <w:sz w:val="14"/>
                <w:szCs w:val="14"/>
                <w:b w:val="1"/>
                <w:bCs w:val="1"/>
                <w:color w:val="auto"/>
              </w:rPr>
              <w:t>May 4,</w:t>
            </w:r>
          </w:p>
        </w:tc>
        <w:tc>
          <w:tcPr>
            <w:tcW w:w="240" w:type="dxa"/>
            <w:vAlign w:val="bottom"/>
          </w:tcPr>
          <w:p>
            <w:pPr>
              <w:spacing w:after="0"/>
              <w:rPr>
                <w:sz w:val="14"/>
                <w:szCs w:val="14"/>
                <w:color w:val="auto"/>
              </w:rPr>
            </w:pPr>
          </w:p>
        </w:tc>
        <w:tc>
          <w:tcPr>
            <w:tcW w:w="1240" w:type="dxa"/>
            <w:vAlign w:val="bottom"/>
          </w:tcPr>
          <w:p>
            <w:pPr>
              <w:jc w:val="right"/>
              <w:ind w:right="317"/>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832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2019</w:t>
            </w: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Inventories:</w:t>
            </w:r>
          </w:p>
        </w:tc>
        <w:tc>
          <w:tcPr>
            <w:tcW w:w="3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Work-in-process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ind w:right="37"/>
              <w:spacing w:after="0"/>
              <w:rPr>
                <w:sz w:val="20"/>
                <w:szCs w:val="20"/>
                <w:color w:val="auto"/>
              </w:rPr>
            </w:pPr>
            <w:r>
              <w:rPr>
                <w:rFonts w:ascii="Arial" w:cs="Arial" w:eastAsia="Arial" w:hAnsi="Arial"/>
                <w:sz w:val="18"/>
                <w:szCs w:val="18"/>
                <w:color w:val="auto"/>
              </w:rPr>
              <w:t>171,695</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7"/>
              <w:spacing w:after="0"/>
              <w:rPr>
                <w:sz w:val="20"/>
                <w:szCs w:val="20"/>
                <w:color w:val="auto"/>
              </w:rPr>
            </w:pPr>
            <w:r>
              <w:rPr>
                <w:rFonts w:ascii="Arial" w:cs="Arial" w:eastAsia="Arial" w:hAnsi="Arial"/>
                <w:sz w:val="18"/>
                <w:szCs w:val="18"/>
                <w:color w:val="auto"/>
              </w:rPr>
              <w:t>162,384</w:t>
            </w:r>
          </w:p>
        </w:tc>
      </w:tr>
      <w:tr>
        <w:trPr>
          <w:trHeight w:val="27"/>
        </w:trPr>
        <w:tc>
          <w:tcPr>
            <w:tcW w:w="83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Finished goods</w:t>
            </w:r>
          </w:p>
        </w:tc>
        <w:tc>
          <w:tcPr>
            <w:tcW w:w="3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89,286</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113,621</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Total inventories</w:t>
            </w: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260,981</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276,005</w:t>
            </w:r>
          </w:p>
        </w:tc>
      </w:tr>
      <w:tr>
        <w:trPr>
          <w:trHeight w:val="27"/>
        </w:trPr>
        <w:tc>
          <w:tcPr>
            <w:tcW w:w="832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00"/>
          </w:cols>
          <w:pgMar w:left="240" w:top="130" w:right="259" w:bottom="1440" w:gutter="0" w:footer="0" w:header="0"/>
        </w:sectPr>
      </w:pPr>
    </w:p>
    <w:p>
      <w:pPr>
        <w:spacing w:after="0" w:line="155" w:lineRule="exact"/>
        <w:rPr>
          <w:sz w:val="20"/>
          <w:szCs w:val="20"/>
          <w:color w:val="auto"/>
        </w:rPr>
      </w:pPr>
    </w:p>
    <w:p>
      <w:pPr>
        <w:jc w:val="right"/>
        <w:ind w:right="300"/>
        <w:spacing w:after="0"/>
        <w:rPr>
          <w:sz w:val="20"/>
          <w:szCs w:val="20"/>
          <w:color w:val="auto"/>
        </w:rPr>
      </w:pPr>
      <w:r>
        <w:rPr>
          <w:rFonts w:ascii="Arial" w:cs="Arial" w:eastAsia="Arial" w:hAnsi="Arial"/>
          <w:sz w:val="13"/>
          <w:szCs w:val="13"/>
          <w:b w:val="1"/>
          <w:bCs w:val="1"/>
          <w:color w:val="auto"/>
        </w:rPr>
        <w:t>May 4,</w:t>
      </w:r>
    </w:p>
    <w:p>
      <w:pPr>
        <w:spacing w:after="0" w:line="15" w:lineRule="exact"/>
        <w:rPr>
          <w:sz w:val="20"/>
          <w:szCs w:val="20"/>
          <w:color w:val="auto"/>
        </w:rPr>
      </w:pPr>
    </w:p>
    <w:p>
      <w:pPr>
        <w:jc w:val="right"/>
        <w:ind w:right="340"/>
        <w:spacing w:after="0"/>
        <w:rPr>
          <w:sz w:val="20"/>
          <w:szCs w:val="20"/>
          <w:color w:val="auto"/>
        </w:rPr>
      </w:pPr>
      <w:r>
        <w:rPr>
          <w:rFonts w:ascii="Arial" w:cs="Arial" w:eastAsia="Arial" w:hAnsi="Arial"/>
          <w:sz w:val="14"/>
          <w:szCs w:val="14"/>
          <w:b w:val="1"/>
          <w:bCs w:val="1"/>
          <w:color w:val="auto"/>
        </w:rPr>
        <w:t>2019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229475" cy="1803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29475" cy="18034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35" w:lineRule="exact"/>
        <w:rPr>
          <w:sz w:val="20"/>
          <w:szCs w:val="20"/>
          <w:color w:val="auto"/>
        </w:rPr>
      </w:pPr>
    </w:p>
    <w:p>
      <w:pPr>
        <w:spacing w:after="0"/>
        <w:rPr>
          <w:sz w:val="20"/>
          <w:szCs w:val="20"/>
          <w:color w:val="auto"/>
        </w:rPr>
      </w:pPr>
      <w:r>
        <w:rPr>
          <w:rFonts w:ascii="Arial" w:cs="Arial" w:eastAsia="Arial" w:hAnsi="Arial"/>
          <w:sz w:val="13"/>
          <w:szCs w:val="13"/>
          <w:b w:val="1"/>
          <w:bCs w:val="1"/>
          <w:color w:val="auto"/>
        </w:rPr>
        <w:t>February 2,</w:t>
      </w:r>
    </w:p>
    <w:p>
      <w:pPr>
        <w:spacing w:after="0" w:line="15" w:lineRule="exact"/>
        <w:rPr>
          <w:sz w:val="20"/>
          <w:szCs w:val="20"/>
          <w:color w:val="auto"/>
        </w:rPr>
      </w:pPr>
    </w:p>
    <w:p>
      <w:pPr>
        <w:ind w:left="240"/>
        <w:spacing w:after="0"/>
        <w:rPr>
          <w:sz w:val="20"/>
          <w:szCs w:val="20"/>
          <w:color w:val="auto"/>
        </w:rPr>
      </w:pPr>
      <w:r>
        <w:rPr>
          <w:rFonts w:ascii="Arial" w:cs="Arial" w:eastAsia="Arial" w:hAnsi="Arial"/>
          <w:sz w:val="14"/>
          <w:szCs w:val="14"/>
          <w:b w:val="1"/>
          <w:bCs w:val="1"/>
          <w:color w:val="auto"/>
        </w:rPr>
        <w:t>2019</w:t>
      </w:r>
    </w:p>
    <w:p>
      <w:pPr>
        <w:spacing w:after="0" w:line="30" w:lineRule="exact"/>
        <w:rPr>
          <w:sz w:val="20"/>
          <w:szCs w:val="20"/>
          <w:color w:val="auto"/>
        </w:rPr>
      </w:pPr>
    </w:p>
    <w:p>
      <w:pPr>
        <w:sectPr>
          <w:pgSz w:w="11900" w:h="16838" w:orient="portrait"/>
          <w:cols w:equalWidth="0" w:num="2">
            <w:col w:w="9560" w:space="720"/>
            <w:col w:w="1120"/>
          </w:cols>
          <w:pgMar w:left="240" w:top="130" w:right="259" w:bottom="1440" w:gutter="0" w:footer="0" w:header="0"/>
          <w:type w:val="continuous"/>
        </w:sectPr>
      </w:pPr>
    </w:p>
    <w:p>
      <w:pPr>
        <w:ind w:left="40"/>
        <w:spacing w:after="0"/>
        <w:rPr>
          <w:sz w:val="20"/>
          <w:szCs w:val="20"/>
          <w:color w:val="auto"/>
        </w:rPr>
      </w:pPr>
      <w:r>
        <w:rPr>
          <w:rFonts w:ascii="Arial" w:cs="Arial" w:eastAsia="Arial" w:hAnsi="Arial"/>
          <w:sz w:val="18"/>
          <w:szCs w:val="18"/>
          <w:b w:val="1"/>
          <w:bCs w:val="1"/>
          <w:color w:val="auto"/>
        </w:rPr>
        <w:t>Property and equipment, net:</w:t>
      </w:r>
    </w:p>
    <w:p>
      <w:pPr>
        <w:spacing w:after="0" w:line="8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320" w:type="dxa"/>
            <w:vAlign w:val="bottom"/>
          </w:tcPr>
          <w:p>
            <w:pPr>
              <w:ind w:left="40"/>
              <w:spacing w:after="0"/>
              <w:rPr>
                <w:sz w:val="20"/>
                <w:szCs w:val="20"/>
                <w:color w:val="auto"/>
              </w:rPr>
            </w:pPr>
            <w:r>
              <w:rPr>
                <w:rFonts w:ascii="Arial" w:cs="Arial" w:eastAsia="Arial" w:hAnsi="Arial"/>
                <w:sz w:val="18"/>
                <w:szCs w:val="18"/>
                <w:color w:val="auto"/>
              </w:rPr>
              <w:t>Machinery and equipment</w:t>
            </w:r>
          </w:p>
        </w:tc>
        <w:tc>
          <w:tcPr>
            <w:tcW w:w="400" w:type="dxa"/>
            <w:vAlign w:val="bottom"/>
          </w:tcPr>
          <w:p>
            <w:pPr>
              <w:jc w:val="right"/>
              <w:ind w:right="19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30"/>
              <w:spacing w:after="0"/>
              <w:rPr>
                <w:sz w:val="20"/>
                <w:szCs w:val="20"/>
                <w:color w:val="auto"/>
              </w:rPr>
            </w:pPr>
            <w:r>
              <w:rPr>
                <w:rFonts w:ascii="Arial" w:cs="Arial" w:eastAsia="Arial" w:hAnsi="Arial"/>
                <w:sz w:val="18"/>
                <w:szCs w:val="18"/>
                <w:color w:val="auto"/>
              </w:rPr>
              <w:t>617,281</w:t>
            </w:r>
          </w:p>
        </w:tc>
        <w:tc>
          <w:tcPr>
            <w:tcW w:w="100" w:type="dxa"/>
            <w:vAlign w:val="bottom"/>
          </w:tcPr>
          <w:p>
            <w:pPr>
              <w:spacing w:after="0"/>
              <w:rPr>
                <w:sz w:val="20"/>
                <w:szCs w:val="20"/>
                <w:color w:val="auto"/>
              </w:rPr>
            </w:pPr>
          </w:p>
        </w:tc>
        <w:tc>
          <w:tcPr>
            <w:tcW w:w="380" w:type="dxa"/>
            <w:vAlign w:val="bottom"/>
          </w:tcPr>
          <w:p>
            <w:pPr>
              <w:jc w:val="right"/>
              <w:ind w:right="17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30"/>
              <w:spacing w:after="0"/>
              <w:rPr>
                <w:sz w:val="20"/>
                <w:szCs w:val="20"/>
                <w:color w:val="auto"/>
              </w:rPr>
            </w:pPr>
            <w:r>
              <w:rPr>
                <w:rFonts w:ascii="Arial" w:cs="Arial" w:eastAsia="Arial" w:hAnsi="Arial"/>
                <w:sz w:val="18"/>
                <w:szCs w:val="18"/>
                <w:color w:val="auto"/>
              </w:rPr>
              <w:t>615,329</w:t>
            </w:r>
          </w:p>
        </w:tc>
      </w:tr>
      <w:tr>
        <w:trPr>
          <w:trHeight w:val="27"/>
        </w:trPr>
        <w:tc>
          <w:tcPr>
            <w:tcW w:w="8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Land, buildings, and leasehold improvements</w:t>
            </w:r>
          </w:p>
        </w:tc>
        <w:tc>
          <w:tcPr>
            <w:tcW w:w="4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313,698</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287,047</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Computer software</w:t>
            </w:r>
          </w:p>
        </w:tc>
        <w:tc>
          <w:tcPr>
            <w:tcW w:w="400" w:type="dxa"/>
            <w:vAlign w:val="bottom"/>
          </w:tcPr>
          <w:p>
            <w:pPr>
              <w:spacing w:after="0"/>
              <w:rPr>
                <w:sz w:val="21"/>
                <w:szCs w:val="21"/>
                <w:color w:val="auto"/>
              </w:rPr>
            </w:pPr>
          </w:p>
        </w:tc>
        <w:tc>
          <w:tcPr>
            <w:tcW w:w="1100" w:type="dxa"/>
            <w:vAlign w:val="bottom"/>
          </w:tcPr>
          <w:p>
            <w:pPr>
              <w:jc w:val="right"/>
              <w:ind w:right="30"/>
              <w:spacing w:after="0"/>
              <w:rPr>
                <w:sz w:val="20"/>
                <w:szCs w:val="20"/>
                <w:color w:val="auto"/>
              </w:rPr>
            </w:pPr>
            <w:r>
              <w:rPr>
                <w:rFonts w:ascii="Arial" w:cs="Arial" w:eastAsia="Arial" w:hAnsi="Arial"/>
                <w:sz w:val="18"/>
                <w:szCs w:val="18"/>
                <w:color w:val="auto"/>
              </w:rPr>
              <w:t>105,059</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100" w:type="dxa"/>
            <w:vAlign w:val="bottom"/>
          </w:tcPr>
          <w:p>
            <w:pPr>
              <w:jc w:val="right"/>
              <w:ind w:right="30"/>
              <w:spacing w:after="0"/>
              <w:rPr>
                <w:sz w:val="20"/>
                <w:szCs w:val="20"/>
                <w:color w:val="auto"/>
              </w:rPr>
            </w:pPr>
            <w:r>
              <w:rPr>
                <w:rFonts w:ascii="Arial" w:cs="Arial" w:eastAsia="Arial" w:hAnsi="Arial"/>
                <w:sz w:val="18"/>
                <w:szCs w:val="18"/>
                <w:color w:val="auto"/>
              </w:rPr>
              <w:t>105,539</w:t>
            </w:r>
          </w:p>
        </w:tc>
      </w:tr>
      <w:tr>
        <w:trPr>
          <w:trHeight w:val="27"/>
        </w:trPr>
        <w:tc>
          <w:tcPr>
            <w:tcW w:w="8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Furniture and fixtures</w:t>
            </w:r>
          </w:p>
        </w:tc>
        <w:tc>
          <w:tcPr>
            <w:tcW w:w="40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25,398</w:t>
            </w:r>
          </w:p>
        </w:tc>
        <w:tc>
          <w:tcPr>
            <w:tcW w:w="10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23,924</w:t>
            </w:r>
          </w:p>
        </w:tc>
      </w:tr>
      <w:tr>
        <w:trPr>
          <w:trHeight w:val="237"/>
        </w:trPr>
        <w:tc>
          <w:tcPr>
            <w:tcW w:w="8320" w:type="dxa"/>
            <w:vAlign w:val="bottom"/>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1,061,436</w:t>
            </w:r>
          </w:p>
        </w:tc>
        <w:tc>
          <w:tcPr>
            <w:tcW w:w="100" w:type="dxa"/>
            <w:vAlign w:val="bottom"/>
          </w:tcPr>
          <w:p>
            <w:pPr>
              <w:spacing w:after="0"/>
              <w:rPr>
                <w:sz w:val="20"/>
                <w:szCs w:val="20"/>
                <w:color w:val="auto"/>
              </w:rPr>
            </w:pPr>
          </w:p>
        </w:tc>
        <w:tc>
          <w:tcPr>
            <w:tcW w:w="38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1,031,839</w:t>
            </w:r>
          </w:p>
        </w:tc>
      </w:tr>
      <w:tr>
        <w:trPr>
          <w:trHeight w:val="27"/>
        </w:trPr>
        <w:tc>
          <w:tcPr>
            <w:tcW w:w="8320" w:type="dxa"/>
            <w:vAlign w:val="bottom"/>
          </w:tcPr>
          <w:p>
            <w:pPr>
              <w:spacing w:after="0"/>
              <w:rPr>
                <w:sz w:val="2"/>
                <w:szCs w:val="2"/>
                <w:color w:val="auto"/>
              </w:rPr>
            </w:pPr>
          </w:p>
        </w:tc>
        <w:tc>
          <w:tcPr>
            <w:tcW w:w="4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Less: Accumulated depreciation and amortization</w:t>
            </w:r>
          </w:p>
        </w:tc>
        <w:tc>
          <w:tcPr>
            <w:tcW w:w="40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(734,837)</w:t>
            </w:r>
          </w:p>
        </w:tc>
        <w:tc>
          <w:tcPr>
            <w:tcW w:w="10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(712,861)</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Total property and equipment, net</w:t>
            </w:r>
          </w:p>
        </w:tc>
        <w:tc>
          <w:tcPr>
            <w:tcW w:w="400" w:type="dxa"/>
            <w:vAlign w:val="bottom"/>
            <w:tcBorders>
              <w:top w:val="single" w:sz="8" w:color="auto"/>
            </w:tcBorders>
          </w:tcPr>
          <w:p>
            <w:pPr>
              <w:jc w:val="right"/>
              <w:ind w:right="19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326,599</w:t>
            </w:r>
          </w:p>
        </w:tc>
        <w:tc>
          <w:tcPr>
            <w:tcW w:w="100" w:type="dxa"/>
            <w:vAlign w:val="bottom"/>
          </w:tcPr>
          <w:p>
            <w:pPr>
              <w:spacing w:after="0"/>
              <w:rPr>
                <w:sz w:val="20"/>
                <w:szCs w:val="20"/>
                <w:color w:val="auto"/>
              </w:rPr>
            </w:pPr>
          </w:p>
        </w:tc>
        <w:tc>
          <w:tcPr>
            <w:tcW w:w="380" w:type="dxa"/>
            <w:vAlign w:val="bottom"/>
            <w:tcBorders>
              <w:top w:val="single" w:sz="8" w:color="auto"/>
            </w:tcBorders>
          </w:tcPr>
          <w:p>
            <w:pPr>
              <w:jc w:val="right"/>
              <w:ind w:right="17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318,978</w:t>
            </w:r>
          </w:p>
        </w:tc>
      </w:tr>
      <w:tr>
        <w:trPr>
          <w:trHeight w:val="27"/>
        </w:trPr>
        <w:tc>
          <w:tcPr>
            <w:tcW w:w="8320" w:type="dxa"/>
            <w:vAlign w:val="bottom"/>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Current accrued liabilities are comprised of the following at May 4, 2019 and February 2, 2019, respectively:</w:t>
      </w:r>
    </w:p>
    <w:p>
      <w:pPr>
        <w:spacing w:after="0" w:line="366"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280" w:type="dxa"/>
            <w:vAlign w:val="bottom"/>
            <w:gridSpan w:val="2"/>
          </w:tcPr>
          <w:p>
            <w:pPr>
              <w:ind w:left="200"/>
              <w:spacing w:after="0"/>
              <w:rPr>
                <w:sz w:val="20"/>
                <w:szCs w:val="20"/>
                <w:color w:val="auto"/>
              </w:rPr>
            </w:pPr>
            <w:r>
              <w:rPr>
                <w:rFonts w:ascii="Arial" w:cs="Arial" w:eastAsia="Arial" w:hAnsi="Arial"/>
                <w:sz w:val="14"/>
                <w:szCs w:val="14"/>
                <w:b w:val="1"/>
                <w:bCs w:val="1"/>
                <w:color w:val="auto"/>
              </w:rPr>
              <w:t>May 4,</w:t>
            </w:r>
          </w:p>
        </w:tc>
        <w:tc>
          <w:tcPr>
            <w:tcW w:w="240" w:type="dxa"/>
            <w:vAlign w:val="bottom"/>
          </w:tcPr>
          <w:p>
            <w:pPr>
              <w:spacing w:after="0"/>
              <w:rPr>
                <w:sz w:val="14"/>
                <w:szCs w:val="14"/>
                <w:color w:val="auto"/>
              </w:rPr>
            </w:pPr>
          </w:p>
        </w:tc>
        <w:tc>
          <w:tcPr>
            <w:tcW w:w="1220" w:type="dxa"/>
            <w:vAlign w:val="bottom"/>
          </w:tcPr>
          <w:p>
            <w:pPr>
              <w:jc w:val="right"/>
              <w:ind w:right="295"/>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8320" w:type="dxa"/>
            <w:vAlign w:val="bottom"/>
            <w:tcBorders>
              <w:bottom w:val="single" w:sz="8" w:color="CCEEFF"/>
            </w:tcBorders>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15"/>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2019</w:t>
            </w: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Contract liabilities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15"/>
              <w:spacing w:after="0"/>
              <w:rPr>
                <w:sz w:val="20"/>
                <w:szCs w:val="20"/>
                <w:color w:val="auto"/>
              </w:rPr>
            </w:pPr>
            <w:r>
              <w:rPr>
                <w:rFonts w:ascii="Arial" w:cs="Arial" w:eastAsia="Arial" w:hAnsi="Arial"/>
                <w:sz w:val="18"/>
                <w:szCs w:val="18"/>
                <w:color w:val="auto"/>
              </w:rPr>
              <w:t>131,936</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5"/>
              <w:spacing w:after="0"/>
              <w:rPr>
                <w:sz w:val="20"/>
                <w:szCs w:val="20"/>
                <w:color w:val="auto"/>
              </w:rPr>
            </w:pPr>
            <w:r>
              <w:rPr>
                <w:rFonts w:ascii="Arial" w:cs="Arial" w:eastAsia="Arial" w:hAnsi="Arial"/>
                <w:sz w:val="18"/>
                <w:szCs w:val="18"/>
                <w:color w:val="auto"/>
              </w:rPr>
              <w:t>142,378</w:t>
            </w:r>
          </w:p>
        </w:tc>
      </w:tr>
      <w:tr>
        <w:trPr>
          <w:trHeight w:val="27"/>
        </w:trPr>
        <w:tc>
          <w:tcPr>
            <w:tcW w:w="83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Technology license obligations</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50,876</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48,018</w:t>
            </w: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Accrued income tax payable</w:t>
            </w:r>
          </w:p>
        </w:tc>
        <w:tc>
          <w:tcPr>
            <w:tcW w:w="320" w:type="dxa"/>
            <w:vAlign w:val="bottom"/>
          </w:tcPr>
          <w:p>
            <w:pPr>
              <w:spacing w:after="0"/>
              <w:rPr>
                <w:sz w:val="21"/>
                <w:szCs w:val="21"/>
                <w:color w:val="auto"/>
              </w:rPr>
            </w:pPr>
          </w:p>
        </w:tc>
        <w:tc>
          <w:tcPr>
            <w:tcW w:w="1160" w:type="dxa"/>
            <w:vAlign w:val="bottom"/>
          </w:tcPr>
          <w:p>
            <w:pPr>
              <w:jc w:val="right"/>
              <w:ind w:right="15"/>
              <w:spacing w:after="0"/>
              <w:rPr>
                <w:sz w:val="20"/>
                <w:szCs w:val="20"/>
                <w:color w:val="auto"/>
              </w:rPr>
            </w:pPr>
            <w:r>
              <w:rPr>
                <w:rFonts w:ascii="Arial" w:cs="Arial" w:eastAsia="Arial" w:hAnsi="Arial"/>
                <w:sz w:val="18"/>
                <w:szCs w:val="18"/>
                <w:color w:val="auto"/>
              </w:rPr>
              <w:t>36,894</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5"/>
              <w:spacing w:after="0"/>
              <w:rPr>
                <w:sz w:val="20"/>
                <w:szCs w:val="20"/>
                <w:color w:val="auto"/>
              </w:rPr>
            </w:pPr>
            <w:r>
              <w:rPr>
                <w:rFonts w:ascii="Arial" w:cs="Arial" w:eastAsia="Arial" w:hAnsi="Arial"/>
                <w:sz w:val="18"/>
                <w:szCs w:val="18"/>
                <w:color w:val="auto"/>
              </w:rPr>
              <w:t>47,079</w:t>
            </w:r>
          </w:p>
        </w:tc>
      </w:tr>
      <w:tr>
        <w:trPr>
          <w:trHeight w:val="27"/>
        </w:trPr>
        <w:tc>
          <w:tcPr>
            <w:tcW w:w="83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w:t>
            </w: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113,974</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98,034</w:t>
            </w:r>
          </w:p>
        </w:tc>
      </w:tr>
      <w:tr>
        <w:trPr>
          <w:trHeight w:val="237"/>
        </w:trPr>
        <w:tc>
          <w:tcPr>
            <w:tcW w:w="8320" w:type="dxa"/>
            <w:vAlign w:val="bottom"/>
          </w:tcPr>
          <w:p>
            <w:pPr>
              <w:ind w:left="20"/>
              <w:spacing w:after="0"/>
              <w:rPr>
                <w:sz w:val="20"/>
                <w:szCs w:val="20"/>
                <w:color w:val="auto"/>
              </w:rPr>
            </w:pPr>
            <w:r>
              <w:rPr>
                <w:rFonts w:ascii="Arial" w:cs="Arial" w:eastAsia="Arial" w:hAnsi="Arial"/>
                <w:sz w:val="18"/>
                <w:szCs w:val="18"/>
                <w:color w:val="auto"/>
              </w:rPr>
              <w:t>Total accrued liabilities</w:t>
            </w: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333,680</w:t>
            </w: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335,509</w:t>
            </w:r>
          </w:p>
        </w:tc>
      </w:tr>
      <w:tr>
        <w:trPr>
          <w:trHeight w:val="27"/>
        </w:trPr>
        <w:tc>
          <w:tcPr>
            <w:tcW w:w="832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00"/>
          </w:cols>
          <w:pgMar w:left="240" w:top="130" w:right="259" w:bottom="1440" w:gutter="0" w:footer="0" w:header="0"/>
          <w:type w:val="continuous"/>
        </w:sectPr>
      </w:pPr>
    </w:p>
    <w:p>
      <w:pPr>
        <w:spacing w:after="0" w:line="29"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11</w:t>
      </w:r>
    </w:p>
    <w:p>
      <w:pPr>
        <w:sectPr>
          <w:pgSz w:w="11900" w:h="16838" w:orient="portrait"/>
          <w:cols w:equalWidth="0" w:num="1">
            <w:col w:w="11400"/>
          </w:cols>
          <w:pgMar w:left="240" w:top="130" w:right="259" w:bottom="1440" w:gutter="0" w:footer="0" w:header="0"/>
          <w:type w:val="continuous"/>
        </w:sectPr>
      </w:pPr>
    </w:p>
    <w:bookmarkStart w:id="12" w:name="page13"/>
    <w:bookmarkEnd w:id="1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94" w:lineRule="exact"/>
        <w:rPr>
          <w:sz w:val="20"/>
          <w:szCs w:val="20"/>
          <w:color w:val="auto"/>
        </w:rPr>
      </w:pPr>
    </w:p>
    <w:p>
      <w:pPr>
        <w:ind w:right="700" w:firstLine="405"/>
        <w:spacing w:after="0" w:line="277" w:lineRule="auto"/>
        <w:rPr>
          <w:sz w:val="20"/>
          <w:szCs w:val="20"/>
          <w:color w:val="auto"/>
        </w:rPr>
      </w:pPr>
      <w:r>
        <w:rPr>
          <w:rFonts w:ascii="Arial" w:cs="Arial" w:eastAsia="Arial" w:hAnsi="Arial"/>
          <w:sz w:val="18"/>
          <w:szCs w:val="18"/>
          <w:color w:val="auto"/>
        </w:rPr>
        <w:t>As of May 4, 2019, there are no changes in accumulated other comprehensive income (loss) by components. The changes in accumulated other comprehensive income (loss) by components for the comparative period are presented in the following table:</w:t>
      </w:r>
    </w:p>
    <w:p>
      <w:pPr>
        <w:sectPr>
          <w:pgSz w:w="11900" w:h="16838" w:orient="portrait"/>
          <w:cols w:equalWidth="0" w:num="1">
            <w:col w:w="11420"/>
          </w:cols>
          <w:pgMar w:left="240" w:top="130"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ind w:left="40"/>
        <w:spacing w:after="0"/>
        <w:rPr>
          <w:sz w:val="20"/>
          <w:szCs w:val="20"/>
          <w:color w:val="auto"/>
        </w:rPr>
      </w:pPr>
      <w:r>
        <w:rPr>
          <w:rFonts w:ascii="Arial" w:cs="Arial" w:eastAsia="Arial" w:hAnsi="Arial"/>
          <w:sz w:val="18"/>
          <w:szCs w:val="18"/>
          <w:color w:val="auto"/>
        </w:rPr>
        <w:t>Balance at February 3,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-139065</wp:posOffset>
            </wp:positionV>
            <wp:extent cx="7246620" cy="1803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180340"/>
                    </a:xfrm>
                    <a:prstGeom prst="rect">
                      <a:avLst/>
                    </a:prstGeom>
                    <a:noFill/>
                  </pic:spPr>
                </pic:pic>
              </a:graphicData>
            </a:graphic>
          </wp:anchor>
        </w:drawing>
      </w:r>
    </w:p>
    <w:p>
      <w:pPr>
        <w:spacing w:after="0" w:line="57" w:lineRule="exact"/>
        <w:rPr>
          <w:sz w:val="20"/>
          <w:szCs w:val="20"/>
          <w:color w:val="auto"/>
        </w:rPr>
      </w:pPr>
    </w:p>
    <w:p>
      <w:pPr>
        <w:ind w:left="380"/>
        <w:spacing w:after="0"/>
        <w:rPr>
          <w:sz w:val="20"/>
          <w:szCs w:val="20"/>
          <w:color w:val="auto"/>
        </w:rPr>
      </w:pPr>
      <w:r>
        <w:rPr>
          <w:rFonts w:ascii="Arial" w:cs="Arial" w:eastAsia="Arial" w:hAnsi="Arial"/>
          <w:sz w:val="18"/>
          <w:szCs w:val="18"/>
          <w:color w:val="auto"/>
        </w:rPr>
        <w:t>Other comprehensive income (loss) before reclassifications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31750</wp:posOffset>
            </wp:positionV>
            <wp:extent cx="7246620" cy="1714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171450"/>
                    </a:xfrm>
                    <a:prstGeom prst="rect">
                      <a:avLst/>
                    </a:prstGeom>
                    <a:noFill/>
                  </pic:spPr>
                </pic:pic>
              </a:graphicData>
            </a:graphic>
          </wp:anchor>
        </w:drawing>
      </w:r>
    </w:p>
    <w:p>
      <w:pPr>
        <w:spacing w:after="0" w:line="43" w:lineRule="exact"/>
        <w:rPr>
          <w:sz w:val="20"/>
          <w:szCs w:val="20"/>
          <w:color w:val="auto"/>
        </w:rPr>
      </w:pPr>
    </w:p>
    <w:p>
      <w:pPr>
        <w:ind w:left="380"/>
        <w:spacing w:after="0"/>
        <w:rPr>
          <w:sz w:val="20"/>
          <w:szCs w:val="20"/>
          <w:color w:val="auto"/>
        </w:rPr>
      </w:pPr>
      <w:r>
        <w:rPr>
          <w:rFonts w:ascii="Arial" w:cs="Arial" w:eastAsia="Arial" w:hAnsi="Arial"/>
          <w:sz w:val="16"/>
          <w:szCs w:val="16"/>
          <w:color w:val="auto"/>
        </w:rPr>
        <w:t>Amounts reclassified from accumulated other comprehensive income (loss)</w:t>
      </w:r>
    </w:p>
    <w:p>
      <w:pPr>
        <w:spacing w:after="0" w:line="86" w:lineRule="exact"/>
        <w:rPr>
          <w:sz w:val="20"/>
          <w:szCs w:val="20"/>
          <w:color w:val="auto"/>
        </w:rPr>
      </w:pPr>
    </w:p>
    <w:p>
      <w:pPr>
        <w:ind w:left="720"/>
        <w:spacing w:after="0"/>
        <w:rPr>
          <w:sz w:val="20"/>
          <w:szCs w:val="20"/>
          <w:color w:val="auto"/>
        </w:rPr>
      </w:pPr>
      <w:r>
        <w:rPr>
          <w:rFonts w:ascii="Arial" w:cs="Arial" w:eastAsia="Arial" w:hAnsi="Arial"/>
          <w:sz w:val="17"/>
          <w:szCs w:val="17"/>
          <w:color w:val="auto"/>
        </w:rPr>
        <w:t>Net current-period other comprehensive income (loss), net of tax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47625</wp:posOffset>
            </wp:positionV>
            <wp:extent cx="7246620" cy="18859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188595"/>
                    </a:xfrm>
                    <a:prstGeom prst="rect">
                      <a:avLst/>
                    </a:prstGeom>
                    <a:noFill/>
                  </pic:spPr>
                </pic:pic>
              </a:graphicData>
            </a:graphic>
          </wp:anchor>
        </w:drawing>
      </w:r>
    </w:p>
    <w:p>
      <w:pPr>
        <w:spacing w:after="0" w:line="68" w:lineRule="exact"/>
        <w:rPr>
          <w:sz w:val="20"/>
          <w:szCs w:val="20"/>
          <w:color w:val="auto"/>
        </w:rPr>
      </w:pPr>
    </w:p>
    <w:p>
      <w:pPr>
        <w:ind w:left="40"/>
        <w:spacing w:after="0"/>
        <w:rPr>
          <w:sz w:val="20"/>
          <w:szCs w:val="20"/>
          <w:color w:val="auto"/>
        </w:rPr>
      </w:pPr>
      <w:r>
        <w:rPr>
          <w:rFonts w:ascii="Arial" w:cs="Arial" w:eastAsia="Arial" w:hAnsi="Arial"/>
          <w:sz w:val="18"/>
          <w:szCs w:val="18"/>
          <w:color w:val="auto"/>
        </w:rPr>
        <w:t>Balance at May 5, 2018</w:t>
      </w:r>
    </w:p>
    <w:p>
      <w:pPr>
        <w:spacing w:after="0" w:line="20" w:lineRule="exact"/>
        <w:rPr>
          <w:sz w:val="20"/>
          <w:szCs w:val="20"/>
          <w:color w:val="auto"/>
        </w:rPr>
      </w:pPr>
      <w:r>
        <w:rPr>
          <w:sz w:val="20"/>
          <w:szCs w:val="20"/>
          <w:color w:val="auto"/>
        </w:rPr>
        <w:br w:type="column"/>
      </w:r>
    </w:p>
    <w:p>
      <w:pPr>
        <w:spacing w:after="0" w:line="88" w:lineRule="exact"/>
        <w:rPr>
          <w:sz w:val="20"/>
          <w:szCs w:val="20"/>
          <w:color w:val="auto"/>
        </w:rPr>
      </w:pPr>
    </w:p>
    <w:p>
      <w:pPr>
        <w:jc w:val="center"/>
        <w:ind w:right="23"/>
        <w:spacing w:after="0"/>
        <w:rPr>
          <w:sz w:val="20"/>
          <w:szCs w:val="20"/>
          <w:color w:val="auto"/>
        </w:rPr>
      </w:pPr>
      <w:r>
        <w:rPr>
          <w:rFonts w:ascii="Arial" w:cs="Arial" w:eastAsia="Arial" w:hAnsi="Arial"/>
          <w:sz w:val="14"/>
          <w:szCs w:val="14"/>
          <w:b w:val="1"/>
          <w:bCs w:val="1"/>
          <w:color w:val="auto"/>
        </w:rPr>
        <w:t>Unrealized Gain</w:t>
      </w:r>
    </w:p>
    <w:p>
      <w:pPr>
        <w:jc w:val="center"/>
        <w:ind w:right="23"/>
        <w:spacing w:after="0" w:line="226" w:lineRule="auto"/>
        <w:rPr>
          <w:sz w:val="20"/>
          <w:szCs w:val="20"/>
          <w:color w:val="auto"/>
        </w:rPr>
      </w:pPr>
      <w:r>
        <w:rPr>
          <w:rFonts w:ascii="Arial" w:cs="Arial" w:eastAsia="Arial" w:hAnsi="Arial"/>
          <w:sz w:val="14"/>
          <w:szCs w:val="14"/>
          <w:b w:val="1"/>
          <w:bCs w:val="1"/>
          <w:color w:val="auto"/>
        </w:rPr>
        <w:t>(Loss) on</w:t>
      </w:r>
    </w:p>
    <w:p>
      <w:pPr>
        <w:jc w:val="center"/>
        <w:ind w:right="23"/>
        <w:spacing w:after="0" w:line="222" w:lineRule="auto"/>
        <w:rPr>
          <w:sz w:val="20"/>
          <w:szCs w:val="20"/>
          <w:color w:val="auto"/>
        </w:rPr>
      </w:pPr>
      <w:r>
        <w:rPr>
          <w:rFonts w:ascii="Arial" w:cs="Arial" w:eastAsia="Arial" w:hAnsi="Arial"/>
          <w:sz w:val="14"/>
          <w:szCs w:val="14"/>
          <w:b w:val="1"/>
          <w:bCs w:val="1"/>
          <w:color w:val="auto"/>
        </w:rPr>
        <w:t>Marketable</w:t>
      </w:r>
    </w:p>
    <w:p>
      <w:pPr>
        <w:jc w:val="center"/>
        <w:ind w:right="23"/>
        <w:spacing w:after="0"/>
        <w:rPr>
          <w:sz w:val="20"/>
          <w:szCs w:val="20"/>
          <w:color w:val="auto"/>
        </w:rPr>
      </w:pPr>
      <w:r>
        <w:rPr>
          <w:rFonts w:ascii="Arial" w:cs="Arial" w:eastAsia="Arial" w:hAnsi="Arial"/>
          <w:sz w:val="14"/>
          <w:szCs w:val="14"/>
          <w:b w:val="1"/>
          <w:bCs w:val="1"/>
          <w:color w:val="auto"/>
        </w:rPr>
        <w:t>Securities (1)</w:t>
      </w:r>
    </w:p>
    <w:p>
      <w:pPr>
        <w:spacing w:after="0" w:line="47" w:lineRule="exact"/>
        <w:rPr>
          <w:sz w:val="20"/>
          <w:szCs w:val="20"/>
          <w:color w:val="auto"/>
        </w:rPr>
      </w:pPr>
    </w:p>
    <w:p>
      <w:pPr>
        <w:ind w:left="757" w:hanging="757"/>
        <w:spacing w:after="0"/>
        <w:tabs>
          <w:tab w:leader="none" w:pos="757" w:val="left"/>
        </w:tabs>
        <w:numPr>
          <w:ilvl w:val="0"/>
          <w:numId w:val="3"/>
        </w:numPr>
        <w:rPr>
          <w:rFonts w:ascii="Arial" w:cs="Arial" w:eastAsia="Arial" w:hAnsi="Arial"/>
          <w:sz w:val="17"/>
          <w:szCs w:val="17"/>
          <w:color w:val="auto"/>
        </w:rPr>
      </w:pPr>
      <w:r>
        <w:rPr>
          <w:rFonts w:ascii="Arial" w:cs="Arial" w:eastAsia="Arial" w:hAnsi="Arial"/>
          <w:sz w:val="17"/>
          <w:szCs w:val="17"/>
          <w:color w:val="auto"/>
        </w:rPr>
        <w:t>(2,322)</w:t>
      </w:r>
    </w:p>
    <w:p>
      <w:pPr>
        <w:spacing w:after="0" w:line="74" w:lineRule="exact"/>
        <w:rPr>
          <w:rFonts w:ascii="Arial" w:cs="Arial" w:eastAsia="Arial" w:hAnsi="Arial"/>
          <w:sz w:val="17"/>
          <w:szCs w:val="17"/>
          <w:color w:val="auto"/>
        </w:rPr>
      </w:pPr>
    </w:p>
    <w:p>
      <w:pPr>
        <w:ind w:left="897"/>
        <w:spacing w:after="0"/>
        <w:rPr>
          <w:rFonts w:ascii="Arial" w:cs="Arial" w:eastAsia="Arial" w:hAnsi="Arial"/>
          <w:sz w:val="17"/>
          <w:szCs w:val="17"/>
          <w:color w:val="auto"/>
        </w:rPr>
      </w:pPr>
      <w:r>
        <w:rPr>
          <w:rFonts w:ascii="Arial" w:cs="Arial" w:eastAsia="Arial" w:hAnsi="Arial"/>
          <w:sz w:val="17"/>
          <w:szCs w:val="17"/>
          <w:color w:val="auto"/>
        </w:rPr>
        <w:t>(733)</w:t>
      </w:r>
    </w:p>
    <w:p>
      <w:pPr>
        <w:spacing w:after="0" w:line="74" w:lineRule="exact"/>
        <w:rPr>
          <w:rFonts w:ascii="Arial" w:cs="Arial" w:eastAsia="Arial" w:hAnsi="Arial"/>
          <w:sz w:val="17"/>
          <w:szCs w:val="17"/>
          <w:color w:val="auto"/>
        </w:rPr>
      </w:pPr>
    </w:p>
    <w:p>
      <w:pPr>
        <w:ind w:left="957"/>
        <w:spacing w:after="0"/>
        <w:rPr>
          <w:rFonts w:ascii="Arial" w:cs="Arial" w:eastAsia="Arial" w:hAnsi="Arial"/>
          <w:sz w:val="17"/>
          <w:szCs w:val="17"/>
          <w:color w:val="auto"/>
        </w:rPr>
      </w:pPr>
      <w:r>
        <w:rPr>
          <w:rFonts w:ascii="Arial" w:cs="Arial" w:eastAsia="Arial" w:hAnsi="Arial"/>
          <w:sz w:val="18"/>
          <w:szCs w:val="18"/>
          <w:color w:val="auto"/>
        </w:rPr>
        <w:t>651</w:t>
      </w:r>
    </w:p>
    <w:p>
      <w:pPr>
        <w:spacing w:after="0" w:line="76" w:lineRule="exact"/>
        <w:rPr>
          <w:rFonts w:ascii="Arial" w:cs="Arial" w:eastAsia="Arial" w:hAnsi="Arial"/>
          <w:sz w:val="17"/>
          <w:szCs w:val="17"/>
          <w:color w:val="auto"/>
        </w:rPr>
      </w:pPr>
    </w:p>
    <w:p>
      <w:pPr>
        <w:ind w:left="997"/>
        <w:spacing w:after="0"/>
        <w:rPr>
          <w:rFonts w:ascii="Arial" w:cs="Arial" w:eastAsia="Arial" w:hAnsi="Arial"/>
          <w:sz w:val="17"/>
          <w:szCs w:val="17"/>
          <w:color w:val="auto"/>
        </w:rPr>
      </w:pPr>
      <w:r>
        <w:rPr>
          <w:rFonts w:ascii="Arial" w:cs="Arial" w:eastAsia="Arial" w:hAnsi="Arial"/>
          <w:sz w:val="16"/>
          <w:szCs w:val="16"/>
          <w:color w:val="auto"/>
        </w:rPr>
        <w:t>(82)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-16510</wp:posOffset>
            </wp:positionH>
            <wp:positionV relativeFrom="paragraph">
              <wp:posOffset>-132715</wp:posOffset>
            </wp:positionV>
            <wp:extent cx="86614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866140" cy="8890"/>
                    </a:xfrm>
                    <a:prstGeom prst="rect">
                      <a:avLst/>
                    </a:prstGeom>
                    <a:noFill/>
                  </pic:spPr>
                </pic:pic>
              </a:graphicData>
            </a:graphic>
          </wp:anchor>
        </w:drawing>
      </w:r>
    </w:p>
    <w:p>
      <w:pPr>
        <w:spacing w:after="0" w:line="80" w:lineRule="exact"/>
        <w:rPr>
          <w:sz w:val="20"/>
          <w:szCs w:val="20"/>
          <w:color w:val="auto"/>
        </w:rPr>
      </w:pPr>
    </w:p>
    <w:p>
      <w:pPr>
        <w:ind w:left="757" w:hanging="757"/>
        <w:spacing w:after="0"/>
        <w:tabs>
          <w:tab w:leader="none" w:pos="757" w:val="left"/>
        </w:tabs>
        <w:numPr>
          <w:ilvl w:val="0"/>
          <w:numId w:val="4"/>
        </w:numPr>
        <w:rPr>
          <w:rFonts w:ascii="Arial" w:cs="Arial" w:eastAsia="Arial" w:hAnsi="Arial"/>
          <w:sz w:val="17"/>
          <w:szCs w:val="17"/>
          <w:color w:val="auto"/>
        </w:rPr>
      </w:pPr>
      <w:r>
        <w:rPr>
          <w:rFonts w:ascii="Arial" w:cs="Arial" w:eastAsia="Arial" w:hAnsi="Arial"/>
          <w:sz w:val="17"/>
          <w:szCs w:val="17"/>
          <w:color w:val="auto"/>
        </w:rPr>
        <w:t>(2,404)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-16510</wp:posOffset>
            </wp:positionH>
            <wp:positionV relativeFrom="paragraph">
              <wp:posOffset>56515</wp:posOffset>
            </wp:positionV>
            <wp:extent cx="86614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866140" cy="8890"/>
                    </a:xfrm>
                    <a:prstGeom prst="rect">
                      <a:avLst/>
                    </a:prstGeom>
                    <a:noFill/>
                  </pic:spPr>
                </pic:pic>
              </a:graphicData>
            </a:graphic>
          </wp:anchor>
        </w:drawing>
      </w:r>
    </w:p>
    <w:p>
      <w:pPr>
        <w:spacing w:after="0" w:line="142" w:lineRule="exact"/>
        <w:rPr>
          <w:sz w:val="20"/>
          <w:szCs w:val="20"/>
          <w:color w:val="auto"/>
        </w:rPr>
      </w:pPr>
    </w:p>
    <w:p>
      <w:pPr>
        <w:sectPr>
          <w:pgSz w:w="11900" w:h="16838" w:orient="portrait"/>
          <w:cols w:equalWidth="0" w:num="2">
            <w:col w:w="9363" w:space="720"/>
            <w:col w:w="1337"/>
          </w:cols>
          <w:pgMar w:left="240" w:top="130" w:right="239" w:bottom="1440" w:gutter="0" w:footer="0" w:header="0"/>
          <w:type w:val="continuous"/>
        </w:sectPr>
      </w:pPr>
    </w:p>
    <w:p>
      <w:pPr>
        <w:ind w:right="120" w:firstLine="8"/>
        <w:spacing w:after="0" w:line="277" w:lineRule="auto"/>
        <w:tabs>
          <w:tab w:leader="none" w:pos="255"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amounts of gains (losses) associated with the Company's marketable securities reclassified from accumulated other comprehensive income (loss) are recorded in interest and other income, net.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 Repurchase Program</w:t>
      </w:r>
    </w:p>
    <w:p>
      <w:pPr>
        <w:spacing w:after="0" w:line="94" w:lineRule="exact"/>
        <w:rPr>
          <w:sz w:val="20"/>
          <w:szCs w:val="20"/>
          <w:color w:val="auto"/>
        </w:rPr>
      </w:pPr>
    </w:p>
    <w:p>
      <w:pPr>
        <w:ind w:firstLine="405"/>
        <w:spacing w:after="0" w:line="272" w:lineRule="auto"/>
        <w:rPr>
          <w:sz w:val="20"/>
          <w:szCs w:val="20"/>
          <w:color w:val="auto"/>
        </w:rPr>
      </w:pPr>
      <w:r>
        <w:rPr>
          <w:rFonts w:ascii="Arial" w:cs="Arial" w:eastAsia="Arial" w:hAnsi="Arial"/>
          <w:sz w:val="17"/>
          <w:szCs w:val="17"/>
          <w:color w:val="auto"/>
        </w:rPr>
        <w:t>On November 17, 2016, the Company announced that its Board of Directors authorized a $1.0 billion share repurchase plan. The newly authorized stock repurchase program replaced in its entirety the prior $3.25 billion stock repurchase program. On October 16, 2018, the Company announced that its Board of Directors authorized a $700 million addition to the balance of its existing share repurchase plan. As of May 4, 2019, there was $904 million remaining available for future share repurchases. The Company intends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the Company to repurchase any dollar amount or number of its common shares and the repurchase program may be extended, modified, suspended or discontinued at any time.</w:t>
      </w:r>
    </w:p>
    <w:p>
      <w:pPr>
        <w:spacing w:after="0" w:line="124" w:lineRule="exact"/>
        <w:rPr>
          <w:sz w:val="20"/>
          <w:szCs w:val="20"/>
          <w:color w:val="auto"/>
        </w:rPr>
      </w:pPr>
    </w:p>
    <w:p>
      <w:pPr>
        <w:ind w:right="20" w:firstLine="405"/>
        <w:spacing w:after="0" w:line="286" w:lineRule="auto"/>
        <w:rPr>
          <w:sz w:val="20"/>
          <w:szCs w:val="20"/>
          <w:color w:val="auto"/>
        </w:rPr>
      </w:pPr>
      <w:r>
        <w:rPr>
          <w:rFonts w:ascii="Arial" w:cs="Arial" w:eastAsia="Arial" w:hAnsi="Arial"/>
          <w:sz w:val="17"/>
          <w:szCs w:val="17"/>
          <w:color w:val="auto"/>
        </w:rPr>
        <w:t>The Company repurchased 2.4 million of its common shares for $50.0 million during the three months ended May 4, 2019. The repurchased shares were retired immediately after the repurchases were completed. The Company records all repurchases, as well as investment purchases and sales, based on their trade date. The Company did not repurchase any common shares during the three months ended May 5, 2018.</w:t>
      </w:r>
    </w:p>
    <w:p>
      <w:pPr>
        <w:spacing w:after="0" w:line="111" w:lineRule="exact"/>
        <w:rPr>
          <w:sz w:val="20"/>
          <w:szCs w:val="20"/>
          <w:color w:val="auto"/>
        </w:rPr>
      </w:pPr>
    </w:p>
    <w:p>
      <w:pPr>
        <w:ind w:right="20" w:firstLine="405"/>
        <w:spacing w:after="0" w:line="277" w:lineRule="auto"/>
        <w:rPr>
          <w:sz w:val="20"/>
          <w:szCs w:val="20"/>
          <w:color w:val="auto"/>
        </w:rPr>
      </w:pPr>
      <w:r>
        <w:rPr>
          <w:rFonts w:ascii="Arial" w:cs="Arial" w:eastAsia="Arial" w:hAnsi="Arial"/>
          <w:sz w:val="18"/>
          <w:szCs w:val="18"/>
          <w:color w:val="auto"/>
        </w:rPr>
        <w:t>As of May 4, 2019, a total of 294.8 million shares have been repurchased to date under the Company’s share repurchase programs for a total $3.9 billion in cash and there was $904 million remaining available for future share repurchases.</w:t>
      </w:r>
    </w:p>
    <w:p>
      <w:pPr>
        <w:spacing w:after="0" w:line="200" w:lineRule="exact"/>
        <w:rPr>
          <w:sz w:val="20"/>
          <w:szCs w:val="20"/>
          <w:color w:val="auto"/>
        </w:rPr>
      </w:pPr>
    </w:p>
    <w:p>
      <w:pPr>
        <w:spacing w:after="0" w:line="37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4" w:lineRule="exact"/>
        <w:rPr>
          <w:sz w:val="20"/>
          <w:szCs w:val="20"/>
          <w:color w:val="auto"/>
        </w:rPr>
      </w:pPr>
    </w:p>
    <w:p>
      <w:pPr>
        <w:ind w:right="280" w:firstLine="405"/>
        <w:spacing w:after="0" w:line="279"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1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right="160" w:firstLine="405"/>
        <w:spacing w:after="0" w:line="277"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20"/>
          </w:cols>
          <w:pgMar w:left="240" w:top="130" w:right="239" w:bottom="1440" w:gutter="0" w:footer="0" w:header="0"/>
          <w:type w:val="continuous"/>
        </w:sectPr>
      </w:pPr>
    </w:p>
    <w:bookmarkStart w:id="13" w:name="page14"/>
    <w:bookmarkEnd w:id="1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62" w:lineRule="exact"/>
        <w:rPr>
          <w:sz w:val="20"/>
          <w:szCs w:val="20"/>
          <w:color w:val="auto"/>
        </w:rPr>
      </w:pPr>
    </w:p>
    <w:p>
      <w:pPr>
        <w:ind w:right="180" w:firstLine="432"/>
        <w:spacing w:after="0" w:line="259" w:lineRule="auto"/>
        <w:rPr>
          <w:sz w:val="20"/>
          <w:szCs w:val="20"/>
          <w:color w:val="auto"/>
        </w:rPr>
      </w:pPr>
      <w:r>
        <w:rPr>
          <w:rFonts w:ascii="Arial" w:cs="Arial" w:eastAsia="Arial" w:hAnsi="Arial"/>
          <w:sz w:val="18"/>
          <w:szCs w:val="18"/>
          <w:color w:val="auto"/>
        </w:rPr>
        <w:t>The Company’s Level 1 assets include institutional money-market funds that are classified as cash equivalents and which are valued primarily using quoted market prices. The Company’s Level 2 assets include time deposits, as the market inputs used to value these instruments consist of market yields. In addition, the severance pay fund is classified as Level 2 assets as the valuation inputs are based on quoted prices and market observable data of similar instruments.</w:t>
      </w:r>
    </w:p>
    <w:p>
      <w:pPr>
        <w:spacing w:after="0" w:line="133"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324" w:lineRule="exact"/>
        <w:rPr>
          <w:sz w:val="20"/>
          <w:szCs w:val="20"/>
          <w:color w:val="auto"/>
        </w:rPr>
      </w:pPr>
    </w:p>
    <w:p>
      <w:pPr>
        <w:ind w:left="7020"/>
        <w:spacing w:after="0"/>
        <w:rPr>
          <w:sz w:val="20"/>
          <w:szCs w:val="20"/>
          <w:color w:val="auto"/>
        </w:rPr>
      </w:pPr>
      <w:r>
        <w:rPr>
          <w:rFonts w:ascii="Arial" w:cs="Arial" w:eastAsia="Arial" w:hAnsi="Arial"/>
          <w:sz w:val="14"/>
          <w:szCs w:val="14"/>
          <w:b w:val="1"/>
          <w:bCs w:val="1"/>
          <w:color w:val="auto"/>
        </w:rPr>
        <w:t>Fair Value Measurements at May 4, 2019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3263900</wp:posOffset>
            </wp:positionH>
            <wp:positionV relativeFrom="paragraph">
              <wp:posOffset>23495</wp:posOffset>
            </wp:positionV>
            <wp:extent cx="397065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3970655"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300" w:type="dxa"/>
            <w:vAlign w:val="bottom"/>
            <w:gridSpan w:val="2"/>
          </w:tcPr>
          <w:p>
            <w:pPr>
              <w:ind w:left="220"/>
              <w:spacing w:after="0"/>
              <w:rPr>
                <w:sz w:val="20"/>
                <w:szCs w:val="20"/>
                <w:color w:val="auto"/>
              </w:rPr>
            </w:pPr>
            <w:r>
              <w:rPr>
                <w:rFonts w:ascii="Arial" w:cs="Arial" w:eastAsia="Arial" w:hAnsi="Arial"/>
                <w:sz w:val="14"/>
                <w:szCs w:val="14"/>
                <w:b w:val="1"/>
                <w:bCs w:val="1"/>
                <w:color w:val="auto"/>
              </w:rPr>
              <w:t>Level 1</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6"/>
                <w:szCs w:val="16"/>
                <w:color w:val="auto"/>
              </w:rPr>
            </w:pPr>
          </w:p>
        </w:tc>
        <w:tc>
          <w:tcPr>
            <w:tcW w:w="1140" w:type="dxa"/>
            <w:vAlign w:val="bottom"/>
          </w:tcPr>
          <w:p>
            <w:pPr>
              <w:jc w:val="right"/>
              <w:ind w:right="494"/>
              <w:spacing w:after="0"/>
              <w:rPr>
                <w:sz w:val="20"/>
                <w:szCs w:val="20"/>
                <w:color w:val="auto"/>
              </w:rPr>
            </w:pPr>
            <w:r>
              <w:rPr>
                <w:rFonts w:ascii="Arial" w:cs="Arial" w:eastAsia="Arial" w:hAnsi="Arial"/>
                <w:sz w:val="14"/>
                <w:szCs w:val="14"/>
                <w:b w:val="1"/>
                <w:bCs w:val="1"/>
                <w:color w:val="auto"/>
              </w:rPr>
              <w:t>Total</w:t>
            </w: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Money market funds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6,749</w:t>
            </w:r>
          </w:p>
        </w:tc>
        <w:tc>
          <w:tcPr>
            <w:tcW w:w="100" w:type="dxa"/>
            <w:vAlign w:val="bottom"/>
          </w:tcPr>
          <w:p>
            <w:pPr>
              <w:spacing w:after="0"/>
              <w:rPr>
                <w:sz w:val="21"/>
                <w:szCs w:val="21"/>
                <w:color w:val="auto"/>
              </w:rPr>
            </w:pPr>
          </w:p>
        </w:tc>
        <w:tc>
          <w:tcPr>
            <w:tcW w:w="320" w:type="dxa"/>
            <w:vAlign w:val="bottom"/>
          </w:tcPr>
          <w:p>
            <w:pPr>
              <w:jc w:val="right"/>
              <w:ind w:right="114"/>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4"/>
              <w:spacing w:after="0"/>
              <w:rPr>
                <w:sz w:val="20"/>
                <w:szCs w:val="20"/>
                <w:color w:val="auto"/>
              </w:rPr>
            </w:pPr>
            <w:r>
              <w:rPr>
                <w:rFonts w:ascii="Arial" w:cs="Arial" w:eastAsia="Arial" w:hAnsi="Arial"/>
                <w:sz w:val="18"/>
                <w:szCs w:val="18"/>
                <w:color w:val="auto"/>
              </w:rPr>
              <w:t>6,749</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29,000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29,000</w:t>
            </w: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Severance pay fund</w:t>
            </w:r>
          </w:p>
        </w:tc>
        <w:tc>
          <w:tcPr>
            <w:tcW w:w="32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625</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625</w:t>
            </w:r>
          </w:p>
        </w:tc>
      </w:tr>
      <w:tr>
        <w:trPr>
          <w:trHeight w:val="237"/>
        </w:trPr>
        <w:tc>
          <w:tcPr>
            <w:tcW w:w="5140" w:type="dxa"/>
            <w:vAlign w:val="bottom"/>
          </w:tcPr>
          <w:p>
            <w:pPr>
              <w:ind w:left="40"/>
              <w:spacing w:after="0"/>
              <w:rPr>
                <w:sz w:val="20"/>
                <w:szCs w:val="20"/>
                <w:color w:val="auto"/>
              </w:rPr>
            </w:pPr>
            <w:r>
              <w:rPr>
                <w:rFonts w:ascii="Arial" w:cs="Arial" w:eastAsia="Arial" w:hAnsi="Arial"/>
                <w:sz w:val="18"/>
                <w:szCs w:val="18"/>
                <w:color w:val="auto"/>
              </w:rPr>
              <w:t>Total assets</w:t>
            </w: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6,749</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4"/>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29,625</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ind w:left="8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36,374</w:t>
            </w:r>
          </w:p>
        </w:tc>
      </w:tr>
      <w:tr>
        <w:trPr>
          <w:trHeight w:val="27"/>
        </w:trPr>
        <w:tc>
          <w:tcPr>
            <w:tcW w:w="51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48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148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0"/>
        </w:trPr>
        <w:tc>
          <w:tcPr>
            <w:tcW w:w="51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r>
        <w:trPr>
          <w:trHeight w:val="690"/>
        </w:trPr>
        <w:tc>
          <w:tcPr>
            <w:tcW w:w="5140" w:type="dxa"/>
            <w:vAlign w:val="bottom"/>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2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6"/>
          </w:tcPr>
          <w:p>
            <w:pPr>
              <w:ind w:left="100"/>
              <w:spacing w:after="0"/>
              <w:rPr>
                <w:sz w:val="20"/>
                <w:szCs w:val="20"/>
                <w:color w:val="auto"/>
              </w:rPr>
            </w:pPr>
            <w:r>
              <w:rPr>
                <w:rFonts w:ascii="Arial" w:cs="Arial" w:eastAsia="Arial" w:hAnsi="Arial"/>
                <w:sz w:val="14"/>
                <w:szCs w:val="14"/>
                <w:b w:val="1"/>
                <w:bCs w:val="1"/>
                <w:color w:val="auto"/>
              </w:rPr>
              <w:t>Fair Value Measurements at February 2, 2019</w:t>
            </w:r>
          </w:p>
        </w:tc>
        <w:tc>
          <w:tcPr>
            <w:tcW w:w="340" w:type="dxa"/>
            <w:vAlign w:val="bottom"/>
            <w:tcBorders>
              <w:bottom w:val="single" w:sz="8" w:color="auto"/>
            </w:tcBorders>
          </w:tcPr>
          <w:p>
            <w:pPr>
              <w:spacing w:after="0"/>
              <w:rPr>
                <w:sz w:val="24"/>
                <w:szCs w:val="24"/>
                <w:color w:val="auto"/>
              </w:rPr>
            </w:pPr>
          </w:p>
        </w:tc>
        <w:tc>
          <w:tcPr>
            <w:tcW w:w="1140" w:type="dxa"/>
            <w:vAlign w:val="bottom"/>
            <w:tcBorders>
              <w:bottom w:val="single" w:sz="8" w:color="auto"/>
            </w:tcBorders>
          </w:tcPr>
          <w:p>
            <w:pPr>
              <w:spacing w:after="0"/>
              <w:rPr>
                <w:sz w:val="24"/>
                <w:szCs w:val="24"/>
                <w:color w:val="auto"/>
              </w:rPr>
            </w:pPr>
          </w:p>
        </w:tc>
      </w:tr>
      <w:tr>
        <w:trPr>
          <w:trHeight w:val="264"/>
        </w:trPr>
        <w:tc>
          <w:tcPr>
            <w:tcW w:w="514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300" w:type="dxa"/>
            <w:vAlign w:val="bottom"/>
            <w:gridSpan w:val="2"/>
          </w:tcPr>
          <w:p>
            <w:pPr>
              <w:ind w:left="220"/>
              <w:spacing w:after="0"/>
              <w:rPr>
                <w:sz w:val="20"/>
                <w:szCs w:val="20"/>
                <w:color w:val="auto"/>
              </w:rPr>
            </w:pPr>
            <w:r>
              <w:rPr>
                <w:rFonts w:ascii="Arial" w:cs="Arial" w:eastAsia="Arial" w:hAnsi="Arial"/>
                <w:sz w:val="14"/>
                <w:szCs w:val="14"/>
                <w:b w:val="1"/>
                <w:bCs w:val="1"/>
                <w:color w:val="auto"/>
              </w:rPr>
              <w:t>Level 1</w:t>
            </w:r>
          </w:p>
        </w:tc>
        <w:tc>
          <w:tcPr>
            <w:tcW w:w="320" w:type="dxa"/>
            <w:vAlign w:val="bottom"/>
          </w:tcPr>
          <w:p>
            <w:pPr>
              <w:spacing w:after="0"/>
              <w:rPr>
                <w:sz w:val="22"/>
                <w:szCs w:val="22"/>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22"/>
                <w:szCs w:val="22"/>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22"/>
                <w:szCs w:val="22"/>
                <w:color w:val="auto"/>
              </w:rPr>
            </w:pPr>
          </w:p>
        </w:tc>
        <w:tc>
          <w:tcPr>
            <w:tcW w:w="1140" w:type="dxa"/>
            <w:vAlign w:val="bottom"/>
          </w:tcPr>
          <w:p>
            <w:pPr>
              <w:jc w:val="right"/>
              <w:ind w:right="494"/>
              <w:spacing w:after="0"/>
              <w:rPr>
                <w:sz w:val="20"/>
                <w:szCs w:val="20"/>
                <w:color w:val="auto"/>
              </w:rPr>
            </w:pPr>
            <w:r>
              <w:rPr>
                <w:rFonts w:ascii="Arial" w:cs="Arial" w:eastAsia="Arial" w:hAnsi="Arial"/>
                <w:sz w:val="14"/>
                <w:szCs w:val="14"/>
                <w:b w:val="1"/>
                <w:bCs w:val="1"/>
                <w:color w:val="auto"/>
              </w:rPr>
              <w:t>Total</w:t>
            </w: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Money market funds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16,829</w:t>
            </w:r>
          </w:p>
        </w:tc>
        <w:tc>
          <w:tcPr>
            <w:tcW w:w="100" w:type="dxa"/>
            <w:vAlign w:val="bottom"/>
          </w:tcPr>
          <w:p>
            <w:pPr>
              <w:spacing w:after="0"/>
              <w:rPr>
                <w:sz w:val="21"/>
                <w:szCs w:val="21"/>
                <w:color w:val="auto"/>
              </w:rPr>
            </w:pPr>
          </w:p>
        </w:tc>
        <w:tc>
          <w:tcPr>
            <w:tcW w:w="320" w:type="dxa"/>
            <w:vAlign w:val="bottom"/>
          </w:tcPr>
          <w:p>
            <w:pPr>
              <w:jc w:val="right"/>
              <w:ind w:right="114"/>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4"/>
              <w:spacing w:after="0"/>
              <w:rPr>
                <w:sz w:val="20"/>
                <w:szCs w:val="20"/>
                <w:color w:val="auto"/>
              </w:rPr>
            </w:pPr>
            <w:r>
              <w:rPr>
                <w:rFonts w:ascii="Arial" w:cs="Arial" w:eastAsia="Arial" w:hAnsi="Arial"/>
                <w:sz w:val="18"/>
                <w:szCs w:val="18"/>
                <w:color w:val="auto"/>
              </w:rPr>
              <w:t>16,829</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60" w:type="dxa"/>
            <w:vAlign w:val="bottom"/>
            <w:gridSpan w:val="2"/>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73,935</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73,935</w:t>
            </w: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60" w:type="dxa"/>
            <w:vAlign w:val="bottom"/>
            <w:gridSpan w:val="2"/>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Severance pay fund</w:t>
            </w:r>
          </w:p>
        </w:tc>
        <w:tc>
          <w:tcPr>
            <w:tcW w:w="32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727</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727</w:t>
            </w:r>
          </w:p>
        </w:tc>
      </w:tr>
      <w:tr>
        <w:trPr>
          <w:trHeight w:val="237"/>
        </w:trPr>
        <w:tc>
          <w:tcPr>
            <w:tcW w:w="5140" w:type="dxa"/>
            <w:vAlign w:val="bottom"/>
          </w:tcPr>
          <w:p>
            <w:pPr>
              <w:ind w:left="40"/>
              <w:spacing w:after="0"/>
              <w:rPr>
                <w:sz w:val="20"/>
                <w:szCs w:val="20"/>
                <w:color w:val="auto"/>
              </w:rPr>
            </w:pPr>
            <w:r>
              <w:rPr>
                <w:rFonts w:ascii="Arial" w:cs="Arial" w:eastAsia="Arial" w:hAnsi="Arial"/>
                <w:sz w:val="18"/>
                <w:szCs w:val="18"/>
                <w:color w:val="auto"/>
              </w:rPr>
              <w:t>Total assets</w:t>
            </w: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16,829</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4"/>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74,662</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ind w:left="8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91,491</w:t>
            </w:r>
          </w:p>
        </w:tc>
      </w:tr>
      <w:tr>
        <w:trPr>
          <w:trHeight w:val="27"/>
        </w:trPr>
        <w:tc>
          <w:tcPr>
            <w:tcW w:w="51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0"/>
        </w:trPr>
        <w:tc>
          <w:tcPr>
            <w:tcW w:w="51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Fair Value of Debt</w:t>
      </w:r>
    </w:p>
    <w:p>
      <w:pPr>
        <w:spacing w:after="0" w:line="225"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The Company classified the Term Loan, the 2023 Notes and 2028 Notes under Level 2 of the fair value measurement hierarchy. The carrying value of the Term Loan approximates its fair value as the Term Loan is carried at a market observable interest rate that resets periodically. The estimated aggregate fair value of the 2023 Notes and 2028 Notes was $1 billion at May 4, 2019 and February 2, 2019, and were classified as Level 2 as there are quoted prices from less active markets for the notes.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Goodwill and Acquired Intangible Assets, Net</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Goodwill</w:t>
      </w:r>
    </w:p>
    <w:p>
      <w:pPr>
        <w:spacing w:after="0" w:line="225" w:lineRule="exact"/>
        <w:rPr>
          <w:sz w:val="20"/>
          <w:szCs w:val="20"/>
          <w:color w:val="auto"/>
        </w:rPr>
      </w:pPr>
    </w:p>
    <w:p>
      <w:pPr>
        <w:ind w:right="460" w:firstLine="405"/>
        <w:spacing w:after="0" w:line="264" w:lineRule="auto"/>
        <w:rPr>
          <w:sz w:val="20"/>
          <w:szCs w:val="20"/>
          <w:color w:val="auto"/>
        </w:rPr>
      </w:pPr>
      <w:r>
        <w:rPr>
          <w:rFonts w:ascii="Arial" w:cs="Arial" w:eastAsia="Arial" w:hAnsi="Arial"/>
          <w:sz w:val="18"/>
          <w:szCs w:val="18"/>
          <w:color w:val="auto"/>
        </w:rPr>
        <w:t>Goodwill represents the excess of the purchase price over the fair value of the net tangible and identifiable intangible assets acquired in a business combination. The carrying value of goodwill as of May 4, 2019 and February 2, 2019 is $5.5 billion. See “Note 4 - Business Combination” for further discussion of the acquisition.</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400"/>
          </w:cols>
          <w:pgMar w:left="240" w:top="130" w:right="259" w:bottom="1440" w:gutter="0" w:footer="0" w:header="0"/>
        </w:sectPr>
      </w:pPr>
    </w:p>
    <w:bookmarkStart w:id="14" w:name="page15"/>
    <w:bookmarkEnd w:id="1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62"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117" w:lineRule="exact"/>
        <w:rPr>
          <w:sz w:val="20"/>
          <w:szCs w:val="20"/>
          <w:color w:val="auto"/>
        </w:rPr>
      </w:pPr>
    </w:p>
    <w:p>
      <w:pPr>
        <w:ind w:right="120" w:firstLine="432"/>
        <w:spacing w:after="0" w:line="277" w:lineRule="auto"/>
        <w:rPr>
          <w:sz w:val="20"/>
          <w:szCs w:val="20"/>
          <w:color w:val="auto"/>
        </w:rPr>
      </w:pPr>
      <w:r>
        <w:rPr>
          <w:rFonts w:ascii="Arial" w:cs="Arial" w:eastAsia="Arial" w:hAnsi="Arial"/>
          <w:sz w:val="18"/>
          <w:szCs w:val="18"/>
          <w:color w:val="auto"/>
        </w:rPr>
        <w:t>In connection with the Cavium acquisition on July 6, 2018, the Company acquired $2.7 billion of intangible assets. As of May 4, 2019 and February 2, 2019, net carrying amounts are as follows (in thousands, except for weighted average remaining amortization period):</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6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4"/>
          </w:tcPr>
          <w:p>
            <w:pPr>
              <w:jc w:val="right"/>
              <w:ind w:right="814"/>
              <w:spacing w:after="0"/>
              <w:rPr>
                <w:sz w:val="20"/>
                <w:szCs w:val="20"/>
                <w:color w:val="auto"/>
              </w:rPr>
            </w:pPr>
            <w:r>
              <w:rPr>
                <w:rFonts w:ascii="Arial" w:cs="Arial" w:eastAsia="Arial" w:hAnsi="Arial"/>
                <w:sz w:val="14"/>
                <w:szCs w:val="14"/>
                <w:b w:val="1"/>
                <w:bCs w:val="1"/>
                <w:color w:val="auto"/>
              </w:rPr>
              <w:t>May 4, 2019</w:t>
            </w:r>
          </w:p>
        </w:tc>
        <w:tc>
          <w:tcPr>
            <w:tcW w:w="10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2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340" w:type="dxa"/>
            <w:vAlign w:val="bottom"/>
            <w:gridSpan w:val="2"/>
            <w:vMerge w:val="restart"/>
          </w:tcPr>
          <w:p>
            <w:pPr>
              <w:jc w:val="center"/>
              <w:ind w:right="30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3"/>
                <w:szCs w:val="13"/>
                <w:color w:val="auto"/>
              </w:rPr>
            </w:pPr>
          </w:p>
        </w:tc>
        <w:tc>
          <w:tcPr>
            <w:tcW w:w="128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Accumulated</w:t>
            </w:r>
          </w:p>
        </w:tc>
        <w:tc>
          <w:tcPr>
            <w:tcW w:w="200" w:type="dxa"/>
            <w:vAlign w:val="bottom"/>
          </w:tcPr>
          <w:p>
            <w:pPr>
              <w:spacing w:after="0"/>
              <w:rPr>
                <w:sz w:val="13"/>
                <w:szCs w:val="13"/>
                <w:color w:val="auto"/>
              </w:rPr>
            </w:pPr>
          </w:p>
        </w:tc>
        <w:tc>
          <w:tcPr>
            <w:tcW w:w="1180" w:type="dxa"/>
            <w:vAlign w:val="bottom"/>
            <w:vMerge w:val="restart"/>
          </w:tcPr>
          <w:p>
            <w:pPr>
              <w:jc w:val="center"/>
              <w:ind w:right="114"/>
              <w:spacing w:after="0"/>
              <w:rPr>
                <w:sz w:val="20"/>
                <w:szCs w:val="20"/>
                <w:color w:val="auto"/>
              </w:rPr>
            </w:pPr>
            <w:r>
              <w:rPr>
                <w:rFonts w:ascii="Arial" w:cs="Arial" w:eastAsia="Arial" w:hAnsi="Arial"/>
                <w:sz w:val="14"/>
                <w:szCs w:val="14"/>
                <w:b w:val="1"/>
                <w:bCs w:val="1"/>
                <w:color w:val="auto"/>
                <w:w w:val="97"/>
              </w:rPr>
              <w:t>Net Carrying</w:t>
            </w:r>
          </w:p>
        </w:tc>
        <w:tc>
          <w:tcPr>
            <w:tcW w:w="100" w:type="dxa"/>
            <w:vAlign w:val="bottom"/>
          </w:tcPr>
          <w:p>
            <w:pPr>
              <w:spacing w:after="0"/>
              <w:rPr>
                <w:sz w:val="13"/>
                <w:szCs w:val="13"/>
                <w:color w:val="auto"/>
              </w:rPr>
            </w:pPr>
          </w:p>
        </w:tc>
        <w:tc>
          <w:tcPr>
            <w:tcW w:w="170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1"/>
              </w:rPr>
              <w:t>Weighted average</w:t>
            </w:r>
          </w:p>
        </w:tc>
        <w:tc>
          <w:tcPr>
            <w:tcW w:w="0" w:type="dxa"/>
            <w:vAlign w:val="bottom"/>
          </w:tcPr>
          <w:p>
            <w:pPr>
              <w:spacing w:after="0"/>
              <w:rPr>
                <w:sz w:val="1"/>
                <w:szCs w:val="1"/>
                <w:color w:val="auto"/>
              </w:rPr>
            </w:pPr>
          </w:p>
        </w:tc>
      </w:tr>
      <w:tr>
        <w:trPr>
          <w:trHeight w:val="149"/>
        </w:trPr>
        <w:tc>
          <w:tcPr>
            <w:tcW w:w="5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80" w:type="dxa"/>
            <w:vAlign w:val="bottom"/>
            <w:gridSpan w:val="2"/>
            <w:vMerge w:val="continue"/>
          </w:tcPr>
          <w:p>
            <w:pPr>
              <w:spacing w:after="0"/>
              <w:rPr>
                <w:sz w:val="12"/>
                <w:szCs w:val="12"/>
                <w:color w:val="auto"/>
              </w:rPr>
            </w:pPr>
          </w:p>
        </w:tc>
        <w:tc>
          <w:tcPr>
            <w:tcW w:w="200" w:type="dxa"/>
            <w:vAlign w:val="bottom"/>
          </w:tcPr>
          <w:p>
            <w:pPr>
              <w:spacing w:after="0"/>
              <w:rPr>
                <w:sz w:val="12"/>
                <w:szCs w:val="12"/>
                <w:color w:val="auto"/>
              </w:rPr>
            </w:pPr>
          </w:p>
        </w:tc>
        <w:tc>
          <w:tcPr>
            <w:tcW w:w="118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2"/>
        </w:trPr>
        <w:tc>
          <w:tcPr>
            <w:tcW w:w="526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Amortization</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92"/>
              </w:rPr>
              <w:t>Amounts</w:t>
            </w:r>
          </w:p>
        </w:tc>
        <w:tc>
          <w:tcPr>
            <w:tcW w:w="100" w:type="dxa"/>
            <w:vAlign w:val="bottom"/>
            <w:tcBorders>
              <w:bottom w:val="single" w:sz="8" w:color="CCEEFF"/>
            </w:tcBorders>
          </w:tcPr>
          <w:p>
            <w:pPr>
              <w:spacing w:after="0"/>
              <w:rPr>
                <w:sz w:val="16"/>
                <w:szCs w:val="16"/>
                <w:color w:val="auto"/>
              </w:rPr>
            </w:pPr>
          </w:p>
        </w:tc>
        <w:tc>
          <w:tcPr>
            <w:tcW w:w="1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5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Developed technologies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1,868,000</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(194,073)</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1,673,927</w:t>
            </w:r>
          </w:p>
        </w:tc>
        <w:tc>
          <w:tcPr>
            <w:tcW w:w="180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85"/>
              </w:rPr>
              <w:t>7.00</w:t>
            </w:r>
          </w:p>
        </w:tc>
        <w:tc>
          <w:tcPr>
            <w:tcW w:w="0" w:type="dxa"/>
            <w:vAlign w:val="bottom"/>
          </w:tcPr>
          <w:p>
            <w:pPr>
              <w:spacing w:after="0"/>
              <w:rPr>
                <w:sz w:val="1"/>
                <w:szCs w:val="1"/>
                <w:color w:val="auto"/>
              </w:rPr>
            </w:pPr>
          </w:p>
        </w:tc>
      </w:tr>
      <w:tr>
        <w:trPr>
          <w:trHeight w:val="243"/>
        </w:trPr>
        <w:tc>
          <w:tcPr>
            <w:tcW w:w="5260" w:type="dxa"/>
            <w:vAlign w:val="bottom"/>
          </w:tcPr>
          <w:p>
            <w:pPr>
              <w:ind w:left="40"/>
              <w:spacing w:after="0"/>
              <w:rPr>
                <w:sz w:val="20"/>
                <w:szCs w:val="20"/>
                <w:color w:val="auto"/>
              </w:rPr>
            </w:pPr>
            <w:r>
              <w:rPr>
                <w:rFonts w:ascii="Arial" w:cs="Arial" w:eastAsia="Arial" w:hAnsi="Arial"/>
                <w:sz w:val="18"/>
                <w:szCs w:val="18"/>
                <w:color w:val="auto"/>
              </w:rPr>
              <w:t>Customer contracts and related relationships</w:t>
            </w:r>
          </w:p>
        </w:tc>
        <w:tc>
          <w:tcPr>
            <w:tcW w:w="18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465,000</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(64,395)</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80" w:type="dxa"/>
            <w:vAlign w:val="bottom"/>
          </w:tcPr>
          <w:p>
            <w:pPr>
              <w:jc w:val="right"/>
              <w:ind w:right="34"/>
              <w:spacing w:after="0"/>
              <w:rPr>
                <w:sz w:val="20"/>
                <w:szCs w:val="20"/>
                <w:color w:val="auto"/>
              </w:rPr>
            </w:pPr>
            <w:r>
              <w:rPr>
                <w:rFonts w:ascii="Arial" w:cs="Arial" w:eastAsia="Arial" w:hAnsi="Arial"/>
                <w:sz w:val="18"/>
                <w:szCs w:val="18"/>
                <w:color w:val="auto"/>
              </w:rPr>
              <w:t>400,605</w:t>
            </w:r>
          </w:p>
        </w:tc>
        <w:tc>
          <w:tcPr>
            <w:tcW w:w="1800" w:type="dxa"/>
            <w:vAlign w:val="bottom"/>
            <w:gridSpan w:val="2"/>
          </w:tcPr>
          <w:p>
            <w:pPr>
              <w:jc w:val="center"/>
              <w:ind w:left="10"/>
              <w:spacing w:after="0"/>
              <w:rPr>
                <w:sz w:val="20"/>
                <w:szCs w:val="20"/>
                <w:color w:val="auto"/>
              </w:rPr>
            </w:pPr>
            <w:r>
              <w:rPr>
                <w:rFonts w:ascii="Arial" w:cs="Arial" w:eastAsia="Arial" w:hAnsi="Arial"/>
                <w:sz w:val="18"/>
                <w:szCs w:val="18"/>
                <w:color w:val="auto"/>
                <w:w w:val="85"/>
              </w:rPr>
              <w:t>8.17</w:t>
            </w:r>
          </w:p>
        </w:tc>
        <w:tc>
          <w:tcPr>
            <w:tcW w:w="0" w:type="dxa"/>
            <w:vAlign w:val="bottom"/>
          </w:tcPr>
          <w:p>
            <w:pPr>
              <w:spacing w:after="0"/>
              <w:rPr>
                <w:sz w:val="1"/>
                <w:szCs w:val="1"/>
                <w:color w:val="auto"/>
              </w:rPr>
            </w:pPr>
          </w:p>
        </w:tc>
      </w:tr>
      <w:tr>
        <w:trPr>
          <w:trHeight w:val="27"/>
        </w:trPr>
        <w:tc>
          <w:tcPr>
            <w:tcW w:w="5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Trade names</w:t>
            </w:r>
          </w:p>
        </w:tc>
        <w:tc>
          <w:tcPr>
            <w:tcW w:w="1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23,000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(4,590)</w:t>
            </w: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18,410</w:t>
            </w:r>
          </w:p>
        </w:tc>
        <w:tc>
          <w:tcPr>
            <w:tcW w:w="180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85"/>
              </w:rPr>
              <w:t>3.62</w:t>
            </w:r>
          </w:p>
        </w:tc>
        <w:tc>
          <w:tcPr>
            <w:tcW w:w="0" w:type="dxa"/>
            <w:vAlign w:val="bottom"/>
          </w:tcPr>
          <w:p>
            <w:pPr>
              <w:spacing w:after="0"/>
              <w:rPr>
                <w:sz w:val="1"/>
                <w:szCs w:val="1"/>
                <w:color w:val="auto"/>
              </w:rPr>
            </w:pPr>
          </w:p>
        </w:tc>
      </w:tr>
      <w:tr>
        <w:trPr>
          <w:trHeight w:val="237"/>
        </w:trPr>
        <w:tc>
          <w:tcPr>
            <w:tcW w:w="5260" w:type="dxa"/>
            <w:vAlign w:val="bottom"/>
          </w:tcPr>
          <w:p>
            <w:pPr>
              <w:ind w:left="4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2,356,000</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(263,058)</w:t>
            </w:r>
          </w:p>
        </w:tc>
        <w:tc>
          <w:tcPr>
            <w:tcW w:w="10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2,092,942</w:t>
            </w:r>
          </w:p>
        </w:tc>
        <w:tc>
          <w:tcPr>
            <w:tcW w:w="1800" w:type="dxa"/>
            <w:vAlign w:val="bottom"/>
            <w:gridSpan w:val="2"/>
          </w:tcPr>
          <w:p>
            <w:pPr>
              <w:jc w:val="center"/>
              <w:ind w:left="10"/>
              <w:spacing w:after="0"/>
              <w:rPr>
                <w:sz w:val="20"/>
                <w:szCs w:val="20"/>
                <w:color w:val="auto"/>
              </w:rPr>
            </w:pPr>
            <w:r>
              <w:rPr>
                <w:rFonts w:ascii="Arial" w:cs="Arial" w:eastAsia="Arial" w:hAnsi="Arial"/>
                <w:sz w:val="18"/>
                <w:szCs w:val="18"/>
                <w:color w:val="auto"/>
                <w:w w:val="85"/>
              </w:rPr>
              <w:t>7.19</w:t>
            </w:r>
          </w:p>
        </w:tc>
        <w:tc>
          <w:tcPr>
            <w:tcW w:w="0" w:type="dxa"/>
            <w:vAlign w:val="bottom"/>
          </w:tcPr>
          <w:p>
            <w:pPr>
              <w:spacing w:after="0"/>
              <w:rPr>
                <w:sz w:val="1"/>
                <w:szCs w:val="1"/>
                <w:color w:val="auto"/>
              </w:rPr>
            </w:pPr>
          </w:p>
        </w:tc>
      </w:tr>
      <w:tr>
        <w:trPr>
          <w:trHeight w:val="27"/>
        </w:trPr>
        <w:tc>
          <w:tcPr>
            <w:tcW w:w="5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IPR&amp;D</w:t>
            </w:r>
          </w:p>
        </w:tc>
        <w:tc>
          <w:tcPr>
            <w:tcW w:w="1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388,000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388,000</w:t>
            </w:r>
          </w:p>
        </w:tc>
        <w:tc>
          <w:tcPr>
            <w:tcW w:w="100" w:type="dxa"/>
            <w:vAlign w:val="bottom"/>
            <w:tcBorders>
              <w:bottom w:val="single" w:sz="8" w:color="CCEEFF"/>
            </w:tcBorders>
            <w:shd w:val="clear" w:color="auto" w:fill="CCEEFF"/>
          </w:tcPr>
          <w:p>
            <w:pPr>
              <w:spacing w:after="0"/>
              <w:rPr>
                <w:sz w:val="23"/>
                <w:szCs w:val="23"/>
                <w:color w:val="auto"/>
              </w:rPr>
            </w:pPr>
          </w:p>
        </w:tc>
        <w:tc>
          <w:tcPr>
            <w:tcW w:w="170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57"/>
        </w:trPr>
        <w:tc>
          <w:tcPr>
            <w:tcW w:w="5260" w:type="dxa"/>
            <w:vAlign w:val="bottom"/>
          </w:tcPr>
          <w:p>
            <w:pPr>
              <w:ind w:left="40"/>
              <w:spacing w:after="0"/>
              <w:rPr>
                <w:sz w:val="20"/>
                <w:szCs w:val="20"/>
                <w:color w:val="auto"/>
              </w:rPr>
            </w:pPr>
            <w:r>
              <w:rPr>
                <w:rFonts w:ascii="Arial" w:cs="Arial" w:eastAsia="Arial" w:hAnsi="Arial"/>
                <w:sz w:val="18"/>
                <w:szCs w:val="18"/>
                <w:b w:val="1"/>
                <w:bCs w:val="1"/>
                <w:color w:val="auto"/>
              </w:rPr>
              <w:t>Total acquired intangible assets</w:t>
            </w: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2,744,000</w:t>
            </w:r>
          </w:p>
        </w:tc>
        <w:tc>
          <w:tcPr>
            <w:tcW w:w="12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(263,058)</w:t>
            </w:r>
          </w:p>
        </w:tc>
        <w:tc>
          <w:tcPr>
            <w:tcW w:w="100" w:type="dxa"/>
            <w:vAlign w:val="bottom"/>
          </w:tcPr>
          <w:p>
            <w:pPr>
              <w:spacing w:after="0"/>
              <w:rPr>
                <w:sz w:val="22"/>
                <w:szCs w:val="22"/>
                <w:color w:val="auto"/>
              </w:rPr>
            </w:pPr>
          </w:p>
        </w:tc>
        <w:tc>
          <w:tcPr>
            <w:tcW w:w="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2,480,942</w:t>
            </w:r>
          </w:p>
        </w:tc>
        <w:tc>
          <w:tcPr>
            <w:tcW w:w="100" w:type="dxa"/>
            <w:vAlign w:val="bottom"/>
          </w:tcPr>
          <w:p>
            <w:pPr>
              <w:spacing w:after="0"/>
              <w:rPr>
                <w:sz w:val="22"/>
                <w:szCs w:val="22"/>
                <w:color w:val="auto"/>
              </w:rPr>
            </w:pPr>
          </w:p>
        </w:tc>
        <w:tc>
          <w:tcPr>
            <w:tcW w:w="17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5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18"/>
        </w:trPr>
        <w:tc>
          <w:tcPr>
            <w:tcW w:w="5260" w:type="dxa"/>
            <w:vAlign w:val="bottom"/>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2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2660" w:type="dxa"/>
            <w:vAlign w:val="bottom"/>
            <w:tcBorders>
              <w:bottom w:val="single" w:sz="8" w:color="auto"/>
            </w:tcBorders>
            <w:gridSpan w:val="4"/>
          </w:tcPr>
          <w:p>
            <w:pPr>
              <w:jc w:val="right"/>
              <w:ind w:right="654"/>
              <w:spacing w:after="0"/>
              <w:rPr>
                <w:sz w:val="20"/>
                <w:szCs w:val="20"/>
                <w:color w:val="auto"/>
              </w:rPr>
            </w:pPr>
            <w:r>
              <w:rPr>
                <w:rFonts w:ascii="Arial" w:cs="Arial" w:eastAsia="Arial" w:hAnsi="Arial"/>
                <w:sz w:val="14"/>
                <w:szCs w:val="14"/>
                <w:b w:val="1"/>
                <w:bCs w:val="1"/>
                <w:color w:val="auto"/>
              </w:rPr>
              <w:t>February 2, 2019</w:t>
            </w:r>
          </w:p>
        </w:tc>
        <w:tc>
          <w:tcPr>
            <w:tcW w:w="10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52"/>
        </w:trPr>
        <w:tc>
          <w:tcPr>
            <w:tcW w:w="52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340" w:type="dxa"/>
            <w:vAlign w:val="bottom"/>
            <w:gridSpan w:val="2"/>
            <w:vMerge w:val="restart"/>
          </w:tcPr>
          <w:p>
            <w:pPr>
              <w:jc w:val="center"/>
              <w:ind w:right="30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3"/>
                <w:szCs w:val="13"/>
                <w:color w:val="auto"/>
              </w:rPr>
            </w:pPr>
          </w:p>
        </w:tc>
        <w:tc>
          <w:tcPr>
            <w:tcW w:w="128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Accumulated</w:t>
            </w:r>
          </w:p>
        </w:tc>
        <w:tc>
          <w:tcPr>
            <w:tcW w:w="200" w:type="dxa"/>
            <w:vAlign w:val="bottom"/>
          </w:tcPr>
          <w:p>
            <w:pPr>
              <w:spacing w:after="0"/>
              <w:rPr>
                <w:sz w:val="13"/>
                <w:szCs w:val="13"/>
                <w:color w:val="auto"/>
              </w:rPr>
            </w:pPr>
          </w:p>
        </w:tc>
        <w:tc>
          <w:tcPr>
            <w:tcW w:w="1180" w:type="dxa"/>
            <w:vAlign w:val="bottom"/>
            <w:vMerge w:val="restart"/>
          </w:tcPr>
          <w:p>
            <w:pPr>
              <w:jc w:val="center"/>
              <w:ind w:right="114"/>
              <w:spacing w:after="0"/>
              <w:rPr>
                <w:sz w:val="20"/>
                <w:szCs w:val="20"/>
                <w:color w:val="auto"/>
              </w:rPr>
            </w:pPr>
            <w:r>
              <w:rPr>
                <w:rFonts w:ascii="Arial" w:cs="Arial" w:eastAsia="Arial" w:hAnsi="Arial"/>
                <w:sz w:val="14"/>
                <w:szCs w:val="14"/>
                <w:b w:val="1"/>
                <w:bCs w:val="1"/>
                <w:color w:val="auto"/>
                <w:w w:val="97"/>
              </w:rPr>
              <w:t>Net Carrying</w:t>
            </w:r>
          </w:p>
        </w:tc>
        <w:tc>
          <w:tcPr>
            <w:tcW w:w="100" w:type="dxa"/>
            <w:vAlign w:val="bottom"/>
          </w:tcPr>
          <w:p>
            <w:pPr>
              <w:spacing w:after="0"/>
              <w:rPr>
                <w:sz w:val="13"/>
                <w:szCs w:val="13"/>
                <w:color w:val="auto"/>
              </w:rPr>
            </w:pPr>
          </w:p>
        </w:tc>
        <w:tc>
          <w:tcPr>
            <w:tcW w:w="170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1"/>
              </w:rPr>
              <w:t>Weighted average</w:t>
            </w:r>
          </w:p>
        </w:tc>
        <w:tc>
          <w:tcPr>
            <w:tcW w:w="0" w:type="dxa"/>
            <w:vAlign w:val="bottom"/>
          </w:tcPr>
          <w:p>
            <w:pPr>
              <w:spacing w:after="0"/>
              <w:rPr>
                <w:sz w:val="1"/>
                <w:szCs w:val="1"/>
                <w:color w:val="auto"/>
              </w:rPr>
            </w:pPr>
          </w:p>
        </w:tc>
      </w:tr>
      <w:tr>
        <w:trPr>
          <w:trHeight w:val="149"/>
        </w:trPr>
        <w:tc>
          <w:tcPr>
            <w:tcW w:w="5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80" w:type="dxa"/>
            <w:vAlign w:val="bottom"/>
            <w:gridSpan w:val="2"/>
            <w:vMerge w:val="continue"/>
          </w:tcPr>
          <w:p>
            <w:pPr>
              <w:spacing w:after="0"/>
              <w:rPr>
                <w:sz w:val="12"/>
                <w:szCs w:val="12"/>
                <w:color w:val="auto"/>
              </w:rPr>
            </w:pPr>
          </w:p>
        </w:tc>
        <w:tc>
          <w:tcPr>
            <w:tcW w:w="200" w:type="dxa"/>
            <w:vAlign w:val="bottom"/>
          </w:tcPr>
          <w:p>
            <w:pPr>
              <w:spacing w:after="0"/>
              <w:rPr>
                <w:sz w:val="12"/>
                <w:szCs w:val="12"/>
                <w:color w:val="auto"/>
              </w:rPr>
            </w:pPr>
          </w:p>
        </w:tc>
        <w:tc>
          <w:tcPr>
            <w:tcW w:w="118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2"/>
        </w:trPr>
        <w:tc>
          <w:tcPr>
            <w:tcW w:w="526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Amortization</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92"/>
              </w:rPr>
              <w:t>Amounts</w:t>
            </w:r>
          </w:p>
        </w:tc>
        <w:tc>
          <w:tcPr>
            <w:tcW w:w="100" w:type="dxa"/>
            <w:vAlign w:val="bottom"/>
            <w:tcBorders>
              <w:bottom w:val="single" w:sz="8" w:color="CCEEFF"/>
            </w:tcBorders>
          </w:tcPr>
          <w:p>
            <w:pPr>
              <w:spacing w:after="0"/>
              <w:rPr>
                <w:sz w:val="16"/>
                <w:szCs w:val="16"/>
                <w:color w:val="auto"/>
              </w:rPr>
            </w:pPr>
          </w:p>
        </w:tc>
        <w:tc>
          <w:tcPr>
            <w:tcW w:w="1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5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Developed technologies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1,743,000</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(134,167)</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1,608,833</w:t>
            </w:r>
          </w:p>
        </w:tc>
        <w:tc>
          <w:tcPr>
            <w:tcW w:w="180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85"/>
              </w:rPr>
              <w:t>7.10</w:t>
            </w:r>
          </w:p>
        </w:tc>
        <w:tc>
          <w:tcPr>
            <w:tcW w:w="0" w:type="dxa"/>
            <w:vAlign w:val="bottom"/>
          </w:tcPr>
          <w:p>
            <w:pPr>
              <w:spacing w:after="0"/>
              <w:rPr>
                <w:sz w:val="1"/>
                <w:szCs w:val="1"/>
                <w:color w:val="auto"/>
              </w:rPr>
            </w:pPr>
          </w:p>
        </w:tc>
      </w:tr>
      <w:tr>
        <w:trPr>
          <w:trHeight w:val="243"/>
        </w:trPr>
        <w:tc>
          <w:tcPr>
            <w:tcW w:w="5260" w:type="dxa"/>
            <w:vAlign w:val="bottom"/>
          </w:tcPr>
          <w:p>
            <w:pPr>
              <w:ind w:left="40"/>
              <w:spacing w:after="0"/>
              <w:rPr>
                <w:sz w:val="20"/>
                <w:szCs w:val="20"/>
                <w:color w:val="auto"/>
              </w:rPr>
            </w:pPr>
            <w:r>
              <w:rPr>
                <w:rFonts w:ascii="Arial" w:cs="Arial" w:eastAsia="Arial" w:hAnsi="Arial"/>
                <w:sz w:val="18"/>
                <w:szCs w:val="18"/>
                <w:color w:val="auto"/>
              </w:rPr>
              <w:t>Customer contracts and related relationships</w:t>
            </w:r>
          </w:p>
        </w:tc>
        <w:tc>
          <w:tcPr>
            <w:tcW w:w="18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465,000</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(45,939)</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80" w:type="dxa"/>
            <w:vAlign w:val="bottom"/>
          </w:tcPr>
          <w:p>
            <w:pPr>
              <w:jc w:val="right"/>
              <w:ind w:right="34"/>
              <w:spacing w:after="0"/>
              <w:rPr>
                <w:sz w:val="20"/>
                <w:szCs w:val="20"/>
                <w:color w:val="auto"/>
              </w:rPr>
            </w:pPr>
            <w:r>
              <w:rPr>
                <w:rFonts w:ascii="Arial" w:cs="Arial" w:eastAsia="Arial" w:hAnsi="Arial"/>
                <w:sz w:val="18"/>
                <w:szCs w:val="18"/>
                <w:color w:val="auto"/>
              </w:rPr>
              <w:t>419,061</w:t>
            </w:r>
          </w:p>
        </w:tc>
        <w:tc>
          <w:tcPr>
            <w:tcW w:w="1800" w:type="dxa"/>
            <w:vAlign w:val="bottom"/>
            <w:gridSpan w:val="2"/>
          </w:tcPr>
          <w:p>
            <w:pPr>
              <w:jc w:val="center"/>
              <w:ind w:left="10"/>
              <w:spacing w:after="0"/>
              <w:rPr>
                <w:sz w:val="20"/>
                <w:szCs w:val="20"/>
                <w:color w:val="auto"/>
              </w:rPr>
            </w:pPr>
            <w:r>
              <w:rPr>
                <w:rFonts w:ascii="Arial" w:cs="Arial" w:eastAsia="Arial" w:hAnsi="Arial"/>
                <w:sz w:val="18"/>
                <w:szCs w:val="18"/>
                <w:color w:val="auto"/>
                <w:w w:val="85"/>
              </w:rPr>
              <w:t>8.42</w:t>
            </w:r>
          </w:p>
        </w:tc>
        <w:tc>
          <w:tcPr>
            <w:tcW w:w="0" w:type="dxa"/>
            <w:vAlign w:val="bottom"/>
          </w:tcPr>
          <w:p>
            <w:pPr>
              <w:spacing w:after="0"/>
              <w:rPr>
                <w:sz w:val="1"/>
                <w:szCs w:val="1"/>
                <w:color w:val="auto"/>
              </w:rPr>
            </w:pPr>
          </w:p>
        </w:tc>
      </w:tr>
      <w:tr>
        <w:trPr>
          <w:trHeight w:val="27"/>
        </w:trPr>
        <w:tc>
          <w:tcPr>
            <w:tcW w:w="5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800" w:type="dxa"/>
            <w:vAlign w:val="bottom"/>
            <w:gridSpan w:val="2"/>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Trade names</w:t>
            </w:r>
          </w:p>
        </w:tc>
        <w:tc>
          <w:tcPr>
            <w:tcW w:w="1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23,000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(3,212)</w:t>
            </w: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19,788</w:t>
            </w:r>
          </w:p>
        </w:tc>
        <w:tc>
          <w:tcPr>
            <w:tcW w:w="180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85"/>
              </w:rPr>
              <w:t>3.85</w:t>
            </w:r>
          </w:p>
        </w:tc>
        <w:tc>
          <w:tcPr>
            <w:tcW w:w="0" w:type="dxa"/>
            <w:vAlign w:val="bottom"/>
          </w:tcPr>
          <w:p>
            <w:pPr>
              <w:spacing w:after="0"/>
              <w:rPr>
                <w:sz w:val="1"/>
                <w:szCs w:val="1"/>
                <w:color w:val="auto"/>
              </w:rPr>
            </w:pPr>
          </w:p>
        </w:tc>
      </w:tr>
      <w:tr>
        <w:trPr>
          <w:trHeight w:val="237"/>
        </w:trPr>
        <w:tc>
          <w:tcPr>
            <w:tcW w:w="5260" w:type="dxa"/>
            <w:vAlign w:val="bottom"/>
          </w:tcPr>
          <w:p>
            <w:pPr>
              <w:ind w:left="4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2,231,000</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(183,318)</w:t>
            </w:r>
          </w:p>
        </w:tc>
        <w:tc>
          <w:tcPr>
            <w:tcW w:w="10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2,047,682</w:t>
            </w:r>
          </w:p>
        </w:tc>
        <w:tc>
          <w:tcPr>
            <w:tcW w:w="1800" w:type="dxa"/>
            <w:vAlign w:val="bottom"/>
            <w:gridSpan w:val="2"/>
          </w:tcPr>
          <w:p>
            <w:pPr>
              <w:jc w:val="center"/>
              <w:ind w:left="10"/>
              <w:spacing w:after="0"/>
              <w:rPr>
                <w:sz w:val="20"/>
                <w:szCs w:val="20"/>
                <w:color w:val="auto"/>
              </w:rPr>
            </w:pPr>
            <w:r>
              <w:rPr>
                <w:rFonts w:ascii="Arial" w:cs="Arial" w:eastAsia="Arial" w:hAnsi="Arial"/>
                <w:sz w:val="18"/>
                <w:szCs w:val="18"/>
                <w:color w:val="auto"/>
                <w:w w:val="85"/>
              </w:rPr>
              <w:t>7.34</w:t>
            </w:r>
          </w:p>
        </w:tc>
        <w:tc>
          <w:tcPr>
            <w:tcW w:w="0" w:type="dxa"/>
            <w:vAlign w:val="bottom"/>
          </w:tcPr>
          <w:p>
            <w:pPr>
              <w:spacing w:after="0"/>
              <w:rPr>
                <w:sz w:val="1"/>
                <w:szCs w:val="1"/>
                <w:color w:val="auto"/>
              </w:rPr>
            </w:pPr>
          </w:p>
        </w:tc>
      </w:tr>
      <w:tr>
        <w:trPr>
          <w:trHeight w:val="27"/>
        </w:trPr>
        <w:tc>
          <w:tcPr>
            <w:tcW w:w="5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IPR&amp;D</w:t>
            </w:r>
          </w:p>
        </w:tc>
        <w:tc>
          <w:tcPr>
            <w:tcW w:w="1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513,000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513,000</w:t>
            </w:r>
          </w:p>
        </w:tc>
        <w:tc>
          <w:tcPr>
            <w:tcW w:w="100" w:type="dxa"/>
            <w:vAlign w:val="bottom"/>
            <w:tcBorders>
              <w:bottom w:val="single" w:sz="8" w:color="CCEEFF"/>
            </w:tcBorders>
            <w:shd w:val="clear" w:color="auto" w:fill="CCEEFF"/>
          </w:tcPr>
          <w:p>
            <w:pPr>
              <w:spacing w:after="0"/>
              <w:rPr>
                <w:sz w:val="23"/>
                <w:szCs w:val="23"/>
                <w:color w:val="auto"/>
              </w:rPr>
            </w:pPr>
          </w:p>
        </w:tc>
        <w:tc>
          <w:tcPr>
            <w:tcW w:w="170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57"/>
        </w:trPr>
        <w:tc>
          <w:tcPr>
            <w:tcW w:w="5260" w:type="dxa"/>
            <w:vAlign w:val="bottom"/>
          </w:tcPr>
          <w:p>
            <w:pPr>
              <w:ind w:left="40"/>
              <w:spacing w:after="0"/>
              <w:rPr>
                <w:sz w:val="20"/>
                <w:szCs w:val="20"/>
                <w:color w:val="auto"/>
              </w:rPr>
            </w:pPr>
            <w:r>
              <w:rPr>
                <w:rFonts w:ascii="Arial" w:cs="Arial" w:eastAsia="Arial" w:hAnsi="Arial"/>
                <w:sz w:val="18"/>
                <w:szCs w:val="18"/>
                <w:b w:val="1"/>
                <w:bCs w:val="1"/>
                <w:color w:val="auto"/>
              </w:rPr>
              <w:t>Total acquired intangible assets</w:t>
            </w: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2,744,000</w:t>
            </w:r>
          </w:p>
        </w:tc>
        <w:tc>
          <w:tcPr>
            <w:tcW w:w="12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(183,318)</w:t>
            </w:r>
          </w:p>
        </w:tc>
        <w:tc>
          <w:tcPr>
            <w:tcW w:w="100" w:type="dxa"/>
            <w:vAlign w:val="bottom"/>
          </w:tcPr>
          <w:p>
            <w:pPr>
              <w:spacing w:after="0"/>
              <w:rPr>
                <w:sz w:val="22"/>
                <w:szCs w:val="22"/>
                <w:color w:val="auto"/>
              </w:rPr>
            </w:pPr>
          </w:p>
        </w:tc>
        <w:tc>
          <w:tcPr>
            <w:tcW w:w="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2,560,682</w:t>
            </w:r>
          </w:p>
        </w:tc>
        <w:tc>
          <w:tcPr>
            <w:tcW w:w="100" w:type="dxa"/>
            <w:vAlign w:val="bottom"/>
          </w:tcPr>
          <w:p>
            <w:pPr>
              <w:spacing w:after="0"/>
              <w:rPr>
                <w:sz w:val="22"/>
                <w:szCs w:val="22"/>
                <w:color w:val="auto"/>
              </w:rPr>
            </w:pPr>
          </w:p>
        </w:tc>
        <w:tc>
          <w:tcPr>
            <w:tcW w:w="17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5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37" w:lineRule="exact"/>
        <w:rPr>
          <w:sz w:val="20"/>
          <w:szCs w:val="20"/>
          <w:color w:val="auto"/>
        </w:rPr>
      </w:pPr>
    </w:p>
    <w:p>
      <w:pPr>
        <w:ind w:right="20" w:firstLine="405"/>
        <w:spacing w:after="0" w:line="297" w:lineRule="auto"/>
        <w:rPr>
          <w:sz w:val="20"/>
          <w:szCs w:val="20"/>
          <w:color w:val="auto"/>
        </w:rPr>
      </w:pPr>
      <w:r>
        <w:rPr>
          <w:rFonts w:ascii="Arial" w:cs="Arial" w:eastAsia="Arial" w:hAnsi="Arial"/>
          <w:sz w:val="16"/>
          <w:szCs w:val="16"/>
          <w:color w:val="auto"/>
        </w:rPr>
        <w:t>The intangible assets are amortized on a straight-line basis over the estimated useful lives, except for customer contracts and related relationships, which are amortized using an accelerated method of amortization over the expected customer lives, which more accurately reflects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4 to 9 years. In the event the IPR&amp;D is abandoned the related assets will be written off.</w:t>
      </w:r>
    </w:p>
    <w:p>
      <w:pPr>
        <w:spacing w:after="0" w:line="200" w:lineRule="exact"/>
        <w:rPr>
          <w:sz w:val="20"/>
          <w:szCs w:val="20"/>
          <w:color w:val="auto"/>
        </w:rPr>
      </w:pPr>
    </w:p>
    <w:p>
      <w:pPr>
        <w:spacing w:after="0" w:line="22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130" w:right="239" w:bottom="1440" w:gutter="0" w:footer="0" w:header="0"/>
        </w:sectPr>
      </w:pPr>
    </w:p>
    <w:bookmarkStart w:id="15" w:name="page16"/>
    <w:bookmarkEnd w:id="1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62" w:lineRule="exact"/>
        <w:rPr>
          <w:sz w:val="20"/>
          <w:szCs w:val="20"/>
          <w:color w:val="auto"/>
        </w:rPr>
      </w:pPr>
    </w:p>
    <w:p>
      <w:pPr>
        <w:ind w:right="560" w:firstLine="432"/>
        <w:spacing w:after="0" w:line="277" w:lineRule="auto"/>
        <w:rPr>
          <w:sz w:val="20"/>
          <w:szCs w:val="20"/>
          <w:color w:val="auto"/>
        </w:rPr>
      </w:pPr>
      <w:r>
        <w:rPr>
          <w:rFonts w:ascii="Arial" w:cs="Arial" w:eastAsia="Arial" w:hAnsi="Arial"/>
          <w:sz w:val="18"/>
          <w:szCs w:val="18"/>
          <w:color w:val="auto"/>
        </w:rPr>
        <w:t>Amortization expense for acquired intangible assets for the three months ended May 4, 2019 was $79.7 million. The following table presents the estimated future amortization expense of acquired amortizable intangible assets as of May 4, 2019 (in thousands):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8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rPr>
              <w:t>Fiscal Year</w:t>
            </w:r>
          </w:p>
        </w:tc>
        <w:tc>
          <w:tcPr>
            <w:tcW w:w="100" w:type="dxa"/>
            <w:vAlign w:val="bottom"/>
            <w:tcBorders>
              <w:bottom w:val="single" w:sz="8" w:color="CCEEFF"/>
            </w:tcBorders>
          </w:tcPr>
          <w:p>
            <w:pPr>
              <w:spacing w:after="0"/>
              <w:rPr>
                <w:sz w:val="16"/>
                <w:szCs w:val="16"/>
                <w:color w:val="auto"/>
              </w:rPr>
            </w:pPr>
          </w:p>
        </w:tc>
        <w:tc>
          <w:tcPr>
            <w:tcW w:w="182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tcPr>
          <w:p>
            <w:pPr>
              <w:jc w:val="right"/>
              <w:ind w:right="12"/>
              <w:spacing w:after="0"/>
              <w:rPr>
                <w:sz w:val="20"/>
                <w:szCs w:val="20"/>
                <w:color w:val="auto"/>
              </w:rPr>
            </w:pPr>
            <w:r>
              <w:rPr>
                <w:rFonts w:ascii="Arial" w:cs="Arial" w:eastAsia="Arial" w:hAnsi="Arial"/>
                <w:sz w:val="14"/>
                <w:szCs w:val="14"/>
                <w:b w:val="1"/>
                <w:bCs w:val="1"/>
                <w:color w:val="auto"/>
              </w:rPr>
              <w:t>Amount</w:t>
            </w:r>
          </w:p>
        </w:tc>
      </w:tr>
      <w:tr>
        <w:trPr>
          <w:trHeight w:val="250"/>
        </w:trPr>
        <w:tc>
          <w:tcPr>
            <w:tcW w:w="708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Remainder of 2020</w:t>
            </w:r>
          </w:p>
        </w:tc>
        <w:tc>
          <w:tcPr>
            <w:tcW w:w="1820" w:type="dxa"/>
            <w:vAlign w:val="bottom"/>
            <w:tcBorders>
              <w:bottom w:val="single" w:sz="8" w:color="CCEEFF"/>
            </w:tcBorders>
            <w:shd w:val="clear" w:color="auto" w:fill="CCEEFF"/>
          </w:tcPr>
          <w:p>
            <w:pPr>
              <w:jc w:val="right"/>
              <w:ind w:right="1610"/>
              <w:spacing w:after="0"/>
              <w:rPr>
                <w:sz w:val="20"/>
                <w:szCs w:val="20"/>
                <w:color w:val="auto"/>
              </w:rPr>
            </w:pPr>
            <w:r>
              <w:rPr>
                <w:rFonts w:ascii="Arial" w:cs="Arial" w:eastAsia="Arial" w:hAnsi="Arial"/>
                <w:sz w:val="18"/>
                <w:szCs w:val="18"/>
                <w:color w:val="auto"/>
                <w:w w:val="99"/>
              </w:rPr>
              <w:t>$</w:t>
            </w: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242,692</w:t>
            </w:r>
          </w:p>
        </w:tc>
      </w:tr>
      <w:tr>
        <w:trPr>
          <w:trHeight w:val="243"/>
        </w:trPr>
        <w:tc>
          <w:tcPr>
            <w:tcW w:w="6980" w:type="dxa"/>
            <w:vAlign w:val="bottom"/>
          </w:tcPr>
          <w:p>
            <w:pPr>
              <w:ind w:left="40"/>
              <w:spacing w:after="0"/>
              <w:rPr>
                <w:sz w:val="20"/>
                <w:szCs w:val="20"/>
                <w:color w:val="auto"/>
              </w:rPr>
            </w:pPr>
            <w:r>
              <w:rPr>
                <w:rFonts w:ascii="Arial" w:cs="Arial" w:eastAsia="Arial" w:hAnsi="Arial"/>
                <w:sz w:val="18"/>
                <w:szCs w:val="18"/>
                <w:color w:val="auto"/>
              </w:rPr>
              <w:t>2021</w:t>
            </w:r>
          </w:p>
        </w:tc>
        <w:tc>
          <w:tcPr>
            <w:tcW w:w="100" w:type="dxa"/>
            <w:vAlign w:val="bottom"/>
          </w:tcPr>
          <w:p>
            <w:pPr>
              <w:spacing w:after="0"/>
              <w:rPr>
                <w:sz w:val="21"/>
                <w:szCs w:val="21"/>
                <w:color w:val="auto"/>
              </w:rPr>
            </w:pPr>
          </w:p>
        </w:tc>
        <w:tc>
          <w:tcPr>
            <w:tcW w:w="1820" w:type="dxa"/>
            <w:vAlign w:val="bottom"/>
          </w:tcPr>
          <w:p>
            <w:pPr>
              <w:spacing w:after="0"/>
              <w:rPr>
                <w:sz w:val="21"/>
                <w:szCs w:val="21"/>
                <w:color w:val="auto"/>
              </w:rPr>
            </w:pPr>
          </w:p>
        </w:tc>
        <w:tc>
          <w:tcPr>
            <w:tcW w:w="2520" w:type="dxa"/>
            <w:vAlign w:val="bottom"/>
          </w:tcPr>
          <w:p>
            <w:pPr>
              <w:jc w:val="right"/>
              <w:ind w:right="12"/>
              <w:spacing w:after="0"/>
              <w:rPr>
                <w:sz w:val="20"/>
                <w:szCs w:val="20"/>
                <w:color w:val="auto"/>
              </w:rPr>
            </w:pPr>
            <w:r>
              <w:rPr>
                <w:rFonts w:ascii="Arial" w:cs="Arial" w:eastAsia="Arial" w:hAnsi="Arial"/>
                <w:sz w:val="18"/>
                <w:szCs w:val="18"/>
                <w:color w:val="auto"/>
              </w:rPr>
              <w:t>315,469</w:t>
            </w:r>
          </w:p>
        </w:tc>
      </w:tr>
      <w:tr>
        <w:trPr>
          <w:trHeight w:val="27"/>
        </w:trPr>
        <w:tc>
          <w:tcPr>
            <w:tcW w:w="6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20" w:type="dxa"/>
            <w:vAlign w:val="bottom"/>
          </w:tcPr>
          <w:p>
            <w:pPr>
              <w:spacing w:after="0"/>
              <w:rPr>
                <w:sz w:val="2"/>
                <w:szCs w:val="2"/>
                <w:color w:val="auto"/>
              </w:rPr>
            </w:pPr>
          </w:p>
        </w:tc>
        <w:tc>
          <w:tcPr>
            <w:tcW w:w="2520" w:type="dxa"/>
            <w:vAlign w:val="bottom"/>
          </w:tcPr>
          <w:p>
            <w:pPr>
              <w:spacing w:after="0"/>
              <w:rPr>
                <w:sz w:val="2"/>
                <w:szCs w:val="2"/>
                <w:color w:val="auto"/>
              </w:rPr>
            </w:pPr>
          </w:p>
        </w:tc>
      </w:tr>
      <w:tr>
        <w:trPr>
          <w:trHeight w:val="250"/>
        </w:trPr>
        <w:tc>
          <w:tcPr>
            <w:tcW w:w="6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2022</w:t>
            </w:r>
          </w:p>
        </w:tc>
        <w:tc>
          <w:tcPr>
            <w:tcW w:w="100" w:type="dxa"/>
            <w:vAlign w:val="bottom"/>
            <w:tcBorders>
              <w:bottom w:val="single" w:sz="8" w:color="CCEEFF"/>
            </w:tcBorders>
            <w:shd w:val="clear" w:color="auto" w:fill="CCEEFF"/>
          </w:tcPr>
          <w:p>
            <w:pPr>
              <w:spacing w:after="0"/>
              <w:rPr>
                <w:sz w:val="21"/>
                <w:szCs w:val="21"/>
                <w:color w:val="auto"/>
              </w:rPr>
            </w:pPr>
          </w:p>
        </w:tc>
        <w:tc>
          <w:tcPr>
            <w:tcW w:w="1820" w:type="dxa"/>
            <w:vAlign w:val="bottom"/>
            <w:tcBorders>
              <w:bottom w:val="single" w:sz="8" w:color="CCEEFF"/>
            </w:tcBorders>
            <w:shd w:val="clear" w:color="auto" w:fill="CCEEFF"/>
          </w:tcPr>
          <w:p>
            <w:pPr>
              <w:spacing w:after="0"/>
              <w:rPr>
                <w:sz w:val="21"/>
                <w:szCs w:val="21"/>
                <w:color w:val="auto"/>
              </w:rPr>
            </w:pP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306,913</w:t>
            </w:r>
          </w:p>
        </w:tc>
      </w:tr>
      <w:tr>
        <w:trPr>
          <w:trHeight w:val="243"/>
        </w:trPr>
        <w:tc>
          <w:tcPr>
            <w:tcW w:w="6980" w:type="dxa"/>
            <w:vAlign w:val="bottom"/>
          </w:tcPr>
          <w:p>
            <w:pPr>
              <w:ind w:left="40"/>
              <w:spacing w:after="0"/>
              <w:rPr>
                <w:sz w:val="20"/>
                <w:szCs w:val="20"/>
                <w:color w:val="auto"/>
              </w:rPr>
            </w:pPr>
            <w:r>
              <w:rPr>
                <w:rFonts w:ascii="Arial" w:cs="Arial" w:eastAsia="Arial" w:hAnsi="Arial"/>
                <w:sz w:val="18"/>
                <w:szCs w:val="18"/>
                <w:color w:val="auto"/>
              </w:rPr>
              <w:t>2023</w:t>
            </w:r>
          </w:p>
        </w:tc>
        <w:tc>
          <w:tcPr>
            <w:tcW w:w="100" w:type="dxa"/>
            <w:vAlign w:val="bottom"/>
          </w:tcPr>
          <w:p>
            <w:pPr>
              <w:spacing w:after="0"/>
              <w:rPr>
                <w:sz w:val="21"/>
                <w:szCs w:val="21"/>
                <w:color w:val="auto"/>
              </w:rPr>
            </w:pPr>
          </w:p>
        </w:tc>
        <w:tc>
          <w:tcPr>
            <w:tcW w:w="1820" w:type="dxa"/>
            <w:vAlign w:val="bottom"/>
          </w:tcPr>
          <w:p>
            <w:pPr>
              <w:spacing w:after="0"/>
              <w:rPr>
                <w:sz w:val="21"/>
                <w:szCs w:val="21"/>
                <w:color w:val="auto"/>
              </w:rPr>
            </w:pPr>
          </w:p>
        </w:tc>
        <w:tc>
          <w:tcPr>
            <w:tcW w:w="2520" w:type="dxa"/>
            <w:vAlign w:val="bottom"/>
          </w:tcPr>
          <w:p>
            <w:pPr>
              <w:jc w:val="right"/>
              <w:ind w:right="12"/>
              <w:spacing w:after="0"/>
              <w:rPr>
                <w:sz w:val="20"/>
                <w:szCs w:val="20"/>
                <w:color w:val="auto"/>
              </w:rPr>
            </w:pPr>
            <w:r>
              <w:rPr>
                <w:rFonts w:ascii="Arial" w:cs="Arial" w:eastAsia="Arial" w:hAnsi="Arial"/>
                <w:sz w:val="18"/>
                <w:szCs w:val="18"/>
                <w:color w:val="auto"/>
              </w:rPr>
              <w:t>299,485</w:t>
            </w:r>
          </w:p>
        </w:tc>
      </w:tr>
      <w:tr>
        <w:trPr>
          <w:trHeight w:val="27"/>
        </w:trPr>
        <w:tc>
          <w:tcPr>
            <w:tcW w:w="6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20" w:type="dxa"/>
            <w:vAlign w:val="bottom"/>
          </w:tcPr>
          <w:p>
            <w:pPr>
              <w:spacing w:after="0"/>
              <w:rPr>
                <w:sz w:val="2"/>
                <w:szCs w:val="2"/>
                <w:color w:val="auto"/>
              </w:rPr>
            </w:pPr>
          </w:p>
        </w:tc>
        <w:tc>
          <w:tcPr>
            <w:tcW w:w="2520" w:type="dxa"/>
            <w:vAlign w:val="bottom"/>
          </w:tcPr>
          <w:p>
            <w:pPr>
              <w:spacing w:after="0"/>
              <w:rPr>
                <w:sz w:val="2"/>
                <w:szCs w:val="2"/>
                <w:color w:val="auto"/>
              </w:rPr>
            </w:pPr>
          </w:p>
        </w:tc>
      </w:tr>
      <w:tr>
        <w:trPr>
          <w:trHeight w:val="250"/>
        </w:trPr>
        <w:tc>
          <w:tcPr>
            <w:tcW w:w="6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2024</w:t>
            </w:r>
          </w:p>
        </w:tc>
        <w:tc>
          <w:tcPr>
            <w:tcW w:w="100" w:type="dxa"/>
            <w:vAlign w:val="bottom"/>
            <w:tcBorders>
              <w:bottom w:val="single" w:sz="8" w:color="CCEEFF"/>
            </w:tcBorders>
            <w:shd w:val="clear" w:color="auto" w:fill="CCEEFF"/>
          </w:tcPr>
          <w:p>
            <w:pPr>
              <w:spacing w:after="0"/>
              <w:rPr>
                <w:sz w:val="21"/>
                <w:szCs w:val="21"/>
                <w:color w:val="auto"/>
              </w:rPr>
            </w:pPr>
          </w:p>
        </w:tc>
        <w:tc>
          <w:tcPr>
            <w:tcW w:w="1820" w:type="dxa"/>
            <w:vAlign w:val="bottom"/>
            <w:tcBorders>
              <w:bottom w:val="single" w:sz="8" w:color="CCEEFF"/>
            </w:tcBorders>
            <w:shd w:val="clear" w:color="auto" w:fill="CCEEFF"/>
          </w:tcPr>
          <w:p>
            <w:pPr>
              <w:spacing w:after="0"/>
              <w:rPr>
                <w:sz w:val="21"/>
                <w:szCs w:val="21"/>
                <w:color w:val="auto"/>
              </w:rPr>
            </w:pP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280,871</w:t>
            </w:r>
          </w:p>
        </w:tc>
      </w:tr>
      <w:tr>
        <w:trPr>
          <w:trHeight w:val="243"/>
        </w:trPr>
        <w:tc>
          <w:tcPr>
            <w:tcW w:w="7080" w:type="dxa"/>
            <w:vAlign w:val="bottom"/>
            <w:gridSpan w:val="2"/>
          </w:tcPr>
          <w:p>
            <w:pPr>
              <w:ind w:left="40"/>
              <w:spacing w:after="0"/>
              <w:rPr>
                <w:sz w:val="20"/>
                <w:szCs w:val="20"/>
                <w:color w:val="auto"/>
              </w:rPr>
            </w:pPr>
            <w:r>
              <w:rPr>
                <w:rFonts w:ascii="Arial" w:cs="Arial" w:eastAsia="Arial" w:hAnsi="Arial"/>
                <w:sz w:val="18"/>
                <w:szCs w:val="18"/>
                <w:color w:val="auto"/>
              </w:rPr>
              <w:t>Thereafter</w:t>
            </w:r>
          </w:p>
        </w:tc>
        <w:tc>
          <w:tcPr>
            <w:tcW w:w="1820" w:type="dxa"/>
            <w:vAlign w:val="bottom"/>
          </w:tcPr>
          <w:p>
            <w:pPr>
              <w:spacing w:after="0"/>
              <w:rPr>
                <w:sz w:val="21"/>
                <w:szCs w:val="21"/>
                <w:color w:val="auto"/>
              </w:rPr>
            </w:pPr>
          </w:p>
        </w:tc>
        <w:tc>
          <w:tcPr>
            <w:tcW w:w="2520" w:type="dxa"/>
            <w:vAlign w:val="bottom"/>
          </w:tcPr>
          <w:p>
            <w:pPr>
              <w:jc w:val="right"/>
              <w:ind w:right="12"/>
              <w:spacing w:after="0"/>
              <w:rPr>
                <w:sz w:val="20"/>
                <w:szCs w:val="20"/>
                <w:color w:val="auto"/>
              </w:rPr>
            </w:pPr>
            <w:r>
              <w:rPr>
                <w:rFonts w:ascii="Arial" w:cs="Arial" w:eastAsia="Arial" w:hAnsi="Arial"/>
                <w:sz w:val="18"/>
                <w:szCs w:val="18"/>
                <w:color w:val="auto"/>
              </w:rPr>
              <w:t>647,512</w:t>
            </w:r>
          </w:p>
        </w:tc>
      </w:tr>
      <w:tr>
        <w:trPr>
          <w:trHeight w:val="27"/>
        </w:trPr>
        <w:tc>
          <w:tcPr>
            <w:tcW w:w="698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20" w:type="dxa"/>
            <w:vAlign w:val="bottom"/>
            <w:tcBorders>
              <w:bottom w:val="single" w:sz="8" w:color="auto"/>
            </w:tcBorders>
          </w:tcPr>
          <w:p>
            <w:pPr>
              <w:spacing w:after="0"/>
              <w:rPr>
                <w:sz w:val="2"/>
                <w:szCs w:val="2"/>
                <w:color w:val="auto"/>
              </w:rPr>
            </w:pPr>
          </w:p>
        </w:tc>
        <w:tc>
          <w:tcPr>
            <w:tcW w:w="2520" w:type="dxa"/>
            <w:vAlign w:val="bottom"/>
            <w:tcBorders>
              <w:bottom w:val="single" w:sz="8" w:color="auto"/>
            </w:tcBorders>
          </w:tcPr>
          <w:p>
            <w:pPr>
              <w:spacing w:after="0"/>
              <w:rPr>
                <w:sz w:val="2"/>
                <w:szCs w:val="2"/>
                <w:color w:val="auto"/>
              </w:rPr>
            </w:pPr>
          </w:p>
        </w:tc>
      </w:tr>
      <w:tr>
        <w:trPr>
          <w:trHeight w:val="269"/>
        </w:trPr>
        <w:tc>
          <w:tcPr>
            <w:tcW w:w="698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820" w:type="dxa"/>
            <w:vAlign w:val="bottom"/>
            <w:tcBorders>
              <w:bottom w:val="single" w:sz="8" w:color="CCEEFF"/>
            </w:tcBorders>
            <w:shd w:val="clear" w:color="auto" w:fill="CCEEFF"/>
          </w:tcPr>
          <w:p>
            <w:pPr>
              <w:jc w:val="right"/>
              <w:ind w:right="1610"/>
              <w:spacing w:after="0"/>
              <w:rPr>
                <w:sz w:val="20"/>
                <w:szCs w:val="20"/>
                <w:color w:val="auto"/>
              </w:rPr>
            </w:pPr>
            <w:r>
              <w:rPr>
                <w:rFonts w:ascii="Arial" w:cs="Arial" w:eastAsia="Arial" w:hAnsi="Arial"/>
                <w:sz w:val="18"/>
                <w:szCs w:val="18"/>
                <w:color w:val="auto"/>
                <w:w w:val="99"/>
              </w:rPr>
              <w:t>$</w:t>
            </w: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2,092,942</w:t>
            </w:r>
          </w:p>
        </w:tc>
      </w:tr>
      <w:tr>
        <w:trPr>
          <w:trHeight w:val="20"/>
        </w:trPr>
        <w:tc>
          <w:tcPr>
            <w:tcW w:w="69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20" w:type="dxa"/>
            <w:vAlign w:val="bottom"/>
            <w:tcBorders>
              <w:top w:val="single" w:sz="8" w:color="auto"/>
              <w:bottom w:val="single" w:sz="8" w:color="auto"/>
            </w:tcBorders>
          </w:tcPr>
          <w:p>
            <w:pPr>
              <w:spacing w:after="0" w:line="20" w:lineRule="exact"/>
              <w:rPr>
                <w:sz w:val="1"/>
                <w:szCs w:val="1"/>
                <w:color w:val="auto"/>
              </w:rPr>
            </w:pPr>
          </w:p>
        </w:tc>
        <w:tc>
          <w:tcPr>
            <w:tcW w:w="252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Debt</w:t>
      </w:r>
    </w:p>
    <w:p>
      <w:pPr>
        <w:spacing w:after="0" w:line="121" w:lineRule="exact"/>
        <w:rPr>
          <w:sz w:val="20"/>
          <w:szCs w:val="20"/>
          <w:color w:val="auto"/>
        </w:rPr>
      </w:pPr>
    </w:p>
    <w:p>
      <w:pPr>
        <w:ind w:right="160" w:firstLine="405"/>
        <w:spacing w:after="0" w:line="279" w:lineRule="auto"/>
        <w:rPr>
          <w:sz w:val="20"/>
          <w:szCs w:val="20"/>
          <w:color w:val="auto"/>
        </w:rPr>
      </w:pPr>
      <w:r>
        <w:rPr>
          <w:rFonts w:ascii="Arial" w:cs="Arial" w:eastAsia="Arial" w:hAnsi="Arial"/>
          <w:sz w:val="17"/>
          <w:szCs w:val="17"/>
          <w:color w:val="auto"/>
        </w:rPr>
        <w:t>In connection with the acquisition of Cavium (see “Note 4 - Business Combination”), the Company executed debt agreements in June 2018 to obtain a $900 million term loan, a $500 million revolving credit facility and $1.0 billion of senior unsecured notes. Upon completion of the offering of the senior unsecured notes in June 2018, the Company terminated an $850 million bridge loan commitment. This bridge loan commitment was provided by the underwriting bankers at the time the Merger Agreement was executed in November 2017. The bridge loan was never drawn upon.</w:t>
      </w:r>
    </w:p>
    <w:p>
      <w:pPr>
        <w:spacing w:after="0" w:line="63"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Term Loan and Revolving Credit Facility</w:t>
      </w:r>
    </w:p>
    <w:p>
      <w:pPr>
        <w:spacing w:after="0" w:line="117" w:lineRule="exact"/>
        <w:rPr>
          <w:sz w:val="20"/>
          <w:szCs w:val="20"/>
          <w:color w:val="auto"/>
        </w:rPr>
      </w:pPr>
    </w:p>
    <w:p>
      <w:pPr>
        <w:ind w:right="20" w:firstLine="405"/>
        <w:spacing w:after="0" w:line="271" w:lineRule="auto"/>
        <w:rPr>
          <w:sz w:val="20"/>
          <w:szCs w:val="20"/>
          <w:color w:val="auto"/>
        </w:rPr>
      </w:pPr>
      <w:r>
        <w:rPr>
          <w:rFonts w:ascii="Arial" w:cs="Arial" w:eastAsia="Arial" w:hAnsi="Arial"/>
          <w:sz w:val="17"/>
          <w:szCs w:val="17"/>
          <w:color w:val="auto"/>
        </w:rPr>
        <w:t>On June 13, 2018, the Company entered into a credit agreement (“Credit Agreement”) with certain lenders and Goldman Sachs Bank USA, as the general administrative agent and the term facility agent, and Bank of America, N.A., as the revolving facility agent. The Credit Agreement provides for borrowings of: (i) up to $500.0 million in the form of a revolving line of credit (“Revolving Credit Facility”) and (ii) $900.0 million in the form of a term loan (“Term Loan”). The proceeds of the Term Loan were used to fund a portion of the cash consideration for the Cavium acquisition, repay Cavium’s debt, and pay transaction expenses in connection with the Cavium acquisition. The proceeds of the Revolving Credit Facility is intended for general corporate purposes of the Company and its subsidiaries, which may include, among other things, the financing of acquisitions, the refinancing of other indebtedness and the payment of transaction expenses related to the foregoing. As of May 4, 2019, the Revolving Credit Facility has not been drawn upon. Following is further detail of the terms of the various debt agreements.</w:t>
      </w:r>
    </w:p>
    <w:p>
      <w:pPr>
        <w:spacing w:after="0" w:line="71" w:lineRule="exact"/>
        <w:rPr>
          <w:sz w:val="20"/>
          <w:szCs w:val="20"/>
          <w:color w:val="auto"/>
        </w:rPr>
      </w:pPr>
    </w:p>
    <w:p>
      <w:pPr>
        <w:ind w:right="100" w:firstLine="405"/>
        <w:spacing w:after="0" w:line="271" w:lineRule="auto"/>
        <w:rPr>
          <w:sz w:val="20"/>
          <w:szCs w:val="20"/>
          <w:color w:val="auto"/>
        </w:rPr>
      </w:pPr>
      <w:r>
        <w:rPr>
          <w:rFonts w:ascii="Arial" w:cs="Arial" w:eastAsia="Arial" w:hAnsi="Arial"/>
          <w:sz w:val="17"/>
          <w:szCs w:val="17"/>
          <w:color w:val="auto"/>
        </w:rPr>
        <w:t>The Term Loan has a three year term which matures on July 6, 2021 and has a stated floating interest rate which equates to reserve-adjusted LIBOR + 137.5 bps. The effective interest rate for the Term Loan was 4.334% as of May 4, 2019. The Term Loan does not require any scheduled principal payments prior to final maturity but does permit the Company to make early principal payments without premium or penalty. During the three months ended May 4, 2019, the Company repaid $50 million of the principal outstanding, and wrote off $0.5 million of associated unamortized debt issuance costs. The Revolving Credit Facility has a five year term and has a stated floating interest rate which equates to reserve-adjusted LIBOR + 150.0 bps. As of May 4, 2019, the full amount of the Revolving Credit Facility of $500 million was undrawn and will be available for draw down through June 13, 2023. An unused commitment fee is payable quarterly based on unused balances at a rate that is based on the ratings of the Company's senior unsecured long-term indebtedness. This rate was 0.175% at May 4, 2019.</w:t>
      </w:r>
    </w:p>
    <w:p>
      <w:pPr>
        <w:spacing w:after="0" w:line="71" w:lineRule="exact"/>
        <w:rPr>
          <w:sz w:val="20"/>
          <w:szCs w:val="20"/>
          <w:color w:val="auto"/>
        </w:rPr>
      </w:pPr>
    </w:p>
    <w:p>
      <w:pPr>
        <w:ind w:right="200" w:firstLine="405"/>
        <w:spacing w:after="0" w:line="257" w:lineRule="auto"/>
        <w:rPr>
          <w:sz w:val="20"/>
          <w:szCs w:val="20"/>
          <w:color w:val="auto"/>
        </w:rPr>
      </w:pPr>
      <w:r>
        <w:rPr>
          <w:rFonts w:ascii="Arial" w:cs="Arial" w:eastAsia="Arial" w:hAnsi="Arial"/>
          <w:sz w:val="18"/>
          <w:szCs w:val="18"/>
          <w:color w:val="auto"/>
        </w:rPr>
        <w:t>The Credit Agreement requires that the Company and its subsidiaries comply, subject to certain exceptions, with covenants relating to customary matters such as creating or permitting certain liens, entering into sale and leaseback transactions, consolidating, merging, liquidating or dissolving, and entering into restrictive agreements. It also prohibits subsidiaries of the Company from incurring additional indebtedness, and requires the Company to comply with a leverage ratio financial covenant not to exceed 3 to 1 as of the end of any fiscal quarter. As of May 4, 2019, the Company was in compliance with all of its debt covenants.</w:t>
      </w:r>
    </w:p>
    <w:p>
      <w:pPr>
        <w:spacing w:after="0" w:line="80"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Senior Unsecured Notes</w:t>
      </w:r>
    </w:p>
    <w:p>
      <w:pPr>
        <w:spacing w:after="0" w:line="117" w:lineRule="exact"/>
        <w:rPr>
          <w:sz w:val="20"/>
          <w:szCs w:val="20"/>
          <w:color w:val="auto"/>
        </w:rPr>
      </w:pPr>
    </w:p>
    <w:p>
      <w:pPr>
        <w:ind w:right="240" w:firstLine="405"/>
        <w:spacing w:after="0" w:line="264" w:lineRule="auto"/>
        <w:rPr>
          <w:sz w:val="20"/>
          <w:szCs w:val="20"/>
          <w:color w:val="auto"/>
        </w:rPr>
      </w:pPr>
      <w:r>
        <w:rPr>
          <w:rFonts w:ascii="Arial" w:cs="Arial" w:eastAsia="Arial" w:hAnsi="Arial"/>
          <w:sz w:val="18"/>
          <w:szCs w:val="18"/>
          <w:color w:val="auto"/>
        </w:rPr>
        <w:t>On June 22, 2018, the Company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w:t>
      </w: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20"/>
          </w:cols>
          <w:pgMar w:left="240" w:top="130" w:right="239" w:bottom="1440" w:gutter="0" w:footer="0" w:header="0"/>
        </w:sectPr>
      </w:pPr>
    </w:p>
    <w:bookmarkStart w:id="16" w:name="page17"/>
    <w:bookmarkEnd w:id="1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6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2023 Notes mature on June 22, 2023 and the 2028 Notes mature on June 22, 2028. The stated and effective interest rates for the 2023 Notes are</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4.200% and 4.423%, respectively. The stated and effective interest rates for the 2028 Notes are 4.875% and 5.012%, respectively. The Company may redeem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Senior Notes, in whole or in part, at any time prior to their maturity at the redemption prices set forth in Senior Notes. In addition, upon the occurrence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 change of control repurchase event (which involves the occurrence of both a change of control and a ratings event involving the Senior Notes being rated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below investment grade), the Company will be required to make an offer to repurchase the Senior Notes at a price equal to 101% of the principal amount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notes, plus accrued and unpaid interest to, but excluding, the repurchase date. The indenture governing the Senior Notes also contains certain limited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covenants restricting the Company’s ability to incur certain liens, enter into certain sale and leaseback transactions and merge or consolidate with any other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entity or convey, transfer or lease all or substantially all of the Company’s properties or assets to another person, which, in each case, are subject to certain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qualifications and exceptions.</w:t>
      </w:r>
    </w:p>
    <w:p>
      <w:pPr>
        <w:spacing w:after="0" w:line="200" w:lineRule="exact"/>
        <w:rPr>
          <w:sz w:val="20"/>
          <w:szCs w:val="20"/>
          <w:color w:val="auto"/>
        </w:rPr>
      </w:pPr>
    </w:p>
    <w:p>
      <w:pPr>
        <w:spacing w:after="0" w:line="213"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Summary of Borrowings and Outstanding Debt</w:t>
      </w:r>
    </w:p>
    <w:p>
      <w:pPr>
        <w:spacing w:after="0" w:line="33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May 4, 2019 and February 2, 2019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4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380" w:type="dxa"/>
            <w:vAlign w:val="bottom"/>
            <w:gridSpan w:val="2"/>
          </w:tcPr>
          <w:p>
            <w:pPr>
              <w:ind w:left="100"/>
              <w:spacing w:after="0"/>
              <w:rPr>
                <w:sz w:val="20"/>
                <w:szCs w:val="20"/>
                <w:color w:val="auto"/>
              </w:rPr>
            </w:pPr>
            <w:r>
              <w:rPr>
                <w:rFonts w:ascii="Arial" w:cs="Arial" w:eastAsia="Arial" w:hAnsi="Arial"/>
                <w:sz w:val="14"/>
                <w:szCs w:val="14"/>
                <w:b w:val="1"/>
                <w:bCs w:val="1"/>
                <w:color w:val="auto"/>
              </w:rPr>
              <w:t>May 4, 2019</w:t>
            </w:r>
          </w:p>
        </w:tc>
        <w:tc>
          <w:tcPr>
            <w:tcW w:w="140" w:type="dxa"/>
            <w:vAlign w:val="bottom"/>
          </w:tcPr>
          <w:p>
            <w:pPr>
              <w:spacing w:after="0"/>
              <w:rPr>
                <w:sz w:val="16"/>
                <w:szCs w:val="16"/>
                <w:color w:val="auto"/>
              </w:rPr>
            </w:pPr>
          </w:p>
        </w:tc>
        <w:tc>
          <w:tcPr>
            <w:tcW w:w="1220" w:type="dxa"/>
            <w:vAlign w:val="bottom"/>
          </w:tcPr>
          <w:p>
            <w:pPr>
              <w:jc w:val="right"/>
              <w:ind w:right="72"/>
              <w:spacing w:after="0"/>
              <w:rPr>
                <w:sz w:val="20"/>
                <w:szCs w:val="20"/>
                <w:color w:val="auto"/>
              </w:rPr>
            </w:pPr>
            <w:r>
              <w:rPr>
                <w:rFonts w:ascii="Arial" w:cs="Arial" w:eastAsia="Arial" w:hAnsi="Arial"/>
                <w:sz w:val="14"/>
                <w:szCs w:val="14"/>
                <w:b w:val="1"/>
                <w:bCs w:val="1"/>
                <w:color w:val="auto"/>
                <w:w w:val="94"/>
              </w:rPr>
              <w:t>February 2, 2019</w:t>
            </w:r>
          </w:p>
        </w:tc>
      </w:tr>
      <w:tr>
        <w:trPr>
          <w:trHeight w:val="250"/>
        </w:trPr>
        <w:tc>
          <w:tcPr>
            <w:tcW w:w="84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Face Value Outstanding:</w:t>
            </w:r>
          </w:p>
        </w:tc>
        <w:tc>
          <w:tcPr>
            <w:tcW w:w="2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8460" w:type="dxa"/>
            <w:vAlign w:val="bottom"/>
          </w:tcPr>
          <w:p>
            <w:pPr>
              <w:ind w:left="40"/>
              <w:spacing w:after="0"/>
              <w:rPr>
                <w:sz w:val="20"/>
                <w:szCs w:val="20"/>
                <w:color w:val="auto"/>
              </w:rPr>
            </w:pPr>
            <w:r>
              <w:rPr>
                <w:rFonts w:ascii="Arial" w:cs="Arial" w:eastAsia="Arial" w:hAnsi="Arial"/>
                <w:sz w:val="18"/>
                <w:szCs w:val="18"/>
                <w:color w:val="auto"/>
              </w:rPr>
              <w:t>Term Loan</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12"/>
              <w:spacing w:after="0"/>
              <w:rPr>
                <w:sz w:val="20"/>
                <w:szCs w:val="20"/>
                <w:color w:val="auto"/>
              </w:rPr>
            </w:pPr>
            <w:r>
              <w:rPr>
                <w:rFonts w:ascii="Arial" w:cs="Arial" w:eastAsia="Arial" w:hAnsi="Arial"/>
                <w:sz w:val="18"/>
                <w:szCs w:val="18"/>
                <w:color w:val="auto"/>
              </w:rPr>
              <w:t>700,000</w:t>
            </w:r>
          </w:p>
        </w:tc>
        <w:tc>
          <w:tcPr>
            <w:tcW w:w="22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2"/>
              <w:spacing w:after="0"/>
              <w:rPr>
                <w:sz w:val="20"/>
                <w:szCs w:val="20"/>
                <w:color w:val="auto"/>
              </w:rPr>
            </w:pPr>
            <w:r>
              <w:rPr>
                <w:rFonts w:ascii="Arial" w:cs="Arial" w:eastAsia="Arial" w:hAnsi="Arial"/>
                <w:sz w:val="18"/>
                <w:szCs w:val="18"/>
                <w:color w:val="auto"/>
              </w:rPr>
              <w:t>750,000</w:t>
            </w:r>
          </w:p>
        </w:tc>
      </w:tr>
      <w:tr>
        <w:trPr>
          <w:trHeight w:val="27"/>
        </w:trPr>
        <w:tc>
          <w:tcPr>
            <w:tcW w:w="84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2023 Notes</w:t>
            </w: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500,000</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500,000</w:t>
            </w:r>
          </w:p>
        </w:tc>
      </w:tr>
      <w:tr>
        <w:trPr>
          <w:trHeight w:val="243"/>
        </w:trPr>
        <w:tc>
          <w:tcPr>
            <w:tcW w:w="8460" w:type="dxa"/>
            <w:vAlign w:val="bottom"/>
          </w:tcPr>
          <w:p>
            <w:pPr>
              <w:ind w:left="40"/>
              <w:spacing w:after="0"/>
              <w:rPr>
                <w:sz w:val="20"/>
                <w:szCs w:val="20"/>
                <w:color w:val="auto"/>
              </w:rPr>
            </w:pPr>
            <w:r>
              <w:rPr>
                <w:rFonts w:ascii="Arial" w:cs="Arial" w:eastAsia="Arial" w:hAnsi="Arial"/>
                <w:sz w:val="18"/>
                <w:szCs w:val="18"/>
                <w:color w:val="auto"/>
              </w:rPr>
              <w:t>2028 Notes</w:t>
            </w:r>
          </w:p>
        </w:tc>
        <w:tc>
          <w:tcPr>
            <w:tcW w:w="220" w:type="dxa"/>
            <w:vAlign w:val="bottom"/>
          </w:tcPr>
          <w:p>
            <w:pPr>
              <w:spacing w:after="0"/>
              <w:rPr>
                <w:sz w:val="21"/>
                <w:szCs w:val="21"/>
                <w:color w:val="auto"/>
              </w:rPr>
            </w:pPr>
          </w:p>
        </w:tc>
        <w:tc>
          <w:tcPr>
            <w:tcW w:w="1160" w:type="dxa"/>
            <w:vAlign w:val="bottom"/>
          </w:tcPr>
          <w:p>
            <w:pPr>
              <w:jc w:val="right"/>
              <w:ind w:right="12"/>
              <w:spacing w:after="0"/>
              <w:rPr>
                <w:sz w:val="20"/>
                <w:szCs w:val="20"/>
                <w:color w:val="auto"/>
              </w:rPr>
            </w:pPr>
            <w:r>
              <w:rPr>
                <w:rFonts w:ascii="Arial" w:cs="Arial" w:eastAsia="Arial" w:hAnsi="Arial"/>
                <w:sz w:val="18"/>
                <w:szCs w:val="18"/>
                <w:color w:val="auto"/>
              </w:rPr>
              <w:t>500,000</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2"/>
              <w:spacing w:after="0"/>
              <w:rPr>
                <w:sz w:val="20"/>
                <w:szCs w:val="20"/>
                <w:color w:val="auto"/>
              </w:rPr>
            </w:pPr>
            <w:r>
              <w:rPr>
                <w:rFonts w:ascii="Arial" w:cs="Arial" w:eastAsia="Arial" w:hAnsi="Arial"/>
                <w:sz w:val="18"/>
                <w:szCs w:val="18"/>
                <w:color w:val="auto"/>
              </w:rPr>
              <w:t>500,000</w:t>
            </w:r>
          </w:p>
        </w:tc>
      </w:tr>
      <w:tr>
        <w:trPr>
          <w:trHeight w:val="27"/>
        </w:trPr>
        <w:tc>
          <w:tcPr>
            <w:tcW w:w="84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44"/>
        </w:trPr>
        <w:tc>
          <w:tcPr>
            <w:tcW w:w="8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borrowings</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1,700,000</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1,750,000</w:t>
            </w:r>
          </w:p>
        </w:tc>
      </w:tr>
      <w:tr>
        <w:trPr>
          <w:trHeight w:val="243"/>
        </w:trPr>
        <w:tc>
          <w:tcPr>
            <w:tcW w:w="8460" w:type="dxa"/>
            <w:vAlign w:val="bottom"/>
          </w:tcPr>
          <w:p>
            <w:pPr>
              <w:ind w:left="40"/>
              <w:spacing w:after="0"/>
              <w:rPr>
                <w:sz w:val="20"/>
                <w:szCs w:val="20"/>
                <w:color w:val="auto"/>
              </w:rPr>
            </w:pPr>
            <w:r>
              <w:rPr>
                <w:rFonts w:ascii="Arial" w:cs="Arial" w:eastAsia="Arial" w:hAnsi="Arial"/>
                <w:sz w:val="18"/>
                <w:szCs w:val="18"/>
                <w:color w:val="auto"/>
              </w:rPr>
              <w:t>Less: Unamortized debt discount and issuance cost</w:t>
            </w:r>
          </w:p>
        </w:tc>
        <w:tc>
          <w:tcPr>
            <w:tcW w:w="22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(15,719)</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(17,301)</w:t>
            </w:r>
          </w:p>
        </w:tc>
      </w:tr>
      <w:tr>
        <w:trPr>
          <w:trHeight w:val="27"/>
        </w:trPr>
        <w:tc>
          <w:tcPr>
            <w:tcW w:w="84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44"/>
        </w:trPr>
        <w:tc>
          <w:tcPr>
            <w:tcW w:w="8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carrying amount of debt</w:t>
            </w: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1,684,281</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1,732,699</w:t>
            </w:r>
          </w:p>
        </w:tc>
      </w:tr>
      <w:tr>
        <w:trPr>
          <w:trHeight w:val="243"/>
        </w:trPr>
        <w:tc>
          <w:tcPr>
            <w:tcW w:w="8460" w:type="dxa"/>
            <w:vAlign w:val="bottom"/>
          </w:tcPr>
          <w:p>
            <w:pPr>
              <w:ind w:left="40"/>
              <w:spacing w:after="0"/>
              <w:rPr>
                <w:sz w:val="20"/>
                <w:szCs w:val="20"/>
                <w:color w:val="auto"/>
              </w:rPr>
            </w:pPr>
            <w:r>
              <w:rPr>
                <w:rFonts w:ascii="Arial" w:cs="Arial" w:eastAsia="Arial" w:hAnsi="Arial"/>
                <w:sz w:val="18"/>
                <w:szCs w:val="18"/>
                <w:color w:val="auto"/>
              </w:rPr>
              <w:t>Less: Current portion</w:t>
            </w:r>
          </w:p>
        </w:tc>
        <w:tc>
          <w:tcPr>
            <w:tcW w:w="220" w:type="dxa"/>
            <w:vAlign w:val="bottom"/>
          </w:tcPr>
          <w:p>
            <w:pPr>
              <w:spacing w:after="0"/>
              <w:rPr>
                <w:sz w:val="21"/>
                <w:szCs w:val="21"/>
                <w:color w:val="auto"/>
              </w:rPr>
            </w:pPr>
          </w:p>
        </w:tc>
        <w:tc>
          <w:tcPr>
            <w:tcW w:w="138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20" w:type="dxa"/>
            <w:vAlign w:val="bottom"/>
          </w:tcPr>
          <w:p>
            <w:pPr>
              <w:jc w:val="right"/>
              <w:ind w:right="12"/>
              <w:spacing w:after="0"/>
              <w:rPr>
                <w:sz w:val="20"/>
                <w:szCs w:val="20"/>
                <w:color w:val="auto"/>
              </w:rPr>
            </w:pPr>
            <w:r>
              <w:rPr>
                <w:rFonts w:ascii="Arial" w:cs="Arial" w:eastAsia="Arial" w:hAnsi="Arial"/>
                <w:sz w:val="18"/>
                <w:szCs w:val="18"/>
                <w:color w:val="auto"/>
              </w:rPr>
              <w:t>—</w:t>
            </w:r>
          </w:p>
        </w:tc>
      </w:tr>
      <w:tr>
        <w:trPr>
          <w:trHeight w:val="27"/>
        </w:trPr>
        <w:tc>
          <w:tcPr>
            <w:tcW w:w="84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57"/>
        </w:trPr>
        <w:tc>
          <w:tcPr>
            <w:tcW w:w="8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portion</w:t>
            </w: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1,684,281</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1,732,699</w:t>
            </w:r>
          </w:p>
        </w:tc>
      </w:tr>
      <w:tr>
        <w:trPr>
          <w:trHeight w:val="20"/>
        </w:trPr>
        <w:tc>
          <w:tcPr>
            <w:tcW w:w="846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jc w:val="both"/>
        <w:ind w:right="360" w:firstLine="405"/>
        <w:spacing w:after="0" w:line="264" w:lineRule="auto"/>
        <w:rPr>
          <w:sz w:val="20"/>
          <w:szCs w:val="20"/>
          <w:color w:val="auto"/>
        </w:rPr>
      </w:pPr>
      <w:r>
        <w:rPr>
          <w:rFonts w:ascii="Arial" w:cs="Arial" w:eastAsia="Arial" w:hAnsi="Arial"/>
          <w:sz w:val="18"/>
          <w:szCs w:val="18"/>
          <w:color w:val="auto"/>
        </w:rPr>
        <w:t>During the three months ended May 4, 2019, the Company recognized $19.3 million of interest expense in its condensed consolidated statements of operations related to interest, amortization of debt issuance costs and accretion of discount associated with the outstanding Term Loan and Senior Notes, respectively.</w:t>
      </w:r>
    </w:p>
    <w:p>
      <w:pPr>
        <w:spacing w:after="0" w:line="7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As of May 4, 2019, the aggregate future contractual maturities of the Company's outstanding debt, at face value, were as follows (in thousands):</w:t>
      </w:r>
    </w:p>
    <w:p>
      <w:pPr>
        <w:spacing w:after="0" w:line="350"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4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Fiscal year</w:t>
            </w:r>
          </w:p>
        </w:tc>
        <w:tc>
          <w:tcPr>
            <w:tcW w:w="240" w:type="dxa"/>
            <w:vAlign w:val="bottom"/>
            <w:tcBorders>
              <w:bottom w:val="single" w:sz="8" w:color="CCEEFF"/>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tcPr>
          <w:p>
            <w:pPr>
              <w:jc w:val="right"/>
              <w:ind w:right="1532"/>
              <w:spacing w:after="0"/>
              <w:rPr>
                <w:sz w:val="20"/>
                <w:szCs w:val="20"/>
                <w:color w:val="auto"/>
              </w:rPr>
            </w:pPr>
            <w:r>
              <w:rPr>
                <w:rFonts w:ascii="Arial" w:cs="Arial" w:eastAsia="Arial" w:hAnsi="Arial"/>
                <w:sz w:val="14"/>
                <w:szCs w:val="14"/>
                <w:b w:val="1"/>
                <w:bCs w:val="1"/>
                <w:color w:val="auto"/>
              </w:rPr>
              <w:t>Amount</w:t>
            </w:r>
          </w:p>
        </w:tc>
      </w:tr>
      <w:tr>
        <w:trPr>
          <w:trHeight w:val="250"/>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Remainder of 2020</w:t>
            </w:r>
          </w:p>
        </w:tc>
        <w:tc>
          <w:tcPr>
            <w:tcW w:w="860" w:type="dxa"/>
            <w:vAlign w:val="bottom"/>
            <w:tcBorders>
              <w:bottom w:val="single" w:sz="8" w:color="CCEEFF"/>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2021</w:t>
            </w:r>
          </w:p>
        </w:tc>
        <w:tc>
          <w:tcPr>
            <w:tcW w:w="24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80" w:type="dxa"/>
            <w:vAlign w:val="bottom"/>
          </w:tcPr>
          <w:p>
            <w:pPr>
              <w:jc w:val="right"/>
              <w:ind w:right="12"/>
              <w:spacing w:after="0"/>
              <w:rPr>
                <w:sz w:val="20"/>
                <w:szCs w:val="20"/>
                <w:color w:val="auto"/>
              </w:rPr>
            </w:pPr>
            <w:r>
              <w:rPr>
                <w:rFonts w:ascii="Arial" w:cs="Arial" w:eastAsia="Arial" w:hAnsi="Arial"/>
                <w:sz w:val="18"/>
                <w:szCs w:val="18"/>
                <w:color w:val="auto"/>
              </w:rPr>
              <w:t>—</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8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2022</w:t>
            </w:r>
          </w:p>
        </w:tc>
        <w:tc>
          <w:tcPr>
            <w:tcW w:w="24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700,000</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2023</w:t>
            </w:r>
          </w:p>
        </w:tc>
        <w:tc>
          <w:tcPr>
            <w:tcW w:w="24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80" w:type="dxa"/>
            <w:vAlign w:val="bottom"/>
          </w:tcPr>
          <w:p>
            <w:pPr>
              <w:jc w:val="right"/>
              <w:ind w:right="12"/>
              <w:spacing w:after="0"/>
              <w:rPr>
                <w:sz w:val="20"/>
                <w:szCs w:val="20"/>
                <w:color w:val="auto"/>
              </w:rPr>
            </w:pPr>
            <w:r>
              <w:rPr>
                <w:rFonts w:ascii="Arial" w:cs="Arial" w:eastAsia="Arial" w:hAnsi="Arial"/>
                <w:sz w:val="18"/>
                <w:szCs w:val="18"/>
                <w:color w:val="auto"/>
              </w:rPr>
              <w:t>—</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8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4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500,000</w:t>
            </w:r>
          </w:p>
        </w:tc>
      </w:tr>
      <w:tr>
        <w:trPr>
          <w:trHeight w:val="243"/>
        </w:trPr>
        <w:tc>
          <w:tcPr>
            <w:tcW w:w="764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860" w:type="dxa"/>
            <w:vAlign w:val="bottom"/>
          </w:tcPr>
          <w:p>
            <w:pPr>
              <w:spacing w:after="0"/>
              <w:rPr>
                <w:sz w:val="21"/>
                <w:szCs w:val="21"/>
                <w:color w:val="auto"/>
              </w:rPr>
            </w:pPr>
          </w:p>
        </w:tc>
        <w:tc>
          <w:tcPr>
            <w:tcW w:w="2880" w:type="dxa"/>
            <w:vAlign w:val="bottom"/>
          </w:tcPr>
          <w:p>
            <w:pPr>
              <w:jc w:val="right"/>
              <w:ind w:right="12"/>
              <w:spacing w:after="0"/>
              <w:rPr>
                <w:sz w:val="20"/>
                <w:szCs w:val="20"/>
                <w:color w:val="auto"/>
              </w:rPr>
            </w:pPr>
            <w:r>
              <w:rPr>
                <w:rFonts w:ascii="Arial" w:cs="Arial" w:eastAsia="Arial" w:hAnsi="Arial"/>
                <w:sz w:val="18"/>
                <w:szCs w:val="18"/>
                <w:color w:val="auto"/>
              </w:rPr>
              <w:t>500,000</w:t>
            </w:r>
          </w:p>
        </w:tc>
      </w:tr>
      <w:tr>
        <w:trPr>
          <w:trHeight w:val="27"/>
        </w:trPr>
        <w:tc>
          <w:tcPr>
            <w:tcW w:w="740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2880" w:type="dxa"/>
            <w:vAlign w:val="bottom"/>
            <w:tcBorders>
              <w:bottom w:val="single" w:sz="8" w:color="auto"/>
            </w:tcBorders>
          </w:tcPr>
          <w:p>
            <w:pPr>
              <w:spacing w:after="0"/>
              <w:rPr>
                <w:sz w:val="2"/>
                <w:szCs w:val="2"/>
                <w:color w:val="auto"/>
              </w:rPr>
            </w:pPr>
          </w:p>
        </w:tc>
      </w:tr>
      <w:tr>
        <w:trPr>
          <w:trHeight w:val="257"/>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w:t>
            </w:r>
          </w:p>
        </w:tc>
        <w:tc>
          <w:tcPr>
            <w:tcW w:w="860" w:type="dxa"/>
            <w:vAlign w:val="bottom"/>
            <w:tcBorders>
              <w:bottom w:val="single" w:sz="8" w:color="auto"/>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1,700,000</w:t>
            </w:r>
          </w:p>
        </w:tc>
      </w:tr>
      <w:tr>
        <w:trPr>
          <w:trHeight w:val="20"/>
        </w:trPr>
        <w:tc>
          <w:tcPr>
            <w:tcW w:w="74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88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130" w:right="239" w:bottom="1440" w:gutter="0" w:footer="0" w:header="0"/>
        </w:sectPr>
      </w:pPr>
    </w:p>
    <w:bookmarkStart w:id="17" w:name="page18"/>
    <w:bookmarkEnd w:id="1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Restructuring and Other Related Charges</w:t>
      </w:r>
    </w:p>
    <w:p>
      <w:pPr>
        <w:spacing w:after="0" w:line="229" w:lineRule="exact"/>
        <w:rPr>
          <w:sz w:val="20"/>
          <w:szCs w:val="20"/>
          <w:color w:val="auto"/>
        </w:rPr>
      </w:pPr>
    </w:p>
    <w:p>
      <w:pPr>
        <w:ind w:right="80" w:firstLine="405"/>
        <w:spacing w:after="0" w:line="277" w:lineRule="auto"/>
        <w:rPr>
          <w:sz w:val="20"/>
          <w:szCs w:val="20"/>
          <w:color w:val="auto"/>
        </w:rPr>
      </w:pPr>
      <w:r>
        <w:rPr>
          <w:rFonts w:ascii="Arial" w:cs="Arial" w:eastAsia="Arial" w:hAnsi="Arial"/>
          <w:sz w:val="18"/>
          <w:szCs w:val="18"/>
          <w:color w:val="auto"/>
        </w:rPr>
        <w:t>The following table presents details related to the restructuring related charges as presented in the condensed Consolidated Statements of Operations (in thousands):</w:t>
      </w:r>
    </w:p>
    <w:p>
      <w:pPr>
        <w:spacing w:after="0" w:line="284"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832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772"/>
              <w:spacing w:after="0"/>
              <w:rPr>
                <w:sz w:val="20"/>
                <w:szCs w:val="20"/>
                <w:color w:val="auto"/>
              </w:rPr>
            </w:pPr>
            <w:r>
              <w:rPr>
                <w:rFonts w:ascii="Arial" w:cs="Arial" w:eastAsia="Arial" w:hAnsi="Arial"/>
                <w:sz w:val="14"/>
                <w:szCs w:val="14"/>
                <w:b w:val="1"/>
                <w:bCs w:val="1"/>
                <w:color w:val="auto"/>
              </w:rPr>
              <w:t>Three Months Ended</w:t>
            </w:r>
          </w:p>
        </w:tc>
      </w:tr>
      <w:tr>
        <w:trPr>
          <w:trHeight w:val="264"/>
        </w:trPr>
        <w:tc>
          <w:tcPr>
            <w:tcW w:w="83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May 4, 2019</w:t>
            </w:r>
          </w:p>
        </w:tc>
        <w:tc>
          <w:tcPr>
            <w:tcW w:w="240" w:type="dxa"/>
            <w:vAlign w:val="bottom"/>
          </w:tcPr>
          <w:p>
            <w:pPr>
              <w:spacing w:after="0"/>
              <w:rPr>
                <w:sz w:val="22"/>
                <w:szCs w:val="22"/>
                <w:color w:val="auto"/>
              </w:rPr>
            </w:pPr>
          </w:p>
        </w:tc>
        <w:tc>
          <w:tcPr>
            <w:tcW w:w="1220" w:type="dxa"/>
            <w:vAlign w:val="bottom"/>
          </w:tcPr>
          <w:p>
            <w:pPr>
              <w:jc w:val="right"/>
              <w:ind w:right="272"/>
              <w:spacing w:after="0"/>
              <w:rPr>
                <w:sz w:val="20"/>
                <w:szCs w:val="20"/>
                <w:color w:val="auto"/>
              </w:rPr>
            </w:pPr>
            <w:r>
              <w:rPr>
                <w:rFonts w:ascii="Arial" w:cs="Arial" w:eastAsia="Arial" w:hAnsi="Arial"/>
                <w:sz w:val="14"/>
                <w:szCs w:val="14"/>
                <w:b w:val="1"/>
                <w:bCs w:val="1"/>
                <w:color w:val="auto"/>
              </w:rPr>
              <w:t>May 5, 2018</w:t>
            </w:r>
          </w:p>
        </w:tc>
      </w:tr>
      <w:tr>
        <w:trPr>
          <w:trHeight w:val="250"/>
        </w:trPr>
        <w:tc>
          <w:tcPr>
            <w:tcW w:w="832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Severance and related costs</w:t>
            </w:r>
          </w:p>
        </w:tc>
        <w:tc>
          <w:tcPr>
            <w:tcW w:w="240" w:type="dxa"/>
            <w:vAlign w:val="bottom"/>
            <w:tcBorders>
              <w:top w:val="single" w:sz="8" w:color="auto"/>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1,488</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1,451</w:t>
            </w: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Facilities and related costs</w:t>
            </w: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478</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2"/>
              <w:spacing w:after="0"/>
              <w:rPr>
                <w:sz w:val="20"/>
                <w:szCs w:val="20"/>
                <w:color w:val="auto"/>
              </w:rPr>
            </w:pPr>
            <w:r>
              <w:rPr>
                <w:rFonts w:ascii="Arial" w:cs="Arial" w:eastAsia="Arial" w:hAnsi="Arial"/>
                <w:sz w:val="18"/>
                <w:szCs w:val="18"/>
                <w:color w:val="auto"/>
              </w:rPr>
              <w:t>28</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exit-related costs</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191</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88</w:t>
            </w:r>
          </w:p>
        </w:tc>
      </w:tr>
      <w:tr>
        <w:trPr>
          <w:trHeight w:val="237"/>
        </w:trPr>
        <w:tc>
          <w:tcPr>
            <w:tcW w:w="83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2,157</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1,567</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Release of reserves:</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Facilities and related costs</w:t>
            </w: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(188)</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2"/>
              <w:spacing w:after="0"/>
              <w:rPr>
                <w:sz w:val="20"/>
                <w:szCs w:val="20"/>
                <w:color w:val="auto"/>
              </w:rPr>
            </w:pPr>
            <w:r>
              <w:rPr>
                <w:rFonts w:ascii="Arial" w:cs="Arial" w:eastAsia="Arial" w:hAnsi="Arial"/>
                <w:sz w:val="18"/>
                <w:szCs w:val="18"/>
                <w:color w:val="auto"/>
              </w:rPr>
              <w:t>—</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exit-related costs</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(127)</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r>
      <w:tr>
        <w:trPr>
          <w:trHeight w:val="324"/>
        </w:trPr>
        <w:tc>
          <w:tcPr>
            <w:tcW w:w="83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20" w:type="dxa"/>
            <w:vAlign w:val="bottom"/>
          </w:tcPr>
          <w:p>
            <w:pPr>
              <w:spacing w:after="0"/>
              <w:rPr>
                <w:sz w:val="24"/>
                <w:szCs w:val="24"/>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restructuring charges</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Impairment of equipment and other</w:t>
            </w: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633</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2"/>
              <w:spacing w:after="0"/>
              <w:rPr>
                <w:sz w:val="20"/>
                <w:szCs w:val="20"/>
                <w:color w:val="auto"/>
              </w:rPr>
            </w:pPr>
            <w:r>
              <w:rPr>
                <w:rFonts w:ascii="Arial" w:cs="Arial" w:eastAsia="Arial" w:hAnsi="Arial"/>
                <w:sz w:val="18"/>
                <w:szCs w:val="18"/>
                <w:color w:val="auto"/>
              </w:rPr>
              <w:t>—</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Right-of-use asset amortization and impairment</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3,207</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r>
      <w:tr>
        <w:trPr>
          <w:trHeight w:val="237"/>
        </w:trPr>
        <w:tc>
          <w:tcPr>
            <w:tcW w:w="832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5,682</w:t>
            </w: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1,567</w:t>
            </w:r>
          </w:p>
        </w:tc>
      </w:tr>
      <w:tr>
        <w:trPr>
          <w:trHeight w:val="27"/>
        </w:trPr>
        <w:tc>
          <w:tcPr>
            <w:tcW w:w="83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right="160" w:firstLine="405"/>
        <w:spacing w:after="0" w:line="257" w:lineRule="auto"/>
        <w:rPr>
          <w:sz w:val="20"/>
          <w:szCs w:val="20"/>
          <w:color w:val="auto"/>
        </w:rPr>
      </w:pPr>
      <w:r>
        <w:rPr>
          <w:rFonts w:ascii="Arial" w:cs="Arial" w:eastAsia="Arial" w:hAnsi="Arial"/>
          <w:sz w:val="18"/>
          <w:szCs w:val="18"/>
          <w:color w:val="auto"/>
        </w:rPr>
        <w:t>The Company continuously evaluates its existing operations to increase operational efficiency, decrease costs and increase profitability. The Company recorded restructuring and other related charges of $5.7 million for the three months ended May 4, 2019. These restructuring costs consist of approximately $3.2 million in right-of-use asset amortization and impairment related to certain restructured leases, $1.5 million in severance and related costs, $0.6 million in asset write off costs, $0.3 million in facilities and related costs, and $0.1 million in other exit-related costs. The Company expects to complete these restructuring actions by the end of fiscal 2020.</w:t>
      </w:r>
    </w:p>
    <w:p>
      <w:pPr>
        <w:spacing w:after="0" w:line="80"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The Company recorded restructuring and other related charges of $1.6 million for the three months ended May 5, 2018. These restructuring costs consist of approximately $1.5 million in severance and related costs, and $0.1 million in other exit-related costs.</w:t>
      </w:r>
    </w:p>
    <w:p>
      <w:pPr>
        <w:spacing w:after="0" w:line="62" w:lineRule="exact"/>
        <w:rPr>
          <w:sz w:val="20"/>
          <w:szCs w:val="20"/>
          <w:color w:val="auto"/>
        </w:rPr>
      </w:pPr>
    </w:p>
    <w:p>
      <w:pPr>
        <w:ind w:right="20" w:firstLine="432"/>
        <w:spacing w:after="0" w:line="277"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 associated with the restructuring charges (in thousands):</w:t>
      </w:r>
    </w:p>
    <w:p>
      <w:pPr>
        <w:spacing w:after="0" w:line="204" w:lineRule="exact"/>
        <w:rPr>
          <w:sz w:val="20"/>
          <w:szCs w:val="20"/>
          <w:color w:val="auto"/>
        </w:rPr>
      </w:pPr>
    </w:p>
    <w:tbl>
      <w:tblPr>
        <w:tblLayout w:type="fixed"/>
        <w:tblInd w:w="40" w:type="dxa"/>
        <w:tblCellMar>
          <w:top w:w="0" w:type="dxa"/>
          <w:left w:w="0" w:type="dxa"/>
          <w:bottom w:w="0" w:type="dxa"/>
          <w:right w:w="0" w:type="dxa"/>
        </w:tblCellMar>
      </w:tblPr>
      <w:tr>
        <w:trPr>
          <w:trHeight w:val="161"/>
        </w:trPr>
        <w:tc>
          <w:tcPr>
            <w:tcW w:w="5580" w:type="dxa"/>
            <w:vAlign w:val="bottom"/>
          </w:tcPr>
          <w:p>
            <w:pPr>
              <w:spacing w:after="0"/>
              <w:rPr>
                <w:sz w:val="14"/>
                <w:szCs w:val="14"/>
                <w:color w:val="auto"/>
              </w:rPr>
            </w:pPr>
          </w:p>
        </w:tc>
        <w:tc>
          <w:tcPr>
            <w:tcW w:w="170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1"/>
              </w:rPr>
              <w:t>Severance and related</w:t>
            </w:r>
          </w:p>
        </w:tc>
        <w:tc>
          <w:tcPr>
            <w:tcW w:w="180" w:type="dxa"/>
            <w:vAlign w:val="bottom"/>
          </w:tcPr>
          <w:p>
            <w:pPr>
              <w:spacing w:after="0"/>
              <w:rPr>
                <w:sz w:val="14"/>
                <w:szCs w:val="14"/>
                <w:color w:val="auto"/>
              </w:rPr>
            </w:pPr>
          </w:p>
        </w:tc>
        <w:tc>
          <w:tcPr>
            <w:tcW w:w="118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2"/>
              </w:rPr>
              <w:t>Facilities and</w:t>
            </w:r>
          </w:p>
        </w:tc>
        <w:tc>
          <w:tcPr>
            <w:tcW w:w="120" w:type="dxa"/>
            <w:vAlign w:val="bottom"/>
          </w:tcPr>
          <w:p>
            <w:pPr>
              <w:spacing w:after="0"/>
              <w:rPr>
                <w:sz w:val="14"/>
                <w:szCs w:val="14"/>
                <w:color w:val="auto"/>
              </w:rPr>
            </w:pPr>
          </w:p>
        </w:tc>
        <w:tc>
          <w:tcPr>
            <w:tcW w:w="13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6"/>
              </w:rPr>
              <w:t>Other exit-related</w:t>
            </w:r>
          </w:p>
        </w:tc>
        <w:tc>
          <w:tcPr>
            <w:tcW w:w="280" w:type="dxa"/>
            <w:vAlign w:val="bottom"/>
          </w:tcPr>
          <w:p>
            <w:pPr>
              <w:spacing w:after="0"/>
              <w:rPr>
                <w:sz w:val="14"/>
                <w:szCs w:val="14"/>
                <w:color w:val="auto"/>
              </w:rPr>
            </w:pPr>
          </w:p>
        </w:tc>
        <w:tc>
          <w:tcPr>
            <w:tcW w:w="960" w:type="dxa"/>
            <w:vAlign w:val="bottom"/>
            <w:vMerge w:val="restart"/>
          </w:tcPr>
          <w:p>
            <w:pPr>
              <w:jc w:val="right"/>
              <w:ind w:right="39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5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340" w:type="dxa"/>
            <w:vAlign w:val="bottom"/>
            <w:gridSpan w:val="2"/>
          </w:tcPr>
          <w:p>
            <w:pPr>
              <w:jc w:val="center"/>
              <w:ind w:right="560"/>
              <w:spacing w:after="0"/>
              <w:rPr>
                <w:sz w:val="20"/>
                <w:szCs w:val="20"/>
                <w:color w:val="auto"/>
              </w:rPr>
            </w:pPr>
            <w:r>
              <w:rPr>
                <w:rFonts w:ascii="Arial" w:cs="Arial" w:eastAsia="Arial" w:hAnsi="Arial"/>
                <w:sz w:val="14"/>
                <w:szCs w:val="14"/>
                <w:b w:val="1"/>
                <w:bCs w:val="1"/>
                <w:color w:val="auto"/>
                <w:w w:val="81"/>
              </w:rPr>
              <w:t>costs</w:t>
            </w:r>
          </w:p>
        </w:tc>
        <w:tc>
          <w:tcPr>
            <w:tcW w:w="180" w:type="dxa"/>
            <w:vAlign w:val="bottom"/>
          </w:tcPr>
          <w:p>
            <w:pPr>
              <w:spacing w:after="0"/>
              <w:rPr>
                <w:sz w:val="16"/>
                <w:szCs w:val="16"/>
                <w:color w:val="auto"/>
              </w:rPr>
            </w:pPr>
          </w:p>
        </w:tc>
        <w:tc>
          <w:tcPr>
            <w:tcW w:w="118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7"/>
              </w:rPr>
              <w:t>related costs</w:t>
            </w:r>
          </w:p>
        </w:tc>
        <w:tc>
          <w:tcPr>
            <w:tcW w:w="120" w:type="dxa"/>
            <w:vAlign w:val="bottom"/>
          </w:tcPr>
          <w:p>
            <w:pPr>
              <w:spacing w:after="0"/>
              <w:rPr>
                <w:sz w:val="16"/>
                <w:szCs w:val="16"/>
                <w:color w:val="auto"/>
              </w:rPr>
            </w:pPr>
          </w:p>
        </w:tc>
        <w:tc>
          <w:tcPr>
            <w:tcW w:w="13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76"/>
              </w:rPr>
              <w:t>costs</w:t>
            </w:r>
          </w:p>
        </w:tc>
        <w:tc>
          <w:tcPr>
            <w:tcW w:w="280" w:type="dxa"/>
            <w:vAlign w:val="bottom"/>
          </w:tcPr>
          <w:p>
            <w:pPr>
              <w:spacing w:after="0"/>
              <w:rPr>
                <w:sz w:val="16"/>
                <w:szCs w:val="16"/>
                <w:color w:val="auto"/>
              </w:rPr>
            </w:pPr>
          </w:p>
        </w:tc>
        <w:tc>
          <w:tcPr>
            <w:tcW w:w="9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558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2, 2019</w:t>
            </w:r>
          </w:p>
        </w:tc>
        <w:tc>
          <w:tcPr>
            <w:tcW w:w="360" w:type="dxa"/>
            <w:vAlign w:val="bottom"/>
            <w:tcBorders>
              <w:top w:val="single" w:sz="8" w:color="auto"/>
              <w:bottom w:val="single" w:sz="8" w:color="CCEEFF"/>
            </w:tcBorders>
            <w:shd w:val="clear" w:color="auto" w:fill="CCEEFF"/>
          </w:tcPr>
          <w:p>
            <w:pPr>
              <w:jc w:val="right"/>
              <w:ind w:right="176"/>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12,403</w:t>
            </w:r>
          </w:p>
        </w:tc>
        <w:tc>
          <w:tcPr>
            <w:tcW w:w="2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26,904</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1,049</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40,356</w:t>
            </w:r>
          </w:p>
        </w:tc>
        <w:tc>
          <w:tcPr>
            <w:tcW w:w="0" w:type="dxa"/>
            <w:vAlign w:val="bottom"/>
          </w:tcPr>
          <w:p>
            <w:pPr>
              <w:spacing w:after="0"/>
              <w:rPr>
                <w:sz w:val="1"/>
                <w:szCs w:val="1"/>
                <w:color w:val="auto"/>
              </w:rPr>
            </w:pPr>
          </w:p>
        </w:tc>
      </w:tr>
      <w:tr>
        <w:trPr>
          <w:trHeight w:val="243"/>
        </w:trPr>
        <w:tc>
          <w:tcPr>
            <w:tcW w:w="5580" w:type="dxa"/>
            <w:vAlign w:val="bottom"/>
          </w:tcPr>
          <w:p>
            <w:pPr>
              <w:ind w:left="20"/>
              <w:spacing w:after="0"/>
              <w:rPr>
                <w:sz w:val="20"/>
                <w:szCs w:val="20"/>
                <w:color w:val="auto"/>
              </w:rPr>
            </w:pPr>
            <w:r>
              <w:rPr>
                <w:rFonts w:ascii="Arial" w:cs="Arial" w:eastAsia="Arial" w:hAnsi="Arial"/>
                <w:sz w:val="18"/>
                <w:szCs w:val="18"/>
                <w:color w:val="auto"/>
              </w:rPr>
              <w:t>Restructuring charges</w:t>
            </w:r>
          </w:p>
        </w:tc>
        <w:tc>
          <w:tcPr>
            <w:tcW w:w="360" w:type="dxa"/>
            <w:vAlign w:val="bottom"/>
          </w:tcPr>
          <w:p>
            <w:pPr>
              <w:spacing w:after="0"/>
              <w:rPr>
                <w:sz w:val="21"/>
                <w:szCs w:val="21"/>
                <w:color w:val="auto"/>
              </w:rPr>
            </w:pPr>
          </w:p>
        </w:tc>
        <w:tc>
          <w:tcPr>
            <w:tcW w:w="1140" w:type="dxa"/>
            <w:vAlign w:val="bottom"/>
          </w:tcPr>
          <w:p>
            <w:pPr>
              <w:jc w:val="right"/>
              <w:ind w:right="32"/>
              <w:spacing w:after="0"/>
              <w:rPr>
                <w:sz w:val="20"/>
                <w:szCs w:val="20"/>
                <w:color w:val="auto"/>
              </w:rPr>
            </w:pPr>
            <w:r>
              <w:rPr>
                <w:rFonts w:ascii="Arial" w:cs="Arial" w:eastAsia="Arial" w:hAnsi="Arial"/>
                <w:sz w:val="18"/>
                <w:szCs w:val="18"/>
                <w:color w:val="auto"/>
              </w:rPr>
              <w:t>1,488</w:t>
            </w:r>
          </w:p>
        </w:tc>
        <w:tc>
          <w:tcPr>
            <w:tcW w:w="2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jc w:val="right"/>
              <w:ind w:right="34"/>
              <w:spacing w:after="0"/>
              <w:rPr>
                <w:sz w:val="20"/>
                <w:szCs w:val="20"/>
                <w:color w:val="auto"/>
              </w:rPr>
            </w:pPr>
            <w:r>
              <w:rPr>
                <w:rFonts w:ascii="Arial" w:cs="Arial" w:eastAsia="Arial" w:hAnsi="Arial"/>
                <w:sz w:val="18"/>
                <w:szCs w:val="18"/>
                <w:color w:val="auto"/>
              </w:rPr>
              <w:t>478</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191</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32"/>
              <w:spacing w:after="0"/>
              <w:rPr>
                <w:sz w:val="20"/>
                <w:szCs w:val="20"/>
                <w:color w:val="auto"/>
              </w:rPr>
            </w:pPr>
            <w:r>
              <w:rPr>
                <w:rFonts w:ascii="Arial" w:cs="Arial" w:eastAsia="Arial" w:hAnsi="Arial"/>
                <w:sz w:val="18"/>
                <w:szCs w:val="18"/>
                <w:color w:val="auto"/>
              </w:rPr>
              <w:t>2,157</w:t>
            </w:r>
          </w:p>
        </w:tc>
        <w:tc>
          <w:tcPr>
            <w:tcW w:w="0" w:type="dxa"/>
            <w:vAlign w:val="bottom"/>
          </w:tcPr>
          <w:p>
            <w:pPr>
              <w:spacing w:after="0"/>
              <w:rPr>
                <w:sz w:val="1"/>
                <w:szCs w:val="1"/>
                <w:color w:val="auto"/>
              </w:rPr>
            </w:pPr>
          </w:p>
        </w:tc>
      </w:tr>
      <w:tr>
        <w:trPr>
          <w:trHeight w:val="27"/>
        </w:trPr>
        <w:tc>
          <w:tcPr>
            <w:tcW w:w="5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5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cash payments</w:t>
            </w:r>
          </w:p>
        </w:tc>
        <w:tc>
          <w:tcPr>
            <w:tcW w:w="36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(9,009)</w:t>
            </w:r>
          </w:p>
        </w:tc>
        <w:tc>
          <w:tcPr>
            <w:tcW w:w="2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(579)</w:t>
            </w:r>
          </w:p>
        </w:tc>
        <w:tc>
          <w:tcPr>
            <w:tcW w:w="1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(887)</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(10,475)</w:t>
            </w:r>
          </w:p>
        </w:tc>
        <w:tc>
          <w:tcPr>
            <w:tcW w:w="0" w:type="dxa"/>
            <w:vAlign w:val="bottom"/>
          </w:tcPr>
          <w:p>
            <w:pPr>
              <w:spacing w:after="0"/>
              <w:rPr>
                <w:sz w:val="1"/>
                <w:szCs w:val="1"/>
                <w:color w:val="auto"/>
              </w:rPr>
            </w:pPr>
          </w:p>
        </w:tc>
      </w:tr>
      <w:tr>
        <w:trPr>
          <w:trHeight w:val="243"/>
        </w:trPr>
        <w:tc>
          <w:tcPr>
            <w:tcW w:w="5580" w:type="dxa"/>
            <w:vAlign w:val="bottom"/>
          </w:tcPr>
          <w:p>
            <w:pPr>
              <w:ind w:left="20"/>
              <w:spacing w:after="0"/>
              <w:rPr>
                <w:sz w:val="20"/>
                <w:szCs w:val="20"/>
                <w:color w:val="auto"/>
              </w:rPr>
            </w:pPr>
            <w:r>
              <w:rPr>
                <w:rFonts w:ascii="Arial" w:cs="Arial" w:eastAsia="Arial" w:hAnsi="Arial"/>
                <w:sz w:val="18"/>
                <w:szCs w:val="18"/>
                <w:color w:val="auto"/>
              </w:rPr>
              <w:t>Release of reserves</w:t>
            </w:r>
          </w:p>
        </w:tc>
        <w:tc>
          <w:tcPr>
            <w:tcW w:w="360" w:type="dxa"/>
            <w:vAlign w:val="bottom"/>
          </w:tcPr>
          <w:p>
            <w:pPr>
              <w:spacing w:after="0"/>
              <w:rPr>
                <w:sz w:val="21"/>
                <w:szCs w:val="21"/>
                <w:color w:val="auto"/>
              </w:rPr>
            </w:pPr>
          </w:p>
        </w:tc>
        <w:tc>
          <w:tcPr>
            <w:tcW w:w="13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(188)</w:t>
            </w:r>
          </w:p>
        </w:tc>
        <w:tc>
          <w:tcPr>
            <w:tcW w:w="1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(127)</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(315)</w:t>
            </w:r>
          </w:p>
        </w:tc>
        <w:tc>
          <w:tcPr>
            <w:tcW w:w="0" w:type="dxa"/>
            <w:vAlign w:val="bottom"/>
          </w:tcPr>
          <w:p>
            <w:pPr>
              <w:spacing w:after="0"/>
              <w:rPr>
                <w:sz w:val="1"/>
                <w:szCs w:val="1"/>
                <w:color w:val="auto"/>
              </w:rPr>
            </w:pPr>
          </w:p>
        </w:tc>
      </w:tr>
      <w:tr>
        <w:trPr>
          <w:trHeight w:val="27"/>
        </w:trPr>
        <w:tc>
          <w:tcPr>
            <w:tcW w:w="5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5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Effect of adoption of ASC 842</w:t>
            </w:r>
          </w:p>
        </w:tc>
        <w:tc>
          <w:tcPr>
            <w:tcW w:w="36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(25,893)</w:t>
            </w:r>
          </w:p>
        </w:tc>
        <w:tc>
          <w:tcPr>
            <w:tcW w:w="10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(25,893)</w:t>
            </w:r>
          </w:p>
        </w:tc>
        <w:tc>
          <w:tcPr>
            <w:tcW w:w="0" w:type="dxa"/>
            <w:vAlign w:val="bottom"/>
          </w:tcPr>
          <w:p>
            <w:pPr>
              <w:spacing w:after="0"/>
              <w:rPr>
                <w:sz w:val="1"/>
                <w:szCs w:val="1"/>
                <w:color w:val="auto"/>
              </w:rPr>
            </w:pPr>
          </w:p>
        </w:tc>
      </w:tr>
      <w:tr>
        <w:trPr>
          <w:trHeight w:val="237"/>
        </w:trPr>
        <w:tc>
          <w:tcPr>
            <w:tcW w:w="5580" w:type="dxa"/>
            <w:vAlign w:val="bottom"/>
          </w:tcPr>
          <w:p>
            <w:pPr>
              <w:ind w:left="20"/>
              <w:spacing w:after="0"/>
              <w:rPr>
                <w:sz w:val="20"/>
                <w:szCs w:val="20"/>
                <w:color w:val="auto"/>
              </w:rPr>
            </w:pPr>
            <w:r>
              <w:rPr>
                <w:rFonts w:ascii="Arial" w:cs="Arial" w:eastAsia="Arial" w:hAnsi="Arial"/>
                <w:sz w:val="18"/>
                <w:szCs w:val="18"/>
                <w:color w:val="auto"/>
              </w:rPr>
              <w:t>Balance at May 4, 2019</w:t>
            </w:r>
          </w:p>
        </w:tc>
        <w:tc>
          <w:tcPr>
            <w:tcW w:w="36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4,882</w:t>
            </w:r>
          </w:p>
        </w:tc>
        <w:tc>
          <w:tcPr>
            <w:tcW w:w="2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722</w:t>
            </w:r>
          </w:p>
        </w:tc>
        <w:tc>
          <w:tcPr>
            <w:tcW w:w="10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226</w:t>
            </w: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5,830</w:t>
            </w:r>
          </w:p>
        </w:tc>
        <w:tc>
          <w:tcPr>
            <w:tcW w:w="0" w:type="dxa"/>
            <w:vAlign w:val="bottom"/>
          </w:tcPr>
          <w:p>
            <w:pPr>
              <w:spacing w:after="0"/>
              <w:rPr>
                <w:sz w:val="1"/>
                <w:szCs w:val="1"/>
                <w:color w:val="auto"/>
              </w:rPr>
            </w:pPr>
          </w:p>
        </w:tc>
      </w:tr>
      <w:tr>
        <w:trPr>
          <w:trHeight w:val="27"/>
        </w:trPr>
        <w:tc>
          <w:tcPr>
            <w:tcW w:w="5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5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Less: non-current portion</w:t>
            </w:r>
          </w:p>
        </w:tc>
        <w:tc>
          <w:tcPr>
            <w:tcW w:w="36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658</w:t>
            </w:r>
          </w:p>
        </w:tc>
        <w:tc>
          <w:tcPr>
            <w:tcW w:w="10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658</w:t>
            </w:r>
          </w:p>
        </w:tc>
        <w:tc>
          <w:tcPr>
            <w:tcW w:w="0" w:type="dxa"/>
            <w:vAlign w:val="bottom"/>
          </w:tcPr>
          <w:p>
            <w:pPr>
              <w:spacing w:after="0"/>
              <w:rPr>
                <w:sz w:val="1"/>
                <w:szCs w:val="1"/>
                <w:color w:val="auto"/>
              </w:rPr>
            </w:pPr>
          </w:p>
        </w:tc>
      </w:tr>
      <w:tr>
        <w:trPr>
          <w:trHeight w:val="257"/>
        </w:trPr>
        <w:tc>
          <w:tcPr>
            <w:tcW w:w="5580" w:type="dxa"/>
            <w:vAlign w:val="bottom"/>
          </w:tcPr>
          <w:p>
            <w:pPr>
              <w:ind w:left="20"/>
              <w:spacing w:after="0"/>
              <w:rPr>
                <w:sz w:val="20"/>
                <w:szCs w:val="20"/>
                <w:color w:val="auto"/>
              </w:rPr>
            </w:pPr>
            <w:r>
              <w:rPr>
                <w:rFonts w:ascii="Arial" w:cs="Arial" w:eastAsia="Arial" w:hAnsi="Arial"/>
                <w:sz w:val="18"/>
                <w:szCs w:val="18"/>
                <w:color w:val="auto"/>
              </w:rPr>
              <w:t>Current portion</w:t>
            </w:r>
          </w:p>
        </w:tc>
        <w:tc>
          <w:tcPr>
            <w:tcW w:w="360" w:type="dxa"/>
            <w:vAlign w:val="bottom"/>
            <w:tcBorders>
              <w:top w:val="single" w:sz="8" w:color="auto"/>
              <w:bottom w:val="single" w:sz="8" w:color="auto"/>
            </w:tcBorders>
          </w:tcPr>
          <w:p>
            <w:pPr>
              <w:jc w:val="right"/>
              <w:ind w:right="176"/>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tcPr>
          <w:p>
            <w:pPr>
              <w:jc w:val="right"/>
              <w:ind w:right="32"/>
              <w:spacing w:after="0"/>
              <w:rPr>
                <w:sz w:val="20"/>
                <w:szCs w:val="20"/>
                <w:color w:val="auto"/>
              </w:rPr>
            </w:pPr>
            <w:r>
              <w:rPr>
                <w:rFonts w:ascii="Arial" w:cs="Arial" w:eastAsia="Arial" w:hAnsi="Arial"/>
                <w:sz w:val="18"/>
                <w:szCs w:val="18"/>
                <w:color w:val="auto"/>
              </w:rPr>
              <w:t>4,882</w:t>
            </w:r>
          </w:p>
        </w:tc>
        <w:tc>
          <w:tcPr>
            <w:tcW w:w="20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64</w:t>
            </w:r>
          </w:p>
        </w:tc>
        <w:tc>
          <w:tcPr>
            <w:tcW w:w="100" w:type="dxa"/>
            <w:vAlign w:val="bottom"/>
          </w:tcPr>
          <w:p>
            <w:pPr>
              <w:spacing w:after="0"/>
              <w:rPr>
                <w:sz w:val="22"/>
                <w:szCs w:val="22"/>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auto"/>
            </w:tcBorders>
          </w:tcPr>
          <w:p>
            <w:pPr>
              <w:jc w:val="right"/>
              <w:ind w:right="14"/>
              <w:spacing w:after="0"/>
              <w:rPr>
                <w:sz w:val="20"/>
                <w:szCs w:val="20"/>
                <w:color w:val="auto"/>
              </w:rPr>
            </w:pPr>
            <w:r>
              <w:rPr>
                <w:rFonts w:ascii="Arial" w:cs="Arial" w:eastAsia="Arial" w:hAnsi="Arial"/>
                <w:sz w:val="18"/>
                <w:szCs w:val="18"/>
                <w:color w:val="auto"/>
              </w:rPr>
              <w:t>226</w:t>
            </w:r>
          </w:p>
        </w:tc>
        <w:tc>
          <w:tcPr>
            <w:tcW w:w="120" w:type="dxa"/>
            <w:vAlign w:val="bottom"/>
          </w:tcPr>
          <w:p>
            <w:pPr>
              <w:spacing w:after="0"/>
              <w:rPr>
                <w:sz w:val="22"/>
                <w:szCs w:val="22"/>
                <w:color w:val="auto"/>
              </w:rPr>
            </w:pPr>
          </w:p>
        </w:tc>
        <w:tc>
          <w:tcPr>
            <w:tcW w:w="28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bottom w:val="single" w:sz="8" w:color="auto"/>
            </w:tcBorders>
          </w:tcPr>
          <w:p>
            <w:pPr>
              <w:jc w:val="right"/>
              <w:ind w:right="32"/>
              <w:spacing w:after="0"/>
              <w:rPr>
                <w:sz w:val="20"/>
                <w:szCs w:val="20"/>
                <w:color w:val="auto"/>
              </w:rPr>
            </w:pPr>
            <w:r>
              <w:rPr>
                <w:rFonts w:ascii="Arial" w:cs="Arial" w:eastAsia="Arial" w:hAnsi="Arial"/>
                <w:sz w:val="18"/>
                <w:szCs w:val="18"/>
                <w:color w:val="auto"/>
              </w:rPr>
              <w:t>5,172</w:t>
            </w:r>
          </w:p>
        </w:tc>
        <w:tc>
          <w:tcPr>
            <w:tcW w:w="0" w:type="dxa"/>
            <w:vAlign w:val="bottom"/>
          </w:tcPr>
          <w:p>
            <w:pPr>
              <w:spacing w:after="0"/>
              <w:rPr>
                <w:sz w:val="1"/>
                <w:szCs w:val="1"/>
                <w:color w:val="auto"/>
              </w:rPr>
            </w:pPr>
          </w:p>
        </w:tc>
      </w:tr>
      <w:tr>
        <w:trPr>
          <w:trHeight w:val="20"/>
        </w:trPr>
        <w:tc>
          <w:tcPr>
            <w:tcW w:w="558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4" w:lineRule="exact"/>
        <w:rPr>
          <w:sz w:val="20"/>
          <w:szCs w:val="20"/>
          <w:color w:val="auto"/>
        </w:rPr>
      </w:pPr>
    </w:p>
    <w:p>
      <w:pPr>
        <w:ind w:right="660" w:firstLine="405"/>
        <w:spacing w:after="0" w:line="277" w:lineRule="auto"/>
        <w:rPr>
          <w:sz w:val="20"/>
          <w:szCs w:val="20"/>
          <w:color w:val="auto"/>
        </w:rPr>
      </w:pPr>
      <w:r>
        <w:rPr>
          <w:rFonts w:ascii="Arial" w:cs="Arial" w:eastAsia="Arial" w:hAnsi="Arial"/>
          <w:sz w:val="18"/>
          <w:szCs w:val="18"/>
          <w:color w:val="auto"/>
        </w:rPr>
        <w:t>Upon adoption of the new lease accounting standard (see Note 3 - “Leases”), certain restructuring liabilities were required to be recognized as a reduction of the ROU asset.</w:t>
      </w:r>
    </w:p>
    <w:p>
      <w:pPr>
        <w:spacing w:after="0" w:line="6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remaining accrued severance and related costs and the other exit-related costs are expected to be paid in fiscal 2020.</w:t>
      </w:r>
    </w:p>
    <w:p>
      <w:pPr>
        <w:spacing w:after="0" w:line="200" w:lineRule="exact"/>
        <w:rPr>
          <w:sz w:val="20"/>
          <w:szCs w:val="20"/>
          <w:color w:val="auto"/>
        </w:rPr>
      </w:pPr>
    </w:p>
    <w:p>
      <w:pPr>
        <w:spacing w:after="0" w:line="26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130" w:right="239" w:bottom="1440" w:gutter="0" w:footer="0" w:header="0"/>
        </w:sectPr>
      </w:pPr>
    </w:p>
    <w:bookmarkStart w:id="18" w:name="page19"/>
    <w:bookmarkEnd w:id="1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firstLine="405"/>
        <w:spacing w:after="0" w:line="264"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 As of May 4, 2019, these foundries had incurred approximately $152.4 million of manufacturing costs and expenses relating to the Company’s outstanding purchase orders.</w:t>
      </w:r>
    </w:p>
    <w:p>
      <w:pPr>
        <w:spacing w:after="0" w:line="18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144" w:lineRule="exact"/>
        <w:rPr>
          <w:sz w:val="20"/>
          <w:szCs w:val="20"/>
          <w:color w:val="auto"/>
        </w:rPr>
      </w:pPr>
    </w:p>
    <w:p>
      <w:pPr>
        <w:ind w:right="100" w:firstLine="405"/>
        <w:spacing w:after="0" w:line="264" w:lineRule="auto"/>
        <w:rPr>
          <w:sz w:val="20"/>
          <w:szCs w:val="20"/>
          <w:color w:val="auto"/>
        </w:rPr>
      </w:pPr>
      <w:r>
        <w:rPr>
          <w:rFonts w:ascii="Arial" w:cs="Arial" w:eastAsia="Arial" w:hAnsi="Arial"/>
          <w:sz w:val="18"/>
          <w:szCs w:val="18"/>
          <w:color w:val="auto"/>
        </w:rPr>
        <w:t>The Company may from time to time be a party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pacing w:after="0" w:line="181"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In 2015 the Securities and Exchange Commission (the “SEC”) and Department of Justice commenced an investigation regarding disclosures relating to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The Company has been fully cooperating with the investigation.</w:t>
      </w:r>
    </w:p>
    <w:p>
      <w:pPr>
        <w:spacing w:after="0" w:line="187" w:lineRule="exact"/>
        <w:rPr>
          <w:sz w:val="20"/>
          <w:szCs w:val="20"/>
          <w:color w:val="auto"/>
        </w:rPr>
      </w:pPr>
    </w:p>
    <w:p>
      <w:pPr>
        <w:ind w:right="40" w:firstLine="405"/>
        <w:spacing w:after="0" w:line="289" w:lineRule="auto"/>
        <w:rPr>
          <w:sz w:val="20"/>
          <w:szCs w:val="20"/>
          <w:color w:val="auto"/>
        </w:rPr>
      </w:pPr>
      <w:r>
        <w:rPr>
          <w:rFonts w:ascii="Arial" w:cs="Arial" w:eastAsia="Arial" w:hAnsi="Arial"/>
          <w:sz w:val="16"/>
          <w:szCs w:val="16"/>
          <w:color w:val="auto"/>
        </w:rPr>
        <w:t>The Company is currently unable to predict the final outcome of its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any Legal Matter involves judgments, estimates and inherent uncertainties. An unfavorable outcome in a Legal Matter, particularly in a patent dispute,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condition, results of operations or cash flows.</w:t>
      </w:r>
    </w:p>
    <w:p>
      <w:pPr>
        <w:spacing w:after="0" w:line="167"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25" w:lineRule="exact"/>
        <w:rPr>
          <w:sz w:val="20"/>
          <w:szCs w:val="20"/>
          <w:color w:val="auto"/>
        </w:rPr>
      </w:pPr>
    </w:p>
    <w:p>
      <w:pPr>
        <w:ind w:firstLine="432"/>
        <w:spacing w:after="0" w:line="288"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condensed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200" w:lineRule="exact"/>
        <w:rPr>
          <w:sz w:val="20"/>
          <w:szCs w:val="20"/>
          <w:color w:val="auto"/>
        </w:rPr>
      </w:pPr>
    </w:p>
    <w:p>
      <w:pPr>
        <w:spacing w:after="0" w:line="21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380"/>
          </w:cols>
          <w:pgMar w:left="240" w:top="130" w:right="279" w:bottom="1440" w:gutter="0" w:footer="0" w:header="0"/>
        </w:sectPr>
      </w:pPr>
    </w:p>
    <w:bookmarkStart w:id="19" w:name="page20"/>
    <w:bookmarkEnd w:id="1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225" w:lineRule="exact"/>
        <w:rPr>
          <w:sz w:val="20"/>
          <w:szCs w:val="20"/>
          <w:color w:val="auto"/>
        </w:rPr>
      </w:pPr>
    </w:p>
    <w:p>
      <w:pPr>
        <w:ind w:right="40" w:firstLine="432"/>
        <w:spacing w:after="0" w:line="290" w:lineRule="auto"/>
        <w:rPr>
          <w:sz w:val="20"/>
          <w:szCs w:val="20"/>
          <w:color w:val="auto"/>
        </w:rPr>
      </w:pPr>
      <w:r>
        <w:rPr>
          <w:rFonts w:ascii="Arial" w:cs="Arial" w:eastAsia="Arial" w:hAnsi="Arial"/>
          <w:sz w:val="16"/>
          <w:szCs w:val="16"/>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Revenue</w:t>
      </w:r>
    </w:p>
    <w:p>
      <w:pPr>
        <w:spacing w:after="0" w:line="121" w:lineRule="exact"/>
        <w:rPr>
          <w:sz w:val="20"/>
          <w:szCs w:val="20"/>
          <w:color w:val="auto"/>
        </w:rPr>
      </w:pPr>
    </w:p>
    <w:p>
      <w:pPr>
        <w:ind w:right="140" w:firstLine="378"/>
        <w:spacing w:after="0" w:line="277" w:lineRule="auto"/>
        <w:rPr>
          <w:sz w:val="20"/>
          <w:szCs w:val="20"/>
          <w:color w:val="auto"/>
        </w:rPr>
      </w:pPr>
      <w:r>
        <w:rPr>
          <w:rFonts w:ascii="Arial" w:cs="Arial" w:eastAsia="Arial" w:hAnsi="Arial"/>
          <w:sz w:val="18"/>
          <w:szCs w:val="18"/>
          <w:color w:val="auto"/>
        </w:rPr>
        <w:t>The majority of the Company's revenue is generated from sales of the Company’s products. The following table summarizes net revenue disaggregated by product group (in thousands, except percentages):</w:t>
      </w:r>
    </w:p>
    <w:p>
      <w:pPr>
        <w:spacing w:after="0" w:line="200" w:lineRule="exact"/>
        <w:rPr>
          <w:sz w:val="20"/>
          <w:szCs w:val="20"/>
          <w:color w:val="auto"/>
        </w:rPr>
      </w:pPr>
    </w:p>
    <w:p>
      <w:pPr>
        <w:spacing w:after="0" w:line="327"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506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480" w:type="dxa"/>
            <w:vAlign w:val="bottom"/>
            <w:tcBorders>
              <w:bottom w:val="single" w:sz="8" w:color="auto"/>
            </w:tcBorders>
            <w:gridSpan w:val="3"/>
          </w:tcPr>
          <w:p>
            <w:pPr>
              <w:ind w:left="680"/>
              <w:spacing w:after="0"/>
              <w:rPr>
                <w:sz w:val="20"/>
                <w:szCs w:val="20"/>
                <w:color w:val="auto"/>
              </w:rPr>
            </w:pPr>
            <w:r>
              <w:rPr>
                <w:rFonts w:ascii="Arial" w:cs="Arial" w:eastAsia="Arial" w:hAnsi="Arial"/>
                <w:sz w:val="14"/>
                <w:szCs w:val="14"/>
                <w:b w:val="1"/>
                <w:bCs w:val="1"/>
                <w:color w:val="auto"/>
              </w:rPr>
              <w:t>Three Months Ended</w:t>
            </w:r>
          </w:p>
        </w:tc>
        <w:tc>
          <w:tcPr>
            <w:tcW w:w="42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3"/>
          </w:tcPr>
          <w:p>
            <w:pPr>
              <w:jc w:val="right"/>
              <w:ind w:right="828"/>
              <w:spacing w:after="0"/>
              <w:rPr>
                <w:sz w:val="20"/>
                <w:szCs w:val="20"/>
                <w:color w:val="auto"/>
              </w:rPr>
            </w:pPr>
            <w:r>
              <w:rPr>
                <w:rFonts w:ascii="Arial" w:cs="Arial" w:eastAsia="Arial" w:hAnsi="Arial"/>
                <w:sz w:val="14"/>
                <w:szCs w:val="14"/>
                <w:b w:val="1"/>
                <w:bCs w:val="1"/>
                <w:color w:val="auto"/>
              </w:rPr>
              <w:t>Three Months Ended</w:t>
            </w:r>
          </w:p>
        </w:tc>
      </w:tr>
      <w:tr>
        <w:trPr>
          <w:trHeight w:val="264"/>
        </w:trPr>
        <w:tc>
          <w:tcPr>
            <w:tcW w:w="5060" w:type="dxa"/>
            <w:vAlign w:val="bottom"/>
            <w:tcBorders>
              <w:bottom w:val="single" w:sz="8" w:color="CCEEFF"/>
            </w:tcBorders>
          </w:tcPr>
          <w:p>
            <w:pPr>
              <w:spacing w:after="0"/>
              <w:rPr>
                <w:sz w:val="22"/>
                <w:szCs w:val="22"/>
                <w:color w:val="auto"/>
              </w:rPr>
            </w:pPr>
          </w:p>
        </w:tc>
        <w:tc>
          <w:tcPr>
            <w:tcW w:w="220" w:type="dxa"/>
            <w:vAlign w:val="bottom"/>
            <w:tcBorders>
              <w:bottom w:val="single" w:sz="8" w:color="auto"/>
            </w:tcBorders>
          </w:tcPr>
          <w:p>
            <w:pPr>
              <w:spacing w:after="0"/>
              <w:rPr>
                <w:sz w:val="22"/>
                <w:szCs w:val="22"/>
                <w:color w:val="auto"/>
              </w:rPr>
            </w:pPr>
          </w:p>
        </w:tc>
        <w:tc>
          <w:tcPr>
            <w:tcW w:w="1240" w:type="dxa"/>
            <w:vAlign w:val="bottom"/>
            <w:tcBorders>
              <w:bottom w:val="single" w:sz="8" w:color="auto"/>
            </w:tcBorders>
          </w:tcPr>
          <w:p>
            <w:pPr>
              <w:jc w:val="right"/>
              <w:ind w:right="276"/>
              <w:spacing w:after="0"/>
              <w:rPr>
                <w:sz w:val="20"/>
                <w:szCs w:val="20"/>
                <w:color w:val="auto"/>
              </w:rPr>
            </w:pPr>
            <w:r>
              <w:rPr>
                <w:rFonts w:ascii="Arial" w:cs="Arial" w:eastAsia="Arial" w:hAnsi="Arial"/>
                <w:sz w:val="14"/>
                <w:szCs w:val="14"/>
                <w:b w:val="1"/>
                <w:bCs w:val="1"/>
                <w:color w:val="auto"/>
              </w:rPr>
              <w:t>May 4, 2019</w:t>
            </w:r>
          </w:p>
        </w:tc>
        <w:tc>
          <w:tcPr>
            <w:tcW w:w="120" w:type="dxa"/>
            <w:vAlign w:val="bottom"/>
            <w:tcBorders>
              <w:bottom w:val="single" w:sz="8" w:color="CCEEFF"/>
            </w:tcBorders>
          </w:tcPr>
          <w:p>
            <w:pPr>
              <w:spacing w:after="0"/>
              <w:rPr>
                <w:sz w:val="22"/>
                <w:szCs w:val="22"/>
                <w:color w:val="auto"/>
              </w:rPr>
            </w:pPr>
          </w:p>
        </w:tc>
        <w:tc>
          <w:tcPr>
            <w:tcW w:w="112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w w:val="98"/>
              </w:rPr>
              <w:t>% of Total</w:t>
            </w:r>
          </w:p>
        </w:tc>
        <w:tc>
          <w:tcPr>
            <w:tcW w:w="420" w:type="dxa"/>
            <w:vAlign w:val="bottom"/>
            <w:tcBorders>
              <w:bottom w:val="single" w:sz="8" w:color="auto"/>
            </w:tcBorders>
          </w:tcPr>
          <w:p>
            <w:pPr>
              <w:spacing w:after="0"/>
              <w:rPr>
                <w:sz w:val="22"/>
                <w:szCs w:val="22"/>
                <w:color w:val="auto"/>
              </w:rPr>
            </w:pPr>
          </w:p>
        </w:tc>
        <w:tc>
          <w:tcPr>
            <w:tcW w:w="100" w:type="dxa"/>
            <w:vAlign w:val="bottom"/>
            <w:tcBorders>
              <w:bottom w:val="single" w:sz="8" w:color="CCEEFF"/>
            </w:tcBorders>
          </w:tcPr>
          <w:p>
            <w:pPr>
              <w:spacing w:after="0"/>
              <w:rPr>
                <w:sz w:val="22"/>
                <w:szCs w:val="22"/>
                <w:color w:val="auto"/>
              </w:rPr>
            </w:pPr>
          </w:p>
        </w:tc>
        <w:tc>
          <w:tcPr>
            <w:tcW w:w="240" w:type="dxa"/>
            <w:vAlign w:val="bottom"/>
            <w:tcBorders>
              <w:bottom w:val="single" w:sz="8" w:color="auto"/>
            </w:tcBorders>
          </w:tcPr>
          <w:p>
            <w:pPr>
              <w:spacing w:after="0"/>
              <w:rPr>
                <w:sz w:val="22"/>
                <w:szCs w:val="22"/>
                <w:color w:val="auto"/>
              </w:rPr>
            </w:pPr>
          </w:p>
        </w:tc>
        <w:tc>
          <w:tcPr>
            <w:tcW w:w="1240" w:type="dxa"/>
            <w:vAlign w:val="bottom"/>
            <w:tcBorders>
              <w:bottom w:val="single" w:sz="8" w:color="auto"/>
            </w:tcBorders>
          </w:tcPr>
          <w:p>
            <w:pPr>
              <w:jc w:val="right"/>
              <w:ind w:right="296"/>
              <w:spacing w:after="0"/>
              <w:rPr>
                <w:sz w:val="20"/>
                <w:szCs w:val="20"/>
                <w:color w:val="auto"/>
              </w:rPr>
            </w:pPr>
            <w:r>
              <w:rPr>
                <w:rFonts w:ascii="Arial" w:cs="Arial" w:eastAsia="Arial" w:hAnsi="Arial"/>
                <w:sz w:val="14"/>
                <w:szCs w:val="14"/>
                <w:b w:val="1"/>
                <w:bCs w:val="1"/>
                <w:color w:val="auto"/>
              </w:rPr>
              <w:t>May 5, 2018</w:t>
            </w:r>
          </w:p>
        </w:tc>
        <w:tc>
          <w:tcPr>
            <w:tcW w:w="100" w:type="dxa"/>
            <w:vAlign w:val="bottom"/>
            <w:tcBorders>
              <w:bottom w:val="single" w:sz="8" w:color="CCEEFF"/>
            </w:tcBorders>
          </w:tcPr>
          <w:p>
            <w:pPr>
              <w:spacing w:after="0"/>
              <w:rPr>
                <w:sz w:val="22"/>
                <w:szCs w:val="22"/>
                <w:color w:val="auto"/>
              </w:rPr>
            </w:pPr>
          </w:p>
        </w:tc>
        <w:tc>
          <w:tcPr>
            <w:tcW w:w="1540" w:type="dxa"/>
            <w:vAlign w:val="bottom"/>
            <w:tcBorders>
              <w:bottom w:val="single" w:sz="8" w:color="auto"/>
            </w:tcBorders>
          </w:tcPr>
          <w:p>
            <w:pPr>
              <w:jc w:val="right"/>
              <w:ind w:right="388"/>
              <w:spacing w:after="0"/>
              <w:rPr>
                <w:sz w:val="20"/>
                <w:szCs w:val="20"/>
                <w:color w:val="auto"/>
              </w:rPr>
            </w:pPr>
            <w:r>
              <w:rPr>
                <w:rFonts w:ascii="Arial" w:cs="Arial" w:eastAsia="Arial" w:hAnsi="Arial"/>
                <w:sz w:val="14"/>
                <w:szCs w:val="14"/>
                <w:b w:val="1"/>
                <w:bCs w:val="1"/>
                <w:color w:val="auto"/>
              </w:rPr>
              <w:t>% of Total</w:t>
            </w:r>
          </w:p>
        </w:tc>
      </w:tr>
      <w:tr>
        <w:trPr>
          <w:trHeight w:val="250"/>
        </w:trPr>
        <w:tc>
          <w:tcPr>
            <w:tcW w:w="5060" w:type="dxa"/>
            <w:vAlign w:val="bottom"/>
            <w:tcBorders>
              <w:bottom w:val="single" w:sz="8" w:color="CCEEFF"/>
            </w:tcBorders>
            <w:shd w:val="clear" w:color="auto" w:fill="CCEEFF"/>
          </w:tcPr>
          <w:p>
            <w:pPr>
              <w:ind w:left="160"/>
              <w:spacing w:after="0"/>
              <w:rPr>
                <w:sz w:val="20"/>
                <w:szCs w:val="20"/>
                <w:color w:val="auto"/>
              </w:rPr>
            </w:pPr>
            <w:r>
              <w:rPr>
                <w:rFonts w:ascii="Arial" w:cs="Arial" w:eastAsia="Arial" w:hAnsi="Arial"/>
                <w:sz w:val="18"/>
                <w:szCs w:val="18"/>
                <w:b w:val="1"/>
                <w:bCs w:val="1"/>
                <w:color w:val="auto"/>
              </w:rPr>
              <w:t>Net revenue by product group:</w:t>
            </w:r>
          </w:p>
        </w:tc>
        <w:tc>
          <w:tcPr>
            <w:tcW w:w="2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4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spacing w:after="0"/>
              <w:rPr>
                <w:sz w:val="21"/>
                <w:szCs w:val="21"/>
                <w:color w:val="auto"/>
              </w:rPr>
            </w:pPr>
          </w:p>
        </w:tc>
      </w:tr>
      <w:tr>
        <w:trPr>
          <w:trHeight w:val="243"/>
        </w:trPr>
        <w:tc>
          <w:tcPr>
            <w:tcW w:w="5060" w:type="dxa"/>
            <w:vAlign w:val="bottom"/>
          </w:tcPr>
          <w:p>
            <w:pPr>
              <w:ind w:left="380"/>
              <w:spacing w:after="0"/>
              <w:rPr>
                <w:sz w:val="20"/>
                <w:szCs w:val="20"/>
                <w:color w:val="auto"/>
              </w:rPr>
            </w:pPr>
            <w:r>
              <w:rPr>
                <w:rFonts w:ascii="Arial" w:cs="Arial" w:eastAsia="Arial" w:hAnsi="Arial"/>
                <w:sz w:val="18"/>
                <w:szCs w:val="18"/>
                <w:color w:val="auto"/>
              </w:rPr>
              <w:t>Storage (1)</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40" w:type="dxa"/>
            <w:vAlign w:val="bottom"/>
          </w:tcPr>
          <w:p>
            <w:pPr>
              <w:jc w:val="right"/>
              <w:ind w:right="36"/>
              <w:spacing w:after="0"/>
              <w:rPr>
                <w:sz w:val="20"/>
                <w:szCs w:val="20"/>
                <w:color w:val="auto"/>
              </w:rPr>
            </w:pPr>
            <w:r>
              <w:rPr>
                <w:rFonts w:ascii="Arial" w:cs="Arial" w:eastAsia="Arial" w:hAnsi="Arial"/>
                <w:sz w:val="18"/>
                <w:szCs w:val="18"/>
                <w:color w:val="auto"/>
              </w:rPr>
              <w:t>278,667</w:t>
            </w: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w w:val="94"/>
              </w:rPr>
              <w:t>42%</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6"/>
              <w:spacing w:after="0"/>
              <w:rPr>
                <w:sz w:val="20"/>
                <w:szCs w:val="20"/>
                <w:color w:val="auto"/>
              </w:rPr>
            </w:pPr>
            <w:r>
              <w:rPr>
                <w:rFonts w:ascii="Arial" w:cs="Arial" w:eastAsia="Arial" w:hAnsi="Arial"/>
                <w:sz w:val="18"/>
                <w:szCs w:val="18"/>
                <w:color w:val="auto"/>
              </w:rPr>
              <w:t>317,069</w:t>
            </w:r>
          </w:p>
        </w:tc>
        <w:tc>
          <w:tcPr>
            <w:tcW w:w="1640" w:type="dxa"/>
            <w:vAlign w:val="bottom"/>
            <w:gridSpan w:val="2"/>
          </w:tcPr>
          <w:p>
            <w:pPr>
              <w:jc w:val="right"/>
              <w:spacing w:after="0"/>
              <w:rPr>
                <w:sz w:val="20"/>
                <w:szCs w:val="20"/>
                <w:color w:val="auto"/>
              </w:rPr>
            </w:pPr>
            <w:r>
              <w:rPr>
                <w:rFonts w:ascii="Arial" w:cs="Arial" w:eastAsia="Arial" w:hAnsi="Arial"/>
                <w:sz w:val="18"/>
                <w:szCs w:val="18"/>
                <w:color w:val="auto"/>
              </w:rPr>
              <w:t>52%</w:t>
            </w:r>
          </w:p>
        </w:tc>
      </w:tr>
      <w:tr>
        <w:trPr>
          <w:trHeight w:val="27"/>
        </w:trPr>
        <w:tc>
          <w:tcPr>
            <w:tcW w:w="5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r>
      <w:tr>
        <w:trPr>
          <w:trHeight w:val="250"/>
        </w:trPr>
        <w:tc>
          <w:tcPr>
            <w:tcW w:w="50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Networking (2)</w:t>
            </w:r>
          </w:p>
        </w:tc>
        <w:tc>
          <w:tcPr>
            <w:tcW w:w="2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341,344</w:t>
            </w:r>
          </w:p>
        </w:tc>
        <w:tc>
          <w:tcPr>
            <w:tcW w:w="12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4"/>
              </w:rPr>
              <w:t>52%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244,228</w:t>
            </w:r>
          </w:p>
        </w:tc>
        <w:tc>
          <w:tcPr>
            <w:tcW w:w="16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41%</w:t>
            </w:r>
          </w:p>
        </w:tc>
      </w:tr>
      <w:tr>
        <w:trPr>
          <w:trHeight w:val="243"/>
        </w:trPr>
        <w:tc>
          <w:tcPr>
            <w:tcW w:w="5060" w:type="dxa"/>
            <w:vAlign w:val="bottom"/>
          </w:tcPr>
          <w:p>
            <w:pPr>
              <w:ind w:left="380"/>
              <w:spacing w:after="0"/>
              <w:rPr>
                <w:sz w:val="20"/>
                <w:szCs w:val="20"/>
                <w:color w:val="auto"/>
              </w:rPr>
            </w:pPr>
            <w:r>
              <w:rPr>
                <w:rFonts w:ascii="Arial" w:cs="Arial" w:eastAsia="Arial" w:hAnsi="Arial"/>
                <w:sz w:val="18"/>
                <w:szCs w:val="18"/>
                <w:color w:val="auto"/>
              </w:rPr>
              <w:t>Other (3)</w:t>
            </w:r>
          </w:p>
        </w:tc>
        <w:tc>
          <w:tcPr>
            <w:tcW w:w="220" w:type="dxa"/>
            <w:vAlign w:val="bottom"/>
          </w:tcPr>
          <w:p>
            <w:pPr>
              <w:spacing w:after="0"/>
              <w:rPr>
                <w:sz w:val="21"/>
                <w:szCs w:val="21"/>
                <w:color w:val="auto"/>
              </w:rPr>
            </w:pPr>
          </w:p>
        </w:tc>
        <w:tc>
          <w:tcPr>
            <w:tcW w:w="1240" w:type="dxa"/>
            <w:vAlign w:val="bottom"/>
          </w:tcPr>
          <w:p>
            <w:pPr>
              <w:jc w:val="right"/>
              <w:ind w:right="16"/>
              <w:spacing w:after="0"/>
              <w:rPr>
                <w:sz w:val="20"/>
                <w:szCs w:val="20"/>
                <w:color w:val="auto"/>
              </w:rPr>
            </w:pPr>
            <w:r>
              <w:rPr>
                <w:rFonts w:ascii="Arial" w:cs="Arial" w:eastAsia="Arial" w:hAnsi="Arial"/>
                <w:sz w:val="18"/>
                <w:szCs w:val="18"/>
                <w:color w:val="auto"/>
              </w:rPr>
              <w:t>42,441</w:t>
            </w: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6"/>
              <w:spacing w:after="0"/>
              <w:rPr>
                <w:sz w:val="20"/>
                <w:szCs w:val="20"/>
                <w:color w:val="auto"/>
              </w:rPr>
            </w:pPr>
            <w:r>
              <w:rPr>
                <w:rFonts w:ascii="Arial" w:cs="Arial" w:eastAsia="Arial" w:hAnsi="Arial"/>
                <w:sz w:val="18"/>
                <w:szCs w:val="18"/>
                <w:color w:val="auto"/>
              </w:rPr>
              <w:t>43,334</w:t>
            </w:r>
          </w:p>
        </w:tc>
        <w:tc>
          <w:tcPr>
            <w:tcW w:w="1640" w:type="dxa"/>
            <w:vAlign w:val="bottom"/>
            <w:gridSpan w:val="2"/>
          </w:tcPr>
          <w:p>
            <w:pPr>
              <w:jc w:val="right"/>
              <w:spacing w:after="0"/>
              <w:rPr>
                <w:sz w:val="20"/>
                <w:szCs w:val="20"/>
                <w:color w:val="auto"/>
              </w:rPr>
            </w:pPr>
            <w:r>
              <w:rPr>
                <w:rFonts w:ascii="Arial" w:cs="Arial" w:eastAsia="Arial" w:hAnsi="Arial"/>
                <w:sz w:val="18"/>
                <w:szCs w:val="18"/>
                <w:color w:val="auto"/>
              </w:rPr>
              <w:t>7%</w:t>
            </w:r>
          </w:p>
        </w:tc>
      </w:tr>
      <w:tr>
        <w:trPr>
          <w:trHeight w:val="27"/>
        </w:trPr>
        <w:tc>
          <w:tcPr>
            <w:tcW w:w="50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120" w:type="dxa"/>
            <w:vAlign w:val="bottom"/>
            <w:tcBorders>
              <w:bottom w:val="single" w:sz="8" w:color="CCEEFF"/>
            </w:tcBorders>
          </w:tcPr>
          <w:p>
            <w:pPr>
              <w:spacing w:after="0"/>
              <w:rPr>
                <w:sz w:val="2"/>
                <w:szCs w:val="2"/>
                <w:color w:val="auto"/>
              </w:rPr>
            </w:pPr>
          </w:p>
        </w:tc>
        <w:tc>
          <w:tcPr>
            <w:tcW w:w="42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CCEEFF"/>
            </w:tcBorders>
          </w:tcPr>
          <w:p>
            <w:pPr>
              <w:spacing w:after="0"/>
              <w:rPr>
                <w:sz w:val="2"/>
                <w:szCs w:val="2"/>
                <w:color w:val="auto"/>
              </w:rPr>
            </w:pPr>
          </w:p>
        </w:tc>
      </w:tr>
      <w:tr>
        <w:trPr>
          <w:trHeight w:val="269"/>
        </w:trPr>
        <w:tc>
          <w:tcPr>
            <w:tcW w:w="506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4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662,452</w:t>
            </w:r>
          </w:p>
        </w:tc>
        <w:tc>
          <w:tcPr>
            <w:tcW w:w="12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spacing w:after="0"/>
              <w:rPr>
                <w:sz w:val="22"/>
                <w:szCs w:val="22"/>
                <w:color w:val="auto"/>
              </w:rPr>
            </w:pPr>
          </w:p>
        </w:tc>
        <w:tc>
          <w:tcPr>
            <w:tcW w:w="42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604,631</w:t>
            </w:r>
          </w:p>
        </w:tc>
        <w:tc>
          <w:tcPr>
            <w:tcW w:w="100" w:type="dxa"/>
            <w:vAlign w:val="bottom"/>
            <w:tcBorders>
              <w:bottom w:val="single" w:sz="8" w:color="CCEEFF"/>
            </w:tcBorders>
            <w:shd w:val="clear" w:color="auto" w:fill="CCEEFF"/>
          </w:tcPr>
          <w:p>
            <w:pPr>
              <w:spacing w:after="0"/>
              <w:rPr>
                <w:sz w:val="22"/>
                <w:szCs w:val="22"/>
                <w:color w:val="auto"/>
              </w:rPr>
            </w:pPr>
          </w:p>
        </w:tc>
        <w:tc>
          <w:tcPr>
            <w:tcW w:w="1540" w:type="dxa"/>
            <w:vAlign w:val="bottom"/>
            <w:tcBorders>
              <w:bottom w:val="single" w:sz="8" w:color="CCEEFF"/>
            </w:tcBorders>
            <w:shd w:val="clear" w:color="auto" w:fill="CCEEFF"/>
          </w:tcPr>
          <w:p>
            <w:pPr>
              <w:spacing w:after="0"/>
              <w:rPr>
                <w:sz w:val="22"/>
                <w:szCs w:val="22"/>
                <w:color w:val="auto"/>
              </w:rPr>
            </w:pPr>
          </w:p>
        </w:tc>
      </w:tr>
      <w:tr>
        <w:trPr>
          <w:trHeight w:val="20"/>
        </w:trPr>
        <w:tc>
          <w:tcPr>
            <w:tcW w:w="506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120" w:type="dxa"/>
            <w:vAlign w:val="bottom"/>
            <w:tcBorders>
              <w:top w:val="single" w:sz="8" w:color="CCEEFF"/>
            </w:tcBorders>
          </w:tcPr>
          <w:p>
            <w:pPr>
              <w:spacing w:after="0" w:line="20" w:lineRule="exact"/>
              <w:rPr>
                <w:sz w:val="1"/>
                <w:szCs w:val="1"/>
                <w:color w:val="auto"/>
              </w:rPr>
            </w:pPr>
          </w:p>
        </w:tc>
        <w:tc>
          <w:tcPr>
            <w:tcW w:w="4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40" w:type="dxa"/>
            <w:vAlign w:val="bottom"/>
            <w:tcBorders>
              <w:top w:val="single" w:sz="8" w:color="CCEEFF"/>
            </w:tcBorders>
          </w:tcPr>
          <w:p>
            <w:pPr>
              <w:spacing w:after="0" w:line="20" w:lineRule="exact"/>
              <w:rPr>
                <w:sz w:val="1"/>
                <w:szCs w:val="1"/>
                <w:color w:val="auto"/>
              </w:rPr>
            </w:pPr>
          </w:p>
        </w:tc>
      </w:tr>
    </w:tbl>
    <w:p>
      <w:pPr>
        <w:spacing w:after="0" w:line="364" w:lineRule="exact"/>
        <w:rPr>
          <w:sz w:val="20"/>
          <w:szCs w:val="20"/>
          <w:color w:val="auto"/>
        </w:rPr>
      </w:pPr>
    </w:p>
    <w:p>
      <w:pPr>
        <w:ind w:left="1140" w:hanging="322"/>
        <w:spacing w:after="0"/>
        <w:tabs>
          <w:tab w:leader="none" w:pos="1140" w:val="left"/>
        </w:tabs>
        <w:numPr>
          <w:ilvl w:val="0"/>
          <w:numId w:val="6"/>
        </w:numPr>
        <w:rPr>
          <w:rFonts w:ascii="Arial" w:cs="Arial" w:eastAsia="Arial" w:hAnsi="Arial"/>
          <w:sz w:val="18"/>
          <w:szCs w:val="18"/>
          <w:color w:val="auto"/>
        </w:rPr>
      </w:pPr>
      <w:r>
        <w:rPr>
          <w:rFonts w:ascii="Arial" w:cs="Arial" w:eastAsia="Arial" w:hAnsi="Arial"/>
          <w:sz w:val="18"/>
          <w:szCs w:val="18"/>
          <w:color w:val="auto"/>
        </w:rPr>
        <w:t>Storage products are comprised primarily of HDD, SSD Controllers, Fibre Channel Adapters and Data Center Storage Solutions.</w:t>
      </w:r>
    </w:p>
    <w:p>
      <w:pPr>
        <w:spacing w:after="0" w:line="23" w:lineRule="exact"/>
        <w:rPr>
          <w:rFonts w:ascii="Arial" w:cs="Arial" w:eastAsia="Arial" w:hAnsi="Arial"/>
          <w:sz w:val="18"/>
          <w:szCs w:val="18"/>
          <w:color w:val="auto"/>
        </w:rPr>
      </w:pPr>
    </w:p>
    <w:p>
      <w:pPr>
        <w:jc w:val="both"/>
        <w:ind w:left="1140" w:hanging="322"/>
        <w:spacing w:after="0" w:line="265" w:lineRule="auto"/>
        <w:tabs>
          <w:tab w:leader="none" w:pos="1140" w:val="left"/>
        </w:tabs>
        <w:numPr>
          <w:ilvl w:val="0"/>
          <w:numId w:val="6"/>
        </w:numPr>
        <w:rPr>
          <w:rFonts w:ascii="Arial" w:cs="Arial" w:eastAsia="Arial" w:hAnsi="Arial"/>
          <w:sz w:val="17"/>
          <w:szCs w:val="17"/>
          <w:color w:val="auto"/>
        </w:rPr>
      </w:pPr>
      <w:r>
        <w:rPr>
          <w:rFonts w:ascii="Arial" w:cs="Arial" w:eastAsia="Arial" w:hAnsi="Arial"/>
          <w:sz w:val="17"/>
          <w:szCs w:val="17"/>
          <w:color w:val="auto"/>
        </w:rPr>
        <w:t>Networking products are comprised primarily of Ethernet Switches, Ethernet Transceivers, Ethernet NICs, Embedded Communications and Infrastructure Processors, Automotive Ethernet, Security Adapters and Processors as well as Connectivity products. In addition, this grouping includes a few legacy product lines in which the Company no longer invests, but will generate revenue for several years.</w:t>
      </w:r>
    </w:p>
    <w:p>
      <w:pPr>
        <w:ind w:left="1140" w:hanging="322"/>
        <w:spacing w:after="0"/>
        <w:tabs>
          <w:tab w:leader="none" w:pos="1140" w:val="left"/>
        </w:tabs>
        <w:numPr>
          <w:ilvl w:val="0"/>
          <w:numId w:val="6"/>
        </w:numPr>
        <w:rPr>
          <w:rFonts w:ascii="Arial" w:cs="Arial" w:eastAsia="Arial" w:hAnsi="Arial"/>
          <w:sz w:val="18"/>
          <w:szCs w:val="18"/>
          <w:color w:val="auto"/>
        </w:rPr>
      </w:pPr>
      <w:r>
        <w:rPr>
          <w:rFonts w:ascii="Arial" w:cs="Arial" w:eastAsia="Arial" w:hAnsi="Arial"/>
          <w:sz w:val="18"/>
          <w:szCs w:val="18"/>
          <w:color w:val="auto"/>
        </w:rPr>
        <w:t>Other products are comprised of primarily Printer Solutions, Application Processors and others.</w:t>
      </w:r>
    </w:p>
    <w:p>
      <w:pPr>
        <w:spacing w:after="0" w:line="200" w:lineRule="exact"/>
        <w:rPr>
          <w:sz w:val="20"/>
          <w:szCs w:val="20"/>
          <w:color w:val="auto"/>
        </w:rPr>
      </w:pPr>
    </w:p>
    <w:p>
      <w:pPr>
        <w:spacing w:after="0" w:line="2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130" w:right="239" w:bottom="1440" w:gutter="0" w:footer="0" w:header="0"/>
        </w:sectPr>
      </w:pPr>
    </w:p>
    <w:bookmarkStart w:id="20" w:name="page21"/>
    <w:bookmarkEnd w:id="2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following table summarizes net revenue disaggregated by primary geographical market (in thousands, except percentages):</w:t>
      </w:r>
    </w:p>
    <w:p>
      <w:pPr>
        <w:spacing w:after="0" w:line="200" w:lineRule="exact"/>
        <w:rPr>
          <w:sz w:val="20"/>
          <w:szCs w:val="20"/>
          <w:color w:val="auto"/>
        </w:rPr>
      </w:pPr>
    </w:p>
    <w:p>
      <w:pPr>
        <w:spacing w:after="0" w:line="24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0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480" w:type="dxa"/>
            <w:vAlign w:val="bottom"/>
            <w:tcBorders>
              <w:bottom w:val="single" w:sz="8" w:color="auto"/>
            </w:tcBorders>
            <w:gridSpan w:val="3"/>
          </w:tcPr>
          <w:p>
            <w:pPr>
              <w:ind w:left="680"/>
              <w:spacing w:after="0"/>
              <w:rPr>
                <w:sz w:val="20"/>
                <w:szCs w:val="20"/>
                <w:color w:val="auto"/>
              </w:rPr>
            </w:pPr>
            <w:r>
              <w:rPr>
                <w:rFonts w:ascii="Arial" w:cs="Arial" w:eastAsia="Arial" w:hAnsi="Arial"/>
                <w:sz w:val="14"/>
                <w:szCs w:val="14"/>
                <w:b w:val="1"/>
                <w:bCs w:val="1"/>
                <w:color w:val="auto"/>
              </w:rPr>
              <w:t>Three Months Ended</w:t>
            </w:r>
          </w:p>
        </w:tc>
        <w:tc>
          <w:tcPr>
            <w:tcW w:w="4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3"/>
          </w:tcPr>
          <w:p>
            <w:pPr>
              <w:jc w:val="right"/>
              <w:ind w:right="808"/>
              <w:spacing w:after="0"/>
              <w:rPr>
                <w:sz w:val="20"/>
                <w:szCs w:val="20"/>
                <w:color w:val="auto"/>
              </w:rPr>
            </w:pPr>
            <w:r>
              <w:rPr>
                <w:rFonts w:ascii="Arial" w:cs="Arial" w:eastAsia="Arial" w:hAnsi="Arial"/>
                <w:sz w:val="14"/>
                <w:szCs w:val="14"/>
                <w:b w:val="1"/>
                <w:bCs w:val="1"/>
                <w:color w:val="auto"/>
              </w:rPr>
              <w:t>Three Months Ended</w:t>
            </w:r>
          </w:p>
        </w:tc>
      </w:tr>
      <w:tr>
        <w:trPr>
          <w:trHeight w:val="264"/>
        </w:trPr>
        <w:tc>
          <w:tcPr>
            <w:tcW w:w="5060" w:type="dxa"/>
            <w:vAlign w:val="bottom"/>
            <w:tcBorders>
              <w:bottom w:val="single" w:sz="8" w:color="CCEEFF"/>
            </w:tcBorders>
          </w:tcPr>
          <w:p>
            <w:pPr>
              <w:spacing w:after="0"/>
              <w:rPr>
                <w:sz w:val="22"/>
                <w:szCs w:val="22"/>
                <w:color w:val="auto"/>
              </w:rPr>
            </w:pPr>
          </w:p>
        </w:tc>
        <w:tc>
          <w:tcPr>
            <w:tcW w:w="240" w:type="dxa"/>
            <w:vAlign w:val="bottom"/>
            <w:tcBorders>
              <w:bottom w:val="single" w:sz="8" w:color="auto"/>
            </w:tcBorders>
          </w:tcPr>
          <w:p>
            <w:pPr>
              <w:spacing w:after="0"/>
              <w:rPr>
                <w:sz w:val="22"/>
                <w:szCs w:val="22"/>
                <w:color w:val="auto"/>
              </w:rPr>
            </w:pPr>
          </w:p>
        </w:tc>
        <w:tc>
          <w:tcPr>
            <w:tcW w:w="1240" w:type="dxa"/>
            <w:vAlign w:val="bottom"/>
            <w:tcBorders>
              <w:bottom w:val="single" w:sz="8" w:color="auto"/>
            </w:tcBorders>
          </w:tcPr>
          <w:p>
            <w:pPr>
              <w:jc w:val="right"/>
              <w:ind w:right="294"/>
              <w:spacing w:after="0"/>
              <w:rPr>
                <w:sz w:val="20"/>
                <w:szCs w:val="20"/>
                <w:color w:val="auto"/>
              </w:rPr>
            </w:pPr>
            <w:r>
              <w:rPr>
                <w:rFonts w:ascii="Arial" w:cs="Arial" w:eastAsia="Arial" w:hAnsi="Arial"/>
                <w:sz w:val="14"/>
                <w:szCs w:val="14"/>
                <w:b w:val="1"/>
                <w:bCs w:val="1"/>
                <w:color w:val="auto"/>
              </w:rPr>
              <w:t>May 4, 2019</w:t>
            </w:r>
          </w:p>
        </w:tc>
        <w:tc>
          <w:tcPr>
            <w:tcW w:w="100" w:type="dxa"/>
            <w:vAlign w:val="bottom"/>
            <w:tcBorders>
              <w:bottom w:val="single" w:sz="8" w:color="CCEEFF"/>
            </w:tcBorders>
          </w:tcPr>
          <w:p>
            <w:pPr>
              <w:spacing w:after="0"/>
              <w:rPr>
                <w:sz w:val="22"/>
                <w:szCs w:val="22"/>
                <w:color w:val="auto"/>
              </w:rPr>
            </w:pPr>
          </w:p>
        </w:tc>
        <w:tc>
          <w:tcPr>
            <w:tcW w:w="11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 of Total</w:t>
            </w:r>
          </w:p>
        </w:tc>
        <w:tc>
          <w:tcPr>
            <w:tcW w:w="400" w:type="dxa"/>
            <w:vAlign w:val="bottom"/>
            <w:tcBorders>
              <w:bottom w:val="single" w:sz="8" w:color="auto"/>
            </w:tcBorders>
          </w:tcPr>
          <w:p>
            <w:pPr>
              <w:spacing w:after="0"/>
              <w:rPr>
                <w:sz w:val="22"/>
                <w:szCs w:val="22"/>
                <w:color w:val="auto"/>
              </w:rPr>
            </w:pPr>
          </w:p>
        </w:tc>
        <w:tc>
          <w:tcPr>
            <w:tcW w:w="100" w:type="dxa"/>
            <w:vAlign w:val="bottom"/>
            <w:tcBorders>
              <w:bottom w:val="single" w:sz="8" w:color="CCEEFF"/>
            </w:tcBorders>
          </w:tcPr>
          <w:p>
            <w:pPr>
              <w:spacing w:after="0"/>
              <w:rPr>
                <w:sz w:val="22"/>
                <w:szCs w:val="22"/>
                <w:color w:val="auto"/>
              </w:rPr>
            </w:pPr>
          </w:p>
        </w:tc>
        <w:tc>
          <w:tcPr>
            <w:tcW w:w="240" w:type="dxa"/>
            <w:vAlign w:val="bottom"/>
            <w:tcBorders>
              <w:bottom w:val="single" w:sz="8" w:color="auto"/>
            </w:tcBorders>
          </w:tcPr>
          <w:p>
            <w:pPr>
              <w:spacing w:after="0"/>
              <w:rPr>
                <w:sz w:val="22"/>
                <w:szCs w:val="22"/>
                <w:color w:val="auto"/>
              </w:rPr>
            </w:pPr>
          </w:p>
        </w:tc>
        <w:tc>
          <w:tcPr>
            <w:tcW w:w="1240" w:type="dxa"/>
            <w:vAlign w:val="bottom"/>
            <w:tcBorders>
              <w:bottom w:val="single" w:sz="8" w:color="auto"/>
            </w:tcBorders>
          </w:tcPr>
          <w:p>
            <w:pPr>
              <w:jc w:val="right"/>
              <w:ind w:right="274"/>
              <w:spacing w:after="0"/>
              <w:rPr>
                <w:sz w:val="20"/>
                <w:szCs w:val="20"/>
                <w:color w:val="auto"/>
              </w:rPr>
            </w:pPr>
            <w:r>
              <w:rPr>
                <w:rFonts w:ascii="Arial" w:cs="Arial" w:eastAsia="Arial" w:hAnsi="Arial"/>
                <w:sz w:val="14"/>
                <w:szCs w:val="14"/>
                <w:b w:val="1"/>
                <w:bCs w:val="1"/>
                <w:color w:val="auto"/>
              </w:rPr>
              <w:t>May 5, 2018</w:t>
            </w:r>
          </w:p>
        </w:tc>
        <w:tc>
          <w:tcPr>
            <w:tcW w:w="100" w:type="dxa"/>
            <w:vAlign w:val="bottom"/>
            <w:tcBorders>
              <w:bottom w:val="single" w:sz="8" w:color="CCEEFF"/>
            </w:tcBorders>
          </w:tcPr>
          <w:p>
            <w:pPr>
              <w:spacing w:after="0"/>
              <w:rPr>
                <w:sz w:val="22"/>
                <w:szCs w:val="22"/>
                <w:color w:val="auto"/>
              </w:rPr>
            </w:pPr>
          </w:p>
        </w:tc>
        <w:tc>
          <w:tcPr>
            <w:tcW w:w="1540" w:type="dxa"/>
            <w:vAlign w:val="bottom"/>
            <w:tcBorders>
              <w:bottom w:val="single" w:sz="8" w:color="auto"/>
            </w:tcBorders>
          </w:tcPr>
          <w:p>
            <w:pPr>
              <w:jc w:val="right"/>
              <w:ind w:right="368"/>
              <w:spacing w:after="0"/>
              <w:rPr>
                <w:sz w:val="20"/>
                <w:szCs w:val="20"/>
                <w:color w:val="auto"/>
              </w:rPr>
            </w:pPr>
            <w:r>
              <w:rPr>
                <w:rFonts w:ascii="Arial" w:cs="Arial" w:eastAsia="Arial" w:hAnsi="Arial"/>
                <w:sz w:val="14"/>
                <w:szCs w:val="14"/>
                <w:b w:val="1"/>
                <w:bCs w:val="1"/>
                <w:color w:val="auto"/>
              </w:rPr>
              <w:t>% of Total</w:t>
            </w:r>
          </w:p>
        </w:tc>
      </w:tr>
      <w:tr>
        <w:trPr>
          <w:trHeight w:val="250"/>
        </w:trPr>
        <w:tc>
          <w:tcPr>
            <w:tcW w:w="506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b w:val="1"/>
                <w:bCs w:val="1"/>
                <w:color w:val="auto"/>
              </w:rPr>
              <w:t>Net revenue based on destination of shipment: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spacing w:after="0"/>
              <w:rPr>
                <w:sz w:val="21"/>
                <w:szCs w:val="21"/>
                <w:color w:val="auto"/>
              </w:rPr>
            </w:pPr>
          </w:p>
        </w:tc>
      </w:tr>
      <w:tr>
        <w:trPr>
          <w:trHeight w:val="243"/>
        </w:trPr>
        <w:tc>
          <w:tcPr>
            <w:tcW w:w="5060" w:type="dxa"/>
            <w:vAlign w:val="bottom"/>
          </w:tcPr>
          <w:p>
            <w:pPr>
              <w:ind w:left="380"/>
              <w:spacing w:after="0"/>
              <w:rPr>
                <w:sz w:val="20"/>
                <w:szCs w:val="20"/>
                <w:color w:val="auto"/>
              </w:rPr>
            </w:pPr>
            <w:r>
              <w:rPr>
                <w:rFonts w:ascii="Arial" w:cs="Arial" w:eastAsia="Arial" w:hAnsi="Arial"/>
                <w:sz w:val="18"/>
                <w:szCs w:val="18"/>
                <w:color w:val="auto"/>
              </w:rPr>
              <w:t>China</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246,134</w:t>
            </w:r>
          </w:p>
        </w:tc>
        <w:tc>
          <w:tcPr>
            <w:tcW w:w="1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94"/>
              </w:rPr>
              <w:t>37%</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276,622</w:t>
            </w:r>
          </w:p>
        </w:tc>
        <w:tc>
          <w:tcPr>
            <w:tcW w:w="1640" w:type="dxa"/>
            <w:vAlign w:val="bottom"/>
            <w:gridSpan w:val="2"/>
          </w:tcPr>
          <w:p>
            <w:pPr>
              <w:jc w:val="right"/>
              <w:spacing w:after="0"/>
              <w:rPr>
                <w:sz w:val="20"/>
                <w:szCs w:val="20"/>
                <w:color w:val="auto"/>
              </w:rPr>
            </w:pPr>
            <w:r>
              <w:rPr>
                <w:rFonts w:ascii="Arial" w:cs="Arial" w:eastAsia="Arial" w:hAnsi="Arial"/>
                <w:sz w:val="18"/>
                <w:szCs w:val="18"/>
                <w:color w:val="auto"/>
              </w:rPr>
              <w:t>46%</w:t>
            </w:r>
          </w:p>
        </w:tc>
      </w:tr>
      <w:tr>
        <w:trPr>
          <w:trHeight w:val="27"/>
        </w:trPr>
        <w:tc>
          <w:tcPr>
            <w:tcW w:w="50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r>
      <w:tr>
        <w:trPr>
          <w:trHeight w:val="250"/>
        </w:trPr>
        <w:tc>
          <w:tcPr>
            <w:tcW w:w="50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United States</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73,005</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4"/>
              </w:rPr>
              <w:t>11%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16,030</w:t>
            </w:r>
          </w:p>
        </w:tc>
        <w:tc>
          <w:tcPr>
            <w:tcW w:w="16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3%</w:t>
            </w:r>
          </w:p>
        </w:tc>
      </w:tr>
      <w:tr>
        <w:trPr>
          <w:trHeight w:val="243"/>
        </w:trPr>
        <w:tc>
          <w:tcPr>
            <w:tcW w:w="5060" w:type="dxa"/>
            <w:vAlign w:val="bottom"/>
          </w:tcPr>
          <w:p>
            <w:pPr>
              <w:ind w:left="380"/>
              <w:spacing w:after="0"/>
              <w:rPr>
                <w:sz w:val="20"/>
                <w:szCs w:val="20"/>
                <w:color w:val="auto"/>
              </w:rPr>
            </w:pPr>
            <w:r>
              <w:rPr>
                <w:rFonts w:ascii="Arial" w:cs="Arial" w:eastAsia="Arial" w:hAnsi="Arial"/>
                <w:sz w:val="18"/>
                <w:szCs w:val="18"/>
                <w:color w:val="auto"/>
              </w:rPr>
              <w:t>Malaysia</w:t>
            </w:r>
          </w:p>
        </w:tc>
        <w:tc>
          <w:tcPr>
            <w:tcW w:w="240" w:type="dxa"/>
            <w:vAlign w:val="bottom"/>
          </w:tcPr>
          <w:p>
            <w:pPr>
              <w:spacing w:after="0"/>
              <w:rPr>
                <w:sz w:val="21"/>
                <w:szCs w:val="21"/>
                <w:color w:val="auto"/>
              </w:rPr>
            </w:pP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63,320</w:t>
            </w:r>
          </w:p>
        </w:tc>
        <w:tc>
          <w:tcPr>
            <w:tcW w:w="1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94"/>
              </w:rPr>
              <w:t>10%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90,623</w:t>
            </w:r>
          </w:p>
        </w:tc>
        <w:tc>
          <w:tcPr>
            <w:tcW w:w="1640" w:type="dxa"/>
            <w:vAlign w:val="bottom"/>
            <w:gridSpan w:val="2"/>
          </w:tcPr>
          <w:p>
            <w:pPr>
              <w:jc w:val="right"/>
              <w:spacing w:after="0"/>
              <w:rPr>
                <w:sz w:val="20"/>
                <w:szCs w:val="20"/>
                <w:color w:val="auto"/>
              </w:rPr>
            </w:pPr>
            <w:r>
              <w:rPr>
                <w:rFonts w:ascii="Arial" w:cs="Arial" w:eastAsia="Arial" w:hAnsi="Arial"/>
                <w:sz w:val="18"/>
                <w:szCs w:val="18"/>
                <w:color w:val="auto"/>
              </w:rPr>
              <w:t>15%</w:t>
            </w:r>
          </w:p>
        </w:tc>
      </w:tr>
      <w:tr>
        <w:trPr>
          <w:trHeight w:val="27"/>
        </w:trPr>
        <w:tc>
          <w:tcPr>
            <w:tcW w:w="50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r>
      <w:tr>
        <w:trPr>
          <w:trHeight w:val="250"/>
        </w:trPr>
        <w:tc>
          <w:tcPr>
            <w:tcW w:w="50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Philippines</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62,488</w:t>
            </w: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57,767</w:t>
            </w:r>
          </w:p>
        </w:tc>
        <w:tc>
          <w:tcPr>
            <w:tcW w:w="16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9%</w:t>
            </w:r>
          </w:p>
        </w:tc>
      </w:tr>
      <w:tr>
        <w:trPr>
          <w:trHeight w:val="243"/>
        </w:trPr>
        <w:tc>
          <w:tcPr>
            <w:tcW w:w="5060" w:type="dxa"/>
            <w:vAlign w:val="bottom"/>
          </w:tcPr>
          <w:p>
            <w:pPr>
              <w:ind w:left="380"/>
              <w:spacing w:after="0"/>
              <w:rPr>
                <w:sz w:val="20"/>
                <w:szCs w:val="20"/>
                <w:color w:val="auto"/>
              </w:rPr>
            </w:pPr>
            <w:r>
              <w:rPr>
                <w:rFonts w:ascii="Arial" w:cs="Arial" w:eastAsia="Arial" w:hAnsi="Arial"/>
                <w:sz w:val="18"/>
                <w:szCs w:val="18"/>
                <w:color w:val="auto"/>
              </w:rPr>
              <w:t>Thailand</w:t>
            </w:r>
          </w:p>
        </w:tc>
        <w:tc>
          <w:tcPr>
            <w:tcW w:w="240" w:type="dxa"/>
            <w:vAlign w:val="bottom"/>
          </w:tcPr>
          <w:p>
            <w:pPr>
              <w:spacing w:after="0"/>
              <w:rPr>
                <w:sz w:val="21"/>
                <w:szCs w:val="21"/>
                <w:color w:val="auto"/>
              </w:rPr>
            </w:pP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46,666</w:t>
            </w:r>
          </w:p>
        </w:tc>
        <w:tc>
          <w:tcPr>
            <w:tcW w:w="1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41,534</w:t>
            </w:r>
          </w:p>
        </w:tc>
        <w:tc>
          <w:tcPr>
            <w:tcW w:w="1640" w:type="dxa"/>
            <w:vAlign w:val="bottom"/>
            <w:gridSpan w:val="2"/>
          </w:tcPr>
          <w:p>
            <w:pPr>
              <w:jc w:val="right"/>
              <w:spacing w:after="0"/>
              <w:rPr>
                <w:sz w:val="20"/>
                <w:szCs w:val="20"/>
                <w:color w:val="auto"/>
              </w:rPr>
            </w:pPr>
            <w:r>
              <w:rPr>
                <w:rFonts w:ascii="Arial" w:cs="Arial" w:eastAsia="Arial" w:hAnsi="Arial"/>
                <w:sz w:val="18"/>
                <w:szCs w:val="18"/>
                <w:color w:val="auto"/>
              </w:rPr>
              <w:t>7%</w:t>
            </w:r>
          </w:p>
        </w:tc>
      </w:tr>
      <w:tr>
        <w:trPr>
          <w:trHeight w:val="27"/>
        </w:trPr>
        <w:tc>
          <w:tcPr>
            <w:tcW w:w="50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r>
      <w:tr>
        <w:trPr>
          <w:trHeight w:val="270"/>
        </w:trPr>
        <w:tc>
          <w:tcPr>
            <w:tcW w:w="50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170,839</w:t>
            </w:r>
          </w:p>
        </w:tc>
        <w:tc>
          <w:tcPr>
            <w:tcW w:w="1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spacing w:after="0"/>
              <w:rPr>
                <w:sz w:val="23"/>
                <w:szCs w:val="23"/>
                <w:color w:val="auto"/>
              </w:rPr>
            </w:pPr>
          </w:p>
        </w:tc>
        <w:tc>
          <w:tcPr>
            <w:tcW w:w="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4"/>
              </w:rPr>
              <w:t>26%</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122,055</w:t>
            </w:r>
          </w:p>
        </w:tc>
        <w:tc>
          <w:tcPr>
            <w:tcW w:w="16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20%</w:t>
            </w:r>
          </w:p>
        </w:tc>
      </w:tr>
      <w:tr>
        <w:trPr>
          <w:trHeight w:val="237"/>
        </w:trPr>
        <w:tc>
          <w:tcPr>
            <w:tcW w:w="506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662,452</w:t>
            </w:r>
          </w:p>
        </w:tc>
        <w:tc>
          <w:tcPr>
            <w:tcW w:w="10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604,631</w:t>
            </w:r>
          </w:p>
        </w:tc>
        <w:tc>
          <w:tcPr>
            <w:tcW w:w="100" w:type="dxa"/>
            <w:vAlign w:val="bottom"/>
          </w:tcPr>
          <w:p>
            <w:pPr>
              <w:spacing w:after="0"/>
              <w:rPr>
                <w:sz w:val="20"/>
                <w:szCs w:val="20"/>
                <w:color w:val="auto"/>
              </w:rPr>
            </w:pPr>
          </w:p>
        </w:tc>
        <w:tc>
          <w:tcPr>
            <w:tcW w:w="1540" w:type="dxa"/>
            <w:vAlign w:val="bottom"/>
          </w:tcPr>
          <w:p>
            <w:pPr>
              <w:spacing w:after="0"/>
              <w:rPr>
                <w:sz w:val="20"/>
                <w:szCs w:val="20"/>
                <w:color w:val="auto"/>
              </w:rPr>
            </w:pPr>
          </w:p>
        </w:tc>
      </w:tr>
      <w:tr>
        <w:trPr>
          <w:trHeight w:val="27"/>
        </w:trPr>
        <w:tc>
          <w:tcPr>
            <w:tcW w:w="506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r>
      <w:tr>
        <w:trPr>
          <w:trHeight w:val="20"/>
        </w:trPr>
        <w:tc>
          <w:tcPr>
            <w:tcW w:w="50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r>
    </w:tbl>
    <w:p>
      <w:pPr>
        <w:spacing w:after="0" w:line="202"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following table summarizes net revenue disaggregated by customer type (in thousands, except percentages):</w:t>
      </w:r>
    </w:p>
    <w:p>
      <w:pPr>
        <w:spacing w:after="0" w:line="200" w:lineRule="exact"/>
        <w:rPr>
          <w:sz w:val="20"/>
          <w:szCs w:val="20"/>
          <w:color w:val="auto"/>
        </w:rPr>
      </w:pPr>
    </w:p>
    <w:p>
      <w:pPr>
        <w:spacing w:after="0" w:line="24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0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480" w:type="dxa"/>
            <w:vAlign w:val="bottom"/>
            <w:tcBorders>
              <w:bottom w:val="single" w:sz="8" w:color="auto"/>
            </w:tcBorders>
            <w:gridSpan w:val="3"/>
          </w:tcPr>
          <w:p>
            <w:pPr>
              <w:ind w:left="680"/>
              <w:spacing w:after="0"/>
              <w:rPr>
                <w:sz w:val="20"/>
                <w:szCs w:val="20"/>
                <w:color w:val="auto"/>
              </w:rPr>
            </w:pPr>
            <w:r>
              <w:rPr>
                <w:rFonts w:ascii="Arial" w:cs="Arial" w:eastAsia="Arial" w:hAnsi="Arial"/>
                <w:sz w:val="14"/>
                <w:szCs w:val="14"/>
                <w:b w:val="1"/>
                <w:bCs w:val="1"/>
                <w:color w:val="auto"/>
              </w:rPr>
              <w:t>Three Months Ended</w:t>
            </w:r>
          </w:p>
        </w:tc>
        <w:tc>
          <w:tcPr>
            <w:tcW w:w="4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gridSpan w:val="3"/>
          </w:tcPr>
          <w:p>
            <w:pPr>
              <w:jc w:val="right"/>
              <w:ind w:right="808"/>
              <w:spacing w:after="0"/>
              <w:rPr>
                <w:sz w:val="20"/>
                <w:szCs w:val="20"/>
                <w:color w:val="auto"/>
              </w:rPr>
            </w:pPr>
            <w:r>
              <w:rPr>
                <w:rFonts w:ascii="Arial" w:cs="Arial" w:eastAsia="Arial" w:hAnsi="Arial"/>
                <w:sz w:val="14"/>
                <w:szCs w:val="14"/>
                <w:b w:val="1"/>
                <w:bCs w:val="1"/>
                <w:color w:val="auto"/>
              </w:rPr>
              <w:t>Three Months Ended</w:t>
            </w:r>
          </w:p>
        </w:tc>
      </w:tr>
      <w:tr>
        <w:trPr>
          <w:trHeight w:val="264"/>
        </w:trPr>
        <w:tc>
          <w:tcPr>
            <w:tcW w:w="5060" w:type="dxa"/>
            <w:vAlign w:val="bottom"/>
            <w:tcBorders>
              <w:bottom w:val="single" w:sz="8" w:color="CCEEFF"/>
            </w:tcBorders>
          </w:tcPr>
          <w:p>
            <w:pPr>
              <w:spacing w:after="0"/>
              <w:rPr>
                <w:sz w:val="22"/>
                <w:szCs w:val="22"/>
                <w:color w:val="auto"/>
              </w:rPr>
            </w:pPr>
          </w:p>
        </w:tc>
        <w:tc>
          <w:tcPr>
            <w:tcW w:w="240" w:type="dxa"/>
            <w:vAlign w:val="bottom"/>
            <w:tcBorders>
              <w:bottom w:val="single" w:sz="8" w:color="auto"/>
            </w:tcBorders>
          </w:tcPr>
          <w:p>
            <w:pPr>
              <w:spacing w:after="0"/>
              <w:rPr>
                <w:sz w:val="22"/>
                <w:szCs w:val="22"/>
                <w:color w:val="auto"/>
              </w:rPr>
            </w:pPr>
          </w:p>
        </w:tc>
        <w:tc>
          <w:tcPr>
            <w:tcW w:w="1240" w:type="dxa"/>
            <w:vAlign w:val="bottom"/>
            <w:tcBorders>
              <w:bottom w:val="single" w:sz="8" w:color="auto"/>
            </w:tcBorders>
          </w:tcPr>
          <w:p>
            <w:pPr>
              <w:jc w:val="right"/>
              <w:ind w:right="297"/>
              <w:spacing w:after="0"/>
              <w:rPr>
                <w:sz w:val="20"/>
                <w:szCs w:val="20"/>
                <w:color w:val="auto"/>
              </w:rPr>
            </w:pPr>
            <w:r>
              <w:rPr>
                <w:rFonts w:ascii="Arial" w:cs="Arial" w:eastAsia="Arial" w:hAnsi="Arial"/>
                <w:sz w:val="14"/>
                <w:szCs w:val="14"/>
                <w:b w:val="1"/>
                <w:bCs w:val="1"/>
                <w:color w:val="auto"/>
              </w:rPr>
              <w:t>May 4, 2019</w:t>
            </w:r>
          </w:p>
        </w:tc>
        <w:tc>
          <w:tcPr>
            <w:tcW w:w="100" w:type="dxa"/>
            <w:vAlign w:val="bottom"/>
            <w:tcBorders>
              <w:bottom w:val="single" w:sz="8" w:color="CCEEFF"/>
            </w:tcBorders>
          </w:tcPr>
          <w:p>
            <w:pPr>
              <w:spacing w:after="0"/>
              <w:rPr>
                <w:sz w:val="22"/>
                <w:szCs w:val="22"/>
                <w:color w:val="auto"/>
              </w:rPr>
            </w:pPr>
          </w:p>
        </w:tc>
        <w:tc>
          <w:tcPr>
            <w:tcW w:w="11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 of Total</w:t>
            </w:r>
          </w:p>
        </w:tc>
        <w:tc>
          <w:tcPr>
            <w:tcW w:w="400" w:type="dxa"/>
            <w:vAlign w:val="bottom"/>
            <w:tcBorders>
              <w:bottom w:val="single" w:sz="8" w:color="auto"/>
            </w:tcBorders>
          </w:tcPr>
          <w:p>
            <w:pPr>
              <w:spacing w:after="0"/>
              <w:rPr>
                <w:sz w:val="22"/>
                <w:szCs w:val="22"/>
                <w:color w:val="auto"/>
              </w:rPr>
            </w:pPr>
          </w:p>
        </w:tc>
        <w:tc>
          <w:tcPr>
            <w:tcW w:w="100" w:type="dxa"/>
            <w:vAlign w:val="bottom"/>
            <w:tcBorders>
              <w:bottom w:val="single" w:sz="8" w:color="CCEEFF"/>
            </w:tcBorders>
          </w:tcPr>
          <w:p>
            <w:pPr>
              <w:spacing w:after="0"/>
              <w:rPr>
                <w:sz w:val="22"/>
                <w:szCs w:val="22"/>
                <w:color w:val="auto"/>
              </w:rPr>
            </w:pPr>
          </w:p>
        </w:tc>
        <w:tc>
          <w:tcPr>
            <w:tcW w:w="240" w:type="dxa"/>
            <w:vAlign w:val="bottom"/>
            <w:tcBorders>
              <w:bottom w:val="single" w:sz="8" w:color="auto"/>
            </w:tcBorders>
          </w:tcPr>
          <w:p>
            <w:pPr>
              <w:spacing w:after="0"/>
              <w:rPr>
                <w:sz w:val="22"/>
                <w:szCs w:val="22"/>
                <w:color w:val="auto"/>
              </w:rPr>
            </w:pPr>
          </w:p>
        </w:tc>
        <w:tc>
          <w:tcPr>
            <w:tcW w:w="1240" w:type="dxa"/>
            <w:vAlign w:val="bottom"/>
            <w:tcBorders>
              <w:bottom w:val="single" w:sz="8" w:color="auto"/>
            </w:tcBorders>
          </w:tcPr>
          <w:p>
            <w:pPr>
              <w:jc w:val="right"/>
              <w:ind w:right="277"/>
              <w:spacing w:after="0"/>
              <w:rPr>
                <w:sz w:val="20"/>
                <w:szCs w:val="20"/>
                <w:color w:val="auto"/>
              </w:rPr>
            </w:pPr>
            <w:r>
              <w:rPr>
                <w:rFonts w:ascii="Arial" w:cs="Arial" w:eastAsia="Arial" w:hAnsi="Arial"/>
                <w:sz w:val="14"/>
                <w:szCs w:val="14"/>
                <w:b w:val="1"/>
                <w:bCs w:val="1"/>
                <w:color w:val="auto"/>
              </w:rPr>
              <w:t>May 5, 2018</w:t>
            </w:r>
          </w:p>
        </w:tc>
        <w:tc>
          <w:tcPr>
            <w:tcW w:w="100" w:type="dxa"/>
            <w:vAlign w:val="bottom"/>
            <w:tcBorders>
              <w:bottom w:val="single" w:sz="8" w:color="CCEEFF"/>
            </w:tcBorders>
          </w:tcPr>
          <w:p>
            <w:pPr>
              <w:spacing w:after="0"/>
              <w:rPr>
                <w:sz w:val="22"/>
                <w:szCs w:val="22"/>
                <w:color w:val="auto"/>
              </w:rPr>
            </w:pPr>
          </w:p>
        </w:tc>
        <w:tc>
          <w:tcPr>
            <w:tcW w:w="1540" w:type="dxa"/>
            <w:vAlign w:val="bottom"/>
            <w:tcBorders>
              <w:bottom w:val="single" w:sz="8" w:color="auto"/>
            </w:tcBorders>
          </w:tcPr>
          <w:p>
            <w:pPr>
              <w:jc w:val="right"/>
              <w:ind w:right="368"/>
              <w:spacing w:after="0"/>
              <w:rPr>
                <w:sz w:val="20"/>
                <w:szCs w:val="20"/>
                <w:color w:val="auto"/>
              </w:rPr>
            </w:pPr>
            <w:r>
              <w:rPr>
                <w:rFonts w:ascii="Arial" w:cs="Arial" w:eastAsia="Arial" w:hAnsi="Arial"/>
                <w:sz w:val="14"/>
                <w:szCs w:val="14"/>
                <w:b w:val="1"/>
                <w:bCs w:val="1"/>
                <w:color w:val="auto"/>
              </w:rPr>
              <w:t>% of Total</w:t>
            </w:r>
          </w:p>
        </w:tc>
      </w:tr>
      <w:tr>
        <w:trPr>
          <w:trHeight w:val="250"/>
        </w:trPr>
        <w:tc>
          <w:tcPr>
            <w:tcW w:w="506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b w:val="1"/>
                <w:bCs w:val="1"/>
                <w:color w:val="auto"/>
              </w:rPr>
              <w:t>Net revenue by customer type:</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spacing w:after="0"/>
              <w:rPr>
                <w:sz w:val="21"/>
                <w:szCs w:val="21"/>
                <w:color w:val="auto"/>
              </w:rPr>
            </w:pPr>
          </w:p>
        </w:tc>
      </w:tr>
      <w:tr>
        <w:trPr>
          <w:trHeight w:val="243"/>
        </w:trPr>
        <w:tc>
          <w:tcPr>
            <w:tcW w:w="5060" w:type="dxa"/>
            <w:vAlign w:val="bottom"/>
          </w:tcPr>
          <w:p>
            <w:pPr>
              <w:ind w:left="380"/>
              <w:spacing w:after="0"/>
              <w:rPr>
                <w:sz w:val="20"/>
                <w:szCs w:val="20"/>
                <w:color w:val="auto"/>
              </w:rPr>
            </w:pPr>
            <w:r>
              <w:rPr>
                <w:rFonts w:ascii="Arial" w:cs="Arial" w:eastAsia="Arial" w:hAnsi="Arial"/>
                <w:sz w:val="18"/>
                <w:szCs w:val="18"/>
                <w:color w:val="auto"/>
              </w:rPr>
              <w:t>Direct customers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7"/>
              <w:spacing w:after="0"/>
              <w:rPr>
                <w:sz w:val="20"/>
                <w:szCs w:val="20"/>
                <w:color w:val="auto"/>
              </w:rPr>
            </w:pPr>
            <w:r>
              <w:rPr>
                <w:rFonts w:ascii="Arial" w:cs="Arial" w:eastAsia="Arial" w:hAnsi="Arial"/>
                <w:sz w:val="18"/>
                <w:szCs w:val="18"/>
                <w:color w:val="auto"/>
              </w:rPr>
              <w:t>514,558</w:t>
            </w:r>
          </w:p>
        </w:tc>
        <w:tc>
          <w:tcPr>
            <w:tcW w:w="1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94"/>
              </w:rPr>
              <w:t>78%</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7"/>
              <w:spacing w:after="0"/>
              <w:rPr>
                <w:sz w:val="20"/>
                <w:szCs w:val="20"/>
                <w:color w:val="auto"/>
              </w:rPr>
            </w:pPr>
            <w:r>
              <w:rPr>
                <w:rFonts w:ascii="Arial" w:cs="Arial" w:eastAsia="Arial" w:hAnsi="Arial"/>
                <w:sz w:val="18"/>
                <w:szCs w:val="18"/>
                <w:color w:val="auto"/>
              </w:rPr>
              <w:t>470,476</w:t>
            </w:r>
          </w:p>
        </w:tc>
        <w:tc>
          <w:tcPr>
            <w:tcW w:w="1640" w:type="dxa"/>
            <w:vAlign w:val="bottom"/>
            <w:gridSpan w:val="2"/>
          </w:tcPr>
          <w:p>
            <w:pPr>
              <w:jc w:val="right"/>
              <w:spacing w:after="0"/>
              <w:rPr>
                <w:sz w:val="20"/>
                <w:szCs w:val="20"/>
                <w:color w:val="auto"/>
              </w:rPr>
            </w:pPr>
            <w:r>
              <w:rPr>
                <w:rFonts w:ascii="Arial" w:cs="Arial" w:eastAsia="Arial" w:hAnsi="Arial"/>
                <w:sz w:val="18"/>
                <w:szCs w:val="18"/>
                <w:color w:val="auto"/>
              </w:rPr>
              <w:t>78%</w:t>
            </w:r>
          </w:p>
        </w:tc>
      </w:tr>
      <w:tr>
        <w:trPr>
          <w:trHeight w:val="27"/>
        </w:trPr>
        <w:tc>
          <w:tcPr>
            <w:tcW w:w="50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r>
      <w:tr>
        <w:trPr>
          <w:trHeight w:val="270"/>
        </w:trPr>
        <w:tc>
          <w:tcPr>
            <w:tcW w:w="50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Distributors</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147,894</w:t>
            </w:r>
          </w:p>
        </w:tc>
        <w:tc>
          <w:tcPr>
            <w:tcW w:w="10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spacing w:after="0"/>
              <w:rPr>
                <w:sz w:val="23"/>
                <w:szCs w:val="23"/>
                <w:color w:val="auto"/>
              </w:rPr>
            </w:pPr>
          </w:p>
        </w:tc>
        <w:tc>
          <w:tcPr>
            <w:tcW w:w="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4"/>
              </w:rPr>
              <w:t>22%</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134,155</w:t>
            </w:r>
          </w:p>
        </w:tc>
        <w:tc>
          <w:tcPr>
            <w:tcW w:w="16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22%</w:t>
            </w:r>
          </w:p>
        </w:tc>
      </w:tr>
      <w:tr>
        <w:trPr>
          <w:trHeight w:val="237"/>
        </w:trPr>
        <w:tc>
          <w:tcPr>
            <w:tcW w:w="506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662,452</w:t>
            </w:r>
          </w:p>
        </w:tc>
        <w:tc>
          <w:tcPr>
            <w:tcW w:w="10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604,631</w:t>
            </w:r>
          </w:p>
        </w:tc>
        <w:tc>
          <w:tcPr>
            <w:tcW w:w="100" w:type="dxa"/>
            <w:vAlign w:val="bottom"/>
          </w:tcPr>
          <w:p>
            <w:pPr>
              <w:spacing w:after="0"/>
              <w:rPr>
                <w:sz w:val="20"/>
                <w:szCs w:val="20"/>
                <w:color w:val="auto"/>
              </w:rPr>
            </w:pPr>
          </w:p>
        </w:tc>
        <w:tc>
          <w:tcPr>
            <w:tcW w:w="1540" w:type="dxa"/>
            <w:vAlign w:val="bottom"/>
          </w:tcPr>
          <w:p>
            <w:pPr>
              <w:spacing w:after="0"/>
              <w:rPr>
                <w:sz w:val="20"/>
                <w:szCs w:val="20"/>
                <w:color w:val="auto"/>
              </w:rPr>
            </w:pPr>
          </w:p>
        </w:tc>
      </w:tr>
      <w:tr>
        <w:trPr>
          <w:trHeight w:val="27"/>
        </w:trPr>
        <w:tc>
          <w:tcPr>
            <w:tcW w:w="506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r>
      <w:tr>
        <w:trPr>
          <w:trHeight w:val="20"/>
        </w:trPr>
        <w:tc>
          <w:tcPr>
            <w:tcW w:w="50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r>
    </w:tbl>
    <w:p>
      <w:pPr>
        <w:spacing w:after="0" w:line="14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185" w:lineRule="exact"/>
        <w:rPr>
          <w:sz w:val="20"/>
          <w:szCs w:val="20"/>
          <w:color w:val="auto"/>
        </w:rPr>
      </w:pPr>
    </w:p>
    <w:p>
      <w:pPr>
        <w:ind w:right="40" w:firstLine="378"/>
        <w:spacing w:after="0" w:line="291" w:lineRule="auto"/>
        <w:rPr>
          <w:sz w:val="20"/>
          <w:szCs w:val="20"/>
          <w:color w:val="auto"/>
        </w:rPr>
      </w:pPr>
      <w:r>
        <w:rPr>
          <w:rFonts w:ascii="Arial" w:cs="Arial" w:eastAsia="Arial" w:hAnsi="Arial"/>
          <w:sz w:val="16"/>
          <w:szCs w:val="16"/>
          <w:color w:val="auto"/>
        </w:rPr>
        <w:t>Contract liabilities consist of the Company’s obligation to transfer goods or services to a customer for which the Company has received consideration or the amount is due from the customer. As of May 4, 2019, contract liability balances are comprised of variable consideration estimated based on a portfolio basis using the expected value methodology based on analysis of historical data, current economic conditions, and contractual terms. Variable consideration estimates consist of the estimated returns, price discounts, price protection, rebates, and stock rotation programs. 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 Contract liabilities are included in accrued liabilities in the condensed consolidated balance sheets.</w:t>
      </w:r>
    </w:p>
    <w:p>
      <w:pPr>
        <w:spacing w:after="0" w:line="167" w:lineRule="exact"/>
        <w:rPr>
          <w:sz w:val="20"/>
          <w:szCs w:val="20"/>
          <w:color w:val="auto"/>
        </w:rPr>
      </w:pPr>
    </w:p>
    <w:p>
      <w:pPr>
        <w:ind w:right="280" w:firstLine="378"/>
        <w:spacing w:after="0" w:line="257" w:lineRule="auto"/>
        <w:rPr>
          <w:sz w:val="20"/>
          <w:szCs w:val="20"/>
          <w:color w:val="auto"/>
        </w:rPr>
      </w:pPr>
      <w:r>
        <w:rPr>
          <w:rFonts w:ascii="Arial" w:cs="Arial" w:eastAsia="Arial" w:hAnsi="Arial"/>
          <w:sz w:val="18"/>
          <w:szCs w:val="18"/>
          <w:color w:val="auto"/>
        </w:rPr>
        <w:t>The opening balance of contract liabilities at the beginning of the first quarter of fiscal year 2020 was $142.4 million. During the three months ended May 4, 2019, contract liabilities increased by $129.5 million associated with variable consideration estimates, offset by $138.9 million decrease in such reserves primarily due to credit memos issued to customers. The ending balance of contract liabilities as of the first quarter of fiscal year 2020 was $133.0 million. The amount of revenue recognized during the three months ended May 4, 2019 that was included in the contract liabilities balance at February 2, 2019 was not material.</w:t>
      </w:r>
    </w:p>
    <w:p>
      <w:pPr>
        <w:spacing w:after="0" w:line="13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185" w:lineRule="exact"/>
        <w:rPr>
          <w:sz w:val="20"/>
          <w:szCs w:val="20"/>
          <w:color w:val="auto"/>
        </w:rPr>
      </w:pPr>
    </w:p>
    <w:p>
      <w:pPr>
        <w:ind w:left="380"/>
        <w:spacing w:after="0"/>
        <w:rPr>
          <w:sz w:val="20"/>
          <w:szCs w:val="20"/>
          <w:color w:val="auto"/>
        </w:rPr>
      </w:pPr>
      <w:r>
        <w:rPr>
          <w:rFonts w:ascii="Arial" w:cs="Arial" w:eastAsia="Arial" w:hAnsi="Arial"/>
          <w:sz w:val="16"/>
          <w:szCs w:val="16"/>
          <w:color w:val="auto"/>
        </w:rPr>
        <w:t>The Company has elected to apply the practical expedient to expense commissions when incurred as the amortization period is typically one year or less.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These costs are recorded in selling, general and administrative expenses in the condensed consolidated statements of operations.</w:t>
      </w:r>
    </w:p>
    <w:p>
      <w:pPr>
        <w:spacing w:after="0" w:line="200" w:lineRule="exact"/>
        <w:rPr>
          <w:sz w:val="20"/>
          <w:szCs w:val="20"/>
          <w:color w:val="auto"/>
        </w:rPr>
      </w:pPr>
    </w:p>
    <w:p>
      <w:pPr>
        <w:spacing w:after="0" w:line="25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130" w:right="259" w:bottom="1440" w:gutter="0" w:footer="0" w:header="0"/>
        </w:sectPr>
      </w:pPr>
    </w:p>
    <w:bookmarkStart w:id="21" w:name="page22"/>
    <w:bookmarkEnd w:id="2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Income Tax</w:t>
      </w:r>
    </w:p>
    <w:p>
      <w:pPr>
        <w:spacing w:after="0" w:line="229"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 The Company’s quarterly tax provision, and estimate of its annual effective tax rate, is subject to variation due to several factors, including variability in accurately predicting our pre-tax income or loss and the mix of jurisdictions to which they relate, intercompany transactions, the applicability of special tax regimes, changes in how we do business, and acquisitions, as well as the integration of such acquisitions.</w:t>
      </w:r>
    </w:p>
    <w:p>
      <w:pPr>
        <w:spacing w:after="0" w:line="112" w:lineRule="exact"/>
        <w:rPr>
          <w:sz w:val="20"/>
          <w:szCs w:val="20"/>
          <w:color w:val="auto"/>
        </w:rPr>
      </w:pPr>
    </w:p>
    <w:p>
      <w:pPr>
        <w:ind w:right="100" w:firstLine="405"/>
        <w:spacing w:after="0" w:line="279" w:lineRule="auto"/>
        <w:rPr>
          <w:sz w:val="20"/>
          <w:szCs w:val="20"/>
          <w:color w:val="auto"/>
        </w:rPr>
      </w:pPr>
      <w:r>
        <w:rPr>
          <w:rFonts w:ascii="Arial" w:cs="Arial" w:eastAsia="Arial" w:hAnsi="Arial"/>
          <w:sz w:val="17"/>
          <w:szCs w:val="17"/>
          <w:color w:val="auto"/>
        </w:rPr>
        <w:t>The Company’s estimated effective tax rate for the year differs from the U.S. statutory rate of 21% primarily due to the benefit of a substantial portion of its earnings being taxed at rates lower than the U.S. statutory rate. The Company estimates that its effective tax rate could be adversely affected by pre-tax losses incurred in certain non-U.S. jurisdictions subject to tax rates lower than 21% for which it does not realize a tax benefit. These losses reduce the Company's pre-tax income without a corresponding reduction in its tax expense, and therefore increase its effective tax rate.</w:t>
      </w:r>
    </w:p>
    <w:p>
      <w:pPr>
        <w:spacing w:after="0" w:line="90"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The income tax expense of $7.3 million for the three months ended May 4, 2019 included a tax benefit from a net reduction in unrecognized tax benefits of $3.2 million, offset by $9.9 million in tax due on amounts that were previously considered indefinitely reinvested.</w:t>
      </w:r>
    </w:p>
    <w:p>
      <w:pPr>
        <w:spacing w:after="0" w:line="170" w:lineRule="exact"/>
        <w:rPr>
          <w:sz w:val="20"/>
          <w:szCs w:val="20"/>
          <w:color w:val="auto"/>
        </w:rPr>
      </w:pPr>
    </w:p>
    <w:p>
      <w:pPr>
        <w:ind w:right="180" w:firstLine="405"/>
        <w:spacing w:after="0" w:line="297"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$15.3 million from the lapse of statutes of limitation in various jurisdictions during the next 12 months. Government tax authorities from several non-U.S. jurisdictions are also examining the Company’s tax returns. The Company believes that it has adequately provided for any reasonably foreseeable outcomes related to its tax audits and that any settlement will not have a material effect on its results at this time.</w:t>
      </w:r>
    </w:p>
    <w:p>
      <w:pPr>
        <w:spacing w:after="0" w:line="158" w:lineRule="exact"/>
        <w:rPr>
          <w:sz w:val="20"/>
          <w:szCs w:val="20"/>
          <w:color w:val="auto"/>
        </w:rPr>
      </w:pPr>
    </w:p>
    <w:p>
      <w:pPr>
        <w:ind w:right="60" w:firstLine="405"/>
        <w:spacing w:after="0" w:line="279" w:lineRule="auto"/>
        <w:rPr>
          <w:sz w:val="20"/>
          <w:szCs w:val="20"/>
          <w:color w:val="auto"/>
        </w:rPr>
      </w:pPr>
      <w:r>
        <w:rPr>
          <w:rFonts w:ascii="Arial" w:cs="Arial" w:eastAsia="Arial" w:hAnsi="Arial"/>
          <w:sz w:val="17"/>
          <w:szCs w:val="17"/>
          <w:color w:val="auto"/>
        </w:rPr>
        <w:t>The Company operates under tax incentives in certain countries that may be extended if certain additional requirements are satisfied. The tax incentives are conditional upon meeting certain employment and investment thresholds. The impact of these tax incentives decreased foreign taxes by $0.1 million for the three months ended May 4, 2019, and $0.7 million for the three months ended May 5, 2018, respectively. The benefit of the tax incentives on net income per share was less than $0.01 per share for both the three months ended May 4, 2019 and May 5, 2018.</w:t>
      </w:r>
    </w:p>
    <w:p>
      <w:pPr>
        <w:spacing w:after="0" w:line="171" w:lineRule="exact"/>
        <w:rPr>
          <w:sz w:val="20"/>
          <w:szCs w:val="20"/>
          <w:color w:val="auto"/>
        </w:rPr>
      </w:pPr>
    </w:p>
    <w:p>
      <w:pPr>
        <w:ind w:right="120" w:firstLine="405"/>
        <w:spacing w:after="0" w:line="302" w:lineRule="auto"/>
        <w:rPr>
          <w:sz w:val="20"/>
          <w:szCs w:val="20"/>
          <w:color w:val="auto"/>
        </w:rPr>
      </w:pPr>
      <w:r>
        <w:rPr>
          <w:rFonts w:ascii="Arial" w:cs="Arial" w:eastAsia="Arial" w:hAnsi="Arial"/>
          <w:sz w:val="16"/>
          <w:szCs w:val="16"/>
          <w:color w:val="auto"/>
        </w:rPr>
        <w:t>The Company’s principal source of liquidity as of May 4, 2019 consisted of approximately $572 million of cash, cash equivalents and short-term investments, of which approximately $543 million was held by subsidiaries outside of Bermuda. The Company has not recognized a deferred tax liability on $138 million of these assets as those amounts are deemed to be indefinitely reinvested. The Company plans to use such amounts to fund various activities outside of Bermuda, including working capital requirements, capital expenditures for expansion, funding of future acquisitions or other financing activities.</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00"/>
          </w:cols>
          <w:pgMar w:left="240" w:top="130" w:right="259" w:bottom="1440" w:gutter="0" w:footer="0" w:header="0"/>
        </w:sectPr>
      </w:pPr>
    </w:p>
    <w:bookmarkStart w:id="22" w:name="page23"/>
    <w:bookmarkEnd w:id="2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Net Income Per Share</w:t>
      </w:r>
    </w:p>
    <w:p>
      <w:pPr>
        <w:spacing w:after="0" w:line="94" w:lineRule="exact"/>
        <w:rPr>
          <w:sz w:val="20"/>
          <w:szCs w:val="20"/>
          <w:color w:val="auto"/>
        </w:rPr>
      </w:pPr>
    </w:p>
    <w:p>
      <w:pPr>
        <w:jc w:val="both"/>
        <w:ind w:right="520" w:firstLine="405"/>
        <w:spacing w:after="0" w:line="264" w:lineRule="auto"/>
        <w:rPr>
          <w:sz w:val="20"/>
          <w:szCs w:val="20"/>
          <w:color w:val="auto"/>
        </w:rPr>
      </w:pPr>
      <w:r>
        <w:rPr>
          <w:rFonts w:ascii="Arial" w:cs="Arial" w:eastAsia="Arial" w:hAnsi="Arial"/>
          <w:sz w:val="18"/>
          <w:szCs w:val="18"/>
          <w:color w:val="auto"/>
        </w:rPr>
        <w:t>The Company reports both basic net income per share, which is based on the weighted average number of common shares outstanding during the period, and diluted net income per share, which is based on the weighted average number of common shares outstanding and potentially dilutive shares outstanding during the period.</w:t>
      </w:r>
    </w:p>
    <w:p>
      <w:pPr>
        <w:spacing w:after="0" w:line="181"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computations of basic and diluted net income per share are presented in the following table (in thousands, except per share amounts):</w:t>
      </w:r>
    </w:p>
    <w:p>
      <w:pPr>
        <w:spacing w:after="0" w:line="36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80" w:type="dxa"/>
            <w:vAlign w:val="bottom"/>
          </w:tcPr>
          <w:p>
            <w:pPr>
              <w:spacing w:after="0"/>
              <w:rPr>
                <w:sz w:val="16"/>
                <w:szCs w:val="16"/>
                <w:color w:val="auto"/>
              </w:rPr>
            </w:pPr>
          </w:p>
        </w:tc>
        <w:tc>
          <w:tcPr>
            <w:tcW w:w="1380" w:type="dxa"/>
            <w:vAlign w:val="bottom"/>
            <w:tcBorders>
              <w:bottom w:val="single" w:sz="8" w:color="auto"/>
            </w:tcBorders>
          </w:tcPr>
          <w:p>
            <w:pPr>
              <w:spacing w:after="0"/>
              <w:rPr>
                <w:sz w:val="16"/>
                <w:szCs w:val="16"/>
                <w:color w:val="auto"/>
              </w:rPr>
            </w:pPr>
          </w:p>
        </w:tc>
        <w:tc>
          <w:tcPr>
            <w:tcW w:w="1620" w:type="dxa"/>
            <w:vAlign w:val="bottom"/>
            <w:tcBorders>
              <w:bottom w:val="single" w:sz="8" w:color="auto"/>
            </w:tcBorders>
            <w:gridSpan w:val="3"/>
          </w:tcPr>
          <w:p>
            <w:pPr>
              <w:jc w:val="right"/>
              <w:ind w:right="30"/>
              <w:spacing w:after="0"/>
              <w:rPr>
                <w:sz w:val="20"/>
                <w:szCs w:val="20"/>
                <w:color w:val="auto"/>
              </w:rPr>
            </w:pPr>
            <w:r>
              <w:rPr>
                <w:rFonts w:ascii="Arial" w:cs="Arial" w:eastAsia="Arial" w:hAnsi="Arial"/>
                <w:sz w:val="14"/>
                <w:szCs w:val="14"/>
                <w:b w:val="1"/>
                <w:bCs w:val="1"/>
                <w:color w:val="auto"/>
              </w:rPr>
              <w:t>Three Months Ended</w:t>
            </w:r>
          </w:p>
        </w:tc>
        <w:tc>
          <w:tcPr>
            <w:tcW w:w="14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6980" w:type="dxa"/>
            <w:vAlign w:val="bottom"/>
          </w:tcPr>
          <w:p>
            <w:pPr>
              <w:spacing w:after="0"/>
              <w:rPr>
                <w:sz w:val="13"/>
                <w:szCs w:val="13"/>
                <w:color w:val="auto"/>
              </w:rPr>
            </w:pPr>
          </w:p>
        </w:tc>
        <w:tc>
          <w:tcPr>
            <w:tcW w:w="1380" w:type="dxa"/>
            <w:vAlign w:val="bottom"/>
          </w:tcPr>
          <w:p>
            <w:pPr>
              <w:jc w:val="right"/>
              <w:ind w:right="17"/>
              <w:spacing w:after="0" w:line="153" w:lineRule="exact"/>
              <w:rPr>
                <w:sz w:val="20"/>
                <w:szCs w:val="20"/>
                <w:color w:val="auto"/>
              </w:rPr>
            </w:pPr>
            <w:r>
              <w:rPr>
                <w:rFonts w:ascii="Arial" w:cs="Arial" w:eastAsia="Arial" w:hAnsi="Arial"/>
                <w:sz w:val="14"/>
                <w:szCs w:val="14"/>
                <w:b w:val="1"/>
                <w:bCs w:val="1"/>
                <w:color w:val="auto"/>
              </w:rPr>
              <w:t>May 4,</w:t>
            </w:r>
          </w:p>
        </w:tc>
        <w:tc>
          <w:tcPr>
            <w:tcW w:w="8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440" w:type="dxa"/>
            <w:vAlign w:val="bottom"/>
          </w:tcPr>
          <w:p>
            <w:pPr>
              <w:jc w:val="right"/>
              <w:ind w:right="794"/>
              <w:spacing w:after="0" w:line="153" w:lineRule="exact"/>
              <w:rPr>
                <w:sz w:val="20"/>
                <w:szCs w:val="20"/>
                <w:color w:val="auto"/>
              </w:rPr>
            </w:pPr>
            <w:r>
              <w:rPr>
                <w:rFonts w:ascii="Arial" w:cs="Arial" w:eastAsia="Arial" w:hAnsi="Arial"/>
                <w:sz w:val="14"/>
                <w:szCs w:val="14"/>
                <w:b w:val="1"/>
                <w:bCs w:val="1"/>
                <w:color w:val="auto"/>
              </w:rPr>
              <w:t>May 5,</w:t>
            </w:r>
          </w:p>
        </w:tc>
        <w:tc>
          <w:tcPr>
            <w:tcW w:w="0" w:type="dxa"/>
            <w:vAlign w:val="bottom"/>
          </w:tcPr>
          <w:p>
            <w:pPr>
              <w:spacing w:after="0"/>
              <w:rPr>
                <w:sz w:val="1"/>
                <w:szCs w:val="1"/>
                <w:color w:val="auto"/>
              </w:rPr>
            </w:pPr>
          </w:p>
        </w:tc>
      </w:tr>
      <w:tr>
        <w:trPr>
          <w:trHeight w:val="192"/>
        </w:trPr>
        <w:tc>
          <w:tcPr>
            <w:tcW w:w="6980" w:type="dxa"/>
            <w:vAlign w:val="bottom"/>
            <w:tcBorders>
              <w:bottom w:val="single" w:sz="8" w:color="CCEEFF"/>
            </w:tcBorders>
          </w:tcPr>
          <w:p>
            <w:pPr>
              <w:spacing w:after="0"/>
              <w:rPr>
                <w:sz w:val="16"/>
                <w:szCs w:val="16"/>
                <w:color w:val="auto"/>
              </w:rPr>
            </w:pPr>
          </w:p>
        </w:tc>
        <w:tc>
          <w:tcPr>
            <w:tcW w:w="1380" w:type="dxa"/>
            <w:vAlign w:val="bottom"/>
            <w:tcBorders>
              <w:bottom w:val="single" w:sz="8" w:color="auto"/>
            </w:tcBorders>
          </w:tcPr>
          <w:p>
            <w:pPr>
              <w:jc w:val="right"/>
              <w:ind w:right="77"/>
              <w:spacing w:after="0"/>
              <w:rPr>
                <w:sz w:val="20"/>
                <w:szCs w:val="20"/>
                <w:color w:val="auto"/>
              </w:rPr>
            </w:pPr>
            <w:r>
              <w:rPr>
                <w:rFonts w:ascii="Arial" w:cs="Arial" w:eastAsia="Arial" w:hAnsi="Arial"/>
                <w:sz w:val="14"/>
                <w:szCs w:val="14"/>
                <w:b w:val="1"/>
                <w:bCs w:val="1"/>
                <w:color w:val="auto"/>
              </w:rPr>
              <w:t>2019</w:t>
            </w:r>
          </w:p>
        </w:tc>
        <w:tc>
          <w:tcPr>
            <w:tcW w:w="8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1440" w:type="dxa"/>
            <w:vAlign w:val="bottom"/>
            <w:tcBorders>
              <w:bottom w:val="single" w:sz="8" w:color="auto"/>
            </w:tcBorders>
          </w:tcPr>
          <w:p>
            <w:pPr>
              <w:jc w:val="right"/>
              <w:ind w:right="854"/>
              <w:spacing w:after="0"/>
              <w:rPr>
                <w:sz w:val="20"/>
                <w:szCs w:val="20"/>
                <w:color w:val="auto"/>
              </w:rPr>
            </w:pPr>
            <w:r>
              <w:rPr>
                <w:rFonts w:ascii="Arial" w:cs="Arial" w:eastAsia="Arial" w:hAnsi="Arial"/>
                <w:sz w:val="14"/>
                <w:szCs w:val="14"/>
                <w:b w:val="1"/>
                <w:bCs w:val="1"/>
                <w:color w:val="auto"/>
              </w:rPr>
              <w:t>2018</w:t>
            </w:r>
          </w:p>
        </w:tc>
        <w:tc>
          <w:tcPr>
            <w:tcW w:w="0" w:type="dxa"/>
            <w:vAlign w:val="bottom"/>
          </w:tcPr>
          <w:p>
            <w:pPr>
              <w:spacing w:after="0"/>
              <w:rPr>
                <w:sz w:val="1"/>
                <w:szCs w:val="1"/>
                <w:color w:val="auto"/>
              </w:rPr>
            </w:pPr>
          </w:p>
        </w:tc>
      </w:tr>
      <w:tr>
        <w:trPr>
          <w:trHeight w:val="250"/>
        </w:trPr>
        <w:tc>
          <w:tcPr>
            <w:tcW w:w="6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Numerator:</w:t>
            </w:r>
          </w:p>
        </w:tc>
        <w:tc>
          <w:tcPr>
            <w:tcW w:w="138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980" w:type="dxa"/>
            <w:vAlign w:val="bottom"/>
          </w:tcPr>
          <w:p>
            <w:pPr>
              <w:ind w:left="380"/>
              <w:spacing w:after="0"/>
              <w:rPr>
                <w:sz w:val="20"/>
                <w:szCs w:val="20"/>
                <w:color w:val="auto"/>
              </w:rPr>
            </w:pPr>
            <w:r>
              <w:rPr>
                <w:rFonts w:ascii="Arial" w:cs="Arial" w:eastAsia="Arial" w:hAnsi="Arial"/>
                <w:sz w:val="18"/>
                <w:szCs w:val="18"/>
                <w:color w:val="auto"/>
              </w:rPr>
              <w:t>Net income (loss)</w:t>
            </w:r>
          </w:p>
        </w:tc>
        <w:tc>
          <w:tcPr>
            <w:tcW w:w="1380" w:type="dxa"/>
            <w:vAlign w:val="bottom"/>
          </w:tcPr>
          <w:p>
            <w:pPr>
              <w:jc w:val="right"/>
              <w:ind w:right="1177"/>
              <w:spacing w:after="0"/>
              <w:rPr>
                <w:sz w:val="20"/>
                <w:szCs w:val="20"/>
                <w:color w:val="auto"/>
              </w:rPr>
            </w:pPr>
            <w:r>
              <w:rPr>
                <w:rFonts w:ascii="Arial" w:cs="Arial" w:eastAsia="Arial" w:hAnsi="Arial"/>
                <w:sz w:val="18"/>
                <w:szCs w:val="18"/>
                <w:color w:val="auto"/>
                <w:w w:val="9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(48,450)</w:t>
            </w:r>
          </w:p>
        </w:tc>
        <w:tc>
          <w:tcPr>
            <w:tcW w:w="100" w:type="dxa"/>
            <w:vAlign w:val="bottom"/>
          </w:tcPr>
          <w:p>
            <w:pPr>
              <w:spacing w:after="0"/>
              <w:rPr>
                <w:sz w:val="21"/>
                <w:szCs w:val="21"/>
                <w:color w:val="auto"/>
              </w:rPr>
            </w:pPr>
          </w:p>
        </w:tc>
        <w:tc>
          <w:tcPr>
            <w:tcW w:w="720" w:type="dxa"/>
            <w:vAlign w:val="bottom"/>
          </w:tcPr>
          <w:p>
            <w:pPr>
              <w:jc w:val="right"/>
              <w:ind w:right="510"/>
              <w:spacing w:after="0"/>
              <w:rPr>
                <w:sz w:val="20"/>
                <w:szCs w:val="20"/>
                <w:color w:val="auto"/>
              </w:rPr>
            </w:pPr>
            <w:r>
              <w:rPr>
                <w:rFonts w:ascii="Arial" w:cs="Arial" w:eastAsia="Arial" w:hAnsi="Arial"/>
                <w:sz w:val="18"/>
                <w:szCs w:val="18"/>
                <w:color w:val="auto"/>
                <w:w w:val="99"/>
              </w:rPr>
              <w:t>$</w:t>
            </w:r>
          </w:p>
        </w:tc>
        <w:tc>
          <w:tcPr>
            <w:tcW w:w="1440" w:type="dxa"/>
            <w:vAlign w:val="bottom"/>
          </w:tcPr>
          <w:p>
            <w:pPr>
              <w:jc w:val="right"/>
              <w:ind w:right="14"/>
              <w:spacing w:after="0"/>
              <w:rPr>
                <w:sz w:val="20"/>
                <w:szCs w:val="20"/>
                <w:color w:val="auto"/>
              </w:rPr>
            </w:pPr>
            <w:r>
              <w:rPr>
                <w:rFonts w:ascii="Arial" w:cs="Arial" w:eastAsia="Arial" w:hAnsi="Arial"/>
                <w:sz w:val="18"/>
                <w:szCs w:val="18"/>
                <w:color w:val="auto"/>
              </w:rPr>
              <w:t>128,612</w:t>
            </w:r>
          </w:p>
        </w:tc>
        <w:tc>
          <w:tcPr>
            <w:tcW w:w="0" w:type="dxa"/>
            <w:vAlign w:val="bottom"/>
          </w:tcPr>
          <w:p>
            <w:pPr>
              <w:spacing w:after="0"/>
              <w:rPr>
                <w:sz w:val="1"/>
                <w:szCs w:val="1"/>
                <w:color w:val="auto"/>
              </w:rPr>
            </w:pPr>
          </w:p>
        </w:tc>
      </w:tr>
      <w:tr>
        <w:trPr>
          <w:trHeight w:val="27"/>
        </w:trPr>
        <w:tc>
          <w:tcPr>
            <w:tcW w:w="6980" w:type="dxa"/>
            <w:vAlign w:val="bottom"/>
          </w:tcPr>
          <w:p>
            <w:pPr>
              <w:spacing w:after="0"/>
              <w:rPr>
                <w:sz w:val="2"/>
                <w:szCs w:val="2"/>
                <w:color w:val="auto"/>
              </w:rPr>
            </w:pPr>
          </w:p>
        </w:tc>
        <w:tc>
          <w:tcPr>
            <w:tcW w:w="13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14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Denominator:</w:t>
            </w:r>
          </w:p>
        </w:tc>
        <w:tc>
          <w:tcPr>
            <w:tcW w:w="138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980" w:type="dxa"/>
            <w:vAlign w:val="bottom"/>
          </w:tcPr>
          <w:p>
            <w:pPr>
              <w:ind w:left="380"/>
              <w:spacing w:after="0"/>
              <w:rPr>
                <w:sz w:val="20"/>
                <w:szCs w:val="20"/>
                <w:color w:val="auto"/>
              </w:rPr>
            </w:pPr>
            <w:r>
              <w:rPr>
                <w:rFonts w:ascii="Arial" w:cs="Arial" w:eastAsia="Arial" w:hAnsi="Arial"/>
                <w:sz w:val="18"/>
                <w:szCs w:val="18"/>
                <w:color w:val="auto"/>
              </w:rPr>
              <w:t>Weighted average shares — basic</w:t>
            </w:r>
          </w:p>
        </w:tc>
        <w:tc>
          <w:tcPr>
            <w:tcW w:w="1380" w:type="dxa"/>
            <w:vAlign w:val="bottom"/>
          </w:tcPr>
          <w:p>
            <w:pPr>
              <w:spacing w:after="0"/>
              <w:rPr>
                <w:sz w:val="21"/>
                <w:szCs w:val="21"/>
                <w:color w:val="auto"/>
              </w:rPr>
            </w:pPr>
          </w:p>
        </w:tc>
        <w:tc>
          <w:tcPr>
            <w:tcW w:w="800" w:type="dxa"/>
            <w:vAlign w:val="bottom"/>
          </w:tcPr>
          <w:p>
            <w:pPr>
              <w:jc w:val="right"/>
              <w:ind w:right="33"/>
              <w:spacing w:after="0"/>
              <w:rPr>
                <w:sz w:val="20"/>
                <w:szCs w:val="20"/>
                <w:color w:val="auto"/>
              </w:rPr>
            </w:pPr>
            <w:r>
              <w:rPr>
                <w:rFonts w:ascii="Arial" w:cs="Arial" w:eastAsia="Arial" w:hAnsi="Arial"/>
                <w:sz w:val="18"/>
                <w:szCs w:val="18"/>
                <w:color w:val="auto"/>
              </w:rPr>
              <w:t>658,963</w:t>
            </w:r>
          </w:p>
        </w:tc>
        <w:tc>
          <w:tcPr>
            <w:tcW w:w="10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1440" w:type="dxa"/>
            <w:vAlign w:val="bottom"/>
          </w:tcPr>
          <w:p>
            <w:pPr>
              <w:jc w:val="right"/>
              <w:ind w:right="14"/>
              <w:spacing w:after="0"/>
              <w:rPr>
                <w:sz w:val="20"/>
                <w:szCs w:val="20"/>
                <w:color w:val="auto"/>
              </w:rPr>
            </w:pPr>
            <w:r>
              <w:rPr>
                <w:rFonts w:ascii="Arial" w:cs="Arial" w:eastAsia="Arial" w:hAnsi="Arial"/>
                <w:sz w:val="18"/>
                <w:szCs w:val="18"/>
                <w:color w:val="auto"/>
              </w:rPr>
              <w:t>497,335</w:t>
            </w:r>
          </w:p>
        </w:tc>
        <w:tc>
          <w:tcPr>
            <w:tcW w:w="0" w:type="dxa"/>
            <w:vAlign w:val="bottom"/>
          </w:tcPr>
          <w:p>
            <w:pPr>
              <w:spacing w:after="0"/>
              <w:rPr>
                <w:sz w:val="1"/>
                <w:szCs w:val="1"/>
                <w:color w:val="auto"/>
              </w:rPr>
            </w:pPr>
          </w:p>
        </w:tc>
      </w:tr>
      <w:tr>
        <w:trPr>
          <w:trHeight w:val="27"/>
        </w:trPr>
        <w:tc>
          <w:tcPr>
            <w:tcW w:w="6980" w:type="dxa"/>
            <w:vAlign w:val="bottom"/>
          </w:tcPr>
          <w:p>
            <w:pPr>
              <w:spacing w:after="0"/>
              <w:rPr>
                <w:sz w:val="2"/>
                <w:szCs w:val="2"/>
                <w:color w:val="auto"/>
              </w:rPr>
            </w:pPr>
          </w:p>
        </w:tc>
        <w:tc>
          <w:tcPr>
            <w:tcW w:w="13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14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6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Effect of dilutive securities:</w:t>
            </w:r>
          </w:p>
        </w:tc>
        <w:tc>
          <w:tcPr>
            <w:tcW w:w="138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14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6980" w:type="dxa"/>
            <w:vAlign w:val="bottom"/>
          </w:tcPr>
          <w:p>
            <w:pPr>
              <w:ind w:left="380"/>
              <w:spacing w:after="0"/>
              <w:rPr>
                <w:sz w:val="20"/>
                <w:szCs w:val="20"/>
                <w:color w:val="auto"/>
              </w:rPr>
            </w:pPr>
            <w:r>
              <w:rPr>
                <w:rFonts w:ascii="Arial" w:cs="Arial" w:eastAsia="Arial" w:hAnsi="Arial"/>
                <w:sz w:val="18"/>
                <w:szCs w:val="18"/>
                <w:color w:val="auto"/>
              </w:rPr>
              <w:t>Share-based awards</w:t>
            </w:r>
          </w:p>
        </w:tc>
        <w:tc>
          <w:tcPr>
            <w:tcW w:w="1380" w:type="dxa"/>
            <w:vAlign w:val="bottom"/>
          </w:tcPr>
          <w:p>
            <w:pPr>
              <w:spacing w:after="0"/>
              <w:rPr>
                <w:sz w:val="21"/>
                <w:szCs w:val="21"/>
                <w:color w:val="auto"/>
              </w:rPr>
            </w:pPr>
          </w:p>
        </w:tc>
        <w:tc>
          <w:tcPr>
            <w:tcW w:w="9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720" w:type="dxa"/>
            <w:vAlign w:val="bottom"/>
          </w:tcPr>
          <w:p>
            <w:pPr>
              <w:spacing w:after="0"/>
              <w:rPr>
                <w:sz w:val="21"/>
                <w:szCs w:val="21"/>
                <w:color w:val="auto"/>
              </w:rPr>
            </w:pPr>
          </w:p>
        </w:tc>
        <w:tc>
          <w:tcPr>
            <w:tcW w:w="1440" w:type="dxa"/>
            <w:vAlign w:val="bottom"/>
          </w:tcPr>
          <w:p>
            <w:pPr>
              <w:jc w:val="right"/>
              <w:ind w:right="14"/>
              <w:spacing w:after="0"/>
              <w:rPr>
                <w:sz w:val="20"/>
                <w:szCs w:val="20"/>
                <w:color w:val="auto"/>
              </w:rPr>
            </w:pPr>
            <w:r>
              <w:rPr>
                <w:rFonts w:ascii="Arial" w:cs="Arial" w:eastAsia="Arial" w:hAnsi="Arial"/>
                <w:sz w:val="18"/>
                <w:szCs w:val="18"/>
                <w:color w:val="auto"/>
              </w:rPr>
              <w:t>11,381</w:t>
            </w:r>
          </w:p>
        </w:tc>
        <w:tc>
          <w:tcPr>
            <w:tcW w:w="0" w:type="dxa"/>
            <w:vAlign w:val="bottom"/>
          </w:tcPr>
          <w:p>
            <w:pPr>
              <w:spacing w:after="0"/>
              <w:rPr>
                <w:sz w:val="1"/>
                <w:szCs w:val="1"/>
                <w:color w:val="auto"/>
              </w:rPr>
            </w:pPr>
          </w:p>
        </w:tc>
      </w:tr>
      <w:tr>
        <w:trPr>
          <w:trHeight w:val="27"/>
        </w:trPr>
        <w:tc>
          <w:tcPr>
            <w:tcW w:w="6980" w:type="dxa"/>
            <w:vAlign w:val="bottom"/>
            <w:tcBorders>
              <w:bottom w:val="single" w:sz="8" w:color="CCEEFF"/>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14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69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Weighted average shares — diluted</w:t>
            </w:r>
          </w:p>
        </w:tc>
        <w:tc>
          <w:tcPr>
            <w:tcW w:w="1380" w:type="dxa"/>
            <w:vAlign w:val="bottom"/>
            <w:tcBorders>
              <w:bottom w:val="single" w:sz="8" w:color="CCEEFF"/>
            </w:tcBorders>
            <w:shd w:val="clear" w:color="auto" w:fill="CCEEFF"/>
          </w:tcPr>
          <w:p>
            <w:pPr>
              <w:spacing w:after="0"/>
              <w:rPr>
                <w:sz w:val="22"/>
                <w:szCs w:val="22"/>
                <w:color w:val="auto"/>
              </w:rPr>
            </w:pPr>
          </w:p>
        </w:tc>
        <w:tc>
          <w:tcPr>
            <w:tcW w:w="80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658,963</w:t>
            </w:r>
          </w:p>
        </w:tc>
        <w:tc>
          <w:tcPr>
            <w:tcW w:w="100" w:type="dxa"/>
            <w:vAlign w:val="bottom"/>
            <w:tcBorders>
              <w:bottom w:val="single" w:sz="8" w:color="CCEEFF"/>
            </w:tcBorders>
            <w:shd w:val="clear" w:color="auto" w:fill="CCEEFF"/>
          </w:tcPr>
          <w:p>
            <w:pPr>
              <w:spacing w:after="0"/>
              <w:rPr>
                <w:sz w:val="22"/>
                <w:szCs w:val="22"/>
                <w:color w:val="auto"/>
              </w:rPr>
            </w:pPr>
          </w:p>
        </w:tc>
        <w:tc>
          <w:tcPr>
            <w:tcW w:w="720" w:type="dxa"/>
            <w:vAlign w:val="bottom"/>
            <w:tcBorders>
              <w:bottom w:val="single" w:sz="8" w:color="CCEEFF"/>
            </w:tcBorders>
            <w:shd w:val="clear" w:color="auto" w:fill="CCEEFF"/>
          </w:tcPr>
          <w:p>
            <w:pPr>
              <w:spacing w:after="0"/>
              <w:rPr>
                <w:sz w:val="22"/>
                <w:szCs w:val="22"/>
                <w:color w:val="auto"/>
              </w:rPr>
            </w:pPr>
          </w:p>
        </w:tc>
        <w:tc>
          <w:tcPr>
            <w:tcW w:w="14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508,716</w:t>
            </w:r>
          </w:p>
        </w:tc>
        <w:tc>
          <w:tcPr>
            <w:tcW w:w="0" w:type="dxa"/>
            <w:vAlign w:val="bottom"/>
          </w:tcPr>
          <w:p>
            <w:pPr>
              <w:spacing w:after="0"/>
              <w:rPr>
                <w:sz w:val="1"/>
                <w:szCs w:val="1"/>
                <w:color w:val="auto"/>
              </w:rPr>
            </w:pPr>
          </w:p>
        </w:tc>
      </w:tr>
      <w:tr>
        <w:trPr>
          <w:trHeight w:val="20"/>
        </w:trPr>
        <w:tc>
          <w:tcPr>
            <w:tcW w:w="698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Net income per share:</w:t>
            </w:r>
          </w:p>
        </w:tc>
        <w:tc>
          <w:tcPr>
            <w:tcW w:w="138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4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980" w:type="dxa"/>
            <w:vAlign w:val="bottom"/>
            <w:vMerge w:val="continue"/>
          </w:tcPr>
          <w:p>
            <w:pPr>
              <w:spacing w:after="0"/>
              <w:rPr>
                <w:sz w:val="17"/>
                <w:szCs w:val="17"/>
                <w:color w:val="auto"/>
              </w:rPr>
            </w:pPr>
          </w:p>
        </w:tc>
        <w:tc>
          <w:tcPr>
            <w:tcW w:w="13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6980" w:type="dxa"/>
            <w:vAlign w:val="bottom"/>
          </w:tcPr>
          <w:p>
            <w:pPr>
              <w:spacing w:after="0"/>
              <w:rPr>
                <w:sz w:val="4"/>
                <w:szCs w:val="4"/>
                <w:color w:val="auto"/>
              </w:rPr>
            </w:pPr>
          </w:p>
        </w:tc>
        <w:tc>
          <w:tcPr>
            <w:tcW w:w="138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0" w:type="dxa"/>
            <w:vAlign w:val="bottom"/>
          </w:tcPr>
          <w:p>
            <w:pPr>
              <w:spacing w:after="0"/>
              <w:rPr>
                <w:sz w:val="4"/>
                <w:szCs w:val="4"/>
                <w:color w:val="auto"/>
              </w:rPr>
            </w:pPr>
          </w:p>
        </w:tc>
        <w:tc>
          <w:tcPr>
            <w:tcW w:w="720" w:type="dxa"/>
            <w:vAlign w:val="bottom"/>
          </w:tcPr>
          <w:p>
            <w:pPr>
              <w:spacing w:after="0"/>
              <w:rPr>
                <w:sz w:val="4"/>
                <w:szCs w:val="4"/>
                <w:color w:val="auto"/>
              </w:rPr>
            </w:pPr>
          </w:p>
        </w:tc>
        <w:tc>
          <w:tcPr>
            <w:tcW w:w="14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698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1380" w:type="dxa"/>
            <w:vAlign w:val="bottom"/>
            <w:tcBorders>
              <w:bottom w:val="single" w:sz="8" w:color="CCEEFF"/>
            </w:tcBorders>
            <w:shd w:val="clear" w:color="auto" w:fill="CCEEFF"/>
          </w:tcPr>
          <w:p>
            <w:pPr>
              <w:jc w:val="right"/>
              <w:ind w:right="1177"/>
              <w:spacing w:after="0"/>
              <w:rPr>
                <w:sz w:val="20"/>
                <w:szCs w:val="20"/>
                <w:color w:val="auto"/>
              </w:rPr>
            </w:pPr>
            <w:r>
              <w:rPr>
                <w:rFonts w:ascii="Arial" w:cs="Arial" w:eastAsia="Arial" w:hAnsi="Arial"/>
                <w:sz w:val="18"/>
                <w:szCs w:val="18"/>
                <w:color w:val="auto"/>
                <w:w w:val="99"/>
              </w:rPr>
              <w:t>$</w:t>
            </w: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(0.07)</w:t>
            </w:r>
          </w:p>
        </w:tc>
        <w:tc>
          <w:tcPr>
            <w:tcW w:w="10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jc w:val="right"/>
              <w:ind w:right="510"/>
              <w:spacing w:after="0"/>
              <w:rPr>
                <w:sz w:val="20"/>
                <w:szCs w:val="20"/>
                <w:color w:val="auto"/>
              </w:rPr>
            </w:pPr>
            <w:r>
              <w:rPr>
                <w:rFonts w:ascii="Arial" w:cs="Arial" w:eastAsia="Arial" w:hAnsi="Arial"/>
                <w:sz w:val="18"/>
                <w:szCs w:val="18"/>
                <w:color w:val="auto"/>
                <w:w w:val="99"/>
              </w:rPr>
              <w:t>$</w:t>
            </w:r>
          </w:p>
        </w:tc>
        <w:tc>
          <w:tcPr>
            <w:tcW w:w="14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0.26</w:t>
            </w:r>
          </w:p>
        </w:tc>
        <w:tc>
          <w:tcPr>
            <w:tcW w:w="0" w:type="dxa"/>
            <w:vAlign w:val="bottom"/>
          </w:tcPr>
          <w:p>
            <w:pPr>
              <w:spacing w:after="0"/>
              <w:rPr>
                <w:sz w:val="1"/>
                <w:szCs w:val="1"/>
                <w:color w:val="auto"/>
              </w:rPr>
            </w:pPr>
          </w:p>
        </w:tc>
      </w:tr>
      <w:tr>
        <w:trPr>
          <w:trHeight w:val="243"/>
        </w:trPr>
        <w:tc>
          <w:tcPr>
            <w:tcW w:w="6980" w:type="dxa"/>
            <w:vAlign w:val="bottom"/>
          </w:tcPr>
          <w:p>
            <w:pPr>
              <w:ind w:left="360"/>
              <w:spacing w:after="0"/>
              <w:rPr>
                <w:sz w:val="20"/>
                <w:szCs w:val="20"/>
                <w:color w:val="auto"/>
              </w:rPr>
            </w:pPr>
            <w:r>
              <w:rPr>
                <w:rFonts w:ascii="Arial" w:cs="Arial" w:eastAsia="Arial" w:hAnsi="Arial"/>
                <w:sz w:val="18"/>
                <w:szCs w:val="18"/>
                <w:color w:val="auto"/>
              </w:rPr>
              <w:t>Diluted</w:t>
            </w:r>
          </w:p>
        </w:tc>
        <w:tc>
          <w:tcPr>
            <w:tcW w:w="1380" w:type="dxa"/>
            <w:vAlign w:val="bottom"/>
          </w:tcPr>
          <w:p>
            <w:pPr>
              <w:jc w:val="right"/>
              <w:ind w:right="1177"/>
              <w:spacing w:after="0"/>
              <w:rPr>
                <w:sz w:val="20"/>
                <w:szCs w:val="20"/>
                <w:color w:val="auto"/>
              </w:rPr>
            </w:pPr>
            <w:r>
              <w:rPr>
                <w:rFonts w:ascii="Arial" w:cs="Arial" w:eastAsia="Arial" w:hAnsi="Arial"/>
                <w:sz w:val="18"/>
                <w:szCs w:val="18"/>
                <w:color w:val="auto"/>
                <w:w w:val="99"/>
              </w:rPr>
              <w:t>$</w:t>
            </w:r>
          </w:p>
        </w:tc>
        <w:tc>
          <w:tcPr>
            <w:tcW w:w="800" w:type="dxa"/>
            <w:vAlign w:val="bottom"/>
          </w:tcPr>
          <w:p>
            <w:pPr>
              <w:jc w:val="right"/>
              <w:spacing w:after="0"/>
              <w:rPr>
                <w:sz w:val="20"/>
                <w:szCs w:val="20"/>
                <w:color w:val="auto"/>
              </w:rPr>
            </w:pPr>
            <w:r>
              <w:rPr>
                <w:rFonts w:ascii="Arial" w:cs="Arial" w:eastAsia="Arial" w:hAnsi="Arial"/>
                <w:sz w:val="18"/>
                <w:szCs w:val="18"/>
                <w:color w:val="auto"/>
              </w:rPr>
              <w:t>(0.07)</w:t>
            </w:r>
          </w:p>
        </w:tc>
        <w:tc>
          <w:tcPr>
            <w:tcW w:w="100" w:type="dxa"/>
            <w:vAlign w:val="bottom"/>
          </w:tcPr>
          <w:p>
            <w:pPr>
              <w:spacing w:after="0"/>
              <w:rPr>
                <w:sz w:val="21"/>
                <w:szCs w:val="21"/>
                <w:color w:val="auto"/>
              </w:rPr>
            </w:pPr>
          </w:p>
        </w:tc>
        <w:tc>
          <w:tcPr>
            <w:tcW w:w="720" w:type="dxa"/>
            <w:vAlign w:val="bottom"/>
          </w:tcPr>
          <w:p>
            <w:pPr>
              <w:jc w:val="right"/>
              <w:ind w:right="510"/>
              <w:spacing w:after="0"/>
              <w:rPr>
                <w:sz w:val="20"/>
                <w:szCs w:val="20"/>
                <w:color w:val="auto"/>
              </w:rPr>
            </w:pPr>
            <w:r>
              <w:rPr>
                <w:rFonts w:ascii="Arial" w:cs="Arial" w:eastAsia="Arial" w:hAnsi="Arial"/>
                <w:sz w:val="18"/>
                <w:szCs w:val="18"/>
                <w:color w:val="auto"/>
                <w:w w:val="99"/>
              </w:rPr>
              <w:t>$</w:t>
            </w:r>
          </w:p>
        </w:tc>
        <w:tc>
          <w:tcPr>
            <w:tcW w:w="1440" w:type="dxa"/>
            <w:vAlign w:val="bottom"/>
          </w:tcPr>
          <w:p>
            <w:pPr>
              <w:jc w:val="right"/>
              <w:ind w:right="14"/>
              <w:spacing w:after="0"/>
              <w:rPr>
                <w:sz w:val="20"/>
                <w:szCs w:val="20"/>
                <w:color w:val="auto"/>
              </w:rPr>
            </w:pPr>
            <w:r>
              <w:rPr>
                <w:rFonts w:ascii="Arial" w:cs="Arial" w:eastAsia="Arial" w:hAnsi="Arial"/>
                <w:sz w:val="18"/>
                <w:szCs w:val="18"/>
                <w:color w:val="auto"/>
              </w:rPr>
              <w:t>0.25</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right="80" w:firstLine="432"/>
        <w:spacing w:after="0" w:line="264"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18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80" w:type="dxa"/>
            <w:vAlign w:val="bottom"/>
          </w:tcPr>
          <w:p>
            <w:pPr>
              <w:spacing w:after="0"/>
              <w:rPr>
                <w:sz w:val="16"/>
                <w:szCs w:val="16"/>
                <w:color w:val="auto"/>
              </w:rPr>
            </w:pPr>
          </w:p>
        </w:tc>
        <w:tc>
          <w:tcPr>
            <w:tcW w:w="142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gridSpan w:val="3"/>
          </w:tcPr>
          <w:p>
            <w:pPr>
              <w:ind w:left="160"/>
              <w:spacing w:after="0"/>
              <w:rPr>
                <w:sz w:val="20"/>
                <w:szCs w:val="20"/>
                <w:color w:val="auto"/>
              </w:rPr>
            </w:pPr>
            <w:r>
              <w:rPr>
                <w:rFonts w:ascii="Arial" w:cs="Arial" w:eastAsia="Arial" w:hAnsi="Arial"/>
                <w:sz w:val="14"/>
                <w:szCs w:val="14"/>
                <w:b w:val="1"/>
                <w:bCs w:val="1"/>
                <w:color w:val="auto"/>
              </w:rPr>
              <w:t>Three Months Ended</w:t>
            </w:r>
          </w:p>
        </w:tc>
        <w:tc>
          <w:tcPr>
            <w:tcW w:w="1440" w:type="dxa"/>
            <w:vAlign w:val="bottom"/>
            <w:tcBorders>
              <w:bottom w:val="single" w:sz="8" w:color="auto"/>
            </w:tcBorders>
          </w:tcPr>
          <w:p>
            <w:pPr>
              <w:spacing w:after="0"/>
              <w:rPr>
                <w:sz w:val="16"/>
                <w:szCs w:val="16"/>
                <w:color w:val="auto"/>
              </w:rPr>
            </w:pPr>
          </w:p>
        </w:tc>
      </w:tr>
      <w:tr>
        <w:trPr>
          <w:trHeight w:val="152"/>
        </w:trPr>
        <w:tc>
          <w:tcPr>
            <w:tcW w:w="6980" w:type="dxa"/>
            <w:vAlign w:val="bottom"/>
          </w:tcPr>
          <w:p>
            <w:pPr>
              <w:spacing w:after="0"/>
              <w:rPr>
                <w:sz w:val="13"/>
                <w:szCs w:val="13"/>
                <w:color w:val="auto"/>
              </w:rPr>
            </w:pPr>
          </w:p>
        </w:tc>
        <w:tc>
          <w:tcPr>
            <w:tcW w:w="1420" w:type="dxa"/>
            <w:vAlign w:val="bottom"/>
          </w:tcPr>
          <w:p>
            <w:pPr>
              <w:jc w:val="center"/>
              <w:ind w:left="648"/>
              <w:spacing w:after="0" w:line="153" w:lineRule="exact"/>
              <w:rPr>
                <w:sz w:val="20"/>
                <w:szCs w:val="20"/>
                <w:color w:val="auto"/>
              </w:rPr>
            </w:pPr>
            <w:r>
              <w:rPr>
                <w:rFonts w:ascii="Arial" w:cs="Arial" w:eastAsia="Arial" w:hAnsi="Arial"/>
                <w:sz w:val="14"/>
                <w:szCs w:val="14"/>
                <w:b w:val="1"/>
                <w:bCs w:val="1"/>
                <w:color w:val="auto"/>
                <w:w w:val="98"/>
              </w:rPr>
              <w:t>May 4,</w:t>
            </w:r>
          </w:p>
        </w:tc>
        <w:tc>
          <w:tcPr>
            <w:tcW w:w="7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440" w:type="dxa"/>
            <w:vAlign w:val="bottom"/>
          </w:tcPr>
          <w:p>
            <w:pPr>
              <w:jc w:val="center"/>
              <w:ind w:right="682"/>
              <w:spacing w:after="0" w:line="153" w:lineRule="exact"/>
              <w:rPr>
                <w:sz w:val="20"/>
                <w:szCs w:val="20"/>
                <w:color w:val="auto"/>
              </w:rPr>
            </w:pPr>
            <w:r>
              <w:rPr>
                <w:rFonts w:ascii="Arial" w:cs="Arial" w:eastAsia="Arial" w:hAnsi="Arial"/>
                <w:sz w:val="14"/>
                <w:szCs w:val="14"/>
                <w:b w:val="1"/>
                <w:bCs w:val="1"/>
                <w:color w:val="auto"/>
              </w:rPr>
              <w:t>May 5,</w:t>
            </w:r>
          </w:p>
        </w:tc>
      </w:tr>
      <w:tr>
        <w:trPr>
          <w:trHeight w:val="192"/>
        </w:trPr>
        <w:tc>
          <w:tcPr>
            <w:tcW w:w="8400" w:type="dxa"/>
            <w:vAlign w:val="bottom"/>
            <w:gridSpan w:val="2"/>
          </w:tcPr>
          <w:p>
            <w:pPr>
              <w:jc w:val="right"/>
              <w:ind w:right="128"/>
              <w:spacing w:after="0"/>
              <w:rPr>
                <w:sz w:val="20"/>
                <w:szCs w:val="20"/>
                <w:color w:val="auto"/>
              </w:rPr>
            </w:pPr>
            <w:r>
              <w:rPr>
                <w:rFonts w:ascii="Arial" w:cs="Arial" w:eastAsia="Arial" w:hAnsi="Arial"/>
                <w:sz w:val="14"/>
                <w:szCs w:val="14"/>
                <w:b w:val="1"/>
                <w:bCs w:val="1"/>
                <w:color w:val="auto"/>
              </w:rPr>
              <w:t>2019</w:t>
            </w:r>
          </w:p>
        </w:tc>
        <w:tc>
          <w:tcPr>
            <w:tcW w:w="7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440" w:type="dxa"/>
            <w:vAlign w:val="bottom"/>
          </w:tcPr>
          <w:p>
            <w:pPr>
              <w:jc w:val="right"/>
              <w:ind w:right="862"/>
              <w:spacing w:after="0"/>
              <w:rPr>
                <w:sz w:val="20"/>
                <w:szCs w:val="20"/>
                <w:color w:val="auto"/>
              </w:rPr>
            </w:pPr>
            <w:r>
              <w:rPr>
                <w:rFonts w:ascii="Arial" w:cs="Arial" w:eastAsia="Arial" w:hAnsi="Arial"/>
                <w:sz w:val="14"/>
                <w:szCs w:val="14"/>
                <w:b w:val="1"/>
                <w:bCs w:val="1"/>
                <w:color w:val="auto"/>
              </w:rPr>
              <w:t>2018</w:t>
            </w:r>
          </w:p>
        </w:tc>
      </w:tr>
      <w:tr>
        <w:trPr>
          <w:trHeight w:val="250"/>
        </w:trPr>
        <w:tc>
          <w:tcPr>
            <w:tcW w:w="698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 outstanding:</w:t>
            </w:r>
          </w:p>
        </w:tc>
        <w:tc>
          <w:tcPr>
            <w:tcW w:w="1420" w:type="dxa"/>
            <w:vAlign w:val="bottom"/>
            <w:tcBorders>
              <w:top w:val="single" w:sz="8" w:color="auto"/>
              <w:bottom w:val="single" w:sz="8" w:color="CCEEFF"/>
            </w:tcBorders>
            <w:shd w:val="clear" w:color="auto" w:fill="CCEEFF"/>
          </w:tcPr>
          <w:p>
            <w:pPr>
              <w:spacing w:after="0"/>
              <w:rPr>
                <w:sz w:val="21"/>
                <w:szCs w:val="21"/>
                <w:color w:val="auto"/>
              </w:rPr>
            </w:pPr>
          </w:p>
        </w:tc>
        <w:tc>
          <w:tcPr>
            <w:tcW w:w="7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720" w:type="dxa"/>
            <w:vAlign w:val="bottom"/>
            <w:tcBorders>
              <w:top w:val="single" w:sz="8" w:color="auto"/>
              <w:bottom w:val="single" w:sz="8" w:color="CCEEFF"/>
            </w:tcBorders>
            <w:shd w:val="clear" w:color="auto" w:fill="CCEEFF"/>
          </w:tcPr>
          <w:p>
            <w:pPr>
              <w:spacing w:after="0"/>
              <w:rPr>
                <w:sz w:val="21"/>
                <w:szCs w:val="21"/>
                <w:color w:val="auto"/>
              </w:rPr>
            </w:pPr>
          </w:p>
        </w:tc>
        <w:tc>
          <w:tcPr>
            <w:tcW w:w="14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8400" w:type="dxa"/>
            <w:vAlign w:val="bottom"/>
            <w:gridSpan w:val="2"/>
          </w:tcPr>
          <w:p>
            <w:pPr>
              <w:ind w:left="40"/>
              <w:spacing w:after="0"/>
              <w:rPr>
                <w:sz w:val="20"/>
                <w:szCs w:val="20"/>
                <w:color w:val="auto"/>
              </w:rPr>
            </w:pPr>
            <w:r>
              <w:rPr>
                <w:rFonts w:ascii="Arial" w:cs="Arial" w:eastAsia="Arial" w:hAnsi="Arial"/>
                <w:sz w:val="18"/>
                <w:szCs w:val="18"/>
                <w:color w:val="auto"/>
              </w:rPr>
              <w:t>Share-based awards</w:t>
            </w:r>
          </w:p>
        </w:tc>
        <w:tc>
          <w:tcPr>
            <w:tcW w:w="760" w:type="dxa"/>
            <w:vAlign w:val="bottom"/>
          </w:tcPr>
          <w:p>
            <w:pPr>
              <w:ind w:left="140"/>
              <w:spacing w:after="0"/>
              <w:rPr>
                <w:sz w:val="20"/>
                <w:szCs w:val="20"/>
                <w:color w:val="auto"/>
              </w:rPr>
            </w:pPr>
            <w:r>
              <w:rPr>
                <w:rFonts w:ascii="Arial" w:cs="Arial" w:eastAsia="Arial" w:hAnsi="Arial"/>
                <w:sz w:val="18"/>
                <w:szCs w:val="18"/>
                <w:color w:val="auto"/>
              </w:rPr>
              <w:t>13,969</w:t>
            </w:r>
          </w:p>
        </w:tc>
        <w:tc>
          <w:tcPr>
            <w:tcW w:w="10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1440" w:type="dxa"/>
            <w:vAlign w:val="bottom"/>
          </w:tcPr>
          <w:p>
            <w:pPr>
              <w:jc w:val="right"/>
              <w:ind w:right="22"/>
              <w:spacing w:after="0"/>
              <w:rPr>
                <w:sz w:val="20"/>
                <w:szCs w:val="20"/>
                <w:color w:val="auto"/>
              </w:rPr>
            </w:pPr>
            <w:r>
              <w:rPr>
                <w:rFonts w:ascii="Arial" w:cs="Arial" w:eastAsia="Arial" w:hAnsi="Arial"/>
                <w:sz w:val="18"/>
                <w:szCs w:val="18"/>
                <w:color w:val="auto"/>
              </w:rPr>
              <w:t>5,237</w:t>
            </w:r>
          </w:p>
        </w:tc>
      </w:tr>
    </w:tbl>
    <w:p>
      <w:pPr>
        <w:spacing w:after="0" w:line="202" w:lineRule="exact"/>
        <w:rPr>
          <w:sz w:val="20"/>
          <w:szCs w:val="20"/>
          <w:color w:val="auto"/>
        </w:rPr>
      </w:pPr>
    </w:p>
    <w:p>
      <w:pPr>
        <w:ind w:right="80" w:firstLine="378"/>
        <w:spacing w:after="0" w:line="259" w:lineRule="auto"/>
        <w:rPr>
          <w:sz w:val="20"/>
          <w:szCs w:val="20"/>
          <w:color w:val="auto"/>
        </w:rPr>
      </w:pPr>
      <w:r>
        <w:rPr>
          <w:rFonts w:ascii="Arial" w:cs="Arial" w:eastAsia="Arial" w:hAnsi="Arial"/>
          <w:sz w:val="18"/>
          <w:szCs w:val="18"/>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are also excluded from the calculation of diluted earnings per share for the three months ended May 4, 2019 due to the net loss reported in that period.</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14. Subsequent Events</w:t>
      </w:r>
    </w:p>
    <w:p>
      <w:pPr>
        <w:spacing w:after="0" w:line="121" w:lineRule="exact"/>
        <w:rPr>
          <w:sz w:val="20"/>
          <w:szCs w:val="20"/>
          <w:color w:val="auto"/>
        </w:rPr>
      </w:pPr>
    </w:p>
    <w:p>
      <w:pPr>
        <w:ind w:right="60" w:firstLine="405"/>
        <w:spacing w:after="0" w:line="257" w:lineRule="auto"/>
        <w:rPr>
          <w:sz w:val="20"/>
          <w:szCs w:val="20"/>
          <w:color w:val="auto"/>
        </w:rPr>
      </w:pPr>
      <w:r>
        <w:rPr>
          <w:rFonts w:ascii="Arial" w:cs="Arial" w:eastAsia="Arial" w:hAnsi="Arial"/>
          <w:sz w:val="18"/>
          <w:szCs w:val="18"/>
          <w:color w:val="auto"/>
        </w:rPr>
        <w:t>Subsequent to quarter end, on May 6, 2019, the Company announced its intent to acquire Aquantia, Corp. (“Aquantia”), a publicly traded company. It is a manufacturer of high speed transceivers which includes copper and optical physical layer products. The Company will pay Aquantia's stockholders $13.25 per share in cash. This represents approximately $452 million in transaction value after adjusting for net cash on Aquantia's balance sheet. The transaction is expected to close by December 2019, subject to regulatory approval as well as other customary closing conditions, including the approval by Aquantia's stockholders of the merger agreement.</w:t>
      </w:r>
    </w:p>
    <w:p>
      <w:pPr>
        <w:spacing w:after="0" w:line="200" w:lineRule="exact"/>
        <w:rPr>
          <w:sz w:val="20"/>
          <w:szCs w:val="20"/>
          <w:color w:val="auto"/>
        </w:rPr>
      </w:pPr>
    </w:p>
    <w:p>
      <w:pPr>
        <w:spacing w:after="0" w:line="33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130" w:right="239" w:bottom="1440" w:gutter="0" w:footer="0" w:header="0"/>
        </w:sectPr>
      </w:pPr>
    </w:p>
    <w:bookmarkStart w:id="23" w:name="page24"/>
    <w:bookmarkEnd w:id="2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5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right="200" w:firstLine="405"/>
        <w:spacing w:after="0" w:line="259" w:lineRule="auto"/>
        <w:rPr>
          <w:sz w:val="20"/>
          <w:szCs w:val="20"/>
          <w:color w:val="auto"/>
        </w:rPr>
      </w:pPr>
      <w:r>
        <w:rPr>
          <w:rFonts w:ascii="Arial" w:cs="Arial" w:eastAsia="Arial" w:hAnsi="Arial"/>
          <w:sz w:val="18"/>
          <w:szCs w:val="18"/>
          <w:color w:val="auto"/>
        </w:rPr>
        <w:t>Subsequent to quarter end, on May 20, 2019, the Company announced its intent to acquire Avera Semiconductor (“Avera”), the application specific integrated circuit (“ASIC”) business of GlobalFoundries Inc. (“GlobalFoundries”). The Company will pay GlobalFoundries $650 million in cash at closing plus an additional $90 million in cash if certain business conditions are satisfied within the next 15 months. The transaction is expected to close by January 2020 pending receipt of regulatory approvals and other customary closing conditions.</w:t>
      </w:r>
    </w:p>
    <w:p>
      <w:pPr>
        <w:spacing w:after="0" w:line="187" w:lineRule="exact"/>
        <w:rPr>
          <w:sz w:val="20"/>
          <w:szCs w:val="20"/>
          <w:color w:val="auto"/>
        </w:rPr>
      </w:pPr>
    </w:p>
    <w:p>
      <w:pPr>
        <w:ind w:firstLine="405"/>
        <w:spacing w:after="0" w:line="302" w:lineRule="auto"/>
        <w:rPr>
          <w:sz w:val="20"/>
          <w:szCs w:val="20"/>
          <w:color w:val="auto"/>
        </w:rPr>
      </w:pPr>
      <w:r>
        <w:rPr>
          <w:rFonts w:ascii="Arial" w:cs="Arial" w:eastAsia="Arial" w:hAnsi="Arial"/>
          <w:sz w:val="16"/>
          <w:szCs w:val="16"/>
          <w:color w:val="auto"/>
        </w:rPr>
        <w:t>Subsequent to quarter end, on May 29, 2019, the Company announced its intent to sell its wi-fi connectivity business to NXP for $1.76 billion in cash. The divestiture encompasses the Company's wi-fi and bluetooth technology portfolios and related assets. The business employs approximately 550 people worldwide and generated approximately $300 million in revenue in the Company's fiscal 2019. This transaction has been approved by the boards of directors of NXP and the Company and is expected to close by March 2020, subject to customary closing conditions and regulatory approvals.</w:t>
      </w:r>
    </w:p>
    <w:p>
      <w:pPr>
        <w:spacing w:after="0" w:line="154" w:lineRule="exact"/>
        <w:rPr>
          <w:sz w:val="20"/>
          <w:szCs w:val="20"/>
          <w:color w:val="auto"/>
        </w:rPr>
      </w:pPr>
    </w:p>
    <w:p>
      <w:pPr>
        <w:ind w:right="20" w:firstLine="405"/>
        <w:spacing w:after="0" w:line="342" w:lineRule="auto"/>
        <w:rPr>
          <w:sz w:val="20"/>
          <w:szCs w:val="20"/>
          <w:color w:val="auto"/>
        </w:rPr>
      </w:pPr>
      <w:r>
        <w:rPr>
          <w:rFonts w:ascii="Arial" w:cs="Arial" w:eastAsia="Arial" w:hAnsi="Arial"/>
          <w:sz w:val="16"/>
          <w:szCs w:val="16"/>
          <w:color w:val="auto"/>
        </w:rPr>
        <w:t>Subsequent to quarter end, in June 2019, the Company executed a funded research and development agreement with a business partner. In conjunction with the agreement, the Company issued a warrant to purchase 9 million of the Company's common shares, subject to certain vesting and exercise conditions.</w:t>
      </w:r>
    </w:p>
    <w:p>
      <w:pPr>
        <w:spacing w:after="0" w:line="36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380"/>
          </w:cols>
          <w:pgMar w:left="240" w:top="130" w:right="279" w:bottom="1440" w:gutter="0" w:footer="0" w:header="0"/>
        </w:sectPr>
      </w:pPr>
    </w:p>
    <w:bookmarkStart w:id="24" w:name="page25"/>
    <w:bookmarkEnd w:id="2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ind w:firstLine="405"/>
        <w:spacing w:after="0" w:line="276" w:lineRule="auto"/>
        <w:rPr>
          <w:sz w:val="20"/>
          <w:szCs w:val="20"/>
          <w:color w:val="auto"/>
        </w:rPr>
      </w:pPr>
      <w:r>
        <w:rPr>
          <w:rFonts w:ascii="Arial" w:cs="Arial" w:eastAsia="Arial" w:hAnsi="Arial"/>
          <w:sz w:val="17"/>
          <w:szCs w:val="17"/>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“may,” “can,” “will,” “would” and similar expressions identify such forward-looking statements.</w:t>
      </w:r>
    </w:p>
    <w:p>
      <w:pPr>
        <w:spacing w:after="0" w:line="173" w:lineRule="exact"/>
        <w:rPr>
          <w:sz w:val="20"/>
          <w:szCs w:val="20"/>
          <w:color w:val="auto"/>
        </w:rPr>
      </w:pPr>
    </w:p>
    <w:p>
      <w:pPr>
        <w:ind w:right="320" w:firstLine="648"/>
        <w:spacing w:after="0" w:line="308"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47" w:lineRule="exact"/>
        <w:rPr>
          <w:sz w:val="20"/>
          <w:szCs w:val="20"/>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our ability to successfully integrate acquired businesses with our business;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realize anticipated synergies in connection with acquired businesses;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our dependence on a small number of customers;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severe financial hardship or bankruptcy of one or more of our major customers;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the effects of any potential future acquisitions, strategic investments, divestitures, mergers or joint ventures;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risks associated with acquisition and consolidation activity in the semiconductor industry;</w:t>
      </w:r>
    </w:p>
    <w:p>
      <w:pPr>
        <w:spacing w:after="0" w:line="9" w:lineRule="exact"/>
        <w:rPr>
          <w:rFonts w:ascii="Arial" w:cs="Arial" w:eastAsia="Arial" w:hAnsi="Arial"/>
          <w:sz w:val="18"/>
          <w:szCs w:val="18"/>
          <w:color w:val="auto"/>
        </w:rPr>
      </w:pPr>
    </w:p>
    <w:p>
      <w:pPr>
        <w:ind w:left="660"/>
        <w:spacing w:after="0"/>
        <w:rPr>
          <w:rFonts w:ascii="Arial" w:cs="Arial" w:eastAsia="Arial" w:hAnsi="Arial"/>
          <w:sz w:val="18"/>
          <w:szCs w:val="18"/>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storage market, which is highly cyclical and intensely competitive;</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 w:lineRule="exact"/>
        <w:rPr>
          <w:rFonts w:ascii="Arial" w:cs="Arial" w:eastAsia="Arial" w:hAnsi="Arial"/>
          <w:sz w:val="18"/>
          <w:szCs w:val="18"/>
          <w:color w:val="auto"/>
        </w:rPr>
      </w:pPr>
    </w:p>
    <w:p>
      <w:pPr>
        <w:ind w:left="660" w:right="700" w:hanging="328"/>
        <w:spacing w:after="0" w:line="250" w:lineRule="auto"/>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ability to define, design and develop products for the infrastructure and 5G market and market and sell those products to infrastructure customers;</w:t>
      </w: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7"/>
          <w:szCs w:val="17"/>
          <w:color w:val="auto"/>
        </w:rPr>
      </w:pPr>
      <w:r>
        <w:rPr>
          <w:rFonts w:ascii="Arial" w:cs="Arial" w:eastAsia="Arial" w:hAnsi="Arial"/>
          <w:sz w:val="17"/>
          <w:szCs w:val="17"/>
          <w:i w:val="1"/>
          <w:iCs w:val="1"/>
          <w:color w:val="auto"/>
        </w:rPr>
        <w:t>the risks associated with manufacturing and selling a majority of our products and our customers’ products outside of the United States;</w:t>
      </w:r>
    </w:p>
    <w:p>
      <w:pPr>
        <w:spacing w:after="0" w:line="20" w:lineRule="exact"/>
        <w:rPr>
          <w:rFonts w:ascii="Arial" w:cs="Arial" w:eastAsia="Arial" w:hAnsi="Arial"/>
          <w:sz w:val="17"/>
          <w:szCs w:val="17"/>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the effects of transitioning to smaller geometry process technologies;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limit costs related to defective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7"/>
          <w:szCs w:val="17"/>
          <w:i w:val="1"/>
          <w:iCs w:val="1"/>
          <w:color w:val="auto"/>
        </w:rPr>
      </w:pPr>
      <w:r>
        <w:rPr>
          <w:rFonts w:ascii="Arial" w:cs="Arial" w:eastAsia="Arial" w:hAnsi="Arial"/>
          <w:sz w:val="17"/>
          <w:szCs w:val="17"/>
          <w:i w:val="1"/>
          <w:iCs w:val="1"/>
          <w:color w:val="auto"/>
        </w:rPr>
        <w:t>our ability to recruit and retain experienced executive management as well as highly skilled engineering and sales and marketing personnel;</w:t>
      </w:r>
    </w:p>
    <w:p>
      <w:pPr>
        <w:spacing w:after="0" w:line="20" w:lineRule="exact"/>
        <w:rPr>
          <w:rFonts w:ascii="Arial" w:cs="Arial" w:eastAsia="Arial" w:hAnsi="Arial"/>
          <w:sz w:val="17"/>
          <w:szCs w:val="17"/>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mitigate risks related to our information technology systems;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estimate customer demand and future sales accurately;</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third-party distributors and manufacturers' representatives to sell our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and continued economic volatility in either domestic or foreign markets;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w:t>
      </w:r>
    </w:p>
    <w:p>
      <w:pPr>
        <w:spacing w:after="0" w:line="9" w:lineRule="exact"/>
        <w:rPr>
          <w:rFonts w:ascii="Arial" w:cs="Arial" w:eastAsia="Arial" w:hAnsi="Arial"/>
          <w:sz w:val="18"/>
          <w:szCs w:val="18"/>
          <w:i w:val="1"/>
          <w:iCs w:val="1"/>
          <w:color w:val="auto"/>
        </w:rPr>
      </w:pPr>
    </w:p>
    <w:p>
      <w:pPr>
        <w:ind w:left="660" w:right="60" w:hanging="328"/>
        <w:spacing w:after="0" w:line="250" w:lineRule="auto"/>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any changes in our application of the United Stated federal income tax laws and the loss of any beneficial treatment that we currently enjoy;</w:t>
      </w: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our maintenance of an effective system of internal controls;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the outcome of pending or future litigation and legal and regulatory proceedings.</w:t>
      </w:r>
    </w:p>
    <w:p>
      <w:pPr>
        <w:spacing w:after="0" w:line="305" w:lineRule="exact"/>
        <w:rPr>
          <w:sz w:val="20"/>
          <w:szCs w:val="20"/>
          <w:color w:val="auto"/>
        </w:rPr>
      </w:pPr>
    </w:p>
    <w:p>
      <w:pPr>
        <w:ind w:right="40" w:firstLine="648"/>
        <w:spacing w:after="0" w:line="264"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60" w:firstLine="432"/>
        <w:spacing w:after="0" w:line="257"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virtually instantaneous communications across 5G, cloud, automotive, industrial and artificial intelligence applications.</w:t>
      </w:r>
    </w:p>
    <w:p>
      <w:pPr>
        <w:spacing w:after="0" w:line="21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320"/>
          </w:cols>
          <w:pgMar w:left="240" w:top="130" w:right="339" w:bottom="1440" w:gutter="0" w:footer="0" w:header="0"/>
        </w:sectPr>
      </w:pPr>
    </w:p>
    <w:bookmarkStart w:id="25" w:name="page26"/>
    <w:bookmarkEnd w:id="2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60" w:lineRule="exact"/>
        <w:rPr>
          <w:sz w:val="20"/>
          <w:szCs w:val="20"/>
          <w:color w:val="auto"/>
        </w:rPr>
      </w:pPr>
    </w:p>
    <w:p>
      <w:pPr>
        <w:ind w:right="200" w:firstLine="405"/>
        <w:spacing w:after="0" w:line="279" w:lineRule="auto"/>
        <w:rPr>
          <w:sz w:val="20"/>
          <w:szCs w:val="20"/>
          <w:color w:val="auto"/>
        </w:rPr>
      </w:pPr>
      <w:r>
        <w:rPr>
          <w:rFonts w:ascii="Arial" w:cs="Arial" w:eastAsia="Arial" w:hAnsi="Arial"/>
          <w:sz w:val="17"/>
          <w:szCs w:val="17"/>
          <w:color w:val="auto"/>
        </w:rPr>
        <w:t>In the first quarter of fiscal 2020, our net revenue increased year over year by 9.6% from $604.6 million net revenue in the first quarter fiscal 2019 compared with $662.5 million in the first quarter of fiscal 2020. The increase was primarily due to increased sales of our networking products by 40% with sales benefiting from our acquisition of Cavium. This increase was partially offset by a decrease in our storage product sales and other product sales, which decreased by 12% and 2%, respectively, in relation to the three months ended May 5, 2018.</w:t>
      </w:r>
    </w:p>
    <w:p>
      <w:pPr>
        <w:spacing w:after="0" w:line="171" w:lineRule="exact"/>
        <w:rPr>
          <w:sz w:val="20"/>
          <w:szCs w:val="20"/>
          <w:color w:val="auto"/>
        </w:rPr>
      </w:pPr>
    </w:p>
    <w:p>
      <w:pPr>
        <w:ind w:right="80" w:firstLine="405"/>
        <w:spacing w:after="0" w:line="308" w:lineRule="auto"/>
        <w:rPr>
          <w:sz w:val="20"/>
          <w:szCs w:val="20"/>
          <w:color w:val="auto"/>
        </w:rPr>
      </w:pPr>
      <w:r>
        <w:rPr>
          <w:rFonts w:ascii="Arial" w:cs="Arial" w:eastAsia="Arial" w:hAnsi="Arial"/>
          <w:sz w:val="17"/>
          <w:szCs w:val="17"/>
          <w:color w:val="auto"/>
        </w:rPr>
        <w:t>As we enter the second quarter of fiscal year 2020, we are monitoring the near term geopolitical uncertainty and the recent ban on shipments to Huawei Technologies Co., Ltd. (“Huawei”). The following discussion reflects our current assessment of the near term impact of this uncertainty.</w:t>
      </w:r>
    </w:p>
    <w:p>
      <w:pPr>
        <w:spacing w:after="0" w:line="147"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Subsequent to quarter end, on May 6, 2019, we announced our intent to acquire Aquantia, Corp. (“Aquantia”), a publicly traded company. It is a manufacturer of high speed transceivers which includes copper and optical physical layer products. Under the terms of the purchase agreement, we will pay Aquantia's stockholders $13.25 per share in cash. This represents approximately $452 million in transaction value after adjusting for net cash on Aquantia's balance sheet. We intend to finance the transaction with cash on hand and borrowings from our revolving credit facility. The transaction is expected to close by the end of December 2019, subject to regulatory approval as well as other customary closing conditions, including the adoption by Aquantia's stockholders of the merger agreement.</w:t>
      </w:r>
    </w:p>
    <w:p>
      <w:pPr>
        <w:spacing w:after="0" w:line="193"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The acquisition of Aquantia complements our portfolio of copper and optical physical layer product offerings and extends our position in the Multi-Gig 2.5G/5G/10G Ethernet segments. In particular, Aquantia's multi-gig automotive PHYs, coupled with our industry-leading gigabit PHY and secure switch products, creates an advanced range of high-speed in-car networking solutions to enable automotive networking with speeds necessary to enable level 4 and 5 autonomous driving.</w:t>
      </w:r>
    </w:p>
    <w:p>
      <w:pPr>
        <w:spacing w:after="0" w:line="187" w:lineRule="exact"/>
        <w:rPr>
          <w:sz w:val="20"/>
          <w:szCs w:val="20"/>
          <w:color w:val="auto"/>
        </w:rPr>
      </w:pPr>
    </w:p>
    <w:p>
      <w:pPr>
        <w:ind w:right="20" w:firstLine="405"/>
        <w:spacing w:after="0" w:line="255" w:lineRule="auto"/>
        <w:rPr>
          <w:sz w:val="20"/>
          <w:szCs w:val="20"/>
          <w:color w:val="auto"/>
        </w:rPr>
      </w:pPr>
      <w:r>
        <w:rPr>
          <w:rFonts w:ascii="Arial" w:cs="Arial" w:eastAsia="Arial" w:hAnsi="Arial"/>
          <w:sz w:val="18"/>
          <w:szCs w:val="18"/>
          <w:color w:val="auto"/>
        </w:rPr>
        <w:t>Subsequent to quarter end, on May 20, 2019, we announced our intent to acquire Avera Semiconductor (“Avera”), the application specific integrated circuit (“ASIC”) business of GlobalFoundries Inc. (“GlobalFoundries”). This acquisition brings together Avera's leading custom design capabilities with our advanced technology platform and scale, creating a leading ASIC supplier for wired and wireless infrastructure. The agreements include transfer of Avera's revenue base, strategic design wins with leading infrastructure original equipment manufacturers, and a new long-term wafer supply agreement between GlobalFoundries and us. We will pay GlobalFoundries $650 million in cash at closing plus an additional $90 million in cash if certain business conditions are satisfied within the next 15 months. The transaction is expected to close by January 2020 pending receipt of regulatory approvals and other customary closing conditions.</w:t>
      </w:r>
    </w:p>
    <w:p>
      <w:pPr>
        <w:spacing w:after="0" w:line="189" w:lineRule="exact"/>
        <w:rPr>
          <w:sz w:val="20"/>
          <w:szCs w:val="20"/>
          <w:color w:val="auto"/>
        </w:rPr>
      </w:pPr>
    </w:p>
    <w:p>
      <w:pPr>
        <w:ind w:right="140" w:firstLine="405"/>
        <w:spacing w:after="0" w:line="279" w:lineRule="auto"/>
        <w:rPr>
          <w:sz w:val="20"/>
          <w:szCs w:val="20"/>
          <w:color w:val="auto"/>
        </w:rPr>
      </w:pPr>
      <w:r>
        <w:rPr>
          <w:rFonts w:ascii="Arial" w:cs="Arial" w:eastAsia="Arial" w:hAnsi="Arial"/>
          <w:sz w:val="17"/>
          <w:szCs w:val="17"/>
          <w:color w:val="auto"/>
        </w:rPr>
        <w:t>Subsequent to the quarter end, on May 29, 2019, we announced our intent to sell our wi-fi connectivity business to NXP for $1.76 billion in cash. The divestiture encompasses our wi-fi and bluetooth technology portfolios and related assets. The business employs approximately 550 people worldwide and generated approximately $300 million in revenue in our fiscal 2019. This transaction has been approved by the board of directors of NXP and our board of directors and is expected to close by March 2020, subject to customary closing conditions and regulatory approvals.</w:t>
      </w:r>
    </w:p>
    <w:p>
      <w:pPr>
        <w:spacing w:after="0" w:line="171" w:lineRule="exact"/>
        <w:rPr>
          <w:sz w:val="20"/>
          <w:szCs w:val="20"/>
          <w:color w:val="auto"/>
        </w:rPr>
      </w:pPr>
    </w:p>
    <w:p>
      <w:pPr>
        <w:ind w:right="180" w:firstLine="405"/>
        <w:spacing w:after="0" w:line="255" w:lineRule="auto"/>
        <w:rPr>
          <w:sz w:val="20"/>
          <w:szCs w:val="20"/>
          <w:color w:val="auto"/>
        </w:rPr>
      </w:pPr>
      <w:r>
        <w:rPr>
          <w:rFonts w:ascii="Arial" w:cs="Arial" w:eastAsia="Arial" w:hAnsi="Arial"/>
          <w:sz w:val="18"/>
          <w:szCs w:val="18"/>
          <w:i w:val="1"/>
          <w:iCs w:val="1"/>
          <w:color w:val="auto"/>
        </w:rPr>
        <w:t xml:space="preserve">Capital Return Program. </w:t>
      </w:r>
      <w:r>
        <w:rPr>
          <w:rFonts w:ascii="Arial" w:cs="Arial" w:eastAsia="Arial" w:hAnsi="Arial"/>
          <w:sz w:val="18"/>
          <w:szCs w:val="18"/>
          <w:color w:val="auto"/>
        </w:rPr>
        <w:t>We remain committed to delivering shareholder value through our share repurchase and dividend programs. On October 16,</w:t>
      </w:r>
      <w:r>
        <w:rPr>
          <w:rFonts w:ascii="Arial" w:cs="Arial" w:eastAsia="Arial" w:hAnsi="Arial"/>
          <w:sz w:val="18"/>
          <w:szCs w:val="18"/>
          <w:i w:val="1"/>
          <w:iCs w:val="1"/>
          <w:color w:val="auto"/>
        </w:rPr>
        <w:t xml:space="preserve"> </w:t>
      </w:r>
      <w:r>
        <w:rPr>
          <w:rFonts w:ascii="Arial" w:cs="Arial" w:eastAsia="Arial" w:hAnsi="Arial"/>
          <w:sz w:val="18"/>
          <w:szCs w:val="18"/>
          <w:color w:val="auto"/>
        </w:rPr>
        <w:t>2018, we announced that our Board of Directors authorized a $700 million addition to the balance of our existing share repurchase plan. Under the program authorized by our Board of Directors, we may repurchase shares in the open-market or through privately negotiated transactions. The extent to which we repurchase our shares and the timing of such repurchases will depend upon market conditions and other corporate considerations, as determined by our management team. The repurchase program may be suspended or discontinued at any time. As of May 4, 2019, there was $904 million remaining available for future share repurchases.</w:t>
      </w:r>
    </w:p>
    <w:p>
      <w:pPr>
        <w:spacing w:after="0" w:line="193" w:lineRule="exact"/>
        <w:rPr>
          <w:sz w:val="20"/>
          <w:szCs w:val="20"/>
          <w:color w:val="auto"/>
        </w:rPr>
      </w:pPr>
    </w:p>
    <w:p>
      <w:pPr>
        <w:ind w:right="40" w:firstLine="405"/>
        <w:spacing w:after="0" w:line="286" w:lineRule="auto"/>
        <w:rPr>
          <w:sz w:val="20"/>
          <w:szCs w:val="20"/>
          <w:color w:val="auto"/>
        </w:rPr>
      </w:pPr>
      <w:r>
        <w:rPr>
          <w:rFonts w:ascii="Arial" w:cs="Arial" w:eastAsia="Arial" w:hAnsi="Arial"/>
          <w:sz w:val="17"/>
          <w:szCs w:val="17"/>
          <w:color w:val="auto"/>
        </w:rPr>
        <w:t>For the three months ended May 4, 2019, we repurchased 2.4 million shares of our common stock for $50.0 million. As of May 4, 2019, a total of 294.8 million shares have been repurchased to date under the Company’s share repurchase programs for a total $3.9 billion in cash. We returned $89.5 million to stockholders in the three months ended May 4, 2019, including our repurchases of common stock and $39.5 million of cash dividends.</w:t>
      </w:r>
    </w:p>
    <w:p>
      <w:pPr>
        <w:spacing w:after="0" w:line="166" w:lineRule="exact"/>
        <w:rPr>
          <w:sz w:val="20"/>
          <w:szCs w:val="20"/>
          <w:color w:val="auto"/>
        </w:rPr>
      </w:pPr>
    </w:p>
    <w:p>
      <w:pPr>
        <w:ind w:right="20" w:firstLine="405"/>
        <w:spacing w:after="0" w:line="277" w:lineRule="auto"/>
        <w:rPr>
          <w:sz w:val="20"/>
          <w:szCs w:val="20"/>
          <w:color w:val="auto"/>
        </w:rPr>
      </w:pPr>
      <w:r>
        <w:rPr>
          <w:rFonts w:ascii="Arial" w:cs="Arial" w:eastAsia="Arial" w:hAnsi="Arial"/>
          <w:sz w:val="18"/>
          <w:szCs w:val="18"/>
          <w:i w:val="1"/>
          <w:iCs w:val="1"/>
          <w:color w:val="auto"/>
        </w:rPr>
        <w:t xml:space="preserve">Cash and Short Term Investments. </w:t>
      </w:r>
      <w:r>
        <w:rPr>
          <w:rFonts w:ascii="Arial" w:cs="Arial" w:eastAsia="Arial" w:hAnsi="Arial"/>
          <w:sz w:val="18"/>
          <w:szCs w:val="18"/>
          <w:color w:val="auto"/>
        </w:rPr>
        <w:t>Our cash, cash equivalents and short-term investments were $571.9 million at May 4, 2019, which was slightly lower</w:t>
      </w:r>
      <w:r>
        <w:rPr>
          <w:rFonts w:ascii="Arial" w:cs="Arial" w:eastAsia="Arial" w:hAnsi="Arial"/>
          <w:sz w:val="18"/>
          <w:szCs w:val="18"/>
          <w:i w:val="1"/>
          <w:iCs w:val="1"/>
          <w:color w:val="auto"/>
        </w:rPr>
        <w:t xml:space="preserve"> </w:t>
      </w:r>
      <w:r>
        <w:rPr>
          <w:rFonts w:ascii="Arial" w:cs="Arial" w:eastAsia="Arial" w:hAnsi="Arial"/>
          <w:sz w:val="18"/>
          <w:szCs w:val="18"/>
          <w:color w:val="auto"/>
        </w:rPr>
        <w:t>than our balance at our fiscal year ended February 2, 2019 of $582.4 million.</w:t>
      </w:r>
    </w:p>
    <w:p>
      <w:pPr>
        <w:spacing w:after="0" w:line="200" w:lineRule="exact"/>
        <w:rPr>
          <w:sz w:val="20"/>
          <w:szCs w:val="20"/>
          <w:color w:val="auto"/>
        </w:rPr>
      </w:pPr>
    </w:p>
    <w:p>
      <w:pPr>
        <w:spacing w:after="0" w:line="2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00"/>
          </w:cols>
          <w:pgMar w:left="240" w:top="130" w:right="259" w:bottom="1440" w:gutter="0" w:footer="0" w:header="0"/>
        </w:sectPr>
      </w:pPr>
    </w:p>
    <w:bookmarkStart w:id="26" w:name="page27"/>
    <w:bookmarkEnd w:id="2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4" w:lineRule="exact"/>
        <w:rPr>
          <w:sz w:val="20"/>
          <w:szCs w:val="20"/>
          <w:color w:val="auto"/>
        </w:rPr>
      </w:pPr>
    </w:p>
    <w:p>
      <w:pPr>
        <w:ind w:right="160" w:firstLine="405"/>
        <w:spacing w:after="0" w:line="264" w:lineRule="auto"/>
        <w:rPr>
          <w:sz w:val="20"/>
          <w:szCs w:val="20"/>
          <w:color w:val="auto"/>
        </w:rPr>
      </w:pPr>
      <w:r>
        <w:rPr>
          <w:rFonts w:ascii="Arial" w:cs="Arial" w:eastAsia="Arial" w:hAnsi="Arial"/>
          <w:sz w:val="18"/>
          <w:szCs w:val="18"/>
          <w:i w:val="1"/>
          <w:iCs w:val="1"/>
          <w:color w:val="auto"/>
        </w:rPr>
        <w:t xml:space="preserve">Sales and Customer Composition. </w:t>
      </w:r>
      <w:r>
        <w:rPr>
          <w:rFonts w:ascii="Arial" w:cs="Arial" w:eastAsia="Arial" w:hAnsi="Arial"/>
          <w:sz w:val="18"/>
          <w:szCs w:val="18"/>
          <w:color w:val="auto"/>
        </w:rPr>
        <w:t>Historically, a relatively small number of customers have accounted for a significant portion of our net revenue. Net</w:t>
      </w:r>
      <w:r>
        <w:rPr>
          <w:rFonts w:ascii="Arial" w:cs="Arial" w:eastAsia="Arial" w:hAnsi="Arial"/>
          <w:sz w:val="18"/>
          <w:szCs w:val="18"/>
          <w:i w:val="1"/>
          <w:iCs w:val="1"/>
          <w:color w:val="auto"/>
        </w:rPr>
        <w:t xml:space="preserve"> </w:t>
      </w:r>
      <w:r>
        <w:rPr>
          <w:rFonts w:ascii="Arial" w:cs="Arial" w:eastAsia="Arial" w:hAnsi="Arial"/>
          <w:sz w:val="18"/>
          <w:szCs w:val="18"/>
          <w:color w:val="auto"/>
        </w:rPr>
        <w:t>revenue attributable to significant customers whose revenue as a percentage of net revenue was 10% or greater of total net revenue is presented in the following table:</w:t>
      </w:r>
    </w:p>
    <w:p>
      <w:pPr>
        <w:spacing w:after="0" w:line="308" w:lineRule="exact"/>
        <w:rPr>
          <w:sz w:val="20"/>
          <w:szCs w:val="20"/>
          <w:color w:val="auto"/>
        </w:rPr>
      </w:pPr>
    </w:p>
    <w:p>
      <w:pPr>
        <w:ind w:left="9180"/>
        <w:spacing w:after="0"/>
        <w:rPr>
          <w:sz w:val="20"/>
          <w:szCs w:val="20"/>
          <w:color w:val="auto"/>
        </w:rPr>
      </w:pPr>
      <w:r>
        <w:rPr>
          <w:rFonts w:ascii="Arial" w:cs="Arial" w:eastAsia="Arial" w:hAnsi="Arial"/>
          <w:sz w:val="14"/>
          <w:szCs w:val="14"/>
          <w:b w:val="1"/>
          <w:bCs w:val="1"/>
          <w:color w:val="auto"/>
        </w:rPr>
        <w:t>Three Months Ended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5219065</wp:posOffset>
            </wp:positionH>
            <wp:positionV relativeFrom="paragraph">
              <wp:posOffset>23495</wp:posOffset>
            </wp:positionV>
            <wp:extent cx="203263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2032635"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220" w:type="dxa"/>
            <w:vAlign w:val="bottom"/>
            <w:tcBorders>
              <w:bottom w:val="single" w:sz="8" w:color="CCEEFF"/>
            </w:tcBorders>
          </w:tcPr>
          <w:p>
            <w:pPr>
              <w:spacing w:after="0"/>
              <w:rPr>
                <w:sz w:val="16"/>
                <w:szCs w:val="16"/>
                <w:color w:val="auto"/>
              </w:rPr>
            </w:pPr>
          </w:p>
        </w:tc>
        <w:tc>
          <w:tcPr>
            <w:tcW w:w="116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w w:val="95"/>
              </w:rPr>
              <w:t>May 4, 2019</w:t>
            </w:r>
          </w:p>
        </w:tc>
        <w:tc>
          <w:tcPr>
            <w:tcW w:w="38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560" w:type="dxa"/>
            <w:vAlign w:val="bottom"/>
            <w:tcBorders>
              <w:bottom w:val="single" w:sz="8" w:color="auto"/>
            </w:tcBorders>
          </w:tcPr>
          <w:p>
            <w:pPr>
              <w:jc w:val="right"/>
              <w:ind w:right="313"/>
              <w:spacing w:after="0"/>
              <w:rPr>
                <w:sz w:val="20"/>
                <w:szCs w:val="20"/>
                <w:color w:val="auto"/>
              </w:rPr>
            </w:pPr>
            <w:r>
              <w:rPr>
                <w:rFonts w:ascii="Arial" w:cs="Arial" w:eastAsia="Arial" w:hAnsi="Arial"/>
                <w:sz w:val="14"/>
                <w:szCs w:val="14"/>
                <w:b w:val="1"/>
                <w:bCs w:val="1"/>
                <w:color w:val="auto"/>
              </w:rPr>
              <w:t>May 5, 2018</w:t>
            </w:r>
          </w:p>
        </w:tc>
      </w:tr>
      <w:tr>
        <w:trPr>
          <w:trHeight w:val="250"/>
        </w:trPr>
        <w:tc>
          <w:tcPr>
            <w:tcW w:w="82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End Customer:</w:t>
            </w:r>
          </w:p>
        </w:tc>
        <w:tc>
          <w:tcPr>
            <w:tcW w:w="116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spacing w:after="0"/>
              <w:rPr>
                <w:sz w:val="21"/>
                <w:szCs w:val="21"/>
                <w:color w:val="auto"/>
              </w:rPr>
            </w:pPr>
          </w:p>
        </w:tc>
      </w:tr>
      <w:tr>
        <w:trPr>
          <w:trHeight w:val="243"/>
        </w:trPr>
        <w:tc>
          <w:tcPr>
            <w:tcW w:w="9380" w:type="dxa"/>
            <w:vAlign w:val="bottom"/>
            <w:gridSpan w:val="2"/>
          </w:tcPr>
          <w:p>
            <w:pPr>
              <w:ind w:left="380"/>
              <w:spacing w:after="0"/>
              <w:rPr>
                <w:sz w:val="20"/>
                <w:szCs w:val="20"/>
                <w:color w:val="auto"/>
              </w:rPr>
            </w:pPr>
            <w:r>
              <w:rPr>
                <w:rFonts w:ascii="Arial" w:cs="Arial" w:eastAsia="Arial" w:hAnsi="Arial"/>
                <w:sz w:val="18"/>
                <w:szCs w:val="18"/>
                <w:color w:val="auto"/>
              </w:rPr>
              <w:t>Western Digital</w:t>
            </w:r>
          </w:p>
        </w:tc>
        <w:tc>
          <w:tcPr>
            <w:tcW w:w="380" w:type="dxa"/>
            <w:vAlign w:val="bottom"/>
          </w:tcPr>
          <w:p>
            <w:pPr>
              <w:jc w:val="right"/>
              <w:spacing w:after="0"/>
              <w:rPr>
                <w:sz w:val="20"/>
                <w:szCs w:val="20"/>
                <w:color w:val="auto"/>
              </w:rPr>
            </w:pPr>
            <w:r>
              <w:rPr>
                <w:rFonts w:ascii="Arial" w:cs="Arial" w:eastAsia="Arial" w:hAnsi="Arial"/>
                <w:sz w:val="18"/>
                <w:szCs w:val="18"/>
                <w:color w:val="auto"/>
                <w:w w:val="88"/>
              </w:rPr>
              <w:t>11%</w:t>
            </w:r>
          </w:p>
        </w:tc>
        <w:tc>
          <w:tcPr>
            <w:tcW w:w="100" w:type="dxa"/>
            <w:vAlign w:val="bottom"/>
          </w:tcPr>
          <w:p>
            <w:pPr>
              <w:spacing w:after="0"/>
              <w:rPr>
                <w:sz w:val="21"/>
                <w:szCs w:val="21"/>
                <w:color w:val="auto"/>
              </w:rPr>
            </w:pPr>
          </w:p>
        </w:tc>
        <w:tc>
          <w:tcPr>
            <w:tcW w:w="156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7"/>
        </w:trPr>
        <w:tc>
          <w:tcPr>
            <w:tcW w:w="8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r>
      <w:tr>
        <w:trPr>
          <w:trHeight w:val="250"/>
        </w:trPr>
        <w:tc>
          <w:tcPr>
            <w:tcW w:w="9380" w:type="dxa"/>
            <w:vAlign w:val="bottom"/>
            <w:tcBorders>
              <w:bottom w:val="single" w:sz="8" w:color="CCEEFF"/>
            </w:tcBorders>
            <w:gridSpan w:val="2"/>
            <w:shd w:val="clear" w:color="auto" w:fill="CCEEFF"/>
          </w:tcPr>
          <w:p>
            <w:pPr>
              <w:ind w:left="380"/>
              <w:spacing w:after="0"/>
              <w:rPr>
                <w:sz w:val="20"/>
                <w:szCs w:val="20"/>
                <w:color w:val="auto"/>
              </w:rPr>
            </w:pPr>
            <w:r>
              <w:rPr>
                <w:rFonts w:ascii="Arial" w:cs="Arial" w:eastAsia="Arial" w:hAnsi="Arial"/>
                <w:sz w:val="18"/>
                <w:szCs w:val="18"/>
                <w:color w:val="auto"/>
              </w:rPr>
              <w:t>Toshiba</w:t>
            </w:r>
          </w:p>
        </w:tc>
        <w:tc>
          <w:tcPr>
            <w:tcW w:w="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88"/>
              </w:rPr>
              <w:t>11%</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w:t>
            </w:r>
          </w:p>
        </w:tc>
      </w:tr>
      <w:tr>
        <w:trPr>
          <w:trHeight w:val="243"/>
        </w:trPr>
        <w:tc>
          <w:tcPr>
            <w:tcW w:w="9380" w:type="dxa"/>
            <w:vAlign w:val="bottom"/>
            <w:gridSpan w:val="2"/>
          </w:tcPr>
          <w:p>
            <w:pPr>
              <w:ind w:left="380"/>
              <w:spacing w:after="0"/>
              <w:rPr>
                <w:sz w:val="20"/>
                <w:szCs w:val="20"/>
                <w:color w:val="auto"/>
              </w:rPr>
            </w:pPr>
            <w:r>
              <w:rPr>
                <w:rFonts w:ascii="Arial" w:cs="Arial" w:eastAsia="Arial" w:hAnsi="Arial"/>
                <w:sz w:val="18"/>
                <w:szCs w:val="18"/>
                <w:color w:val="auto"/>
              </w:rPr>
              <w:t>Cisco Systems</w:t>
            </w:r>
          </w:p>
        </w:tc>
        <w:tc>
          <w:tcPr>
            <w:tcW w:w="380" w:type="dxa"/>
            <w:vAlign w:val="bottom"/>
          </w:tcPr>
          <w:p>
            <w:pPr>
              <w:jc w:val="right"/>
              <w:spacing w:after="0"/>
              <w:rPr>
                <w:sz w:val="20"/>
                <w:szCs w:val="20"/>
                <w:color w:val="auto"/>
              </w:rPr>
            </w:pPr>
            <w:r>
              <w:rPr>
                <w:rFonts w:ascii="Arial" w:cs="Arial" w:eastAsia="Arial" w:hAnsi="Arial"/>
                <w:sz w:val="18"/>
                <w:szCs w:val="18"/>
                <w:color w:val="auto"/>
                <w:w w:val="88"/>
              </w:rPr>
              <w:t>11%</w:t>
            </w:r>
          </w:p>
        </w:tc>
        <w:tc>
          <w:tcPr>
            <w:tcW w:w="100" w:type="dxa"/>
            <w:vAlign w:val="bottom"/>
          </w:tcPr>
          <w:p>
            <w:pPr>
              <w:spacing w:after="0"/>
              <w:rPr>
                <w:sz w:val="21"/>
                <w:szCs w:val="21"/>
                <w:color w:val="auto"/>
              </w:rPr>
            </w:pPr>
          </w:p>
        </w:tc>
        <w:tc>
          <w:tcPr>
            <w:tcW w:w="1560" w:type="dxa"/>
            <w:vAlign w:val="bottom"/>
          </w:tcPr>
          <w:p>
            <w:pPr>
              <w:jc w:val="right"/>
              <w:ind w:right="93"/>
              <w:spacing w:after="0"/>
              <w:rPr>
                <w:sz w:val="20"/>
                <w:szCs w:val="20"/>
                <w:color w:val="auto"/>
              </w:rPr>
            </w:pPr>
            <w:r>
              <w:rPr>
                <w:rFonts w:ascii="Arial" w:cs="Arial" w:eastAsia="Arial" w:hAnsi="Arial"/>
                <w:sz w:val="18"/>
                <w:szCs w:val="18"/>
                <w:color w:val="auto"/>
              </w:rPr>
              <w:t>*</w:t>
            </w:r>
          </w:p>
        </w:tc>
      </w:tr>
      <w:tr>
        <w:trPr>
          <w:trHeight w:val="27"/>
        </w:trPr>
        <w:tc>
          <w:tcPr>
            <w:tcW w:w="8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r>
      <w:tr>
        <w:trPr>
          <w:trHeight w:val="250"/>
        </w:trPr>
        <w:tc>
          <w:tcPr>
            <w:tcW w:w="9380" w:type="dxa"/>
            <w:vAlign w:val="bottom"/>
            <w:tcBorders>
              <w:bottom w:val="single" w:sz="8" w:color="CCEEFF"/>
            </w:tcBorders>
            <w:gridSpan w:val="2"/>
            <w:shd w:val="clear" w:color="auto" w:fill="CCEEFF"/>
          </w:tcPr>
          <w:p>
            <w:pPr>
              <w:ind w:left="380"/>
              <w:spacing w:after="0"/>
              <w:rPr>
                <w:sz w:val="20"/>
                <w:szCs w:val="20"/>
                <w:color w:val="auto"/>
              </w:rPr>
            </w:pPr>
            <w:r>
              <w:rPr>
                <w:rFonts w:ascii="Arial" w:cs="Arial" w:eastAsia="Arial" w:hAnsi="Arial"/>
                <w:sz w:val="18"/>
                <w:szCs w:val="18"/>
                <w:color w:val="auto"/>
              </w:rPr>
              <w:t>Seagate</w:t>
            </w:r>
          </w:p>
        </w:tc>
        <w:tc>
          <w:tcPr>
            <w:tcW w:w="38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w:t>
            </w:r>
          </w:p>
        </w:tc>
      </w:tr>
      <w:tr>
        <w:trPr>
          <w:trHeight w:val="243"/>
        </w:trPr>
        <w:tc>
          <w:tcPr>
            <w:tcW w:w="9380" w:type="dxa"/>
            <w:vAlign w:val="bottom"/>
            <w:gridSpan w:val="2"/>
          </w:tcPr>
          <w:p>
            <w:pPr>
              <w:ind w:left="40"/>
              <w:spacing w:after="0"/>
              <w:rPr>
                <w:sz w:val="20"/>
                <w:szCs w:val="20"/>
                <w:color w:val="auto"/>
              </w:rPr>
            </w:pPr>
            <w:r>
              <w:rPr>
                <w:rFonts w:ascii="Arial" w:cs="Arial" w:eastAsia="Arial" w:hAnsi="Arial"/>
                <w:sz w:val="18"/>
                <w:szCs w:val="18"/>
                <w:b w:val="1"/>
                <w:bCs w:val="1"/>
                <w:color w:val="auto"/>
              </w:rPr>
              <w:t>Distributor:</w:t>
            </w:r>
          </w:p>
        </w:tc>
        <w:tc>
          <w:tcPr>
            <w:tcW w:w="3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60" w:type="dxa"/>
            <w:vAlign w:val="bottom"/>
          </w:tcPr>
          <w:p>
            <w:pPr>
              <w:spacing w:after="0"/>
              <w:rPr>
                <w:sz w:val="21"/>
                <w:szCs w:val="21"/>
                <w:color w:val="auto"/>
              </w:rPr>
            </w:pPr>
          </w:p>
        </w:tc>
      </w:tr>
      <w:tr>
        <w:trPr>
          <w:trHeight w:val="27"/>
        </w:trPr>
        <w:tc>
          <w:tcPr>
            <w:tcW w:w="82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r>
      <w:tr>
        <w:trPr>
          <w:trHeight w:val="243"/>
        </w:trPr>
        <w:tc>
          <w:tcPr>
            <w:tcW w:w="938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Wintech</w:t>
            </w:r>
          </w:p>
        </w:tc>
        <w:tc>
          <w:tcPr>
            <w:tcW w:w="38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21"/>
                <w:szCs w:val="21"/>
                <w:color w:val="auto"/>
              </w:rPr>
            </w:pPr>
          </w:p>
        </w:tc>
        <w:tc>
          <w:tcPr>
            <w:tcW w:w="1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w:t>
            </w:r>
          </w:p>
        </w:tc>
      </w:tr>
      <w:tr>
        <w:trPr>
          <w:trHeight w:val="27"/>
        </w:trPr>
        <w:tc>
          <w:tcPr>
            <w:tcW w:w="8220" w:type="dxa"/>
            <w:vAlign w:val="bottom"/>
            <w:shd w:val="clear" w:color="auto" w:fill="CCEEFF"/>
          </w:tcPr>
          <w:p>
            <w:pPr>
              <w:spacing w:after="0"/>
              <w:rPr>
                <w:sz w:val="2"/>
                <w:szCs w:val="2"/>
                <w:color w:val="auto"/>
              </w:rPr>
            </w:pPr>
          </w:p>
        </w:tc>
        <w:tc>
          <w:tcPr>
            <w:tcW w:w="1160" w:type="dxa"/>
            <w:vAlign w:val="bottom"/>
            <w:shd w:val="clear" w:color="auto" w:fill="CCEEFF"/>
          </w:tcPr>
          <w:p>
            <w:pPr>
              <w:spacing w:after="0"/>
              <w:rPr>
                <w:sz w:val="2"/>
                <w:szCs w:val="2"/>
                <w:color w:val="auto"/>
              </w:rPr>
            </w:pPr>
          </w:p>
        </w:tc>
        <w:tc>
          <w:tcPr>
            <w:tcW w:w="38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560" w:type="dxa"/>
            <w:vAlign w:val="bottom"/>
            <w:shd w:val="clear" w:color="auto" w:fill="CCEEFF"/>
          </w:tcPr>
          <w:p>
            <w:pPr>
              <w:spacing w:after="0"/>
              <w:rPr>
                <w:sz w:val="2"/>
                <w:szCs w:val="2"/>
                <w:color w:val="auto"/>
              </w:rPr>
            </w:pPr>
          </w:p>
        </w:tc>
      </w:tr>
    </w:tbl>
    <w:p>
      <w:pPr>
        <w:spacing w:after="0" w:line="364" w:lineRule="exact"/>
        <w:rPr>
          <w:sz w:val="20"/>
          <w:szCs w:val="20"/>
          <w:color w:val="auto"/>
        </w:rPr>
      </w:pPr>
    </w:p>
    <w:p>
      <w:pPr>
        <w:ind w:left="720" w:hanging="685"/>
        <w:spacing w:after="0"/>
        <w:tabs>
          <w:tab w:leader="none" w:pos="720" w:val="left"/>
        </w:tabs>
        <w:numPr>
          <w:ilvl w:val="0"/>
          <w:numId w:val="8"/>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98"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We continuously monitor the creditworthiness of our major customers and distributors and believe the distributors’ sales to diverse end customers and geographies further serve to mitigate our exposure to credit risk.</w:t>
      </w:r>
    </w:p>
    <w:p>
      <w:pPr>
        <w:spacing w:after="0" w:line="116" w:lineRule="exact"/>
        <w:rPr>
          <w:sz w:val="20"/>
          <w:szCs w:val="20"/>
          <w:color w:val="auto"/>
        </w:rPr>
      </w:pPr>
    </w:p>
    <w:p>
      <w:pPr>
        <w:ind w:right="80" w:firstLine="405"/>
        <w:spacing w:after="0" w:line="254" w:lineRule="auto"/>
        <w:rPr>
          <w:sz w:val="20"/>
          <w:szCs w:val="20"/>
          <w:color w:val="auto"/>
        </w:rPr>
      </w:pPr>
      <w:r>
        <w:rPr>
          <w:rFonts w:ascii="Arial" w:cs="Arial" w:eastAsia="Arial" w:hAnsi="Arial"/>
          <w:sz w:val="18"/>
          <w:szCs w:val="18"/>
          <w:color w:val="auto"/>
        </w:rPr>
        <w:t>Most of our sales are made to customers located outside of the United States, primarily in Asia, and all of our products are manufactured outside the United States. Sales shipped to customers with operations in Asia represented approximately 80% of our net revenue in the three months ended May 4, 2019, and approximately 94% of net revenue in the three months ended May 5, 2018, respectively. 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including but not limited to the risk detailed under the caption “</w:t>
      </w:r>
      <w:r>
        <w:rPr>
          <w:rFonts w:ascii="Arial" w:cs="Arial" w:eastAsia="Arial" w:hAnsi="Arial"/>
          <w:sz w:val="18"/>
          <w:szCs w:val="18"/>
          <w:i w:val="1"/>
          <w:iCs w:val="1"/>
          <w:color w:val="auto"/>
        </w:rPr>
        <w:t>We face additional risks</w:t>
      </w:r>
      <w:r>
        <w:rPr>
          <w:rFonts w:ascii="Arial" w:cs="Arial" w:eastAsia="Arial" w:hAnsi="Arial"/>
          <w:sz w:val="18"/>
          <w:szCs w:val="18"/>
          <w:color w:val="auto"/>
        </w:rPr>
        <w:t xml:space="preserve"> </w:t>
      </w:r>
      <w:r>
        <w:rPr>
          <w:rFonts w:ascii="Arial" w:cs="Arial" w:eastAsia="Arial" w:hAnsi="Arial"/>
          <w:sz w:val="18"/>
          <w:szCs w:val="18"/>
          <w:i w:val="1"/>
          <w:iCs w:val="1"/>
          <w:color w:val="auto"/>
        </w:rPr>
        <w:t>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84" w:lineRule="exact"/>
        <w:rPr>
          <w:sz w:val="20"/>
          <w:szCs w:val="20"/>
          <w:color w:val="auto"/>
        </w:rPr>
      </w:pPr>
    </w:p>
    <w:p>
      <w:pPr>
        <w:ind w:firstLine="392"/>
        <w:spacing w:after="0" w:line="291" w:lineRule="auto"/>
        <w:rPr>
          <w:sz w:val="20"/>
          <w:szCs w:val="20"/>
          <w:color w:val="auto"/>
        </w:rPr>
      </w:pPr>
      <w:r>
        <w:rPr>
          <w:rFonts w:ascii="Arial" w:cs="Arial" w:eastAsia="Arial" w:hAnsi="Arial"/>
          <w:sz w:val="16"/>
          <w:szCs w:val="16"/>
          <w:color w:val="auto"/>
        </w:rPr>
        <w:t>Historically, a relatively large portion of our sales have been made on the basis of purchase orders rather than long-term agreements. Customers can generally cancel or defer purchase orders on short notice without incurring a significant penalty.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cycles, see Part II, Item 1A, “Risk Factors,” including but not limited to the risk detailed under the caption “</w:t>
      </w:r>
      <w:r>
        <w:rPr>
          <w:rFonts w:ascii="Arial" w:cs="Arial" w:eastAsia="Arial" w:hAnsi="Arial"/>
          <w:sz w:val="16"/>
          <w:szCs w:val="16"/>
          <w:i w:val="1"/>
          <w:iCs w:val="1"/>
          <w:color w:val="auto"/>
        </w:rPr>
        <w:t>We are subject to order and shipment uncertainties. If we are unable to accurately predict customer demand,</w:t>
      </w:r>
      <w:r>
        <w:rPr>
          <w:rFonts w:ascii="Arial" w:cs="Arial" w:eastAsia="Arial" w:hAnsi="Arial"/>
          <w:sz w:val="16"/>
          <w:szCs w:val="16"/>
          <w:color w:val="auto"/>
        </w:rPr>
        <w:t xml:space="preserve"> </w:t>
      </w:r>
      <w:r>
        <w:rPr>
          <w:rFonts w:ascii="Arial" w:cs="Arial" w:eastAsia="Arial" w:hAnsi="Arial"/>
          <w:sz w:val="16"/>
          <w:szCs w:val="16"/>
          <w:i w:val="1"/>
          <w:iCs w:val="1"/>
          <w:color w:val="auto"/>
        </w:rPr>
        <w:t>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37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firstLine="405"/>
        <w:spacing w:after="0" w:line="264" w:lineRule="auto"/>
        <w:rPr>
          <w:sz w:val="20"/>
          <w:szCs w:val="20"/>
          <w:color w:val="auto"/>
        </w:rPr>
      </w:pPr>
      <w:r>
        <w:rPr>
          <w:rFonts w:ascii="Arial" w:cs="Arial" w:eastAsia="Arial" w:hAnsi="Arial"/>
          <w:sz w:val="18"/>
          <w:szCs w:val="18"/>
          <w:color w:val="auto"/>
        </w:rPr>
        <w:t>There have been no material changes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February 2, 2019.</w:t>
      </w:r>
    </w:p>
    <w:p>
      <w:pPr>
        <w:spacing w:after="0" w:line="200" w:lineRule="exact"/>
        <w:rPr>
          <w:sz w:val="20"/>
          <w:szCs w:val="20"/>
          <w:color w:val="auto"/>
        </w:rPr>
      </w:pPr>
    </w:p>
    <w:p>
      <w:pPr>
        <w:spacing w:after="0" w:line="2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130" w:right="239" w:bottom="1440" w:gutter="0" w:footer="0" w:header="0"/>
        </w:sectPr>
      </w:pPr>
    </w:p>
    <w:bookmarkStart w:id="27" w:name="page28"/>
    <w:bookmarkEnd w:id="2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4" w:lineRule="exact"/>
        <w:rPr>
          <w:sz w:val="20"/>
          <w:szCs w:val="20"/>
          <w:color w:val="auto"/>
        </w:rPr>
      </w:pPr>
    </w:p>
    <w:p>
      <w:pPr>
        <w:ind w:right="60" w:firstLine="405"/>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560" w:type="dxa"/>
            <w:vAlign w:val="bottom"/>
          </w:tcPr>
          <w:p>
            <w:pPr>
              <w:spacing w:after="0"/>
              <w:rPr>
                <w:sz w:val="16"/>
                <w:szCs w:val="16"/>
                <w:color w:val="auto"/>
              </w:rPr>
            </w:pPr>
          </w:p>
        </w:tc>
        <w:tc>
          <w:tcPr>
            <w:tcW w:w="1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000" w:type="dxa"/>
            <w:vAlign w:val="bottom"/>
            <w:tcBorders>
              <w:bottom w:val="single" w:sz="8" w:color="auto"/>
            </w:tcBorders>
          </w:tcPr>
          <w:p>
            <w:pPr>
              <w:spacing w:after="0"/>
              <w:rPr>
                <w:sz w:val="16"/>
                <w:szCs w:val="16"/>
                <w:color w:val="auto"/>
              </w:rPr>
            </w:pPr>
          </w:p>
        </w:tc>
        <w:tc>
          <w:tcPr>
            <w:tcW w:w="2280" w:type="dxa"/>
            <w:vAlign w:val="bottom"/>
            <w:tcBorders>
              <w:bottom w:val="single" w:sz="8" w:color="auto"/>
            </w:tcBorders>
            <w:gridSpan w:val="4"/>
          </w:tcPr>
          <w:p>
            <w:pPr>
              <w:jc w:val="right"/>
              <w:ind w:right="980"/>
              <w:spacing w:after="0"/>
              <w:rPr>
                <w:sz w:val="20"/>
                <w:szCs w:val="20"/>
                <w:color w:val="auto"/>
              </w:rPr>
            </w:pPr>
            <w:r>
              <w:rPr>
                <w:rFonts w:ascii="Arial" w:cs="Arial" w:eastAsia="Arial" w:hAnsi="Arial"/>
                <w:sz w:val="14"/>
                <w:szCs w:val="14"/>
                <w:b w:val="1"/>
                <w:bCs w:val="1"/>
                <w:color w:val="auto"/>
                <w:w w:val="92"/>
              </w:rPr>
              <w:t>Three Months Ended</w:t>
            </w:r>
          </w:p>
        </w:tc>
        <w:tc>
          <w:tcPr>
            <w:tcW w:w="0" w:type="dxa"/>
            <w:vAlign w:val="bottom"/>
          </w:tcPr>
          <w:p>
            <w:pPr>
              <w:spacing w:after="0"/>
              <w:rPr>
                <w:sz w:val="1"/>
                <w:szCs w:val="1"/>
                <w:color w:val="auto"/>
              </w:rPr>
            </w:pPr>
          </w:p>
        </w:tc>
      </w:tr>
      <w:tr>
        <w:trPr>
          <w:trHeight w:val="264"/>
        </w:trPr>
        <w:tc>
          <w:tcPr>
            <w:tcW w:w="4560" w:type="dxa"/>
            <w:vAlign w:val="bottom"/>
            <w:tcBorders>
              <w:bottom w:val="single" w:sz="8" w:color="CCEEFF"/>
            </w:tcBorders>
          </w:tcPr>
          <w:p>
            <w:pPr>
              <w:spacing w:after="0"/>
              <w:rPr>
                <w:sz w:val="22"/>
                <w:szCs w:val="22"/>
                <w:color w:val="auto"/>
              </w:rPr>
            </w:pPr>
          </w:p>
        </w:tc>
        <w:tc>
          <w:tcPr>
            <w:tcW w:w="1520" w:type="dxa"/>
            <w:vAlign w:val="bottom"/>
            <w:tcBorders>
              <w:bottom w:val="single" w:sz="8" w:color="CCEEFF"/>
            </w:tcBorders>
          </w:tcPr>
          <w:p>
            <w:pPr>
              <w:spacing w:after="0"/>
              <w:rPr>
                <w:sz w:val="22"/>
                <w:szCs w:val="22"/>
                <w:color w:val="auto"/>
              </w:rPr>
            </w:pPr>
          </w:p>
        </w:tc>
        <w:tc>
          <w:tcPr>
            <w:tcW w:w="700" w:type="dxa"/>
            <w:vAlign w:val="bottom"/>
            <w:tcBorders>
              <w:bottom w:val="single" w:sz="8" w:color="CCEEFF"/>
            </w:tcBorders>
          </w:tcPr>
          <w:p>
            <w:pPr>
              <w:spacing w:after="0"/>
              <w:rPr>
                <w:sz w:val="22"/>
                <w:szCs w:val="22"/>
                <w:color w:val="auto"/>
              </w:rPr>
            </w:pPr>
          </w:p>
        </w:tc>
        <w:tc>
          <w:tcPr>
            <w:tcW w:w="800" w:type="dxa"/>
            <w:vAlign w:val="bottom"/>
            <w:tcBorders>
              <w:bottom w:val="single" w:sz="8" w:color="CCEEFF"/>
            </w:tcBorders>
          </w:tcPr>
          <w:p>
            <w:pPr>
              <w:spacing w:after="0"/>
              <w:rPr>
                <w:sz w:val="22"/>
                <w:szCs w:val="22"/>
                <w:color w:val="auto"/>
              </w:rPr>
            </w:pPr>
          </w:p>
        </w:tc>
        <w:tc>
          <w:tcPr>
            <w:tcW w:w="560" w:type="dxa"/>
            <w:vAlign w:val="bottom"/>
            <w:tcBorders>
              <w:bottom w:val="single" w:sz="8" w:color="CCEEFF"/>
            </w:tcBorders>
          </w:tcPr>
          <w:p>
            <w:pPr>
              <w:spacing w:after="0"/>
              <w:rPr>
                <w:sz w:val="22"/>
                <w:szCs w:val="22"/>
                <w:color w:val="auto"/>
              </w:rPr>
            </w:pPr>
          </w:p>
        </w:tc>
        <w:tc>
          <w:tcPr>
            <w:tcW w:w="1600" w:type="dxa"/>
            <w:vAlign w:val="bottom"/>
            <w:tcBorders>
              <w:bottom w:val="single" w:sz="8" w:color="auto"/>
            </w:tcBorders>
            <w:gridSpan w:val="2"/>
          </w:tcPr>
          <w:p>
            <w:pPr>
              <w:jc w:val="right"/>
              <w:ind w:right="359"/>
              <w:spacing w:after="0"/>
              <w:rPr>
                <w:sz w:val="20"/>
                <w:szCs w:val="20"/>
                <w:color w:val="auto"/>
              </w:rPr>
            </w:pPr>
            <w:r>
              <w:rPr>
                <w:rFonts w:ascii="Arial" w:cs="Arial" w:eastAsia="Arial" w:hAnsi="Arial"/>
                <w:sz w:val="14"/>
                <w:szCs w:val="14"/>
                <w:b w:val="1"/>
                <w:bCs w:val="1"/>
                <w:color w:val="auto"/>
              </w:rPr>
              <w:t>May 4, 2019</w:t>
            </w:r>
          </w:p>
        </w:tc>
        <w:tc>
          <w:tcPr>
            <w:tcW w:w="100" w:type="dxa"/>
            <w:vAlign w:val="bottom"/>
            <w:tcBorders>
              <w:bottom w:val="single" w:sz="8" w:color="CCEEFF"/>
            </w:tcBorders>
          </w:tcPr>
          <w:p>
            <w:pPr>
              <w:spacing w:after="0"/>
              <w:rPr>
                <w:sz w:val="22"/>
                <w:szCs w:val="22"/>
                <w:color w:val="auto"/>
              </w:rPr>
            </w:pPr>
          </w:p>
        </w:tc>
        <w:tc>
          <w:tcPr>
            <w:tcW w:w="1580" w:type="dxa"/>
            <w:vAlign w:val="bottom"/>
            <w:tcBorders>
              <w:bottom w:val="single" w:sz="8" w:color="auto"/>
            </w:tcBorders>
            <w:gridSpan w:val="2"/>
          </w:tcPr>
          <w:p>
            <w:pPr>
              <w:jc w:val="right"/>
              <w:ind w:right="420"/>
              <w:spacing w:after="0"/>
              <w:rPr>
                <w:sz w:val="20"/>
                <w:szCs w:val="20"/>
                <w:color w:val="auto"/>
              </w:rPr>
            </w:pPr>
            <w:r>
              <w:rPr>
                <w:rFonts w:ascii="Arial" w:cs="Arial" w:eastAsia="Arial" w:hAnsi="Arial"/>
                <w:sz w:val="14"/>
                <w:szCs w:val="14"/>
                <w:b w:val="1"/>
                <w:bCs w:val="1"/>
                <w:color w:val="auto"/>
              </w:rPr>
              <w:t>May 5, 2018</w:t>
            </w:r>
          </w:p>
        </w:tc>
        <w:tc>
          <w:tcPr>
            <w:tcW w:w="0" w:type="dxa"/>
            <w:vAlign w:val="bottom"/>
          </w:tcPr>
          <w:p>
            <w:pPr>
              <w:spacing w:after="0"/>
              <w:rPr>
                <w:sz w:val="1"/>
                <w:szCs w:val="1"/>
                <w:color w:val="auto"/>
              </w:rPr>
            </w:pPr>
          </w:p>
        </w:tc>
      </w:tr>
      <w:tr>
        <w:trPr>
          <w:trHeight w:val="250"/>
        </w:trPr>
        <w:tc>
          <w:tcPr>
            <w:tcW w:w="45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1520" w:type="dxa"/>
            <w:vAlign w:val="bottom"/>
            <w:tcBorders>
              <w:bottom w:val="single" w:sz="8" w:color="CCEEFF"/>
            </w:tcBorders>
            <w:shd w:val="clear" w:color="auto" w:fill="CCEEFF"/>
          </w:tcPr>
          <w:p>
            <w:pPr>
              <w:spacing w:after="0"/>
              <w:rPr>
                <w:sz w:val="21"/>
                <w:szCs w:val="21"/>
                <w:color w:val="auto"/>
              </w:rPr>
            </w:pPr>
          </w:p>
        </w:tc>
        <w:tc>
          <w:tcPr>
            <w:tcW w:w="70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c>
          <w:tcPr>
            <w:tcW w:w="216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100.0 %</w:t>
            </w:r>
          </w:p>
        </w:tc>
        <w:tc>
          <w:tcPr>
            <w:tcW w:w="0" w:type="dxa"/>
            <w:vAlign w:val="bottom"/>
          </w:tcPr>
          <w:p>
            <w:pPr>
              <w:spacing w:after="0"/>
              <w:rPr>
                <w:sz w:val="1"/>
                <w:szCs w:val="1"/>
                <w:color w:val="auto"/>
              </w:rPr>
            </w:pPr>
          </w:p>
        </w:tc>
      </w:tr>
      <w:tr>
        <w:trPr>
          <w:trHeight w:val="243"/>
        </w:trPr>
        <w:tc>
          <w:tcPr>
            <w:tcW w:w="456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15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2160" w:type="dxa"/>
            <w:vAlign w:val="bottom"/>
            <w:gridSpan w:val="3"/>
          </w:tcPr>
          <w:p>
            <w:pPr>
              <w:jc w:val="right"/>
              <w:ind w:right="179"/>
              <w:spacing w:after="0"/>
              <w:rPr>
                <w:sz w:val="20"/>
                <w:szCs w:val="20"/>
                <w:color w:val="auto"/>
              </w:rPr>
            </w:pPr>
            <w:r>
              <w:rPr>
                <w:rFonts w:ascii="Arial" w:cs="Arial" w:eastAsia="Arial" w:hAnsi="Arial"/>
                <w:sz w:val="18"/>
                <w:szCs w:val="18"/>
                <w:color w:val="auto"/>
              </w:rPr>
              <w:t>45.4</w:t>
            </w:r>
          </w:p>
        </w:tc>
        <w:tc>
          <w:tcPr>
            <w:tcW w:w="100" w:type="dxa"/>
            <w:vAlign w:val="bottom"/>
          </w:tcPr>
          <w:p>
            <w:pPr>
              <w:spacing w:after="0"/>
              <w:rPr>
                <w:sz w:val="21"/>
                <w:szCs w:val="21"/>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37.9</w:t>
            </w:r>
          </w:p>
        </w:tc>
        <w:tc>
          <w:tcPr>
            <w:tcW w:w="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560" w:type="dxa"/>
            <w:vAlign w:val="bottom"/>
            <w:tcBorders>
              <w:bottom w:val="single" w:sz="8" w:color="CCEEFF"/>
            </w:tcBorders>
          </w:tcPr>
          <w:p>
            <w:pPr>
              <w:spacing w:after="0"/>
              <w:rPr>
                <w:sz w:val="2"/>
                <w:szCs w:val="2"/>
                <w:color w:val="auto"/>
              </w:rPr>
            </w:pPr>
          </w:p>
        </w:tc>
        <w:tc>
          <w:tcPr>
            <w:tcW w:w="1520" w:type="dxa"/>
            <w:vAlign w:val="bottom"/>
            <w:tcBorders>
              <w:bottom w:val="single" w:sz="8" w:color="CCEEFF"/>
            </w:tcBorders>
          </w:tcPr>
          <w:p>
            <w:pPr>
              <w:spacing w:after="0"/>
              <w:rPr>
                <w:sz w:val="2"/>
                <w:szCs w:val="2"/>
                <w:color w:val="auto"/>
              </w:rPr>
            </w:pPr>
          </w:p>
        </w:tc>
        <w:tc>
          <w:tcPr>
            <w:tcW w:w="700" w:type="dxa"/>
            <w:vAlign w:val="bottom"/>
            <w:tcBorders>
              <w:bottom w:val="single" w:sz="8" w:color="CCEEFF"/>
            </w:tcBorders>
          </w:tcPr>
          <w:p>
            <w:pPr>
              <w:spacing w:after="0"/>
              <w:rPr>
                <w:sz w:val="2"/>
                <w:szCs w:val="2"/>
                <w:color w:val="auto"/>
              </w:rPr>
            </w:pPr>
          </w:p>
        </w:tc>
        <w:tc>
          <w:tcPr>
            <w:tcW w:w="800" w:type="dxa"/>
            <w:vAlign w:val="bottom"/>
            <w:tcBorders>
              <w:bottom w:val="single" w:sz="8" w:color="CCEEFF"/>
            </w:tcBorders>
          </w:tcPr>
          <w:p>
            <w:pPr>
              <w:spacing w:after="0"/>
              <w:rPr>
                <w:sz w:val="2"/>
                <w:szCs w:val="2"/>
                <w:color w:val="auto"/>
              </w:rPr>
            </w:pPr>
          </w:p>
        </w:tc>
        <w:tc>
          <w:tcPr>
            <w:tcW w:w="560" w:type="dxa"/>
            <w:vAlign w:val="bottom"/>
            <w:tcBorders>
              <w:bottom w:val="single" w:sz="8" w:color="CCEEFF"/>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45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1520" w:type="dxa"/>
            <w:vAlign w:val="bottom"/>
            <w:tcBorders>
              <w:bottom w:val="single" w:sz="8" w:color="CCEEFF"/>
            </w:tcBorders>
            <w:shd w:val="clear" w:color="auto" w:fill="CCEEFF"/>
          </w:tcPr>
          <w:p>
            <w:pPr>
              <w:spacing w:after="0"/>
              <w:rPr>
                <w:sz w:val="21"/>
                <w:szCs w:val="21"/>
                <w:color w:val="auto"/>
              </w:rPr>
            </w:pPr>
          </w:p>
        </w:tc>
        <w:tc>
          <w:tcPr>
            <w:tcW w:w="70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c>
          <w:tcPr>
            <w:tcW w:w="2160" w:type="dxa"/>
            <w:vAlign w:val="bottom"/>
            <w:tcBorders>
              <w:bottom w:val="single" w:sz="8" w:color="CCEEFF"/>
            </w:tcBorders>
            <w:gridSpan w:val="3"/>
            <w:shd w:val="clear" w:color="auto" w:fill="CCEEFF"/>
          </w:tcPr>
          <w:p>
            <w:pPr>
              <w:jc w:val="right"/>
              <w:ind w:right="179"/>
              <w:spacing w:after="0"/>
              <w:rPr>
                <w:sz w:val="20"/>
                <w:szCs w:val="20"/>
                <w:color w:val="auto"/>
              </w:rPr>
            </w:pPr>
            <w:r>
              <w:rPr>
                <w:rFonts w:ascii="Arial" w:cs="Arial" w:eastAsia="Arial" w:hAnsi="Arial"/>
                <w:sz w:val="18"/>
                <w:szCs w:val="18"/>
                <w:color w:val="auto"/>
              </w:rPr>
              <w:t>54.6</w:t>
            </w:r>
          </w:p>
        </w:tc>
        <w:tc>
          <w:tcPr>
            <w:tcW w:w="1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62.1</w:t>
            </w:r>
          </w:p>
        </w:tc>
        <w:tc>
          <w:tcPr>
            <w:tcW w:w="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560" w:type="dxa"/>
            <w:vAlign w:val="bottom"/>
          </w:tcPr>
          <w:p>
            <w:pPr>
              <w:ind w:left="40"/>
              <w:spacing w:after="0"/>
              <w:rPr>
                <w:sz w:val="20"/>
                <w:szCs w:val="20"/>
                <w:color w:val="auto"/>
              </w:rPr>
            </w:pPr>
            <w:r>
              <w:rPr>
                <w:rFonts w:ascii="Arial" w:cs="Arial" w:eastAsia="Arial" w:hAnsi="Arial"/>
                <w:sz w:val="18"/>
                <w:szCs w:val="18"/>
                <w:color w:val="auto"/>
              </w:rPr>
              <w:t>Operating expenses:</w:t>
            </w:r>
          </w:p>
        </w:tc>
        <w:tc>
          <w:tcPr>
            <w:tcW w:w="15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38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560" w:type="dxa"/>
            <w:vAlign w:val="bottom"/>
          </w:tcPr>
          <w:p>
            <w:pPr>
              <w:spacing w:after="0"/>
              <w:rPr>
                <w:sz w:val="2"/>
                <w:szCs w:val="2"/>
                <w:color w:val="auto"/>
              </w:rPr>
            </w:pPr>
          </w:p>
        </w:tc>
        <w:tc>
          <w:tcPr>
            <w:tcW w:w="1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80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1520" w:type="dxa"/>
            <w:vAlign w:val="bottom"/>
            <w:tcBorders>
              <w:bottom w:val="single" w:sz="8" w:color="CCEEFF"/>
            </w:tcBorders>
            <w:shd w:val="clear" w:color="auto" w:fill="CCEEFF"/>
          </w:tcPr>
          <w:p>
            <w:pPr>
              <w:spacing w:after="0"/>
              <w:rPr>
                <w:sz w:val="21"/>
                <w:szCs w:val="21"/>
                <w:color w:val="auto"/>
              </w:rPr>
            </w:pPr>
          </w:p>
        </w:tc>
        <w:tc>
          <w:tcPr>
            <w:tcW w:w="70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c>
          <w:tcPr>
            <w:tcW w:w="2160" w:type="dxa"/>
            <w:vAlign w:val="bottom"/>
            <w:tcBorders>
              <w:bottom w:val="single" w:sz="8" w:color="CCEEFF"/>
            </w:tcBorders>
            <w:gridSpan w:val="3"/>
            <w:shd w:val="clear" w:color="auto" w:fill="CCEEFF"/>
          </w:tcPr>
          <w:p>
            <w:pPr>
              <w:jc w:val="right"/>
              <w:ind w:right="179"/>
              <w:spacing w:after="0"/>
              <w:rPr>
                <w:sz w:val="20"/>
                <w:szCs w:val="20"/>
                <w:color w:val="auto"/>
              </w:rPr>
            </w:pPr>
            <w:r>
              <w:rPr>
                <w:rFonts w:ascii="Arial" w:cs="Arial" w:eastAsia="Arial" w:hAnsi="Arial"/>
                <w:sz w:val="18"/>
                <w:szCs w:val="18"/>
                <w:color w:val="auto"/>
              </w:rPr>
              <w:t>40.3</w:t>
            </w:r>
          </w:p>
        </w:tc>
        <w:tc>
          <w:tcPr>
            <w:tcW w:w="1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29.2</w:t>
            </w:r>
          </w:p>
        </w:tc>
        <w:tc>
          <w:tcPr>
            <w:tcW w:w="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560" w:type="dxa"/>
            <w:vAlign w:val="bottom"/>
          </w:tcPr>
          <w:p>
            <w:pPr>
              <w:ind w:left="380"/>
              <w:spacing w:after="0"/>
              <w:rPr>
                <w:sz w:val="20"/>
                <w:szCs w:val="20"/>
                <w:color w:val="auto"/>
              </w:rPr>
            </w:pPr>
            <w:r>
              <w:rPr>
                <w:rFonts w:ascii="Arial" w:cs="Arial" w:eastAsia="Arial" w:hAnsi="Arial"/>
                <w:sz w:val="18"/>
                <w:szCs w:val="18"/>
                <w:color w:val="auto"/>
              </w:rPr>
              <w:t>Selling, general and administrative</w:t>
            </w:r>
          </w:p>
        </w:tc>
        <w:tc>
          <w:tcPr>
            <w:tcW w:w="15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2160" w:type="dxa"/>
            <w:vAlign w:val="bottom"/>
            <w:gridSpan w:val="3"/>
          </w:tcPr>
          <w:p>
            <w:pPr>
              <w:jc w:val="right"/>
              <w:ind w:right="179"/>
              <w:spacing w:after="0"/>
              <w:rPr>
                <w:sz w:val="20"/>
                <w:szCs w:val="20"/>
                <w:color w:val="auto"/>
              </w:rPr>
            </w:pPr>
            <w:r>
              <w:rPr>
                <w:rFonts w:ascii="Arial" w:cs="Arial" w:eastAsia="Arial" w:hAnsi="Arial"/>
                <w:sz w:val="18"/>
                <w:szCs w:val="18"/>
                <w:color w:val="auto"/>
              </w:rPr>
              <w:t>16.6</w:t>
            </w:r>
          </w:p>
        </w:tc>
        <w:tc>
          <w:tcPr>
            <w:tcW w:w="100" w:type="dxa"/>
            <w:vAlign w:val="bottom"/>
          </w:tcPr>
          <w:p>
            <w:pPr>
              <w:spacing w:after="0"/>
              <w:rPr>
                <w:sz w:val="21"/>
                <w:szCs w:val="21"/>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12.0</w:t>
            </w:r>
          </w:p>
        </w:tc>
        <w:tc>
          <w:tcPr>
            <w:tcW w:w="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560" w:type="dxa"/>
            <w:vAlign w:val="bottom"/>
          </w:tcPr>
          <w:p>
            <w:pPr>
              <w:spacing w:after="0"/>
              <w:rPr>
                <w:sz w:val="2"/>
                <w:szCs w:val="2"/>
                <w:color w:val="auto"/>
              </w:rPr>
            </w:pPr>
          </w:p>
        </w:tc>
        <w:tc>
          <w:tcPr>
            <w:tcW w:w="1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80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5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Restructuring related charges</w:t>
            </w:r>
          </w:p>
        </w:tc>
        <w:tc>
          <w:tcPr>
            <w:tcW w:w="1520" w:type="dxa"/>
            <w:vAlign w:val="bottom"/>
            <w:tcBorders>
              <w:bottom w:val="single" w:sz="8" w:color="CCEEFF"/>
            </w:tcBorders>
            <w:shd w:val="clear" w:color="auto" w:fill="CCEEFF"/>
          </w:tcPr>
          <w:p>
            <w:pPr>
              <w:spacing w:after="0"/>
              <w:rPr>
                <w:sz w:val="23"/>
                <w:szCs w:val="23"/>
                <w:color w:val="auto"/>
              </w:rPr>
            </w:pPr>
          </w:p>
        </w:tc>
        <w:tc>
          <w:tcPr>
            <w:tcW w:w="700" w:type="dxa"/>
            <w:vAlign w:val="bottom"/>
            <w:tcBorders>
              <w:bottom w:val="single" w:sz="8" w:color="CCEEFF"/>
            </w:tcBorders>
            <w:shd w:val="clear" w:color="auto" w:fill="CCEEFF"/>
          </w:tcPr>
          <w:p>
            <w:pPr>
              <w:spacing w:after="0"/>
              <w:rPr>
                <w:sz w:val="23"/>
                <w:szCs w:val="23"/>
                <w:color w:val="auto"/>
              </w:rPr>
            </w:pPr>
          </w:p>
        </w:tc>
        <w:tc>
          <w:tcPr>
            <w:tcW w:w="800" w:type="dxa"/>
            <w:vAlign w:val="bottom"/>
            <w:tcBorders>
              <w:bottom w:val="single" w:sz="8" w:color="CCEEFF"/>
            </w:tcBorders>
            <w:shd w:val="clear" w:color="auto" w:fill="CCEEFF"/>
          </w:tcPr>
          <w:p>
            <w:pPr>
              <w:spacing w:after="0"/>
              <w:rPr>
                <w:sz w:val="23"/>
                <w:szCs w:val="23"/>
                <w:color w:val="auto"/>
              </w:rPr>
            </w:pPr>
          </w:p>
        </w:tc>
        <w:tc>
          <w:tcPr>
            <w:tcW w:w="560" w:type="dxa"/>
            <w:vAlign w:val="bottom"/>
            <w:tcBorders>
              <w:bottom w:val="single" w:sz="8" w:color="CCEEFF"/>
            </w:tcBorders>
            <w:shd w:val="clear" w:color="auto" w:fill="CCEEFF"/>
          </w:tcPr>
          <w:p>
            <w:pPr>
              <w:spacing w:after="0"/>
              <w:rPr>
                <w:sz w:val="23"/>
                <w:szCs w:val="23"/>
                <w:color w:val="auto"/>
              </w:rPr>
            </w:pPr>
          </w:p>
        </w:tc>
        <w:tc>
          <w:tcPr>
            <w:tcW w:w="1600" w:type="dxa"/>
            <w:vAlign w:val="bottom"/>
            <w:tcBorders>
              <w:bottom w:val="single" w:sz="8" w:color="CCEEFF"/>
            </w:tcBorders>
            <w:gridSpan w:val="2"/>
            <w:shd w:val="clear" w:color="auto" w:fill="CCEEFF"/>
          </w:tcPr>
          <w:p>
            <w:pPr>
              <w:jc w:val="right"/>
              <w:ind w:right="179"/>
              <w:spacing w:after="0"/>
              <w:rPr>
                <w:sz w:val="20"/>
                <w:szCs w:val="20"/>
                <w:color w:val="auto"/>
              </w:rPr>
            </w:pPr>
            <w:r>
              <w:rPr>
                <w:rFonts w:ascii="Arial" w:cs="Arial" w:eastAsia="Arial" w:hAnsi="Arial"/>
                <w:sz w:val="18"/>
                <w:szCs w:val="18"/>
                <w:color w:val="auto"/>
              </w:rPr>
              <w:t>0.9</w:t>
            </w:r>
          </w:p>
        </w:tc>
        <w:tc>
          <w:tcPr>
            <w:tcW w:w="100" w:type="dxa"/>
            <w:vAlign w:val="bottom"/>
            <w:tcBorders>
              <w:bottom w:val="single" w:sz="8" w:color="CCEEFF"/>
            </w:tcBorders>
            <w:shd w:val="clear" w:color="auto" w:fill="CCEEFF"/>
          </w:tcPr>
          <w:p>
            <w:pPr>
              <w:spacing w:after="0"/>
              <w:rPr>
                <w:sz w:val="23"/>
                <w:szCs w:val="23"/>
                <w:color w:val="auto"/>
              </w:rPr>
            </w:pPr>
          </w:p>
        </w:tc>
        <w:tc>
          <w:tcPr>
            <w:tcW w:w="1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200" w:type="dxa"/>
            <w:vAlign w:val="bottom"/>
            <w:tcBorders>
              <w:bottom w:val="single" w:sz="8" w:color="CCEEFF"/>
            </w:tcBorders>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37"/>
        </w:trPr>
        <w:tc>
          <w:tcPr>
            <w:tcW w:w="4560" w:type="dxa"/>
            <w:vAlign w:val="bottom"/>
          </w:tcPr>
          <w:p>
            <w:pPr>
              <w:ind w:left="720"/>
              <w:spacing w:after="0"/>
              <w:rPr>
                <w:sz w:val="20"/>
                <w:szCs w:val="20"/>
                <w:color w:val="auto"/>
              </w:rPr>
            </w:pPr>
            <w:r>
              <w:rPr>
                <w:rFonts w:ascii="Arial" w:cs="Arial" w:eastAsia="Arial" w:hAnsi="Arial"/>
                <w:sz w:val="18"/>
                <w:szCs w:val="18"/>
                <w:color w:val="auto"/>
              </w:rPr>
              <w:t>Total operating expenses</w:t>
            </w:r>
          </w:p>
        </w:tc>
        <w:tc>
          <w:tcPr>
            <w:tcW w:w="15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1600" w:type="dxa"/>
            <w:vAlign w:val="bottom"/>
            <w:tcBorders>
              <w:top w:val="single" w:sz="8" w:color="auto"/>
            </w:tcBorders>
            <w:gridSpan w:val="2"/>
          </w:tcPr>
          <w:p>
            <w:pPr>
              <w:jc w:val="right"/>
              <w:ind w:right="179"/>
              <w:spacing w:after="0"/>
              <w:rPr>
                <w:sz w:val="20"/>
                <w:szCs w:val="20"/>
                <w:color w:val="auto"/>
              </w:rPr>
            </w:pPr>
            <w:r>
              <w:rPr>
                <w:rFonts w:ascii="Arial" w:cs="Arial" w:eastAsia="Arial" w:hAnsi="Arial"/>
                <w:sz w:val="18"/>
                <w:szCs w:val="18"/>
                <w:color w:val="auto"/>
              </w:rPr>
              <w:t>57.8</w:t>
            </w:r>
          </w:p>
        </w:tc>
        <w:tc>
          <w:tcPr>
            <w:tcW w:w="100" w:type="dxa"/>
            <w:vAlign w:val="bottom"/>
          </w:tcPr>
          <w:p>
            <w:pPr>
              <w:spacing w:after="0"/>
              <w:rPr>
                <w:sz w:val="20"/>
                <w:szCs w:val="20"/>
                <w:color w:val="auto"/>
              </w:rPr>
            </w:pPr>
          </w:p>
        </w:tc>
        <w:tc>
          <w:tcPr>
            <w:tcW w:w="13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41.4</w:t>
            </w:r>
          </w:p>
        </w:tc>
        <w:tc>
          <w:tcPr>
            <w:tcW w:w="200" w:type="dxa"/>
            <w:vAlign w:val="bottom"/>
            <w:tcBorders>
              <w:top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7"/>
        </w:trPr>
        <w:tc>
          <w:tcPr>
            <w:tcW w:w="4560" w:type="dxa"/>
            <w:vAlign w:val="bottom"/>
            <w:tcBorders>
              <w:bottom w:val="single" w:sz="8" w:color="CCEEFF"/>
            </w:tcBorders>
          </w:tcPr>
          <w:p>
            <w:pPr>
              <w:spacing w:after="0"/>
              <w:rPr>
                <w:sz w:val="2"/>
                <w:szCs w:val="2"/>
                <w:color w:val="auto"/>
              </w:rPr>
            </w:pPr>
          </w:p>
        </w:tc>
        <w:tc>
          <w:tcPr>
            <w:tcW w:w="1520" w:type="dxa"/>
            <w:vAlign w:val="bottom"/>
            <w:tcBorders>
              <w:bottom w:val="single" w:sz="8" w:color="CCEEFF"/>
            </w:tcBorders>
          </w:tcPr>
          <w:p>
            <w:pPr>
              <w:spacing w:after="0"/>
              <w:rPr>
                <w:sz w:val="2"/>
                <w:szCs w:val="2"/>
                <w:color w:val="auto"/>
              </w:rPr>
            </w:pPr>
          </w:p>
        </w:tc>
        <w:tc>
          <w:tcPr>
            <w:tcW w:w="700" w:type="dxa"/>
            <w:vAlign w:val="bottom"/>
            <w:tcBorders>
              <w:bottom w:val="single" w:sz="8" w:color="CCEEFF"/>
            </w:tcBorders>
          </w:tcPr>
          <w:p>
            <w:pPr>
              <w:spacing w:after="0"/>
              <w:rPr>
                <w:sz w:val="2"/>
                <w:szCs w:val="2"/>
                <w:color w:val="auto"/>
              </w:rPr>
            </w:pPr>
          </w:p>
        </w:tc>
        <w:tc>
          <w:tcPr>
            <w:tcW w:w="800" w:type="dxa"/>
            <w:vAlign w:val="bottom"/>
            <w:tcBorders>
              <w:bottom w:val="single" w:sz="8" w:color="CCEEFF"/>
            </w:tcBorders>
          </w:tcPr>
          <w:p>
            <w:pPr>
              <w:spacing w:after="0"/>
              <w:rPr>
                <w:sz w:val="2"/>
                <w:szCs w:val="2"/>
                <w:color w:val="auto"/>
              </w:rPr>
            </w:pPr>
          </w:p>
        </w:tc>
        <w:tc>
          <w:tcPr>
            <w:tcW w:w="560" w:type="dxa"/>
            <w:vAlign w:val="bottom"/>
            <w:tcBorders>
              <w:bottom w:val="single" w:sz="8" w:color="CCEEFF"/>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45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(loss)</w:t>
            </w:r>
          </w:p>
        </w:tc>
        <w:tc>
          <w:tcPr>
            <w:tcW w:w="1520" w:type="dxa"/>
            <w:vAlign w:val="bottom"/>
            <w:tcBorders>
              <w:bottom w:val="single" w:sz="8" w:color="CCEEFF"/>
            </w:tcBorders>
            <w:shd w:val="clear" w:color="auto" w:fill="CCEEFF"/>
          </w:tcPr>
          <w:p>
            <w:pPr>
              <w:spacing w:after="0"/>
              <w:rPr>
                <w:sz w:val="21"/>
                <w:szCs w:val="21"/>
                <w:color w:val="auto"/>
              </w:rPr>
            </w:pPr>
          </w:p>
        </w:tc>
        <w:tc>
          <w:tcPr>
            <w:tcW w:w="70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c>
          <w:tcPr>
            <w:tcW w:w="2160" w:type="dxa"/>
            <w:vAlign w:val="bottom"/>
            <w:tcBorders>
              <w:bottom w:val="single" w:sz="8" w:color="CCEEFF"/>
            </w:tcBorders>
            <w:gridSpan w:val="3"/>
            <w:shd w:val="clear" w:color="auto" w:fill="CCEEFF"/>
          </w:tcPr>
          <w:p>
            <w:pPr>
              <w:jc w:val="right"/>
              <w:ind w:right="119"/>
              <w:spacing w:after="0"/>
              <w:rPr>
                <w:sz w:val="20"/>
                <w:szCs w:val="20"/>
                <w:color w:val="auto"/>
              </w:rPr>
            </w:pPr>
            <w:r>
              <w:rPr>
                <w:rFonts w:ascii="Arial" w:cs="Arial" w:eastAsia="Arial" w:hAnsi="Arial"/>
                <w:sz w:val="18"/>
                <w:szCs w:val="18"/>
                <w:color w:val="auto"/>
              </w:rPr>
              <w:t>(3.2)</w:t>
            </w:r>
          </w:p>
        </w:tc>
        <w:tc>
          <w:tcPr>
            <w:tcW w:w="1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20.7</w:t>
            </w:r>
          </w:p>
        </w:tc>
        <w:tc>
          <w:tcPr>
            <w:tcW w:w="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560" w:type="dxa"/>
            <w:vAlign w:val="bottom"/>
          </w:tcPr>
          <w:p>
            <w:pPr>
              <w:ind w:left="40"/>
              <w:spacing w:after="0"/>
              <w:rPr>
                <w:sz w:val="20"/>
                <w:szCs w:val="20"/>
                <w:color w:val="auto"/>
              </w:rPr>
            </w:pPr>
            <w:r>
              <w:rPr>
                <w:rFonts w:ascii="Arial" w:cs="Arial" w:eastAsia="Arial" w:hAnsi="Arial"/>
                <w:sz w:val="18"/>
                <w:szCs w:val="18"/>
                <w:color w:val="auto"/>
              </w:rPr>
              <w:t>Interest income</w:t>
            </w:r>
          </w:p>
        </w:tc>
        <w:tc>
          <w:tcPr>
            <w:tcW w:w="15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2160" w:type="dxa"/>
            <w:vAlign w:val="bottom"/>
            <w:gridSpan w:val="3"/>
          </w:tcPr>
          <w:p>
            <w:pPr>
              <w:jc w:val="right"/>
              <w:ind w:right="179"/>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21"/>
                <w:szCs w:val="21"/>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1.0</w:t>
            </w:r>
          </w:p>
        </w:tc>
        <w:tc>
          <w:tcPr>
            <w:tcW w:w="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560" w:type="dxa"/>
            <w:vAlign w:val="bottom"/>
          </w:tcPr>
          <w:p>
            <w:pPr>
              <w:spacing w:after="0"/>
              <w:rPr>
                <w:sz w:val="2"/>
                <w:szCs w:val="2"/>
                <w:color w:val="auto"/>
              </w:rPr>
            </w:pPr>
          </w:p>
        </w:tc>
        <w:tc>
          <w:tcPr>
            <w:tcW w:w="1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800" w:type="dxa"/>
            <w:vAlign w:val="bottom"/>
          </w:tcPr>
          <w:p>
            <w:pPr>
              <w:spacing w:after="0"/>
              <w:rPr>
                <w:sz w:val="2"/>
                <w:szCs w:val="2"/>
                <w:color w:val="auto"/>
              </w:rPr>
            </w:pPr>
          </w:p>
        </w:tc>
        <w:tc>
          <w:tcPr>
            <w:tcW w:w="5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expense</w:t>
            </w:r>
          </w:p>
        </w:tc>
        <w:tc>
          <w:tcPr>
            <w:tcW w:w="1520" w:type="dxa"/>
            <w:vAlign w:val="bottom"/>
            <w:tcBorders>
              <w:bottom w:val="single" w:sz="8" w:color="CCEEFF"/>
            </w:tcBorders>
            <w:shd w:val="clear" w:color="auto" w:fill="CCEEFF"/>
          </w:tcPr>
          <w:p>
            <w:pPr>
              <w:spacing w:after="0"/>
              <w:rPr>
                <w:sz w:val="21"/>
                <w:szCs w:val="21"/>
                <w:color w:val="auto"/>
              </w:rPr>
            </w:pPr>
          </w:p>
        </w:tc>
        <w:tc>
          <w:tcPr>
            <w:tcW w:w="70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c>
          <w:tcPr>
            <w:tcW w:w="2160" w:type="dxa"/>
            <w:vAlign w:val="bottom"/>
            <w:tcBorders>
              <w:bottom w:val="single" w:sz="8" w:color="CCEEFF"/>
            </w:tcBorders>
            <w:gridSpan w:val="3"/>
            <w:shd w:val="clear" w:color="auto" w:fill="CCEEFF"/>
          </w:tcPr>
          <w:p>
            <w:pPr>
              <w:jc w:val="right"/>
              <w:ind w:right="119"/>
              <w:spacing w:after="0"/>
              <w:rPr>
                <w:sz w:val="20"/>
                <w:szCs w:val="20"/>
                <w:color w:val="auto"/>
              </w:rPr>
            </w:pPr>
            <w:r>
              <w:rPr>
                <w:rFonts w:ascii="Arial" w:cs="Arial" w:eastAsia="Arial" w:hAnsi="Arial"/>
                <w:sz w:val="18"/>
                <w:szCs w:val="18"/>
                <w:color w:val="auto"/>
              </w:rPr>
              <w:t>(3.2)</w:t>
            </w:r>
          </w:p>
        </w:tc>
        <w:tc>
          <w:tcPr>
            <w:tcW w:w="100" w:type="dxa"/>
            <w:vAlign w:val="bottom"/>
            <w:tcBorders>
              <w:bottom w:val="single" w:sz="8" w:color="CCEEFF"/>
            </w:tcBorders>
            <w:shd w:val="clear" w:color="auto" w:fill="CCEEFF"/>
          </w:tcPr>
          <w:p>
            <w:pPr>
              <w:spacing w:after="0"/>
              <w:rPr>
                <w:sz w:val="21"/>
                <w:szCs w:val="21"/>
                <w:color w:val="auto"/>
              </w:rPr>
            </w:pPr>
          </w:p>
        </w:tc>
        <w:tc>
          <w:tcPr>
            <w:tcW w:w="15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4560" w:type="dxa"/>
            <w:vAlign w:val="bottom"/>
          </w:tcPr>
          <w:p>
            <w:pPr>
              <w:ind w:left="40"/>
              <w:spacing w:after="0"/>
              <w:rPr>
                <w:sz w:val="20"/>
                <w:szCs w:val="20"/>
                <w:color w:val="auto"/>
              </w:rPr>
            </w:pPr>
            <w:r>
              <w:rPr>
                <w:rFonts w:ascii="Arial" w:cs="Arial" w:eastAsia="Arial" w:hAnsi="Arial"/>
                <w:sz w:val="18"/>
                <w:szCs w:val="18"/>
                <w:color w:val="auto"/>
              </w:rPr>
              <w:t>Other income (loss), net</w:t>
            </w:r>
          </w:p>
        </w:tc>
        <w:tc>
          <w:tcPr>
            <w:tcW w:w="15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70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380" w:type="dxa"/>
            <w:vAlign w:val="bottom"/>
          </w:tcPr>
          <w:p>
            <w:pPr>
              <w:jc w:val="right"/>
              <w:spacing w:after="0"/>
              <w:rPr>
                <w:sz w:val="20"/>
                <w:szCs w:val="20"/>
                <w:color w:val="auto"/>
              </w:rPr>
            </w:pPr>
            <w:r>
              <w:rPr>
                <w:rFonts w:ascii="Arial" w:cs="Arial" w:eastAsia="Arial" w:hAnsi="Arial"/>
                <w:sz w:val="18"/>
                <w:szCs w:val="18"/>
                <w:color w:val="auto"/>
              </w:rPr>
              <w:t>0.2</w:t>
            </w:r>
          </w:p>
        </w:tc>
        <w:tc>
          <w:tcPr>
            <w:tcW w:w="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560" w:type="dxa"/>
            <w:vAlign w:val="bottom"/>
            <w:tcBorders>
              <w:bottom w:val="single" w:sz="8" w:color="CCEEFF"/>
            </w:tcBorders>
          </w:tcPr>
          <w:p>
            <w:pPr>
              <w:spacing w:after="0"/>
              <w:rPr>
                <w:sz w:val="2"/>
                <w:szCs w:val="2"/>
                <w:color w:val="auto"/>
              </w:rPr>
            </w:pPr>
          </w:p>
        </w:tc>
        <w:tc>
          <w:tcPr>
            <w:tcW w:w="1520" w:type="dxa"/>
            <w:vAlign w:val="bottom"/>
            <w:tcBorders>
              <w:bottom w:val="single" w:sz="8" w:color="CCEEFF"/>
            </w:tcBorders>
          </w:tcPr>
          <w:p>
            <w:pPr>
              <w:spacing w:after="0"/>
              <w:rPr>
                <w:sz w:val="2"/>
                <w:szCs w:val="2"/>
                <w:color w:val="auto"/>
              </w:rPr>
            </w:pPr>
          </w:p>
        </w:tc>
        <w:tc>
          <w:tcPr>
            <w:tcW w:w="700" w:type="dxa"/>
            <w:vAlign w:val="bottom"/>
            <w:tcBorders>
              <w:bottom w:val="single" w:sz="8" w:color="CCEEFF"/>
            </w:tcBorders>
          </w:tcPr>
          <w:p>
            <w:pPr>
              <w:spacing w:after="0"/>
              <w:rPr>
                <w:sz w:val="2"/>
                <w:szCs w:val="2"/>
                <w:color w:val="auto"/>
              </w:rPr>
            </w:pPr>
          </w:p>
        </w:tc>
        <w:tc>
          <w:tcPr>
            <w:tcW w:w="800" w:type="dxa"/>
            <w:vAlign w:val="bottom"/>
            <w:tcBorders>
              <w:bottom w:val="single" w:sz="8" w:color="CCEEFF"/>
            </w:tcBorders>
          </w:tcPr>
          <w:p>
            <w:pPr>
              <w:spacing w:after="0"/>
              <w:rPr>
                <w:sz w:val="2"/>
                <w:szCs w:val="2"/>
                <w:color w:val="auto"/>
              </w:rPr>
            </w:pPr>
          </w:p>
        </w:tc>
        <w:tc>
          <w:tcPr>
            <w:tcW w:w="560" w:type="dxa"/>
            <w:vAlign w:val="bottom"/>
            <w:tcBorders>
              <w:bottom w:val="single" w:sz="8" w:color="CCEEFF"/>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45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before income taxes</w:t>
            </w:r>
          </w:p>
        </w:tc>
        <w:tc>
          <w:tcPr>
            <w:tcW w:w="1520" w:type="dxa"/>
            <w:vAlign w:val="bottom"/>
            <w:tcBorders>
              <w:bottom w:val="single" w:sz="8" w:color="CCEEFF"/>
            </w:tcBorders>
            <w:shd w:val="clear" w:color="auto" w:fill="CCEEFF"/>
          </w:tcPr>
          <w:p>
            <w:pPr>
              <w:spacing w:after="0"/>
              <w:rPr>
                <w:sz w:val="21"/>
                <w:szCs w:val="21"/>
                <w:color w:val="auto"/>
              </w:rPr>
            </w:pPr>
          </w:p>
        </w:tc>
        <w:tc>
          <w:tcPr>
            <w:tcW w:w="700" w:type="dxa"/>
            <w:vAlign w:val="bottom"/>
            <w:tcBorders>
              <w:bottom w:val="single" w:sz="8" w:color="CCEEFF"/>
            </w:tcBorders>
            <w:shd w:val="clear" w:color="auto" w:fill="CCEEFF"/>
          </w:tcPr>
          <w:p>
            <w:pPr>
              <w:spacing w:after="0"/>
              <w:rPr>
                <w:sz w:val="21"/>
                <w:szCs w:val="21"/>
                <w:color w:val="auto"/>
              </w:rPr>
            </w:pPr>
          </w:p>
        </w:tc>
        <w:tc>
          <w:tcPr>
            <w:tcW w:w="800" w:type="dxa"/>
            <w:vAlign w:val="bottom"/>
            <w:tcBorders>
              <w:bottom w:val="single" w:sz="8" w:color="CCEEFF"/>
            </w:tcBorders>
            <w:shd w:val="clear" w:color="auto" w:fill="CCEEFF"/>
          </w:tcPr>
          <w:p>
            <w:pPr>
              <w:spacing w:after="0"/>
              <w:rPr>
                <w:sz w:val="21"/>
                <w:szCs w:val="21"/>
                <w:color w:val="auto"/>
              </w:rPr>
            </w:pPr>
          </w:p>
        </w:tc>
        <w:tc>
          <w:tcPr>
            <w:tcW w:w="2160" w:type="dxa"/>
            <w:vAlign w:val="bottom"/>
            <w:tcBorders>
              <w:bottom w:val="single" w:sz="8" w:color="CCEEFF"/>
            </w:tcBorders>
            <w:gridSpan w:val="3"/>
            <w:shd w:val="clear" w:color="auto" w:fill="CCEEFF"/>
          </w:tcPr>
          <w:p>
            <w:pPr>
              <w:jc w:val="right"/>
              <w:ind w:right="119"/>
              <w:spacing w:after="0"/>
              <w:rPr>
                <w:sz w:val="20"/>
                <w:szCs w:val="20"/>
                <w:color w:val="auto"/>
              </w:rPr>
            </w:pPr>
            <w:r>
              <w:rPr>
                <w:rFonts w:ascii="Arial" w:cs="Arial" w:eastAsia="Arial" w:hAnsi="Arial"/>
                <w:sz w:val="18"/>
                <w:szCs w:val="18"/>
                <w:color w:val="auto"/>
              </w:rPr>
              <w:t>(6.2)</w:t>
            </w:r>
          </w:p>
        </w:tc>
        <w:tc>
          <w:tcPr>
            <w:tcW w:w="1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21.9</w:t>
            </w:r>
          </w:p>
        </w:tc>
        <w:tc>
          <w:tcPr>
            <w:tcW w:w="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560" w:type="dxa"/>
            <w:vAlign w:val="bottom"/>
          </w:tcPr>
          <w:p>
            <w:pPr>
              <w:ind w:left="40"/>
              <w:spacing w:after="0"/>
              <w:rPr>
                <w:sz w:val="20"/>
                <w:szCs w:val="20"/>
                <w:color w:val="auto"/>
              </w:rPr>
            </w:pPr>
            <w:r>
              <w:rPr>
                <w:rFonts w:ascii="Arial" w:cs="Arial" w:eastAsia="Arial" w:hAnsi="Arial"/>
                <w:sz w:val="18"/>
                <w:szCs w:val="18"/>
                <w:color w:val="auto"/>
              </w:rPr>
              <w:t>Provision for income taxes</w:t>
            </w:r>
          </w:p>
        </w:tc>
        <w:tc>
          <w:tcPr>
            <w:tcW w:w="15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2160" w:type="dxa"/>
            <w:vAlign w:val="bottom"/>
            <w:gridSpan w:val="3"/>
          </w:tcPr>
          <w:p>
            <w:pPr>
              <w:jc w:val="right"/>
              <w:ind w:right="179"/>
              <w:spacing w:after="0"/>
              <w:rPr>
                <w:sz w:val="20"/>
                <w:szCs w:val="20"/>
                <w:color w:val="auto"/>
              </w:rPr>
            </w:pPr>
            <w:r>
              <w:rPr>
                <w:rFonts w:ascii="Arial" w:cs="Arial" w:eastAsia="Arial" w:hAnsi="Arial"/>
                <w:sz w:val="18"/>
                <w:szCs w:val="18"/>
                <w:color w:val="auto"/>
              </w:rPr>
              <w:t>1.1</w:t>
            </w:r>
          </w:p>
        </w:tc>
        <w:tc>
          <w:tcPr>
            <w:tcW w:w="100" w:type="dxa"/>
            <w:vAlign w:val="bottom"/>
          </w:tcPr>
          <w:p>
            <w:pPr>
              <w:spacing w:after="0"/>
              <w:rPr>
                <w:sz w:val="21"/>
                <w:szCs w:val="21"/>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0.6</w:t>
            </w:r>
          </w:p>
        </w:tc>
        <w:tc>
          <w:tcPr>
            <w:tcW w:w="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560" w:type="dxa"/>
            <w:vAlign w:val="bottom"/>
            <w:tcBorders>
              <w:bottom w:val="single" w:sz="8" w:color="CCEEFF"/>
            </w:tcBorders>
          </w:tcPr>
          <w:p>
            <w:pPr>
              <w:spacing w:after="0"/>
              <w:rPr>
                <w:sz w:val="2"/>
                <w:szCs w:val="2"/>
                <w:color w:val="auto"/>
              </w:rPr>
            </w:pPr>
          </w:p>
        </w:tc>
        <w:tc>
          <w:tcPr>
            <w:tcW w:w="1520" w:type="dxa"/>
            <w:vAlign w:val="bottom"/>
            <w:tcBorders>
              <w:bottom w:val="single" w:sz="8" w:color="CCEEFF"/>
            </w:tcBorders>
          </w:tcPr>
          <w:p>
            <w:pPr>
              <w:spacing w:after="0"/>
              <w:rPr>
                <w:sz w:val="2"/>
                <w:szCs w:val="2"/>
                <w:color w:val="auto"/>
              </w:rPr>
            </w:pPr>
          </w:p>
        </w:tc>
        <w:tc>
          <w:tcPr>
            <w:tcW w:w="700" w:type="dxa"/>
            <w:vAlign w:val="bottom"/>
            <w:tcBorders>
              <w:bottom w:val="single" w:sz="8" w:color="CCEEFF"/>
            </w:tcBorders>
          </w:tcPr>
          <w:p>
            <w:pPr>
              <w:spacing w:after="0"/>
              <w:rPr>
                <w:sz w:val="2"/>
                <w:szCs w:val="2"/>
                <w:color w:val="auto"/>
              </w:rPr>
            </w:pPr>
          </w:p>
        </w:tc>
        <w:tc>
          <w:tcPr>
            <w:tcW w:w="800" w:type="dxa"/>
            <w:vAlign w:val="bottom"/>
            <w:tcBorders>
              <w:bottom w:val="single" w:sz="8" w:color="CCEEFF"/>
            </w:tcBorders>
          </w:tcPr>
          <w:p>
            <w:pPr>
              <w:spacing w:after="0"/>
              <w:rPr>
                <w:sz w:val="2"/>
                <w:szCs w:val="2"/>
                <w:color w:val="auto"/>
              </w:rPr>
            </w:pPr>
          </w:p>
        </w:tc>
        <w:tc>
          <w:tcPr>
            <w:tcW w:w="560" w:type="dxa"/>
            <w:vAlign w:val="bottom"/>
            <w:tcBorders>
              <w:bottom w:val="single" w:sz="8" w:color="CCEEFF"/>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6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45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net of tax</w:t>
            </w:r>
          </w:p>
        </w:tc>
        <w:tc>
          <w:tcPr>
            <w:tcW w:w="1520" w:type="dxa"/>
            <w:vAlign w:val="bottom"/>
            <w:tcBorders>
              <w:bottom w:val="single" w:sz="8" w:color="CCEEFF"/>
            </w:tcBorders>
            <w:shd w:val="clear" w:color="auto" w:fill="CCEEFF"/>
          </w:tcPr>
          <w:p>
            <w:pPr>
              <w:spacing w:after="0"/>
              <w:rPr>
                <w:sz w:val="22"/>
                <w:szCs w:val="22"/>
                <w:color w:val="auto"/>
              </w:rPr>
            </w:pPr>
          </w:p>
        </w:tc>
        <w:tc>
          <w:tcPr>
            <w:tcW w:w="700" w:type="dxa"/>
            <w:vAlign w:val="bottom"/>
            <w:tcBorders>
              <w:bottom w:val="single" w:sz="8" w:color="CCEEFF"/>
            </w:tcBorders>
            <w:shd w:val="clear" w:color="auto" w:fill="CCEEFF"/>
          </w:tcPr>
          <w:p>
            <w:pPr>
              <w:spacing w:after="0"/>
              <w:rPr>
                <w:sz w:val="22"/>
                <w:szCs w:val="22"/>
                <w:color w:val="auto"/>
              </w:rPr>
            </w:pPr>
          </w:p>
        </w:tc>
        <w:tc>
          <w:tcPr>
            <w:tcW w:w="800" w:type="dxa"/>
            <w:vAlign w:val="bottom"/>
            <w:tcBorders>
              <w:bottom w:val="single" w:sz="8" w:color="CCEEFF"/>
            </w:tcBorders>
            <w:shd w:val="clear" w:color="auto" w:fill="CCEEFF"/>
          </w:tcPr>
          <w:p>
            <w:pPr>
              <w:spacing w:after="0"/>
              <w:rPr>
                <w:sz w:val="22"/>
                <w:szCs w:val="22"/>
                <w:color w:val="auto"/>
              </w:rPr>
            </w:pPr>
          </w:p>
        </w:tc>
        <w:tc>
          <w:tcPr>
            <w:tcW w:w="216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(7.3)%</w:t>
            </w:r>
          </w:p>
        </w:tc>
        <w:tc>
          <w:tcPr>
            <w:tcW w:w="100" w:type="dxa"/>
            <w:vAlign w:val="bottom"/>
            <w:tcBorders>
              <w:bottom w:val="single" w:sz="8" w:color="CCEEFF"/>
            </w:tcBorders>
            <w:shd w:val="clear" w:color="auto" w:fill="CCEEFF"/>
          </w:tcPr>
          <w:p>
            <w:pPr>
              <w:spacing w:after="0"/>
              <w:rPr>
                <w:sz w:val="22"/>
                <w:szCs w:val="22"/>
                <w:color w:val="auto"/>
              </w:rPr>
            </w:pPr>
          </w:p>
        </w:tc>
        <w:tc>
          <w:tcPr>
            <w:tcW w:w="1580" w:type="dxa"/>
            <w:vAlign w:val="bottom"/>
            <w:tcBorders>
              <w:bottom w:val="single" w:sz="8" w:color="CCEEFF"/>
            </w:tcBorders>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21.3 %</w:t>
            </w:r>
          </w:p>
        </w:tc>
        <w:tc>
          <w:tcPr>
            <w:tcW w:w="0" w:type="dxa"/>
            <w:vAlign w:val="bottom"/>
          </w:tcPr>
          <w:p>
            <w:pPr>
              <w:spacing w:after="0"/>
              <w:rPr>
                <w:sz w:val="1"/>
                <w:szCs w:val="1"/>
                <w:color w:val="auto"/>
              </w:rPr>
            </w:pPr>
          </w:p>
        </w:tc>
      </w:tr>
      <w:tr>
        <w:trPr>
          <w:trHeight w:val="20"/>
        </w:trPr>
        <w:tc>
          <w:tcPr>
            <w:tcW w:w="4560" w:type="dxa"/>
            <w:vAlign w:val="bottom"/>
            <w:tcBorders>
              <w:top w:val="single" w:sz="8" w:color="CCEEFF"/>
              <w:bottom w:val="single" w:sz="8" w:color="CCEEFF"/>
            </w:tcBorders>
            <w:vMerge w:val="restart"/>
          </w:tcPr>
          <w:p>
            <w:pPr>
              <w:spacing w:after="0"/>
              <w:rPr>
                <w:sz w:val="20"/>
                <w:szCs w:val="20"/>
                <w:color w:val="auto"/>
              </w:rPr>
            </w:pPr>
            <w:r>
              <w:rPr>
                <w:rFonts w:ascii="Arial" w:cs="Arial" w:eastAsia="Arial" w:hAnsi="Arial"/>
                <w:sz w:val="18"/>
                <w:szCs w:val="18"/>
                <w:b w:val="1"/>
                <w:bCs w:val="1"/>
                <w:color w:val="auto"/>
              </w:rPr>
              <w:t>Three months ended May 4, 2019 and May 5, 2018</w:t>
            </w:r>
          </w:p>
        </w:tc>
        <w:tc>
          <w:tcPr>
            <w:tcW w:w="1520" w:type="dxa"/>
            <w:vAlign w:val="bottom"/>
            <w:tcBorders>
              <w:top w:val="single" w:sz="8" w:color="CCEEFF"/>
            </w:tcBorders>
          </w:tcPr>
          <w:p>
            <w:pPr>
              <w:spacing w:after="0" w:line="20" w:lineRule="exact"/>
              <w:rPr>
                <w:sz w:val="1"/>
                <w:szCs w:val="1"/>
                <w:color w:val="auto"/>
              </w:rPr>
            </w:pPr>
          </w:p>
        </w:tc>
        <w:tc>
          <w:tcPr>
            <w:tcW w:w="700" w:type="dxa"/>
            <w:vAlign w:val="bottom"/>
            <w:tcBorders>
              <w:top w:val="single" w:sz="8" w:color="CCEEFF"/>
            </w:tcBorders>
          </w:tcPr>
          <w:p>
            <w:pPr>
              <w:spacing w:after="0" w:line="20" w:lineRule="exact"/>
              <w:rPr>
                <w:sz w:val="1"/>
                <w:szCs w:val="1"/>
                <w:color w:val="auto"/>
              </w:rPr>
            </w:pPr>
          </w:p>
        </w:tc>
        <w:tc>
          <w:tcPr>
            <w:tcW w:w="800" w:type="dxa"/>
            <w:vAlign w:val="bottom"/>
            <w:tcBorders>
              <w:top w:val="single" w:sz="8" w:color="CCEEFF"/>
            </w:tcBorders>
          </w:tcPr>
          <w:p>
            <w:pPr>
              <w:spacing w:after="0" w:line="20" w:lineRule="exact"/>
              <w:rPr>
                <w:sz w:val="1"/>
                <w:szCs w:val="1"/>
                <w:color w:val="auto"/>
              </w:rPr>
            </w:pPr>
          </w:p>
        </w:tc>
        <w:tc>
          <w:tcPr>
            <w:tcW w:w="560" w:type="dxa"/>
            <w:vAlign w:val="bottom"/>
            <w:tcBorders>
              <w:top w:val="single" w:sz="8" w:color="CCEEFF"/>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3"/>
        </w:trPr>
        <w:tc>
          <w:tcPr>
            <w:tcW w:w="4560" w:type="dxa"/>
            <w:vAlign w:val="bottom"/>
            <w:vMerge w:val="continue"/>
          </w:tcPr>
          <w:p>
            <w:pPr>
              <w:spacing w:after="0"/>
              <w:rPr>
                <w:sz w:val="24"/>
                <w:szCs w:val="24"/>
                <w:color w:val="auto"/>
              </w:rPr>
            </w:pPr>
          </w:p>
        </w:tc>
        <w:tc>
          <w:tcPr>
            <w:tcW w:w="15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4560" w:type="dxa"/>
            <w:vAlign w:val="bottom"/>
          </w:tcPr>
          <w:p>
            <w:pPr>
              <w:ind w:left="660"/>
              <w:spacing w:after="0"/>
              <w:rPr>
                <w:sz w:val="20"/>
                <w:szCs w:val="20"/>
                <w:color w:val="auto"/>
              </w:rPr>
            </w:pPr>
            <w:r>
              <w:rPr>
                <w:rFonts w:ascii="Arial" w:cs="Arial" w:eastAsia="Arial" w:hAnsi="Arial"/>
                <w:sz w:val="18"/>
                <w:szCs w:val="18"/>
                <w:i w:val="1"/>
                <w:iCs w:val="1"/>
                <w:color w:val="auto"/>
              </w:rPr>
              <w:t>Net Revenue</w:t>
            </w:r>
          </w:p>
        </w:tc>
        <w:tc>
          <w:tcPr>
            <w:tcW w:w="15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88"/>
        </w:trPr>
        <w:tc>
          <w:tcPr>
            <w:tcW w:w="4560" w:type="dxa"/>
            <w:vAlign w:val="bottom"/>
          </w:tcPr>
          <w:p>
            <w:pPr>
              <w:spacing w:after="0"/>
              <w:rPr>
                <w:sz w:val="24"/>
                <w:szCs w:val="24"/>
                <w:color w:val="auto"/>
              </w:rPr>
            </w:pPr>
          </w:p>
        </w:tc>
        <w:tc>
          <w:tcPr>
            <w:tcW w:w="1520" w:type="dxa"/>
            <w:vAlign w:val="bottom"/>
            <w:tcBorders>
              <w:bottom w:val="single" w:sz="8" w:color="auto"/>
            </w:tcBorders>
          </w:tcPr>
          <w:p>
            <w:pPr>
              <w:spacing w:after="0"/>
              <w:rPr>
                <w:sz w:val="24"/>
                <w:szCs w:val="24"/>
                <w:color w:val="auto"/>
              </w:rPr>
            </w:pPr>
          </w:p>
        </w:tc>
        <w:tc>
          <w:tcPr>
            <w:tcW w:w="150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Three Months Ended</w:t>
            </w:r>
          </w:p>
        </w:tc>
        <w:tc>
          <w:tcPr>
            <w:tcW w:w="560" w:type="dxa"/>
            <w:vAlign w:val="bottom"/>
            <w:tcBorders>
              <w:bottom w:val="single" w:sz="8" w:color="auto"/>
            </w:tcBorders>
          </w:tcPr>
          <w:p>
            <w:pPr>
              <w:spacing w:after="0"/>
              <w:rPr>
                <w:sz w:val="24"/>
                <w:szCs w:val="24"/>
                <w:color w:val="auto"/>
              </w:rPr>
            </w:pPr>
          </w:p>
        </w:tc>
        <w:tc>
          <w:tcPr>
            <w:tcW w:w="1000" w:type="dxa"/>
            <w:vAlign w:val="bottom"/>
            <w:tcBorders>
              <w:bottom w:val="single" w:sz="8" w:color="auto"/>
            </w:tcBorders>
          </w:tcPr>
          <w:p>
            <w:pPr>
              <w:spacing w:after="0"/>
              <w:rPr>
                <w:sz w:val="24"/>
                <w:szCs w:val="24"/>
                <w:color w:val="auto"/>
              </w:rPr>
            </w:pPr>
          </w:p>
        </w:tc>
        <w:tc>
          <w:tcPr>
            <w:tcW w:w="6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39"/>
        </w:trPr>
        <w:tc>
          <w:tcPr>
            <w:tcW w:w="4560" w:type="dxa"/>
            <w:vAlign w:val="bottom"/>
          </w:tcPr>
          <w:p>
            <w:pPr>
              <w:spacing w:after="0"/>
              <w:rPr>
                <w:sz w:val="12"/>
                <w:szCs w:val="12"/>
                <w:color w:val="auto"/>
              </w:rPr>
            </w:pPr>
          </w:p>
        </w:tc>
        <w:tc>
          <w:tcPr>
            <w:tcW w:w="152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May 4, 2019</w:t>
            </w:r>
          </w:p>
        </w:tc>
        <w:tc>
          <w:tcPr>
            <w:tcW w:w="7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2260" w:type="dxa"/>
            <w:vAlign w:val="bottom"/>
            <w:gridSpan w:val="4"/>
            <w:vMerge w:val="restart"/>
          </w:tcPr>
          <w:p>
            <w:pPr>
              <w:ind w:left="60"/>
              <w:spacing w:after="0"/>
              <w:rPr>
                <w:sz w:val="20"/>
                <w:szCs w:val="20"/>
                <w:color w:val="auto"/>
              </w:rPr>
            </w:pPr>
            <w:r>
              <w:rPr>
                <w:rFonts w:ascii="Arial" w:cs="Arial" w:eastAsia="Arial" w:hAnsi="Arial"/>
                <w:sz w:val="14"/>
                <w:szCs w:val="14"/>
                <w:b w:val="1"/>
                <w:bCs w:val="1"/>
                <w:color w:val="auto"/>
              </w:rPr>
              <w:t>May 5, 2018</w:t>
            </w:r>
          </w:p>
        </w:tc>
        <w:tc>
          <w:tcPr>
            <w:tcW w:w="1380" w:type="dxa"/>
            <w:vAlign w:val="bottom"/>
          </w:tcPr>
          <w:p>
            <w:pPr>
              <w:jc w:val="right"/>
              <w:ind w:right="833"/>
              <w:spacing w:after="0" w:line="139" w:lineRule="exact"/>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2"/>
        </w:trPr>
        <w:tc>
          <w:tcPr>
            <w:tcW w:w="4560" w:type="dxa"/>
            <w:vAlign w:val="bottom"/>
          </w:tcPr>
          <w:p>
            <w:pPr>
              <w:spacing w:after="0"/>
              <w:rPr>
                <w:sz w:val="16"/>
                <w:szCs w:val="16"/>
                <w:color w:val="auto"/>
              </w:rPr>
            </w:pPr>
          </w:p>
        </w:tc>
        <w:tc>
          <w:tcPr>
            <w:tcW w:w="1520" w:type="dxa"/>
            <w:vAlign w:val="bottom"/>
            <w:vMerge w:val="continue"/>
          </w:tcPr>
          <w:p>
            <w:pPr>
              <w:spacing w:after="0"/>
              <w:rPr>
                <w:sz w:val="16"/>
                <w:szCs w:val="16"/>
                <w:color w:val="auto"/>
              </w:rPr>
            </w:pPr>
          </w:p>
        </w:tc>
        <w:tc>
          <w:tcPr>
            <w:tcW w:w="7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2260" w:type="dxa"/>
            <w:vAlign w:val="bottom"/>
            <w:gridSpan w:val="4"/>
            <w:vMerge w:val="continue"/>
          </w:tcPr>
          <w:p>
            <w:pPr>
              <w:spacing w:after="0"/>
              <w:rPr>
                <w:sz w:val="16"/>
                <w:szCs w:val="16"/>
                <w:color w:val="auto"/>
              </w:rPr>
            </w:pPr>
          </w:p>
        </w:tc>
        <w:tc>
          <w:tcPr>
            <w:tcW w:w="1580" w:type="dxa"/>
            <w:vAlign w:val="bottom"/>
            <w:gridSpan w:val="2"/>
          </w:tcPr>
          <w:p>
            <w:pPr>
              <w:jc w:val="right"/>
              <w:ind w:right="96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4560" w:type="dxa"/>
            <w:vAlign w:val="bottom"/>
          </w:tcPr>
          <w:p>
            <w:pPr>
              <w:spacing w:after="0"/>
              <w:rPr>
                <w:sz w:val="17"/>
                <w:szCs w:val="17"/>
                <w:color w:val="auto"/>
              </w:rPr>
            </w:pPr>
          </w:p>
        </w:tc>
        <w:tc>
          <w:tcPr>
            <w:tcW w:w="1520" w:type="dxa"/>
            <w:vAlign w:val="bottom"/>
            <w:tcBorders>
              <w:top w:val="single" w:sz="8" w:color="auto"/>
            </w:tcBorders>
          </w:tcPr>
          <w:p>
            <w:pPr>
              <w:spacing w:after="0"/>
              <w:rPr>
                <w:sz w:val="17"/>
                <w:szCs w:val="17"/>
                <w:color w:val="auto"/>
              </w:rPr>
            </w:pPr>
          </w:p>
        </w:tc>
        <w:tc>
          <w:tcPr>
            <w:tcW w:w="700" w:type="dxa"/>
            <w:vAlign w:val="bottom"/>
            <w:tcBorders>
              <w:top w:val="single" w:sz="8" w:color="auto"/>
            </w:tcBorders>
          </w:tcPr>
          <w:p>
            <w:pPr>
              <w:spacing w:after="0"/>
              <w:rPr>
                <w:sz w:val="17"/>
                <w:szCs w:val="17"/>
                <w:color w:val="auto"/>
              </w:rPr>
            </w:pPr>
          </w:p>
        </w:tc>
        <w:tc>
          <w:tcPr>
            <w:tcW w:w="3060" w:type="dxa"/>
            <w:vAlign w:val="bottom"/>
            <w:tcBorders>
              <w:top w:val="single" w:sz="8" w:color="auto"/>
            </w:tcBorders>
            <w:gridSpan w:val="5"/>
          </w:tcPr>
          <w:p>
            <w:pPr>
              <w:ind w:left="100"/>
              <w:spacing w:after="0"/>
              <w:rPr>
                <w:sz w:val="20"/>
                <w:szCs w:val="20"/>
                <w:color w:val="auto"/>
              </w:rPr>
            </w:pPr>
            <w:r>
              <w:rPr>
                <w:rFonts w:ascii="Arial" w:cs="Arial" w:eastAsia="Arial" w:hAnsi="Arial"/>
                <w:sz w:val="14"/>
                <w:szCs w:val="14"/>
                <w:b w:val="1"/>
                <w:bCs w:val="1"/>
                <w:color w:val="auto"/>
              </w:rPr>
              <w:t>(in thousands, except percentage)</w:t>
            </w:r>
          </w:p>
        </w:tc>
        <w:tc>
          <w:tcPr>
            <w:tcW w:w="1380" w:type="dxa"/>
            <w:vAlign w:val="bottom"/>
            <w:tcBorders>
              <w:top w:val="single" w:sz="8" w:color="auto"/>
            </w:tcBorders>
          </w:tcPr>
          <w:p>
            <w:pPr>
              <w:spacing w:after="0"/>
              <w:rPr>
                <w:sz w:val="17"/>
                <w:szCs w:val="17"/>
                <w:color w:val="auto"/>
              </w:rPr>
            </w:pPr>
          </w:p>
        </w:tc>
        <w:tc>
          <w:tcPr>
            <w:tcW w:w="2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9"/>
        </w:trPr>
        <w:tc>
          <w:tcPr>
            <w:tcW w:w="4560" w:type="dxa"/>
            <w:vAlign w:val="bottom"/>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1520" w:type="dxa"/>
            <w:vAlign w:val="bottom"/>
            <w:shd w:val="clear" w:color="auto" w:fill="CCEEFF"/>
          </w:tcPr>
          <w:p>
            <w:pPr>
              <w:jc w:val="right"/>
              <w:ind w:right="1319"/>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w w:val="89"/>
              </w:rPr>
              <w:t>662,452</w:t>
            </w:r>
          </w:p>
        </w:tc>
        <w:tc>
          <w:tcPr>
            <w:tcW w:w="800" w:type="dxa"/>
            <w:vAlign w:val="bottom"/>
            <w:shd w:val="clear" w:color="auto" w:fill="CCEEFF"/>
          </w:tcPr>
          <w:p>
            <w:pPr>
              <w:jc w:val="right"/>
              <w:ind w:right="479"/>
              <w:spacing w:after="0"/>
              <w:rPr>
                <w:sz w:val="20"/>
                <w:szCs w:val="20"/>
                <w:color w:val="auto"/>
              </w:rPr>
            </w:pPr>
            <w:r>
              <w:rPr>
                <w:rFonts w:ascii="Arial" w:cs="Arial" w:eastAsia="Arial" w:hAnsi="Arial"/>
                <w:sz w:val="18"/>
                <w:szCs w:val="18"/>
                <w:color w:val="auto"/>
              </w:rPr>
              <w:t>$</w:t>
            </w:r>
          </w:p>
        </w:tc>
        <w:tc>
          <w:tcPr>
            <w:tcW w:w="1560" w:type="dxa"/>
            <w:vAlign w:val="bottom"/>
            <w:gridSpan w:val="2"/>
            <w:shd w:val="clear" w:color="auto" w:fill="CCEEFF"/>
          </w:tcPr>
          <w:p>
            <w:pPr>
              <w:jc w:val="right"/>
              <w:ind w:right="36"/>
              <w:spacing w:after="0"/>
              <w:rPr>
                <w:sz w:val="20"/>
                <w:szCs w:val="20"/>
                <w:color w:val="auto"/>
              </w:rPr>
            </w:pPr>
            <w:r>
              <w:rPr>
                <w:rFonts w:ascii="Arial" w:cs="Arial" w:eastAsia="Arial" w:hAnsi="Arial"/>
                <w:sz w:val="18"/>
                <w:szCs w:val="18"/>
                <w:color w:val="auto"/>
              </w:rPr>
              <w:t>604,631</w:t>
            </w:r>
          </w:p>
        </w:tc>
        <w:tc>
          <w:tcPr>
            <w:tcW w:w="60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w:t>
            </w:r>
          </w:p>
        </w:tc>
        <w:tc>
          <w:tcPr>
            <w:tcW w:w="2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560" w:type="dxa"/>
            <w:vAlign w:val="bottom"/>
            <w:shd w:val="clear" w:color="auto" w:fill="CCEEFF"/>
          </w:tcPr>
          <w:p>
            <w:pPr>
              <w:spacing w:after="0"/>
              <w:rPr>
                <w:sz w:val="2"/>
                <w:szCs w:val="2"/>
                <w:color w:val="auto"/>
              </w:rPr>
            </w:pPr>
          </w:p>
        </w:tc>
        <w:tc>
          <w:tcPr>
            <w:tcW w:w="1520" w:type="dxa"/>
            <w:vAlign w:val="bottom"/>
            <w:shd w:val="clear" w:color="auto" w:fill="CCEEFF"/>
          </w:tcPr>
          <w:p>
            <w:pPr>
              <w:spacing w:after="0"/>
              <w:rPr>
                <w:sz w:val="2"/>
                <w:szCs w:val="2"/>
                <w:color w:val="auto"/>
              </w:rPr>
            </w:pPr>
          </w:p>
        </w:tc>
        <w:tc>
          <w:tcPr>
            <w:tcW w:w="700" w:type="dxa"/>
            <w:vAlign w:val="bottom"/>
            <w:shd w:val="clear" w:color="auto" w:fill="CCEEFF"/>
          </w:tcPr>
          <w:p>
            <w:pPr>
              <w:spacing w:after="0"/>
              <w:rPr>
                <w:sz w:val="2"/>
                <w:szCs w:val="2"/>
                <w:color w:val="auto"/>
              </w:rPr>
            </w:pPr>
          </w:p>
        </w:tc>
        <w:tc>
          <w:tcPr>
            <w:tcW w:w="800" w:type="dxa"/>
            <w:vAlign w:val="bottom"/>
            <w:shd w:val="clear" w:color="auto" w:fill="CCEEFF"/>
          </w:tcPr>
          <w:p>
            <w:pPr>
              <w:spacing w:after="0"/>
              <w:rPr>
                <w:sz w:val="2"/>
                <w:szCs w:val="2"/>
                <w:color w:val="auto"/>
              </w:rPr>
            </w:pPr>
          </w:p>
        </w:tc>
        <w:tc>
          <w:tcPr>
            <w:tcW w:w="560" w:type="dxa"/>
            <w:vAlign w:val="bottom"/>
            <w:shd w:val="clear" w:color="auto" w:fill="CCEEFF"/>
          </w:tcPr>
          <w:p>
            <w:pPr>
              <w:spacing w:after="0"/>
              <w:rPr>
                <w:sz w:val="2"/>
                <w:szCs w:val="2"/>
                <w:color w:val="auto"/>
              </w:rPr>
            </w:pPr>
          </w:p>
        </w:tc>
        <w:tc>
          <w:tcPr>
            <w:tcW w:w="1000" w:type="dxa"/>
            <w:vAlign w:val="bottom"/>
            <w:shd w:val="clear" w:color="auto" w:fill="CCEEFF"/>
          </w:tcPr>
          <w:p>
            <w:pPr>
              <w:spacing w:after="0"/>
              <w:rPr>
                <w:sz w:val="2"/>
                <w:szCs w:val="2"/>
                <w:color w:val="auto"/>
              </w:rPr>
            </w:pPr>
          </w:p>
        </w:tc>
        <w:tc>
          <w:tcPr>
            <w:tcW w:w="60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380" w:type="dxa"/>
            <w:vAlign w:val="bottom"/>
            <w:shd w:val="clear" w:color="auto" w:fill="CCEEFF"/>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160" w:firstLine="405"/>
        <w:spacing w:after="0" w:line="259" w:lineRule="auto"/>
        <w:rPr>
          <w:sz w:val="20"/>
          <w:szCs w:val="20"/>
          <w:color w:val="auto"/>
        </w:rPr>
      </w:pPr>
      <w:r>
        <w:rPr>
          <w:rFonts w:ascii="Arial" w:cs="Arial" w:eastAsia="Arial" w:hAnsi="Arial"/>
          <w:sz w:val="18"/>
          <w:szCs w:val="18"/>
          <w:color w:val="auto"/>
        </w:rPr>
        <w:t>Our net revenue for the three months ended May 4, 2019 increased by $57.8 million compared to net revenue for the three months ended May 5, 2018. This was primarily due to increased sales of our networking products by 40% with sales benefiting from our acquisition of Cavium. This increase was partially offset by decreased sales of our storage products and other products, which were down 12% and 2% respectively, compared to the three months ended May 5, 2018.</w:t>
      </w:r>
    </w:p>
    <w:p>
      <w:pPr>
        <w:spacing w:after="0" w:line="227" w:lineRule="exact"/>
        <w:rPr>
          <w:sz w:val="20"/>
          <w:szCs w:val="20"/>
          <w:color w:val="auto"/>
        </w:rPr>
      </w:pPr>
    </w:p>
    <w:p>
      <w:pPr>
        <w:ind w:right="140" w:firstLine="405"/>
        <w:spacing w:after="0" w:line="277" w:lineRule="auto"/>
        <w:rPr>
          <w:sz w:val="20"/>
          <w:szCs w:val="20"/>
          <w:color w:val="auto"/>
        </w:rPr>
      </w:pPr>
      <w:r>
        <w:rPr>
          <w:rFonts w:ascii="Arial" w:cs="Arial" w:eastAsia="Arial" w:hAnsi="Arial"/>
          <w:sz w:val="18"/>
          <w:szCs w:val="18"/>
          <w:color w:val="auto"/>
        </w:rPr>
        <w:t>In the three months ended May 4, 2019, unit shipments were 50% lower and average selling prices increased 41% compared to the three months ended May 5, 2018.</w:t>
      </w:r>
    </w:p>
    <w:p>
      <w:pPr>
        <w:spacing w:after="0" w:line="279" w:lineRule="exact"/>
        <w:rPr>
          <w:sz w:val="20"/>
          <w:szCs w:val="20"/>
          <w:color w:val="auto"/>
        </w:rPr>
      </w:pPr>
    </w:p>
    <w:p>
      <w:pPr>
        <w:ind w:right="40" w:firstLine="378"/>
        <w:spacing w:after="0" w:line="259" w:lineRule="auto"/>
        <w:rPr>
          <w:sz w:val="20"/>
          <w:szCs w:val="20"/>
          <w:color w:val="auto"/>
        </w:rPr>
      </w:pPr>
      <w:r>
        <w:rPr>
          <w:rFonts w:ascii="Arial" w:cs="Arial" w:eastAsia="Arial" w:hAnsi="Arial"/>
          <w:sz w:val="18"/>
          <w:szCs w:val="18"/>
          <w:color w:val="auto"/>
        </w:rPr>
        <w:t>The US government export restrictions on Huawei were implemented in the second week of our second quarter of fiscal year 2020, limiting revenue from that customer to shipments during a short period during the second quarter of fiscal year 2020. In addition, there may be indirect impacts to our business which we cannot easily quantify such as the fact that some of our other customer’s products which use our solutions, such as hard disk drives, may also be impacted by the export restrictions.</w:t>
      </w:r>
    </w:p>
    <w:p>
      <w:pPr>
        <w:spacing w:after="0" w:line="2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130" w:right="239" w:bottom="1440" w:gutter="0" w:footer="0" w:header="0"/>
        </w:sectPr>
      </w:pPr>
    </w:p>
    <w:bookmarkStart w:id="28" w:name="page29"/>
    <w:bookmarkEnd w:id="2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60"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460" w:type="dxa"/>
            <w:vAlign w:val="bottom"/>
          </w:tcPr>
          <w:p>
            <w:pPr>
              <w:spacing w:after="0"/>
              <w:rPr>
                <w:sz w:val="16"/>
                <w:szCs w:val="16"/>
                <w:color w:val="auto"/>
              </w:rPr>
            </w:pPr>
          </w:p>
        </w:tc>
        <w:tc>
          <w:tcPr>
            <w:tcW w:w="440" w:type="dxa"/>
            <w:vAlign w:val="bottom"/>
            <w:tcBorders>
              <w:bottom w:val="single" w:sz="8" w:color="auto"/>
            </w:tcBorders>
          </w:tcPr>
          <w:p>
            <w:pPr>
              <w:spacing w:after="0"/>
              <w:rPr>
                <w:sz w:val="16"/>
                <w:szCs w:val="16"/>
                <w:color w:val="auto"/>
              </w:rPr>
            </w:pPr>
          </w:p>
        </w:tc>
        <w:tc>
          <w:tcPr>
            <w:tcW w:w="2640" w:type="dxa"/>
            <w:vAlign w:val="bottom"/>
            <w:tcBorders>
              <w:bottom w:val="single" w:sz="8" w:color="auto"/>
            </w:tcBorders>
            <w:gridSpan w:val="3"/>
          </w:tcPr>
          <w:p>
            <w:pPr>
              <w:jc w:val="right"/>
              <w:ind w:right="80"/>
              <w:spacing w:after="0"/>
              <w:rPr>
                <w:sz w:val="20"/>
                <w:szCs w:val="20"/>
                <w:color w:val="auto"/>
              </w:rPr>
            </w:pPr>
            <w:r>
              <w:rPr>
                <w:rFonts w:ascii="Arial" w:cs="Arial" w:eastAsia="Arial" w:hAnsi="Arial"/>
                <w:sz w:val="14"/>
                <w:szCs w:val="14"/>
                <w:b w:val="1"/>
                <w:bCs w:val="1"/>
                <w:color w:val="auto"/>
              </w:rPr>
              <w:t>Three Months Ended</w:t>
            </w:r>
          </w:p>
        </w:tc>
        <w:tc>
          <w:tcPr>
            <w:tcW w:w="1580" w:type="dxa"/>
            <w:vAlign w:val="bottom"/>
            <w:tcBorders>
              <w:bottom w:val="single" w:sz="8" w:color="auto"/>
            </w:tcBorders>
          </w:tcPr>
          <w:p>
            <w:pPr>
              <w:spacing w:after="0"/>
              <w:rPr>
                <w:sz w:val="16"/>
                <w:szCs w:val="16"/>
                <w:color w:val="auto"/>
              </w:rPr>
            </w:pPr>
          </w:p>
        </w:tc>
        <w:tc>
          <w:tcPr>
            <w:tcW w:w="2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44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840" w:type="dxa"/>
            <w:vAlign w:val="bottom"/>
            <w:vMerge w:val="restart"/>
          </w:tcPr>
          <w:p>
            <w:pPr>
              <w:jc w:val="right"/>
              <w:ind w:right="696"/>
              <w:spacing w:after="0"/>
              <w:rPr>
                <w:sz w:val="20"/>
                <w:szCs w:val="20"/>
                <w:color w:val="auto"/>
              </w:rPr>
            </w:pPr>
            <w:r>
              <w:rPr>
                <w:rFonts w:ascii="Arial" w:cs="Arial" w:eastAsia="Arial" w:hAnsi="Arial"/>
                <w:sz w:val="14"/>
                <w:szCs w:val="14"/>
                <w:b w:val="1"/>
                <w:bCs w:val="1"/>
                <w:color w:val="auto"/>
              </w:rPr>
              <w:t>May 4, 2019</w:t>
            </w:r>
          </w:p>
        </w:tc>
        <w:tc>
          <w:tcPr>
            <w:tcW w:w="1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580" w:type="dxa"/>
            <w:vAlign w:val="bottom"/>
            <w:vMerge w:val="restart"/>
          </w:tcPr>
          <w:p>
            <w:pPr>
              <w:jc w:val="right"/>
              <w:ind w:right="674"/>
              <w:spacing w:after="0"/>
              <w:rPr>
                <w:sz w:val="20"/>
                <w:szCs w:val="20"/>
                <w:color w:val="auto"/>
              </w:rPr>
            </w:pPr>
            <w:r>
              <w:rPr>
                <w:rFonts w:ascii="Arial" w:cs="Arial" w:eastAsia="Arial" w:hAnsi="Arial"/>
                <w:sz w:val="14"/>
                <w:szCs w:val="14"/>
                <w:b w:val="1"/>
                <w:bCs w:val="1"/>
                <w:color w:val="auto"/>
              </w:rPr>
              <w:t>May 5, 2018</w:t>
            </w:r>
          </w:p>
        </w:tc>
        <w:tc>
          <w:tcPr>
            <w:tcW w:w="2100" w:type="dxa"/>
            <w:vAlign w:val="bottom"/>
          </w:tcPr>
          <w:p>
            <w:pPr>
              <w:jc w:val="right"/>
              <w:ind w:right="839"/>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4460" w:type="dxa"/>
            <w:vAlign w:val="bottom"/>
          </w:tcPr>
          <w:p>
            <w:pPr>
              <w:spacing w:after="0"/>
              <w:rPr>
                <w:sz w:val="16"/>
                <w:szCs w:val="16"/>
                <w:color w:val="auto"/>
              </w:rPr>
            </w:pPr>
          </w:p>
        </w:tc>
        <w:tc>
          <w:tcPr>
            <w:tcW w:w="440" w:type="dxa"/>
            <w:vAlign w:val="bottom"/>
            <w:tcBorders>
              <w:bottom w:val="single" w:sz="8" w:color="auto"/>
            </w:tcBorders>
          </w:tcPr>
          <w:p>
            <w:pPr>
              <w:spacing w:after="0"/>
              <w:rPr>
                <w:sz w:val="16"/>
                <w:szCs w:val="16"/>
                <w:color w:val="auto"/>
              </w:rPr>
            </w:pPr>
          </w:p>
        </w:tc>
        <w:tc>
          <w:tcPr>
            <w:tcW w:w="1840" w:type="dxa"/>
            <w:vAlign w:val="bottom"/>
            <w:tcBorders>
              <w:bottom w:val="single" w:sz="8" w:color="auto"/>
            </w:tcBorders>
            <w:vMerge w:val="continue"/>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70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vMerge w:val="continue"/>
          </w:tcPr>
          <w:p>
            <w:pPr>
              <w:spacing w:after="0"/>
              <w:rPr>
                <w:sz w:val="16"/>
                <w:szCs w:val="16"/>
                <w:color w:val="auto"/>
              </w:rPr>
            </w:pPr>
          </w:p>
        </w:tc>
        <w:tc>
          <w:tcPr>
            <w:tcW w:w="2100" w:type="dxa"/>
            <w:vAlign w:val="bottom"/>
            <w:tcBorders>
              <w:bottom w:val="single" w:sz="8" w:color="auto"/>
            </w:tcBorders>
          </w:tcPr>
          <w:p>
            <w:pPr>
              <w:jc w:val="right"/>
              <w:ind w:right="679"/>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446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1840" w:type="dxa"/>
            <w:vAlign w:val="bottom"/>
          </w:tcPr>
          <w:p>
            <w:pPr>
              <w:spacing w:after="0"/>
              <w:rPr>
                <w:sz w:val="17"/>
                <w:szCs w:val="17"/>
                <w:color w:val="auto"/>
              </w:rPr>
            </w:pPr>
          </w:p>
        </w:tc>
        <w:tc>
          <w:tcPr>
            <w:tcW w:w="2380" w:type="dxa"/>
            <w:vAlign w:val="bottom"/>
            <w:gridSpan w:val="3"/>
          </w:tcPr>
          <w:p>
            <w:pPr>
              <w:jc w:val="right"/>
              <w:ind w:right="154"/>
              <w:spacing w:after="0"/>
              <w:rPr>
                <w:sz w:val="20"/>
                <w:szCs w:val="20"/>
                <w:color w:val="auto"/>
              </w:rPr>
            </w:pPr>
            <w:r>
              <w:rPr>
                <w:rFonts w:ascii="Arial" w:cs="Arial" w:eastAsia="Arial" w:hAnsi="Arial"/>
                <w:sz w:val="14"/>
                <w:szCs w:val="14"/>
                <w:b w:val="1"/>
                <w:bCs w:val="1"/>
                <w:color w:val="auto"/>
                <w:w w:val="93"/>
              </w:rPr>
              <w:t>(in thousands, except percentage)</w:t>
            </w:r>
          </w:p>
        </w:tc>
        <w:tc>
          <w:tcPr>
            <w:tcW w:w="2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Cost of goods sold</w:t>
            </w:r>
          </w:p>
        </w:tc>
        <w:tc>
          <w:tcPr>
            <w:tcW w:w="440" w:type="dxa"/>
            <w:vAlign w:val="bottom"/>
            <w:tcBorders>
              <w:bottom w:val="single" w:sz="8" w:color="CCEEFF"/>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184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301,024</w:t>
            </w:r>
          </w:p>
        </w:tc>
        <w:tc>
          <w:tcPr>
            <w:tcW w:w="800" w:type="dxa"/>
            <w:vAlign w:val="bottom"/>
            <w:tcBorders>
              <w:bottom w:val="single" w:sz="8" w:color="CCEEFF"/>
            </w:tcBorders>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w:t>
            </w:r>
          </w:p>
        </w:tc>
        <w:tc>
          <w:tcPr>
            <w:tcW w:w="158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228,938</w:t>
            </w:r>
          </w:p>
        </w:tc>
        <w:tc>
          <w:tcPr>
            <w:tcW w:w="2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31.5 %</w:t>
            </w:r>
          </w:p>
        </w:tc>
        <w:tc>
          <w:tcPr>
            <w:tcW w:w="0" w:type="dxa"/>
            <w:vAlign w:val="bottom"/>
          </w:tcPr>
          <w:p>
            <w:pPr>
              <w:spacing w:after="0"/>
              <w:rPr>
                <w:sz w:val="1"/>
                <w:szCs w:val="1"/>
                <w:color w:val="auto"/>
              </w:rPr>
            </w:pPr>
          </w:p>
        </w:tc>
      </w:tr>
      <w:tr>
        <w:trPr>
          <w:trHeight w:val="243"/>
        </w:trPr>
        <w:tc>
          <w:tcPr>
            <w:tcW w:w="446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440" w:type="dxa"/>
            <w:vAlign w:val="bottom"/>
          </w:tcPr>
          <w:p>
            <w:pPr>
              <w:spacing w:after="0"/>
              <w:rPr>
                <w:sz w:val="21"/>
                <w:szCs w:val="21"/>
                <w:color w:val="auto"/>
              </w:rPr>
            </w:pPr>
          </w:p>
        </w:tc>
        <w:tc>
          <w:tcPr>
            <w:tcW w:w="1840" w:type="dxa"/>
            <w:vAlign w:val="bottom"/>
          </w:tcPr>
          <w:p>
            <w:pPr>
              <w:jc w:val="right"/>
              <w:spacing w:after="0"/>
              <w:rPr>
                <w:sz w:val="20"/>
                <w:szCs w:val="20"/>
                <w:color w:val="auto"/>
              </w:rPr>
            </w:pPr>
            <w:r>
              <w:rPr>
                <w:rFonts w:ascii="Arial" w:cs="Arial" w:eastAsia="Arial" w:hAnsi="Arial"/>
                <w:sz w:val="18"/>
                <w:szCs w:val="18"/>
                <w:color w:val="auto"/>
              </w:rPr>
              <w:t>45.4%</w:t>
            </w:r>
          </w:p>
        </w:tc>
        <w:tc>
          <w:tcPr>
            <w:tcW w:w="10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1580" w:type="dxa"/>
            <w:vAlign w:val="bottom"/>
          </w:tcPr>
          <w:p>
            <w:pPr>
              <w:jc w:val="right"/>
              <w:spacing w:after="0"/>
              <w:rPr>
                <w:sz w:val="20"/>
                <w:szCs w:val="20"/>
                <w:color w:val="auto"/>
              </w:rPr>
            </w:pPr>
            <w:r>
              <w:rPr>
                <w:rFonts w:ascii="Arial" w:cs="Arial" w:eastAsia="Arial" w:hAnsi="Arial"/>
                <w:sz w:val="18"/>
                <w:szCs w:val="18"/>
                <w:color w:val="auto"/>
              </w:rPr>
              <w:t>37.9%</w:t>
            </w:r>
          </w:p>
        </w:tc>
        <w:tc>
          <w:tcPr>
            <w:tcW w:w="2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460" w:type="dxa"/>
            <w:vAlign w:val="bottom"/>
            <w:tcBorders>
              <w:bottom w:val="single" w:sz="8" w:color="CCEEFF"/>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18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1580" w:type="dxa"/>
            <w:vAlign w:val="bottom"/>
            <w:tcBorders>
              <w:bottom w:val="single" w:sz="8" w:color="auto"/>
            </w:tcBorders>
          </w:tcPr>
          <w:p>
            <w:pPr>
              <w:spacing w:after="0"/>
              <w:rPr>
                <w:sz w:val="2"/>
                <w:szCs w:val="2"/>
                <w:color w:val="auto"/>
              </w:rPr>
            </w:pPr>
          </w:p>
        </w:tc>
        <w:tc>
          <w:tcPr>
            <w:tcW w:w="210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440" w:type="dxa"/>
            <w:vAlign w:val="bottom"/>
            <w:tcBorders>
              <w:bottom w:val="single" w:sz="8" w:color="CCEEFF"/>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184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361,428</w:t>
            </w:r>
          </w:p>
        </w:tc>
        <w:tc>
          <w:tcPr>
            <w:tcW w:w="800" w:type="dxa"/>
            <w:vAlign w:val="bottom"/>
            <w:tcBorders>
              <w:bottom w:val="single" w:sz="8" w:color="CCEEFF"/>
            </w:tcBorders>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w:t>
            </w:r>
          </w:p>
        </w:tc>
        <w:tc>
          <w:tcPr>
            <w:tcW w:w="158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375,693</w:t>
            </w:r>
          </w:p>
        </w:tc>
        <w:tc>
          <w:tcPr>
            <w:tcW w:w="2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w:t>
            </w:r>
          </w:p>
        </w:tc>
        <w:tc>
          <w:tcPr>
            <w:tcW w:w="0" w:type="dxa"/>
            <w:vAlign w:val="bottom"/>
          </w:tcPr>
          <w:p>
            <w:pPr>
              <w:spacing w:after="0"/>
              <w:rPr>
                <w:sz w:val="1"/>
                <w:szCs w:val="1"/>
                <w:color w:val="auto"/>
              </w:rPr>
            </w:pPr>
          </w:p>
        </w:tc>
      </w:tr>
      <w:tr>
        <w:trPr>
          <w:trHeight w:val="237"/>
        </w:trPr>
        <w:tc>
          <w:tcPr>
            <w:tcW w:w="446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440" w:type="dxa"/>
            <w:vAlign w:val="bottom"/>
            <w:tcBorders>
              <w:top w:val="single" w:sz="8" w:color="auto"/>
            </w:tcBorders>
          </w:tcPr>
          <w:p>
            <w:pPr>
              <w:spacing w:after="0"/>
              <w:rPr>
                <w:sz w:val="20"/>
                <w:szCs w:val="20"/>
                <w:color w:val="auto"/>
              </w:rPr>
            </w:pPr>
          </w:p>
        </w:tc>
        <w:tc>
          <w:tcPr>
            <w:tcW w:w="18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54.6%</w:t>
            </w:r>
          </w:p>
        </w:tc>
        <w:tc>
          <w:tcPr>
            <w:tcW w:w="100" w:type="dxa"/>
            <w:vAlign w:val="bottom"/>
          </w:tcPr>
          <w:p>
            <w:pPr>
              <w:spacing w:after="0"/>
              <w:rPr>
                <w:sz w:val="20"/>
                <w:szCs w:val="20"/>
                <w:color w:val="auto"/>
              </w:rPr>
            </w:pPr>
          </w:p>
        </w:tc>
        <w:tc>
          <w:tcPr>
            <w:tcW w:w="700" w:type="dxa"/>
            <w:vAlign w:val="bottom"/>
            <w:tcBorders>
              <w:top w:val="single" w:sz="8" w:color="auto"/>
            </w:tcBorders>
          </w:tcPr>
          <w:p>
            <w:pPr>
              <w:spacing w:after="0"/>
              <w:rPr>
                <w:sz w:val="20"/>
                <w:szCs w:val="20"/>
                <w:color w:val="auto"/>
              </w:rPr>
            </w:pPr>
          </w:p>
        </w:tc>
        <w:tc>
          <w:tcPr>
            <w:tcW w:w="1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62.1%</w:t>
            </w:r>
          </w:p>
        </w:tc>
        <w:tc>
          <w:tcPr>
            <w:tcW w:w="21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right="120" w:firstLine="432"/>
        <w:spacing w:after="0" w:line="312" w:lineRule="auto"/>
        <w:rPr>
          <w:sz w:val="20"/>
          <w:szCs w:val="20"/>
          <w:color w:val="auto"/>
        </w:rPr>
      </w:pPr>
      <w:r>
        <w:rPr>
          <w:rFonts w:ascii="Arial" w:cs="Arial" w:eastAsia="Arial" w:hAnsi="Arial"/>
          <w:sz w:val="16"/>
          <w:szCs w:val="16"/>
          <w:color w:val="auto"/>
        </w:rPr>
        <w:t>Cost of goods sold as a percentage of net revenue was higher for the three months ended May 4, 2019 compared to the three months ended May 5, 2018. The increase primarily consisted of $60 million of amortization costs related to acquired intangible assets from our acquisition of Cavium. As a result, gross margin for the three months ended May 4, 2019 decreased 7.5 percentage points compared to the three months ended May 5, 2018.</w:t>
      </w:r>
    </w:p>
    <w:p>
      <w:pPr>
        <w:spacing w:after="0" w:line="147"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Research and Development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500" w:type="dxa"/>
            <w:vAlign w:val="bottom"/>
          </w:tcPr>
          <w:p>
            <w:pPr>
              <w:spacing w:after="0"/>
              <w:rPr>
                <w:sz w:val="16"/>
                <w:szCs w:val="16"/>
                <w:color w:val="auto"/>
              </w:rPr>
            </w:pPr>
          </w:p>
        </w:tc>
        <w:tc>
          <w:tcPr>
            <w:tcW w:w="440" w:type="dxa"/>
            <w:vAlign w:val="bottom"/>
            <w:tcBorders>
              <w:bottom w:val="single" w:sz="8" w:color="auto"/>
            </w:tcBorders>
          </w:tcPr>
          <w:p>
            <w:pPr>
              <w:spacing w:after="0"/>
              <w:rPr>
                <w:sz w:val="16"/>
                <w:szCs w:val="16"/>
                <w:color w:val="auto"/>
              </w:rPr>
            </w:pPr>
          </w:p>
        </w:tc>
        <w:tc>
          <w:tcPr>
            <w:tcW w:w="264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Three Months Ended</w:t>
            </w:r>
          </w:p>
        </w:tc>
        <w:tc>
          <w:tcPr>
            <w:tcW w:w="1580" w:type="dxa"/>
            <w:vAlign w:val="bottom"/>
            <w:tcBorders>
              <w:bottom w:val="single" w:sz="8" w:color="auto"/>
            </w:tcBorders>
          </w:tcPr>
          <w:p>
            <w:pPr>
              <w:spacing w:after="0"/>
              <w:rPr>
                <w:sz w:val="16"/>
                <w:szCs w:val="16"/>
                <w:color w:val="auto"/>
              </w:rPr>
            </w:pPr>
          </w:p>
        </w:tc>
        <w:tc>
          <w:tcPr>
            <w:tcW w:w="20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45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1860" w:type="dxa"/>
            <w:vAlign w:val="bottom"/>
            <w:vMerge w:val="restart"/>
          </w:tcPr>
          <w:p>
            <w:pPr>
              <w:jc w:val="right"/>
              <w:ind w:right="719"/>
              <w:spacing w:after="0"/>
              <w:rPr>
                <w:sz w:val="20"/>
                <w:szCs w:val="20"/>
                <w:color w:val="auto"/>
              </w:rPr>
            </w:pPr>
            <w:r>
              <w:rPr>
                <w:rFonts w:ascii="Arial" w:cs="Arial" w:eastAsia="Arial" w:hAnsi="Arial"/>
                <w:sz w:val="14"/>
                <w:szCs w:val="14"/>
                <w:b w:val="1"/>
                <w:bCs w:val="1"/>
                <w:color w:val="auto"/>
              </w:rPr>
              <w:t>May 4, 2019</w:t>
            </w:r>
          </w:p>
        </w:tc>
        <w:tc>
          <w:tcPr>
            <w:tcW w:w="780" w:type="dxa"/>
            <w:vAlign w:val="bottom"/>
          </w:tcPr>
          <w:p>
            <w:pPr>
              <w:spacing w:after="0"/>
              <w:rPr>
                <w:sz w:val="12"/>
                <w:szCs w:val="12"/>
                <w:color w:val="auto"/>
              </w:rPr>
            </w:pPr>
          </w:p>
        </w:tc>
        <w:tc>
          <w:tcPr>
            <w:tcW w:w="1580" w:type="dxa"/>
            <w:vAlign w:val="bottom"/>
            <w:vMerge w:val="restart"/>
          </w:tcPr>
          <w:p>
            <w:pPr>
              <w:jc w:val="right"/>
              <w:ind w:right="676"/>
              <w:spacing w:after="0"/>
              <w:rPr>
                <w:sz w:val="20"/>
                <w:szCs w:val="20"/>
                <w:color w:val="auto"/>
              </w:rPr>
            </w:pPr>
            <w:r>
              <w:rPr>
                <w:rFonts w:ascii="Arial" w:cs="Arial" w:eastAsia="Arial" w:hAnsi="Arial"/>
                <w:sz w:val="14"/>
                <w:szCs w:val="14"/>
                <w:b w:val="1"/>
                <w:bCs w:val="1"/>
                <w:color w:val="auto"/>
              </w:rPr>
              <w:t>May 5, 2018</w:t>
            </w:r>
          </w:p>
        </w:tc>
        <w:tc>
          <w:tcPr>
            <w:tcW w:w="2060" w:type="dxa"/>
            <w:vAlign w:val="bottom"/>
          </w:tcPr>
          <w:p>
            <w:pPr>
              <w:jc w:val="right"/>
              <w:ind w:right="82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4500" w:type="dxa"/>
            <w:vAlign w:val="bottom"/>
          </w:tcPr>
          <w:p>
            <w:pPr>
              <w:spacing w:after="0"/>
              <w:rPr>
                <w:sz w:val="16"/>
                <w:szCs w:val="16"/>
                <w:color w:val="auto"/>
              </w:rPr>
            </w:pPr>
          </w:p>
        </w:tc>
        <w:tc>
          <w:tcPr>
            <w:tcW w:w="440" w:type="dxa"/>
            <w:vAlign w:val="bottom"/>
            <w:tcBorders>
              <w:bottom w:val="single" w:sz="8" w:color="auto"/>
            </w:tcBorders>
          </w:tcPr>
          <w:p>
            <w:pPr>
              <w:spacing w:after="0"/>
              <w:rPr>
                <w:sz w:val="16"/>
                <w:szCs w:val="16"/>
                <w:color w:val="auto"/>
              </w:rPr>
            </w:pPr>
          </w:p>
        </w:tc>
        <w:tc>
          <w:tcPr>
            <w:tcW w:w="1860" w:type="dxa"/>
            <w:vAlign w:val="bottom"/>
            <w:tcBorders>
              <w:bottom w:val="single" w:sz="8" w:color="auto"/>
            </w:tcBorders>
            <w:vMerge w:val="continue"/>
          </w:tcPr>
          <w:p>
            <w:pPr>
              <w:spacing w:after="0"/>
              <w:rPr>
                <w:sz w:val="16"/>
                <w:szCs w:val="16"/>
                <w:color w:val="auto"/>
              </w:rPr>
            </w:pPr>
          </w:p>
        </w:tc>
        <w:tc>
          <w:tcPr>
            <w:tcW w:w="78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vMerge w:val="continue"/>
          </w:tcPr>
          <w:p>
            <w:pPr>
              <w:spacing w:after="0"/>
              <w:rPr>
                <w:sz w:val="16"/>
                <w:szCs w:val="16"/>
                <w:color w:val="auto"/>
              </w:rPr>
            </w:pPr>
          </w:p>
        </w:tc>
        <w:tc>
          <w:tcPr>
            <w:tcW w:w="206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96"/>
        </w:trPr>
        <w:tc>
          <w:tcPr>
            <w:tcW w:w="450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1860" w:type="dxa"/>
            <w:vAlign w:val="bottom"/>
          </w:tcPr>
          <w:p>
            <w:pPr>
              <w:spacing w:after="0"/>
              <w:rPr>
                <w:sz w:val="17"/>
                <w:szCs w:val="17"/>
                <w:color w:val="auto"/>
              </w:rPr>
            </w:pPr>
          </w:p>
        </w:tc>
        <w:tc>
          <w:tcPr>
            <w:tcW w:w="2360" w:type="dxa"/>
            <w:vAlign w:val="bottom"/>
            <w:gridSpan w:val="2"/>
          </w:tcPr>
          <w:p>
            <w:pPr>
              <w:jc w:val="right"/>
              <w:ind w:right="176"/>
              <w:spacing w:after="0"/>
              <w:rPr>
                <w:sz w:val="20"/>
                <w:szCs w:val="20"/>
                <w:color w:val="auto"/>
              </w:rPr>
            </w:pPr>
            <w:r>
              <w:rPr>
                <w:rFonts w:ascii="Arial" w:cs="Arial" w:eastAsia="Arial" w:hAnsi="Arial"/>
                <w:sz w:val="14"/>
                <w:szCs w:val="14"/>
                <w:b w:val="1"/>
                <w:bCs w:val="1"/>
                <w:color w:val="auto"/>
                <w:w w:val="91"/>
              </w:rPr>
              <w:t>(in thousands, except percentage)</w:t>
            </w:r>
          </w:p>
        </w:tc>
        <w:tc>
          <w:tcPr>
            <w:tcW w:w="20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4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Research and development</w:t>
            </w:r>
          </w:p>
        </w:tc>
        <w:tc>
          <w:tcPr>
            <w:tcW w:w="440" w:type="dxa"/>
            <w:vAlign w:val="bottom"/>
            <w:tcBorders>
              <w:bottom w:val="single" w:sz="8" w:color="CCEEFF"/>
            </w:tcBorders>
            <w:shd w:val="clear" w:color="auto" w:fill="CCEEFF"/>
          </w:tcPr>
          <w:p>
            <w:pPr>
              <w:jc w:val="right"/>
              <w:ind w:right="250"/>
              <w:spacing w:after="0"/>
              <w:rPr>
                <w:sz w:val="20"/>
                <w:szCs w:val="20"/>
                <w:color w:val="auto"/>
              </w:rPr>
            </w:pPr>
            <w:r>
              <w:rPr>
                <w:rFonts w:ascii="Arial" w:cs="Arial" w:eastAsia="Arial" w:hAnsi="Arial"/>
                <w:sz w:val="18"/>
                <w:szCs w:val="18"/>
                <w:color w:val="auto"/>
                <w:w w:val="79"/>
              </w:rPr>
              <w:t>$</w:t>
            </w:r>
          </w:p>
        </w:tc>
        <w:tc>
          <w:tcPr>
            <w:tcW w:w="1860" w:type="dxa"/>
            <w:vAlign w:val="bottom"/>
            <w:tcBorders>
              <w:bottom w:val="single" w:sz="8" w:color="CCEEFF"/>
            </w:tcBorders>
            <w:shd w:val="clear" w:color="auto" w:fill="CCEEFF"/>
          </w:tcPr>
          <w:p>
            <w:pPr>
              <w:jc w:val="right"/>
              <w:ind w:right="139"/>
              <w:spacing w:after="0"/>
              <w:rPr>
                <w:sz w:val="20"/>
                <w:szCs w:val="20"/>
                <w:color w:val="auto"/>
              </w:rPr>
            </w:pPr>
            <w:r>
              <w:rPr>
                <w:rFonts w:ascii="Arial" w:cs="Arial" w:eastAsia="Arial" w:hAnsi="Arial"/>
                <w:sz w:val="18"/>
                <w:szCs w:val="18"/>
                <w:color w:val="auto"/>
              </w:rPr>
              <w:t>266,867</w:t>
            </w:r>
          </w:p>
        </w:tc>
        <w:tc>
          <w:tcPr>
            <w:tcW w:w="780" w:type="dxa"/>
            <w:vAlign w:val="bottom"/>
            <w:tcBorders>
              <w:bottom w:val="single" w:sz="8" w:color="CCEEFF"/>
            </w:tcBorders>
            <w:shd w:val="clear" w:color="auto" w:fill="CCEEFF"/>
          </w:tcPr>
          <w:p>
            <w:pPr>
              <w:jc w:val="right"/>
              <w:ind w:right="499"/>
              <w:spacing w:after="0"/>
              <w:rPr>
                <w:sz w:val="20"/>
                <w:szCs w:val="20"/>
                <w:color w:val="auto"/>
              </w:rPr>
            </w:pPr>
            <w:r>
              <w:rPr>
                <w:rFonts w:ascii="Arial" w:cs="Arial" w:eastAsia="Arial" w:hAnsi="Arial"/>
                <w:sz w:val="18"/>
                <w:szCs w:val="18"/>
                <w:color w:val="auto"/>
              </w:rPr>
              <w:t>$</w:t>
            </w:r>
          </w:p>
        </w:tc>
        <w:tc>
          <w:tcPr>
            <w:tcW w:w="158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176,734</w:t>
            </w:r>
          </w:p>
        </w:tc>
        <w:tc>
          <w:tcPr>
            <w:tcW w:w="2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51.0%</w:t>
            </w:r>
          </w:p>
        </w:tc>
        <w:tc>
          <w:tcPr>
            <w:tcW w:w="0" w:type="dxa"/>
            <w:vAlign w:val="bottom"/>
          </w:tcPr>
          <w:p>
            <w:pPr>
              <w:spacing w:after="0"/>
              <w:rPr>
                <w:sz w:val="1"/>
                <w:szCs w:val="1"/>
                <w:color w:val="auto"/>
              </w:rPr>
            </w:pPr>
          </w:p>
        </w:tc>
      </w:tr>
      <w:tr>
        <w:trPr>
          <w:trHeight w:val="243"/>
        </w:trPr>
        <w:tc>
          <w:tcPr>
            <w:tcW w:w="45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440" w:type="dxa"/>
            <w:vAlign w:val="bottom"/>
          </w:tcPr>
          <w:p>
            <w:pPr>
              <w:spacing w:after="0"/>
              <w:rPr>
                <w:sz w:val="21"/>
                <w:szCs w:val="21"/>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40.3%</w:t>
            </w:r>
          </w:p>
        </w:tc>
        <w:tc>
          <w:tcPr>
            <w:tcW w:w="780" w:type="dxa"/>
            <w:vAlign w:val="bottom"/>
          </w:tcPr>
          <w:p>
            <w:pPr>
              <w:spacing w:after="0"/>
              <w:rPr>
                <w:sz w:val="21"/>
                <w:szCs w:val="21"/>
                <w:color w:val="auto"/>
              </w:rPr>
            </w:pPr>
          </w:p>
        </w:tc>
        <w:tc>
          <w:tcPr>
            <w:tcW w:w="1580" w:type="dxa"/>
            <w:vAlign w:val="bottom"/>
          </w:tcPr>
          <w:p>
            <w:pPr>
              <w:jc w:val="right"/>
              <w:spacing w:after="0"/>
              <w:rPr>
                <w:sz w:val="20"/>
                <w:szCs w:val="20"/>
                <w:color w:val="auto"/>
              </w:rPr>
            </w:pPr>
            <w:r>
              <w:rPr>
                <w:rFonts w:ascii="Arial" w:cs="Arial" w:eastAsia="Arial" w:hAnsi="Arial"/>
                <w:sz w:val="18"/>
                <w:szCs w:val="18"/>
                <w:color w:val="auto"/>
              </w:rPr>
              <w:t>29.2%</w:t>
            </w:r>
          </w:p>
        </w:tc>
        <w:tc>
          <w:tcPr>
            <w:tcW w:w="206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right="20" w:firstLine="432"/>
        <w:spacing w:after="0" w:line="286" w:lineRule="auto"/>
        <w:rPr>
          <w:sz w:val="20"/>
          <w:szCs w:val="20"/>
          <w:color w:val="auto"/>
        </w:rPr>
      </w:pPr>
      <w:r>
        <w:rPr>
          <w:rFonts w:ascii="Arial" w:cs="Arial" w:eastAsia="Arial" w:hAnsi="Arial"/>
          <w:sz w:val="17"/>
          <w:szCs w:val="17"/>
          <w:color w:val="auto"/>
        </w:rPr>
        <w:t>Research and development expenses increased by $90.1 million in the three months ended May 4, 2019 compared to the three months ended May 5, 2018. The increase was primarily due to additional costs from our acquisition of Cavium, including $78.1 million of higher employee personnel-related costs, $6.2 million of higher computer-aided design software related amortization costs and $6.2 million of higher other personnel-related costs.</w:t>
      </w:r>
    </w:p>
    <w:p>
      <w:pPr>
        <w:spacing w:after="0" w:line="193"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Selling, general and administrative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500" w:type="dxa"/>
            <w:vAlign w:val="bottom"/>
          </w:tcPr>
          <w:p>
            <w:pPr>
              <w:spacing w:after="0"/>
              <w:rPr>
                <w:sz w:val="16"/>
                <w:szCs w:val="16"/>
                <w:color w:val="auto"/>
              </w:rPr>
            </w:pPr>
          </w:p>
        </w:tc>
        <w:tc>
          <w:tcPr>
            <w:tcW w:w="150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2"/>
          </w:tcPr>
          <w:p>
            <w:pPr>
              <w:jc w:val="right"/>
              <w:ind w:right="862"/>
              <w:spacing w:after="0"/>
              <w:rPr>
                <w:sz w:val="20"/>
                <w:szCs w:val="20"/>
                <w:color w:val="auto"/>
              </w:rPr>
            </w:pPr>
            <w:r>
              <w:rPr>
                <w:rFonts w:ascii="Arial" w:cs="Arial" w:eastAsia="Arial" w:hAnsi="Arial"/>
                <w:sz w:val="14"/>
                <w:szCs w:val="14"/>
                <w:b w:val="1"/>
                <w:bCs w:val="1"/>
                <w:color w:val="auto"/>
              </w:rPr>
              <w:t>Three Months Ended</w:t>
            </w:r>
          </w:p>
        </w:tc>
        <w:tc>
          <w:tcPr>
            <w:tcW w:w="720" w:type="dxa"/>
            <w:vAlign w:val="bottom"/>
            <w:tcBorders>
              <w:bottom w:val="single" w:sz="8" w:color="auto"/>
            </w:tcBorders>
          </w:tcPr>
          <w:p>
            <w:pPr>
              <w:spacing w:after="0"/>
              <w:rPr>
                <w:sz w:val="16"/>
                <w:szCs w:val="16"/>
                <w:color w:val="auto"/>
              </w:rPr>
            </w:pPr>
          </w:p>
        </w:tc>
        <w:tc>
          <w:tcPr>
            <w:tcW w:w="20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4500" w:type="dxa"/>
            <w:vAlign w:val="bottom"/>
          </w:tcPr>
          <w:p>
            <w:pPr>
              <w:spacing w:after="0"/>
              <w:rPr>
                <w:sz w:val="12"/>
                <w:szCs w:val="12"/>
                <w:color w:val="auto"/>
              </w:rPr>
            </w:pPr>
          </w:p>
        </w:tc>
        <w:tc>
          <w:tcPr>
            <w:tcW w:w="150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May 4, 2019</w:t>
            </w:r>
          </w:p>
        </w:tc>
        <w:tc>
          <w:tcPr>
            <w:tcW w:w="800" w:type="dxa"/>
            <w:vAlign w:val="bottom"/>
          </w:tcPr>
          <w:p>
            <w:pPr>
              <w:spacing w:after="0"/>
              <w:rPr>
                <w:sz w:val="12"/>
                <w:szCs w:val="12"/>
                <w:color w:val="auto"/>
              </w:rPr>
            </w:pPr>
          </w:p>
        </w:tc>
        <w:tc>
          <w:tcPr>
            <w:tcW w:w="164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May 5, 2018</w:t>
            </w:r>
          </w:p>
        </w:tc>
        <w:tc>
          <w:tcPr>
            <w:tcW w:w="720" w:type="dxa"/>
            <w:vAlign w:val="bottom"/>
          </w:tcPr>
          <w:p>
            <w:pPr>
              <w:spacing w:after="0"/>
              <w:rPr>
                <w:sz w:val="12"/>
                <w:szCs w:val="12"/>
                <w:color w:val="auto"/>
              </w:rPr>
            </w:pPr>
          </w:p>
        </w:tc>
        <w:tc>
          <w:tcPr>
            <w:tcW w:w="2060" w:type="dxa"/>
            <w:vAlign w:val="bottom"/>
          </w:tcPr>
          <w:p>
            <w:pPr>
              <w:jc w:val="right"/>
              <w:ind w:right="82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4500" w:type="dxa"/>
            <w:vAlign w:val="bottom"/>
          </w:tcPr>
          <w:p>
            <w:pPr>
              <w:spacing w:after="0"/>
              <w:rPr>
                <w:sz w:val="16"/>
                <w:szCs w:val="16"/>
                <w:color w:val="auto"/>
              </w:rPr>
            </w:pPr>
          </w:p>
        </w:tc>
        <w:tc>
          <w:tcPr>
            <w:tcW w:w="1500" w:type="dxa"/>
            <w:vAlign w:val="bottom"/>
            <w:tcBorders>
              <w:bottom w:val="single" w:sz="8" w:color="auto"/>
            </w:tcBorders>
            <w:vMerge w:val="continue"/>
          </w:tcPr>
          <w:p>
            <w:pPr>
              <w:spacing w:after="0"/>
              <w:rPr>
                <w:sz w:val="16"/>
                <w:szCs w:val="16"/>
                <w:color w:val="auto"/>
              </w:rPr>
            </w:pPr>
          </w:p>
        </w:tc>
        <w:tc>
          <w:tcPr>
            <w:tcW w:w="800" w:type="dxa"/>
            <w:vAlign w:val="bottom"/>
            <w:tcBorders>
              <w:bottom w:val="single" w:sz="8" w:color="auto"/>
            </w:tcBorders>
          </w:tcPr>
          <w:p>
            <w:pPr>
              <w:spacing w:after="0"/>
              <w:rPr>
                <w:sz w:val="16"/>
                <w:szCs w:val="16"/>
                <w:color w:val="auto"/>
              </w:rPr>
            </w:pPr>
          </w:p>
        </w:tc>
        <w:tc>
          <w:tcPr>
            <w:tcW w:w="1640" w:type="dxa"/>
            <w:vAlign w:val="bottom"/>
            <w:tcBorders>
              <w:bottom w:val="single" w:sz="8" w:color="auto"/>
            </w:tcBorders>
            <w:vMerge w:val="continue"/>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206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96"/>
        </w:trPr>
        <w:tc>
          <w:tcPr>
            <w:tcW w:w="450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2360" w:type="dxa"/>
            <w:vAlign w:val="bottom"/>
            <w:gridSpan w:val="2"/>
          </w:tcPr>
          <w:p>
            <w:pPr>
              <w:jc w:val="right"/>
              <w:ind w:right="170"/>
              <w:spacing w:after="0"/>
              <w:rPr>
                <w:sz w:val="20"/>
                <w:szCs w:val="20"/>
                <w:color w:val="auto"/>
              </w:rPr>
            </w:pPr>
            <w:r>
              <w:rPr>
                <w:rFonts w:ascii="Arial" w:cs="Arial" w:eastAsia="Arial" w:hAnsi="Arial"/>
                <w:sz w:val="14"/>
                <w:szCs w:val="14"/>
                <w:b w:val="1"/>
                <w:bCs w:val="1"/>
                <w:color w:val="auto"/>
                <w:w w:val="91"/>
              </w:rPr>
              <w:t>(in thousands, except percentage)</w:t>
            </w:r>
          </w:p>
        </w:tc>
        <w:tc>
          <w:tcPr>
            <w:tcW w:w="20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4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Selling, general and administrative</w:t>
            </w:r>
          </w:p>
        </w:tc>
        <w:tc>
          <w:tcPr>
            <w:tcW w:w="1500" w:type="dxa"/>
            <w:vAlign w:val="bottom"/>
            <w:tcBorders>
              <w:bottom w:val="single" w:sz="8" w:color="CCEEFF"/>
            </w:tcBorders>
            <w:shd w:val="clear" w:color="auto" w:fill="CCEEFF"/>
          </w:tcPr>
          <w:p>
            <w:pPr>
              <w:jc w:val="right"/>
              <w:ind w:right="1319"/>
              <w:spacing w:after="0"/>
              <w:rPr>
                <w:sz w:val="20"/>
                <w:szCs w:val="20"/>
                <w:color w:val="auto"/>
              </w:rPr>
            </w:pPr>
            <w:r>
              <w:rPr>
                <w:rFonts w:ascii="Arial" w:cs="Arial" w:eastAsia="Arial" w:hAnsi="Arial"/>
                <w:sz w:val="18"/>
                <w:szCs w:val="18"/>
                <w:color w:val="auto"/>
                <w:w w:val="79"/>
              </w:rPr>
              <w:t>$</w:t>
            </w:r>
          </w:p>
        </w:tc>
        <w:tc>
          <w:tcPr>
            <w:tcW w:w="800" w:type="dxa"/>
            <w:vAlign w:val="bottom"/>
            <w:tcBorders>
              <w:bottom w:val="single" w:sz="8" w:color="CCEEFF"/>
            </w:tcBorders>
            <w:shd w:val="clear" w:color="auto" w:fill="CCEEFF"/>
          </w:tcPr>
          <w:p>
            <w:pPr>
              <w:jc w:val="right"/>
              <w:ind w:right="136"/>
              <w:spacing w:after="0"/>
              <w:rPr>
                <w:sz w:val="20"/>
                <w:szCs w:val="20"/>
                <w:color w:val="auto"/>
              </w:rPr>
            </w:pPr>
            <w:r>
              <w:rPr>
                <w:rFonts w:ascii="Arial" w:cs="Arial" w:eastAsia="Arial" w:hAnsi="Arial"/>
                <w:sz w:val="18"/>
                <w:szCs w:val="18"/>
                <w:color w:val="auto"/>
                <w:w w:val="86"/>
              </w:rPr>
              <w:t>110,005</w:t>
            </w:r>
          </w:p>
        </w:tc>
        <w:tc>
          <w:tcPr>
            <w:tcW w:w="1640" w:type="dxa"/>
            <w:vAlign w:val="bottom"/>
            <w:tcBorders>
              <w:bottom w:val="single" w:sz="8" w:color="CCEEFF"/>
            </w:tcBorders>
            <w:shd w:val="clear" w:color="auto" w:fill="CCEEFF"/>
          </w:tcPr>
          <w:p>
            <w:pPr>
              <w:jc w:val="right"/>
              <w:ind w:right="1362"/>
              <w:spacing w:after="0"/>
              <w:rPr>
                <w:sz w:val="20"/>
                <w:szCs w:val="20"/>
                <w:color w:val="auto"/>
              </w:rPr>
            </w:pPr>
            <w:r>
              <w:rPr>
                <w:rFonts w:ascii="Arial" w:cs="Arial" w:eastAsia="Arial" w:hAnsi="Arial"/>
                <w:sz w:val="18"/>
                <w:szCs w:val="18"/>
                <w:color w:val="auto"/>
              </w:rPr>
              <w:t>$</w:t>
            </w:r>
          </w:p>
        </w:tc>
        <w:tc>
          <w:tcPr>
            <w:tcW w:w="7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4"/>
              </w:rPr>
              <w:t>72,313</w:t>
            </w:r>
          </w:p>
        </w:tc>
        <w:tc>
          <w:tcPr>
            <w:tcW w:w="2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52.1%</w:t>
            </w:r>
          </w:p>
        </w:tc>
        <w:tc>
          <w:tcPr>
            <w:tcW w:w="0" w:type="dxa"/>
            <w:vAlign w:val="bottom"/>
          </w:tcPr>
          <w:p>
            <w:pPr>
              <w:spacing w:after="0"/>
              <w:rPr>
                <w:sz w:val="1"/>
                <w:szCs w:val="1"/>
                <w:color w:val="auto"/>
              </w:rPr>
            </w:pPr>
          </w:p>
        </w:tc>
      </w:tr>
      <w:tr>
        <w:trPr>
          <w:trHeight w:val="243"/>
        </w:trPr>
        <w:tc>
          <w:tcPr>
            <w:tcW w:w="45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500" w:type="dxa"/>
            <w:vAlign w:val="bottom"/>
          </w:tcPr>
          <w:p>
            <w:pPr>
              <w:spacing w:after="0"/>
              <w:rPr>
                <w:sz w:val="21"/>
                <w:szCs w:val="21"/>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16.6%</w:t>
            </w:r>
          </w:p>
        </w:tc>
        <w:tc>
          <w:tcPr>
            <w:tcW w:w="1640" w:type="dxa"/>
            <w:vAlign w:val="bottom"/>
          </w:tcPr>
          <w:p>
            <w:pPr>
              <w:spacing w:after="0"/>
              <w:rPr>
                <w:sz w:val="21"/>
                <w:szCs w:val="21"/>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12%</w:t>
            </w:r>
          </w:p>
        </w:tc>
        <w:tc>
          <w:tcPr>
            <w:tcW w:w="206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firstLine="432"/>
        <w:spacing w:after="0" w:line="279" w:lineRule="auto"/>
        <w:rPr>
          <w:sz w:val="20"/>
          <w:szCs w:val="20"/>
          <w:color w:val="auto"/>
        </w:rPr>
      </w:pPr>
      <w:r>
        <w:rPr>
          <w:rFonts w:ascii="Arial" w:cs="Arial" w:eastAsia="Arial" w:hAnsi="Arial"/>
          <w:sz w:val="17"/>
          <w:szCs w:val="17"/>
          <w:color w:val="auto"/>
        </w:rPr>
        <w:t>Selling, general and administrative expense increased by $37.7 million in the three months ended May 4, 2019 compared to the three months ended May 5, 2018. The increase was primarily due to additional costs from our acquisition of Cavium, including $19.8 million of intangibles amortization expense, $18.2 million of higher employee personnel-related costs, $3.3 million of higher depreciation and amortization expense, $3.0 million of higher facility-related expenses, partially offset by a decrease of $5.6 million of lower merger-related costs.</w:t>
      </w:r>
    </w:p>
    <w:p>
      <w:pPr>
        <w:spacing w:after="0" w:line="198"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Restructuring Related Charges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500" w:type="dxa"/>
            <w:vAlign w:val="bottom"/>
          </w:tcPr>
          <w:p>
            <w:pPr>
              <w:spacing w:after="0"/>
              <w:rPr>
                <w:sz w:val="16"/>
                <w:szCs w:val="16"/>
                <w:color w:val="auto"/>
              </w:rPr>
            </w:pPr>
          </w:p>
        </w:tc>
        <w:tc>
          <w:tcPr>
            <w:tcW w:w="1600" w:type="dxa"/>
            <w:vAlign w:val="bottom"/>
            <w:tcBorders>
              <w:bottom w:val="single" w:sz="8" w:color="auto"/>
            </w:tcBorders>
          </w:tcPr>
          <w:p>
            <w:pPr>
              <w:spacing w:after="0"/>
              <w:rPr>
                <w:sz w:val="16"/>
                <w:szCs w:val="16"/>
                <w:color w:val="auto"/>
              </w:rPr>
            </w:pPr>
          </w:p>
        </w:tc>
        <w:tc>
          <w:tcPr>
            <w:tcW w:w="2380" w:type="dxa"/>
            <w:vAlign w:val="bottom"/>
            <w:tcBorders>
              <w:bottom w:val="single" w:sz="8" w:color="auto"/>
            </w:tcBorders>
            <w:gridSpan w:val="2"/>
          </w:tcPr>
          <w:p>
            <w:pPr>
              <w:jc w:val="right"/>
              <w:ind w:right="902"/>
              <w:spacing w:after="0"/>
              <w:rPr>
                <w:sz w:val="20"/>
                <w:szCs w:val="20"/>
                <w:color w:val="auto"/>
              </w:rPr>
            </w:pPr>
            <w:r>
              <w:rPr>
                <w:rFonts w:ascii="Arial" w:cs="Arial" w:eastAsia="Arial" w:hAnsi="Arial"/>
                <w:sz w:val="14"/>
                <w:szCs w:val="14"/>
                <w:b w:val="1"/>
                <w:bCs w:val="1"/>
                <w:color w:val="auto"/>
                <w:w w:val="99"/>
              </w:rPr>
              <w:t>Three Months Ended</w:t>
            </w:r>
          </w:p>
        </w:tc>
        <w:tc>
          <w:tcPr>
            <w:tcW w:w="680" w:type="dxa"/>
            <w:vAlign w:val="bottom"/>
            <w:tcBorders>
              <w:bottom w:val="single" w:sz="8" w:color="auto"/>
            </w:tcBorders>
          </w:tcPr>
          <w:p>
            <w:pPr>
              <w:spacing w:after="0"/>
              <w:rPr>
                <w:sz w:val="16"/>
                <w:szCs w:val="16"/>
                <w:color w:val="auto"/>
              </w:rPr>
            </w:pPr>
          </w:p>
        </w:tc>
        <w:tc>
          <w:tcPr>
            <w:tcW w:w="2060" w:type="dxa"/>
            <w:vAlign w:val="bottom"/>
          </w:tcPr>
          <w:p>
            <w:pPr>
              <w:spacing w:after="0"/>
              <w:rPr>
                <w:sz w:val="16"/>
                <w:szCs w:val="16"/>
                <w:color w:val="auto"/>
              </w:rPr>
            </w:pPr>
          </w:p>
        </w:tc>
      </w:tr>
      <w:tr>
        <w:trPr>
          <w:trHeight w:val="264"/>
        </w:trPr>
        <w:tc>
          <w:tcPr>
            <w:tcW w:w="4500" w:type="dxa"/>
            <w:vAlign w:val="bottom"/>
          </w:tcPr>
          <w:p>
            <w:pPr>
              <w:spacing w:after="0"/>
              <w:rPr>
                <w:sz w:val="22"/>
                <w:szCs w:val="22"/>
                <w:color w:val="auto"/>
              </w:rPr>
            </w:pPr>
          </w:p>
        </w:tc>
        <w:tc>
          <w:tcPr>
            <w:tcW w:w="1600" w:type="dxa"/>
            <w:vAlign w:val="bottom"/>
            <w:tcBorders>
              <w:bottom w:val="single" w:sz="8" w:color="auto"/>
            </w:tcBorders>
          </w:tcPr>
          <w:p>
            <w:pPr>
              <w:jc w:val="right"/>
              <w:ind w:right="16"/>
              <w:spacing w:after="0"/>
              <w:rPr>
                <w:sz w:val="20"/>
                <w:szCs w:val="20"/>
                <w:color w:val="auto"/>
              </w:rPr>
            </w:pPr>
            <w:r>
              <w:rPr>
                <w:rFonts w:ascii="Arial" w:cs="Arial" w:eastAsia="Arial" w:hAnsi="Arial"/>
                <w:sz w:val="14"/>
                <w:szCs w:val="14"/>
                <w:b w:val="1"/>
                <w:bCs w:val="1"/>
                <w:color w:val="auto"/>
              </w:rPr>
              <w:t>May 4, 2019</w:t>
            </w:r>
          </w:p>
        </w:tc>
        <w:tc>
          <w:tcPr>
            <w:tcW w:w="700" w:type="dxa"/>
            <w:vAlign w:val="bottom"/>
            <w:tcBorders>
              <w:bottom w:val="single" w:sz="8" w:color="auto"/>
            </w:tcBorders>
          </w:tcPr>
          <w:p>
            <w:pPr>
              <w:spacing w:after="0"/>
              <w:rPr>
                <w:sz w:val="22"/>
                <w:szCs w:val="22"/>
                <w:color w:val="auto"/>
              </w:rPr>
            </w:pPr>
          </w:p>
        </w:tc>
        <w:tc>
          <w:tcPr>
            <w:tcW w:w="1680" w:type="dxa"/>
            <w:vAlign w:val="bottom"/>
            <w:tcBorders>
              <w:bottom w:val="single" w:sz="8" w:color="auto"/>
            </w:tcBorders>
          </w:tcPr>
          <w:p>
            <w:pPr>
              <w:jc w:val="right"/>
              <w:ind w:right="2"/>
              <w:spacing w:after="0"/>
              <w:rPr>
                <w:sz w:val="20"/>
                <w:szCs w:val="20"/>
                <w:color w:val="auto"/>
              </w:rPr>
            </w:pPr>
            <w:r>
              <w:rPr>
                <w:rFonts w:ascii="Arial" w:cs="Arial" w:eastAsia="Arial" w:hAnsi="Arial"/>
                <w:sz w:val="14"/>
                <w:szCs w:val="14"/>
                <w:b w:val="1"/>
                <w:bCs w:val="1"/>
                <w:color w:val="auto"/>
              </w:rPr>
              <w:t>May 5, 2018</w:t>
            </w:r>
          </w:p>
        </w:tc>
        <w:tc>
          <w:tcPr>
            <w:tcW w:w="680" w:type="dxa"/>
            <w:vAlign w:val="bottom"/>
            <w:tcBorders>
              <w:bottom w:val="single" w:sz="8" w:color="auto"/>
            </w:tcBorders>
          </w:tcPr>
          <w:p>
            <w:pPr>
              <w:spacing w:after="0"/>
              <w:rPr>
                <w:sz w:val="22"/>
                <w:szCs w:val="22"/>
                <w:color w:val="auto"/>
              </w:rPr>
            </w:pPr>
          </w:p>
        </w:tc>
        <w:tc>
          <w:tcPr>
            <w:tcW w:w="2060" w:type="dxa"/>
            <w:vAlign w:val="bottom"/>
            <w:tcBorders>
              <w:bottom w:val="single" w:sz="8" w:color="auto"/>
            </w:tcBorders>
          </w:tcPr>
          <w:p>
            <w:pPr>
              <w:jc w:val="right"/>
              <w:ind w:right="559"/>
              <w:spacing w:after="0"/>
              <w:rPr>
                <w:sz w:val="20"/>
                <w:szCs w:val="20"/>
                <w:color w:val="auto"/>
              </w:rPr>
            </w:pPr>
            <w:r>
              <w:rPr>
                <w:rFonts w:ascii="Arial" w:cs="Arial" w:eastAsia="Arial" w:hAnsi="Arial"/>
                <w:sz w:val="14"/>
                <w:szCs w:val="14"/>
                <w:b w:val="1"/>
                <w:bCs w:val="1"/>
                <w:color w:val="auto"/>
              </w:rPr>
              <w:t>% Change</w:t>
            </w:r>
          </w:p>
        </w:tc>
      </w:tr>
      <w:tr>
        <w:trPr>
          <w:trHeight w:val="196"/>
        </w:trPr>
        <w:tc>
          <w:tcPr>
            <w:tcW w:w="4500" w:type="dxa"/>
            <w:vAlign w:val="bottom"/>
          </w:tcPr>
          <w:p>
            <w:pPr>
              <w:spacing w:after="0"/>
              <w:rPr>
                <w:sz w:val="17"/>
                <w:szCs w:val="17"/>
                <w:color w:val="auto"/>
              </w:rPr>
            </w:pPr>
          </w:p>
        </w:tc>
        <w:tc>
          <w:tcPr>
            <w:tcW w:w="16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360" w:type="dxa"/>
            <w:vAlign w:val="bottom"/>
            <w:gridSpan w:val="2"/>
          </w:tcPr>
          <w:p>
            <w:pPr>
              <w:jc w:val="right"/>
              <w:ind w:right="170"/>
              <w:spacing w:after="0"/>
              <w:rPr>
                <w:sz w:val="20"/>
                <w:szCs w:val="20"/>
                <w:color w:val="auto"/>
              </w:rPr>
            </w:pPr>
            <w:r>
              <w:rPr>
                <w:rFonts w:ascii="Arial" w:cs="Arial" w:eastAsia="Arial" w:hAnsi="Arial"/>
                <w:sz w:val="14"/>
                <w:szCs w:val="14"/>
                <w:b w:val="1"/>
                <w:bCs w:val="1"/>
                <w:color w:val="auto"/>
                <w:w w:val="91"/>
              </w:rPr>
              <w:t>(in thousands, except percentage)</w:t>
            </w:r>
          </w:p>
        </w:tc>
        <w:tc>
          <w:tcPr>
            <w:tcW w:w="2060" w:type="dxa"/>
            <w:vAlign w:val="bottom"/>
          </w:tcPr>
          <w:p>
            <w:pPr>
              <w:spacing w:after="0"/>
              <w:rPr>
                <w:sz w:val="17"/>
                <w:szCs w:val="17"/>
                <w:color w:val="auto"/>
              </w:rPr>
            </w:pPr>
          </w:p>
        </w:tc>
      </w:tr>
      <w:tr>
        <w:trPr>
          <w:trHeight w:val="256"/>
        </w:trPr>
        <w:tc>
          <w:tcPr>
            <w:tcW w:w="45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Restructuring related charges</w:t>
            </w:r>
          </w:p>
        </w:tc>
        <w:tc>
          <w:tcPr>
            <w:tcW w:w="1600" w:type="dxa"/>
            <w:vAlign w:val="bottom"/>
            <w:tcBorders>
              <w:bottom w:val="single" w:sz="8" w:color="CCEEFF"/>
            </w:tcBorders>
            <w:shd w:val="clear" w:color="auto" w:fill="CCEEFF"/>
          </w:tcPr>
          <w:p>
            <w:pPr>
              <w:jc w:val="right"/>
              <w:ind w:right="1416"/>
              <w:spacing w:after="0"/>
              <w:rPr>
                <w:sz w:val="20"/>
                <w:szCs w:val="20"/>
                <w:color w:val="auto"/>
              </w:rPr>
            </w:pPr>
            <w:r>
              <w:rPr>
                <w:rFonts w:ascii="Arial" w:cs="Arial" w:eastAsia="Arial" w:hAnsi="Arial"/>
                <w:sz w:val="18"/>
                <w:szCs w:val="18"/>
                <w:color w:val="auto"/>
                <w:w w:val="79"/>
              </w:rPr>
              <w:t>$</w:t>
            </w:r>
          </w:p>
        </w:tc>
        <w:tc>
          <w:tcPr>
            <w:tcW w:w="700" w:type="dxa"/>
            <w:vAlign w:val="bottom"/>
            <w:tcBorders>
              <w:bottom w:val="single" w:sz="8" w:color="CCEEFF"/>
            </w:tcBorders>
            <w:shd w:val="clear" w:color="auto" w:fill="CCEEFF"/>
          </w:tcPr>
          <w:p>
            <w:pPr>
              <w:jc w:val="right"/>
              <w:ind w:right="136"/>
              <w:spacing w:after="0"/>
              <w:rPr>
                <w:sz w:val="20"/>
                <w:szCs w:val="20"/>
                <w:color w:val="auto"/>
              </w:rPr>
            </w:pPr>
            <w:r>
              <w:rPr>
                <w:rFonts w:ascii="Arial" w:cs="Arial" w:eastAsia="Arial" w:hAnsi="Arial"/>
                <w:sz w:val="18"/>
                <w:szCs w:val="18"/>
                <w:color w:val="auto"/>
              </w:rPr>
              <w:t>5,682</w:t>
            </w:r>
          </w:p>
        </w:tc>
        <w:tc>
          <w:tcPr>
            <w:tcW w:w="1680" w:type="dxa"/>
            <w:vAlign w:val="bottom"/>
            <w:tcBorders>
              <w:bottom w:val="single" w:sz="8" w:color="CCEEFF"/>
            </w:tcBorders>
            <w:shd w:val="clear" w:color="auto" w:fill="CCEEFF"/>
          </w:tcPr>
          <w:p>
            <w:pPr>
              <w:jc w:val="right"/>
              <w:ind w:right="1402"/>
              <w:spacing w:after="0"/>
              <w:rPr>
                <w:sz w:val="20"/>
                <w:szCs w:val="20"/>
                <w:color w:val="auto"/>
              </w:rPr>
            </w:pPr>
            <w:r>
              <w:rPr>
                <w:rFonts w:ascii="Arial" w:cs="Arial" w:eastAsia="Arial" w:hAnsi="Arial"/>
                <w:sz w:val="18"/>
                <w:szCs w:val="18"/>
                <w:color w:val="auto"/>
              </w:rPr>
              <w:t>$</w:t>
            </w:r>
          </w:p>
        </w:tc>
        <w:tc>
          <w:tcPr>
            <w:tcW w:w="6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1,567</w:t>
            </w:r>
          </w:p>
        </w:tc>
        <w:tc>
          <w:tcPr>
            <w:tcW w:w="2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262.6%</w:t>
            </w:r>
          </w:p>
        </w:tc>
      </w:tr>
      <w:tr>
        <w:trPr>
          <w:trHeight w:val="243"/>
        </w:trPr>
        <w:tc>
          <w:tcPr>
            <w:tcW w:w="45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600" w:type="dxa"/>
            <w:vAlign w:val="bottom"/>
          </w:tcPr>
          <w:p>
            <w:pPr>
              <w:spacing w:after="0"/>
              <w:rPr>
                <w:sz w:val="21"/>
                <w:szCs w:val="21"/>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0.9%</w:t>
            </w:r>
          </w:p>
        </w:tc>
        <w:tc>
          <w:tcPr>
            <w:tcW w:w="1680" w:type="dxa"/>
            <w:vAlign w:val="bottom"/>
          </w:tcPr>
          <w:p>
            <w:pPr>
              <w:spacing w:after="0"/>
              <w:rPr>
                <w:sz w:val="21"/>
                <w:szCs w:val="21"/>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0.2%</w:t>
            </w:r>
          </w:p>
        </w:tc>
        <w:tc>
          <w:tcPr>
            <w:tcW w:w="2060" w:type="dxa"/>
            <w:vAlign w:val="bottom"/>
          </w:tcPr>
          <w:p>
            <w:pPr>
              <w:spacing w:after="0"/>
              <w:rPr>
                <w:sz w:val="21"/>
                <w:szCs w:val="21"/>
                <w:color w:val="auto"/>
              </w:rPr>
            </w:pPr>
          </w:p>
        </w:tc>
      </w:tr>
      <w:tr>
        <w:trPr>
          <w:trHeight w:val="486"/>
        </w:trPr>
        <w:tc>
          <w:tcPr>
            <w:tcW w:w="4500" w:type="dxa"/>
            <w:vAlign w:val="bottom"/>
          </w:tcPr>
          <w:p>
            <w:pPr>
              <w:spacing w:after="0"/>
              <w:rPr>
                <w:sz w:val="24"/>
                <w:szCs w:val="24"/>
                <w:color w:val="auto"/>
              </w:rPr>
            </w:pPr>
          </w:p>
        </w:tc>
        <w:tc>
          <w:tcPr>
            <w:tcW w:w="1600" w:type="dxa"/>
            <w:vAlign w:val="bottom"/>
          </w:tcPr>
          <w:p>
            <w:pPr>
              <w:jc w:val="right"/>
              <w:ind w:right="216"/>
              <w:spacing w:after="0"/>
              <w:rPr>
                <w:sz w:val="20"/>
                <w:szCs w:val="20"/>
                <w:color w:val="auto"/>
              </w:rPr>
            </w:pPr>
            <w:r>
              <w:rPr>
                <w:rFonts w:ascii="Arial" w:cs="Arial" w:eastAsia="Arial" w:hAnsi="Arial"/>
                <w:sz w:val="18"/>
                <w:szCs w:val="18"/>
                <w:color w:val="auto"/>
              </w:rPr>
              <w:t>28</w:t>
            </w:r>
          </w:p>
        </w:tc>
        <w:tc>
          <w:tcPr>
            <w:tcW w:w="700" w:type="dxa"/>
            <w:vAlign w:val="bottom"/>
          </w:tcPr>
          <w:p>
            <w:pPr>
              <w:spacing w:after="0"/>
              <w:rPr>
                <w:sz w:val="24"/>
                <w:szCs w:val="24"/>
                <w:color w:val="auto"/>
              </w:rPr>
            </w:pPr>
          </w:p>
        </w:tc>
        <w:tc>
          <w:tcPr>
            <w:tcW w:w="16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60" w:type="dxa"/>
            <w:vAlign w:val="bottom"/>
          </w:tcPr>
          <w:p>
            <w:pPr>
              <w:spacing w:after="0"/>
              <w:rPr>
                <w:sz w:val="24"/>
                <w:szCs w:val="24"/>
                <w:color w:val="auto"/>
              </w:rPr>
            </w:pPr>
          </w:p>
        </w:tc>
      </w:tr>
    </w:tbl>
    <w:p>
      <w:pPr>
        <w:sectPr>
          <w:pgSz w:w="11900" w:h="16838" w:orient="portrait"/>
          <w:cols w:equalWidth="0" w:num="1">
            <w:col w:w="11400"/>
          </w:cols>
          <w:pgMar w:left="240" w:top="130" w:right="259" w:bottom="1440" w:gutter="0" w:footer="0" w:header="0"/>
        </w:sectPr>
      </w:pPr>
    </w:p>
    <w:bookmarkStart w:id="29" w:name="page30"/>
    <w:bookmarkEnd w:id="2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60" w:lineRule="exact"/>
        <w:rPr>
          <w:sz w:val="20"/>
          <w:szCs w:val="20"/>
          <w:color w:val="auto"/>
        </w:rPr>
      </w:pPr>
    </w:p>
    <w:p>
      <w:pPr>
        <w:ind w:right="120" w:firstLine="392"/>
        <w:spacing w:after="0" w:line="264" w:lineRule="auto"/>
        <w:rPr>
          <w:sz w:val="20"/>
          <w:szCs w:val="20"/>
          <w:color w:val="auto"/>
        </w:rPr>
      </w:pPr>
      <w:r>
        <w:rPr>
          <w:rFonts w:ascii="Arial" w:cs="Arial" w:eastAsia="Arial" w:hAnsi="Arial"/>
          <w:sz w:val="18"/>
          <w:szCs w:val="18"/>
          <w:color w:val="auto"/>
        </w:rPr>
        <w:t>We recognized $5.7 million of total restructuring related charges in the three months ended May 4, 2019 as the Company continues to evaluate its existing operations to increase operational efficiency, decrease costs and increase profitability. See “Note 9 - Restructuring and Other Related Charges” for further information.</w:t>
      </w:r>
    </w:p>
    <w:p>
      <w:pPr>
        <w:spacing w:after="0" w:line="208"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Interest Income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460" w:type="dxa"/>
            <w:vAlign w:val="bottom"/>
          </w:tcPr>
          <w:p>
            <w:pPr>
              <w:spacing w:after="0"/>
              <w:rPr>
                <w:sz w:val="16"/>
                <w:szCs w:val="16"/>
                <w:color w:val="auto"/>
              </w:rPr>
            </w:pPr>
          </w:p>
        </w:tc>
        <w:tc>
          <w:tcPr>
            <w:tcW w:w="1600" w:type="dxa"/>
            <w:vAlign w:val="bottom"/>
            <w:tcBorders>
              <w:bottom w:val="single" w:sz="8" w:color="auto"/>
            </w:tcBorders>
          </w:tcPr>
          <w:p>
            <w:pPr>
              <w:spacing w:after="0"/>
              <w:rPr>
                <w:sz w:val="16"/>
                <w:szCs w:val="16"/>
                <w:color w:val="auto"/>
              </w:rPr>
            </w:pPr>
          </w:p>
        </w:tc>
        <w:tc>
          <w:tcPr>
            <w:tcW w:w="2380" w:type="dxa"/>
            <w:vAlign w:val="bottom"/>
            <w:tcBorders>
              <w:bottom w:val="single" w:sz="8" w:color="auto"/>
            </w:tcBorders>
            <w:gridSpan w:val="2"/>
          </w:tcPr>
          <w:p>
            <w:pPr>
              <w:jc w:val="right"/>
              <w:ind w:right="902"/>
              <w:spacing w:after="0"/>
              <w:rPr>
                <w:sz w:val="20"/>
                <w:szCs w:val="20"/>
                <w:color w:val="auto"/>
              </w:rPr>
            </w:pPr>
            <w:r>
              <w:rPr>
                <w:rFonts w:ascii="Arial" w:cs="Arial" w:eastAsia="Arial" w:hAnsi="Arial"/>
                <w:sz w:val="14"/>
                <w:szCs w:val="14"/>
                <w:b w:val="1"/>
                <w:bCs w:val="1"/>
                <w:color w:val="auto"/>
                <w:w w:val="99"/>
              </w:rPr>
              <w:t>Three Months Ended</w:t>
            </w:r>
          </w:p>
        </w:tc>
        <w:tc>
          <w:tcPr>
            <w:tcW w:w="680" w:type="dxa"/>
            <w:vAlign w:val="bottom"/>
            <w:tcBorders>
              <w:bottom w:val="single" w:sz="8" w:color="auto"/>
            </w:tcBorders>
          </w:tcPr>
          <w:p>
            <w:pPr>
              <w:spacing w:after="0"/>
              <w:rPr>
                <w:sz w:val="16"/>
                <w:szCs w:val="16"/>
                <w:color w:val="auto"/>
              </w:rPr>
            </w:pPr>
          </w:p>
        </w:tc>
        <w:tc>
          <w:tcPr>
            <w:tcW w:w="2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4460" w:type="dxa"/>
            <w:vAlign w:val="bottom"/>
          </w:tcPr>
          <w:p>
            <w:pPr>
              <w:spacing w:after="0"/>
              <w:rPr>
                <w:sz w:val="12"/>
                <w:szCs w:val="12"/>
                <w:color w:val="auto"/>
              </w:rPr>
            </w:pPr>
          </w:p>
        </w:tc>
        <w:tc>
          <w:tcPr>
            <w:tcW w:w="160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May 4, 2019</w:t>
            </w:r>
          </w:p>
        </w:tc>
        <w:tc>
          <w:tcPr>
            <w:tcW w:w="700" w:type="dxa"/>
            <w:vAlign w:val="bottom"/>
          </w:tcPr>
          <w:p>
            <w:pPr>
              <w:spacing w:after="0"/>
              <w:rPr>
                <w:sz w:val="12"/>
                <w:szCs w:val="12"/>
                <w:color w:val="auto"/>
              </w:rPr>
            </w:pPr>
          </w:p>
        </w:tc>
        <w:tc>
          <w:tcPr>
            <w:tcW w:w="1680" w:type="dxa"/>
            <w:vAlign w:val="bottom"/>
            <w:vMerge w:val="restart"/>
          </w:tcPr>
          <w:p>
            <w:pPr>
              <w:jc w:val="right"/>
              <w:ind w:right="2"/>
              <w:spacing w:after="0"/>
              <w:rPr>
                <w:sz w:val="20"/>
                <w:szCs w:val="20"/>
                <w:color w:val="auto"/>
              </w:rPr>
            </w:pPr>
            <w:r>
              <w:rPr>
                <w:rFonts w:ascii="Arial" w:cs="Arial" w:eastAsia="Arial" w:hAnsi="Arial"/>
                <w:sz w:val="14"/>
                <w:szCs w:val="14"/>
                <w:b w:val="1"/>
                <w:bCs w:val="1"/>
                <w:color w:val="auto"/>
              </w:rPr>
              <w:t>May 5, 2018</w:t>
            </w:r>
          </w:p>
        </w:tc>
        <w:tc>
          <w:tcPr>
            <w:tcW w:w="680" w:type="dxa"/>
            <w:vAlign w:val="bottom"/>
          </w:tcPr>
          <w:p>
            <w:pPr>
              <w:spacing w:after="0"/>
              <w:rPr>
                <w:sz w:val="12"/>
                <w:szCs w:val="12"/>
                <w:color w:val="auto"/>
              </w:rPr>
            </w:pPr>
          </w:p>
        </w:tc>
        <w:tc>
          <w:tcPr>
            <w:tcW w:w="2100" w:type="dxa"/>
            <w:vAlign w:val="bottom"/>
          </w:tcPr>
          <w:p>
            <w:pPr>
              <w:jc w:val="right"/>
              <w:ind w:right="84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4460" w:type="dxa"/>
            <w:vAlign w:val="bottom"/>
          </w:tcPr>
          <w:p>
            <w:pPr>
              <w:spacing w:after="0"/>
              <w:rPr>
                <w:sz w:val="16"/>
                <w:szCs w:val="16"/>
                <w:color w:val="auto"/>
              </w:rPr>
            </w:pPr>
          </w:p>
        </w:tc>
        <w:tc>
          <w:tcPr>
            <w:tcW w:w="1600" w:type="dxa"/>
            <w:vAlign w:val="bottom"/>
            <w:tcBorders>
              <w:bottom w:val="single" w:sz="8" w:color="auto"/>
            </w:tcBorders>
            <w:vMerge w:val="continue"/>
          </w:tcPr>
          <w:p>
            <w:pPr>
              <w:spacing w:after="0"/>
              <w:rPr>
                <w:sz w:val="16"/>
                <w:szCs w:val="16"/>
                <w:color w:val="auto"/>
              </w:rPr>
            </w:pPr>
          </w:p>
        </w:tc>
        <w:tc>
          <w:tcPr>
            <w:tcW w:w="70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vMerge w:val="continue"/>
          </w:tcPr>
          <w:p>
            <w:pPr>
              <w:spacing w:after="0"/>
              <w:rPr>
                <w:sz w:val="16"/>
                <w:szCs w:val="16"/>
                <w:color w:val="auto"/>
              </w:rPr>
            </w:pPr>
          </w:p>
        </w:tc>
        <w:tc>
          <w:tcPr>
            <w:tcW w:w="680" w:type="dxa"/>
            <w:vAlign w:val="bottom"/>
            <w:tcBorders>
              <w:bottom w:val="single" w:sz="8" w:color="auto"/>
            </w:tcBorders>
          </w:tcPr>
          <w:p>
            <w:pPr>
              <w:spacing w:after="0"/>
              <w:rPr>
                <w:sz w:val="16"/>
                <w:szCs w:val="16"/>
                <w:color w:val="auto"/>
              </w:rPr>
            </w:pPr>
          </w:p>
        </w:tc>
        <w:tc>
          <w:tcPr>
            <w:tcW w:w="210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96"/>
        </w:trPr>
        <w:tc>
          <w:tcPr>
            <w:tcW w:w="4460" w:type="dxa"/>
            <w:vAlign w:val="bottom"/>
          </w:tcPr>
          <w:p>
            <w:pPr>
              <w:spacing w:after="0"/>
              <w:rPr>
                <w:sz w:val="17"/>
                <w:szCs w:val="17"/>
                <w:color w:val="auto"/>
              </w:rPr>
            </w:pPr>
          </w:p>
        </w:tc>
        <w:tc>
          <w:tcPr>
            <w:tcW w:w="16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360" w:type="dxa"/>
            <w:vAlign w:val="bottom"/>
            <w:gridSpan w:val="2"/>
          </w:tcPr>
          <w:p>
            <w:pPr>
              <w:jc w:val="right"/>
              <w:ind w:right="150"/>
              <w:spacing w:after="0"/>
              <w:rPr>
                <w:sz w:val="20"/>
                <w:szCs w:val="20"/>
                <w:color w:val="auto"/>
              </w:rPr>
            </w:pPr>
            <w:r>
              <w:rPr>
                <w:rFonts w:ascii="Arial" w:cs="Arial" w:eastAsia="Arial" w:hAnsi="Arial"/>
                <w:sz w:val="14"/>
                <w:szCs w:val="14"/>
                <w:b w:val="1"/>
                <w:bCs w:val="1"/>
                <w:color w:val="auto"/>
                <w:w w:val="92"/>
              </w:rPr>
              <w:t>(in thousands, except percentage)</w:t>
            </w:r>
          </w:p>
        </w:tc>
        <w:tc>
          <w:tcPr>
            <w:tcW w:w="2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income</w:t>
            </w:r>
          </w:p>
        </w:tc>
        <w:tc>
          <w:tcPr>
            <w:tcW w:w="1600" w:type="dxa"/>
            <w:vAlign w:val="bottom"/>
            <w:tcBorders>
              <w:bottom w:val="single" w:sz="8" w:color="CCEEFF"/>
            </w:tcBorders>
            <w:shd w:val="clear" w:color="auto" w:fill="CCEEFF"/>
          </w:tcPr>
          <w:p>
            <w:pPr>
              <w:jc w:val="right"/>
              <w:ind w:right="1399"/>
              <w:spacing w:after="0"/>
              <w:rPr>
                <w:sz w:val="20"/>
                <w:szCs w:val="20"/>
                <w:color w:val="auto"/>
              </w:rPr>
            </w:pPr>
            <w:r>
              <w:rPr>
                <w:rFonts w:ascii="Arial" w:cs="Arial" w:eastAsia="Arial" w:hAnsi="Arial"/>
                <w:sz w:val="18"/>
                <w:szCs w:val="18"/>
                <w:color w:val="auto"/>
                <w:w w:val="99"/>
              </w:rPr>
              <w:t>$</w:t>
            </w:r>
          </w:p>
        </w:tc>
        <w:tc>
          <w:tcPr>
            <w:tcW w:w="700" w:type="dxa"/>
            <w:vAlign w:val="bottom"/>
            <w:tcBorders>
              <w:bottom w:val="single" w:sz="8" w:color="CCEEFF"/>
            </w:tcBorders>
            <w:shd w:val="clear" w:color="auto" w:fill="CCEEFF"/>
          </w:tcPr>
          <w:p>
            <w:pPr>
              <w:jc w:val="right"/>
              <w:ind w:right="136"/>
              <w:spacing w:after="0"/>
              <w:rPr>
                <w:sz w:val="20"/>
                <w:szCs w:val="20"/>
                <w:color w:val="auto"/>
              </w:rPr>
            </w:pPr>
            <w:r>
              <w:rPr>
                <w:rFonts w:ascii="Arial" w:cs="Arial" w:eastAsia="Arial" w:hAnsi="Arial"/>
                <w:sz w:val="18"/>
                <w:szCs w:val="18"/>
                <w:color w:val="auto"/>
              </w:rPr>
              <w:t>1,268</w:t>
            </w:r>
          </w:p>
        </w:tc>
        <w:tc>
          <w:tcPr>
            <w:tcW w:w="1680" w:type="dxa"/>
            <w:vAlign w:val="bottom"/>
            <w:tcBorders>
              <w:bottom w:val="single" w:sz="8" w:color="CCEEFF"/>
            </w:tcBorders>
            <w:shd w:val="clear" w:color="auto" w:fill="CCEEFF"/>
          </w:tcPr>
          <w:p>
            <w:pPr>
              <w:jc w:val="right"/>
              <w:ind w:right="1402"/>
              <w:spacing w:after="0"/>
              <w:rPr>
                <w:sz w:val="20"/>
                <w:szCs w:val="20"/>
                <w:color w:val="auto"/>
              </w:rPr>
            </w:pPr>
            <w:r>
              <w:rPr>
                <w:rFonts w:ascii="Arial" w:cs="Arial" w:eastAsia="Arial" w:hAnsi="Arial"/>
                <w:sz w:val="18"/>
                <w:szCs w:val="18"/>
                <w:color w:val="auto"/>
              </w:rPr>
              <w:t>$</w:t>
            </w:r>
          </w:p>
        </w:tc>
        <w:tc>
          <w:tcPr>
            <w:tcW w:w="6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6,069</w:t>
            </w:r>
          </w:p>
        </w:tc>
        <w:tc>
          <w:tcPr>
            <w:tcW w:w="2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(79.1)%</w:t>
            </w:r>
          </w:p>
        </w:tc>
        <w:tc>
          <w:tcPr>
            <w:tcW w:w="0" w:type="dxa"/>
            <w:vAlign w:val="bottom"/>
          </w:tcPr>
          <w:p>
            <w:pPr>
              <w:spacing w:after="0"/>
              <w:rPr>
                <w:sz w:val="1"/>
                <w:szCs w:val="1"/>
                <w:color w:val="auto"/>
              </w:rPr>
            </w:pPr>
          </w:p>
        </w:tc>
      </w:tr>
      <w:tr>
        <w:trPr>
          <w:trHeight w:val="243"/>
        </w:trPr>
        <w:tc>
          <w:tcPr>
            <w:tcW w:w="446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600" w:type="dxa"/>
            <w:vAlign w:val="bottom"/>
          </w:tcPr>
          <w:p>
            <w:pPr>
              <w:spacing w:after="0"/>
              <w:rPr>
                <w:sz w:val="21"/>
                <w:szCs w:val="21"/>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0.2%</w:t>
            </w:r>
          </w:p>
        </w:tc>
        <w:tc>
          <w:tcPr>
            <w:tcW w:w="1680" w:type="dxa"/>
            <w:vAlign w:val="bottom"/>
          </w:tcPr>
          <w:p>
            <w:pPr>
              <w:spacing w:after="0"/>
              <w:rPr>
                <w:sz w:val="21"/>
                <w:szCs w:val="21"/>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1.0%</w:t>
            </w:r>
          </w:p>
        </w:tc>
        <w:tc>
          <w:tcPr>
            <w:tcW w:w="210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jc w:val="both"/>
        <w:ind w:right="100" w:firstLine="432"/>
        <w:spacing w:after="0" w:line="277" w:lineRule="auto"/>
        <w:rPr>
          <w:sz w:val="20"/>
          <w:szCs w:val="20"/>
          <w:color w:val="auto"/>
        </w:rPr>
      </w:pPr>
      <w:r>
        <w:rPr>
          <w:rFonts w:ascii="Arial" w:cs="Arial" w:eastAsia="Arial" w:hAnsi="Arial"/>
          <w:sz w:val="18"/>
          <w:szCs w:val="18"/>
          <w:color w:val="auto"/>
        </w:rPr>
        <w:t>Interest income decreased by $4.8 million in the three months ended May 4, 2019, compared to the three months ended May 5, 2018. The decrease is primarily due to the sale of investments in fiscal 2019.</w:t>
      </w:r>
    </w:p>
    <w:p>
      <w:pPr>
        <w:spacing w:after="0" w:line="197"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Interest Expense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440" w:type="dxa"/>
            <w:vAlign w:val="bottom"/>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3600" w:type="dxa"/>
            <w:vAlign w:val="bottom"/>
            <w:tcBorders>
              <w:bottom w:val="single" w:sz="8" w:color="auto"/>
            </w:tcBorders>
            <w:gridSpan w:val="2"/>
          </w:tcPr>
          <w:p>
            <w:pPr>
              <w:jc w:val="right"/>
              <w:ind w:right="942"/>
              <w:spacing w:after="0"/>
              <w:rPr>
                <w:sz w:val="20"/>
                <w:szCs w:val="20"/>
                <w:color w:val="auto"/>
              </w:rPr>
            </w:pPr>
            <w:r>
              <w:rPr>
                <w:rFonts w:ascii="Arial" w:cs="Arial" w:eastAsia="Arial" w:hAnsi="Arial"/>
                <w:sz w:val="14"/>
                <w:szCs w:val="14"/>
                <w:b w:val="1"/>
                <w:bCs w:val="1"/>
                <w:color w:val="auto"/>
              </w:rPr>
              <w:t>Three Months Ended</w:t>
            </w:r>
          </w:p>
        </w:tc>
        <w:tc>
          <w:tcPr>
            <w:tcW w:w="680" w:type="dxa"/>
            <w:vAlign w:val="bottom"/>
            <w:tcBorders>
              <w:bottom w:val="single" w:sz="8" w:color="auto"/>
            </w:tcBorders>
          </w:tcPr>
          <w:p>
            <w:pPr>
              <w:spacing w:after="0"/>
              <w:rPr>
                <w:sz w:val="16"/>
                <w:szCs w:val="16"/>
                <w:color w:val="auto"/>
              </w:rPr>
            </w:pPr>
          </w:p>
        </w:tc>
        <w:tc>
          <w:tcPr>
            <w:tcW w:w="20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44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880" w:type="dxa"/>
            <w:vAlign w:val="bottom"/>
            <w:vMerge w:val="restart"/>
          </w:tcPr>
          <w:p>
            <w:pPr>
              <w:jc w:val="right"/>
              <w:ind w:right="719"/>
              <w:spacing w:after="0"/>
              <w:rPr>
                <w:sz w:val="20"/>
                <w:szCs w:val="20"/>
                <w:color w:val="auto"/>
              </w:rPr>
            </w:pPr>
            <w:r>
              <w:rPr>
                <w:rFonts w:ascii="Arial" w:cs="Arial" w:eastAsia="Arial" w:hAnsi="Arial"/>
                <w:sz w:val="14"/>
                <w:szCs w:val="14"/>
                <w:b w:val="1"/>
                <w:bCs w:val="1"/>
                <w:color w:val="auto"/>
              </w:rPr>
              <w:t>May 4, 2019</w:t>
            </w:r>
          </w:p>
        </w:tc>
        <w:tc>
          <w:tcPr>
            <w:tcW w:w="1720" w:type="dxa"/>
            <w:vAlign w:val="bottom"/>
            <w:vMerge w:val="restart"/>
          </w:tcPr>
          <w:p>
            <w:pPr>
              <w:jc w:val="right"/>
              <w:ind w:right="22"/>
              <w:spacing w:after="0"/>
              <w:rPr>
                <w:sz w:val="20"/>
                <w:szCs w:val="20"/>
                <w:color w:val="auto"/>
              </w:rPr>
            </w:pPr>
            <w:r>
              <w:rPr>
                <w:rFonts w:ascii="Arial" w:cs="Arial" w:eastAsia="Arial" w:hAnsi="Arial"/>
                <w:sz w:val="14"/>
                <w:szCs w:val="14"/>
                <w:b w:val="1"/>
                <w:bCs w:val="1"/>
                <w:color w:val="auto"/>
              </w:rPr>
              <w:t>May 5, 2018</w:t>
            </w:r>
          </w:p>
        </w:tc>
        <w:tc>
          <w:tcPr>
            <w:tcW w:w="680" w:type="dxa"/>
            <w:vAlign w:val="bottom"/>
          </w:tcPr>
          <w:p>
            <w:pPr>
              <w:spacing w:after="0"/>
              <w:rPr>
                <w:sz w:val="12"/>
                <w:szCs w:val="12"/>
                <w:color w:val="auto"/>
              </w:rPr>
            </w:pPr>
          </w:p>
        </w:tc>
        <w:tc>
          <w:tcPr>
            <w:tcW w:w="2040" w:type="dxa"/>
            <w:vAlign w:val="bottom"/>
          </w:tcPr>
          <w:p>
            <w:pPr>
              <w:jc w:val="right"/>
              <w:ind w:right="82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4440" w:type="dxa"/>
            <w:vAlign w:val="bottom"/>
          </w:tcPr>
          <w:p>
            <w:pPr>
              <w:spacing w:after="0"/>
              <w:rPr>
                <w:sz w:val="16"/>
                <w:szCs w:val="16"/>
                <w:color w:val="auto"/>
              </w:rPr>
            </w:pPr>
          </w:p>
        </w:tc>
        <w:tc>
          <w:tcPr>
            <w:tcW w:w="460" w:type="dxa"/>
            <w:vAlign w:val="bottom"/>
            <w:tcBorders>
              <w:bottom w:val="single" w:sz="8" w:color="auto"/>
            </w:tcBorders>
          </w:tcPr>
          <w:p>
            <w:pPr>
              <w:spacing w:after="0"/>
              <w:rPr>
                <w:sz w:val="16"/>
                <w:szCs w:val="16"/>
                <w:color w:val="auto"/>
              </w:rPr>
            </w:pPr>
          </w:p>
        </w:tc>
        <w:tc>
          <w:tcPr>
            <w:tcW w:w="1880" w:type="dxa"/>
            <w:vAlign w:val="bottom"/>
            <w:tcBorders>
              <w:bottom w:val="single" w:sz="8" w:color="auto"/>
            </w:tcBorders>
            <w:vMerge w:val="continue"/>
          </w:tcPr>
          <w:p>
            <w:pPr>
              <w:spacing w:after="0"/>
              <w:rPr>
                <w:sz w:val="16"/>
                <w:szCs w:val="16"/>
                <w:color w:val="auto"/>
              </w:rPr>
            </w:pPr>
          </w:p>
        </w:tc>
        <w:tc>
          <w:tcPr>
            <w:tcW w:w="1720" w:type="dxa"/>
            <w:vAlign w:val="bottom"/>
            <w:tcBorders>
              <w:bottom w:val="single" w:sz="8" w:color="auto"/>
            </w:tcBorders>
            <w:vMerge w:val="continue"/>
          </w:tcPr>
          <w:p>
            <w:pPr>
              <w:spacing w:after="0"/>
              <w:rPr>
                <w:sz w:val="16"/>
                <w:szCs w:val="16"/>
                <w:color w:val="auto"/>
              </w:rPr>
            </w:pPr>
          </w:p>
        </w:tc>
        <w:tc>
          <w:tcPr>
            <w:tcW w:w="680" w:type="dxa"/>
            <w:vAlign w:val="bottom"/>
            <w:tcBorders>
              <w:bottom w:val="single" w:sz="8" w:color="auto"/>
            </w:tcBorders>
          </w:tcPr>
          <w:p>
            <w:pPr>
              <w:spacing w:after="0"/>
              <w:rPr>
                <w:sz w:val="16"/>
                <w:szCs w:val="16"/>
                <w:color w:val="auto"/>
              </w:rPr>
            </w:pPr>
          </w:p>
        </w:tc>
        <w:tc>
          <w:tcPr>
            <w:tcW w:w="204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44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880" w:type="dxa"/>
            <w:vAlign w:val="bottom"/>
          </w:tcPr>
          <w:p>
            <w:pPr>
              <w:spacing w:after="0"/>
              <w:rPr>
                <w:sz w:val="17"/>
                <w:szCs w:val="17"/>
                <w:color w:val="auto"/>
              </w:rPr>
            </w:pPr>
          </w:p>
        </w:tc>
        <w:tc>
          <w:tcPr>
            <w:tcW w:w="2400" w:type="dxa"/>
            <w:vAlign w:val="bottom"/>
            <w:gridSpan w:val="2"/>
          </w:tcPr>
          <w:p>
            <w:pPr>
              <w:jc w:val="right"/>
              <w:ind w:right="230"/>
              <w:spacing w:after="0"/>
              <w:rPr>
                <w:sz w:val="20"/>
                <w:szCs w:val="20"/>
                <w:color w:val="auto"/>
              </w:rPr>
            </w:pPr>
            <w:r>
              <w:rPr>
                <w:rFonts w:ascii="Arial" w:cs="Arial" w:eastAsia="Arial" w:hAnsi="Arial"/>
                <w:sz w:val="14"/>
                <w:szCs w:val="14"/>
                <w:b w:val="1"/>
                <w:bCs w:val="1"/>
                <w:color w:val="auto"/>
                <w:w w:val="90"/>
              </w:rPr>
              <w:t>(in thousands, except percentage)</w:t>
            </w:r>
          </w:p>
        </w:tc>
        <w:tc>
          <w:tcPr>
            <w:tcW w:w="20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4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expense</w:t>
            </w:r>
          </w:p>
        </w:tc>
        <w:tc>
          <w:tcPr>
            <w:tcW w:w="460" w:type="dxa"/>
            <w:vAlign w:val="bottom"/>
            <w:tcBorders>
              <w:bottom w:val="single" w:sz="8" w:color="CCEEFF"/>
            </w:tcBorders>
            <w:shd w:val="clear" w:color="auto" w:fill="CCEEFF"/>
          </w:tcPr>
          <w:p>
            <w:pPr>
              <w:jc w:val="right"/>
              <w:ind w:right="250"/>
              <w:spacing w:after="0"/>
              <w:rPr>
                <w:sz w:val="20"/>
                <w:szCs w:val="20"/>
                <w:color w:val="auto"/>
              </w:rPr>
            </w:pPr>
            <w:r>
              <w:rPr>
                <w:rFonts w:ascii="Arial" w:cs="Arial" w:eastAsia="Arial" w:hAnsi="Arial"/>
                <w:sz w:val="18"/>
                <w:szCs w:val="18"/>
                <w:color w:val="auto"/>
                <w:w w:val="99"/>
              </w:rPr>
              <w:t>$</w:t>
            </w:r>
          </w:p>
        </w:tc>
        <w:tc>
          <w:tcPr>
            <w:tcW w:w="1880" w:type="dxa"/>
            <w:vAlign w:val="bottom"/>
            <w:tcBorders>
              <w:bottom w:val="single" w:sz="8" w:color="CCEEFF"/>
            </w:tcBorders>
            <w:shd w:val="clear" w:color="auto" w:fill="CCEEFF"/>
          </w:tcPr>
          <w:p>
            <w:pPr>
              <w:jc w:val="right"/>
              <w:ind w:right="119"/>
              <w:spacing w:after="0"/>
              <w:rPr>
                <w:sz w:val="20"/>
                <w:szCs w:val="20"/>
                <w:color w:val="auto"/>
              </w:rPr>
            </w:pPr>
            <w:r>
              <w:rPr>
                <w:rFonts w:ascii="Arial" w:cs="Arial" w:eastAsia="Arial" w:hAnsi="Arial"/>
                <w:sz w:val="18"/>
                <w:szCs w:val="18"/>
                <w:color w:val="auto"/>
              </w:rPr>
              <w:t>(21,203)</w:t>
            </w:r>
          </w:p>
        </w:tc>
        <w:tc>
          <w:tcPr>
            <w:tcW w:w="1720" w:type="dxa"/>
            <w:vAlign w:val="bottom"/>
            <w:tcBorders>
              <w:bottom w:val="single" w:sz="8" w:color="CCEEFF"/>
            </w:tcBorders>
            <w:shd w:val="clear" w:color="auto" w:fill="CCEEFF"/>
          </w:tcPr>
          <w:p>
            <w:pPr>
              <w:jc w:val="right"/>
              <w:ind w:right="1442"/>
              <w:spacing w:after="0"/>
              <w:rPr>
                <w:sz w:val="20"/>
                <w:szCs w:val="20"/>
                <w:color w:val="auto"/>
              </w:rPr>
            </w:pPr>
            <w:r>
              <w:rPr>
                <w:rFonts w:ascii="Arial" w:cs="Arial" w:eastAsia="Arial" w:hAnsi="Arial"/>
                <w:sz w:val="18"/>
                <w:szCs w:val="18"/>
                <w:color w:val="auto"/>
              </w:rPr>
              <w:t>$</w:t>
            </w:r>
          </w:p>
        </w:tc>
        <w:tc>
          <w:tcPr>
            <w:tcW w:w="6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(244)</w:t>
            </w:r>
          </w:p>
        </w:tc>
        <w:tc>
          <w:tcPr>
            <w:tcW w:w="2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8,589.8%</w:t>
            </w:r>
          </w:p>
        </w:tc>
        <w:tc>
          <w:tcPr>
            <w:tcW w:w="0" w:type="dxa"/>
            <w:vAlign w:val="bottom"/>
          </w:tcPr>
          <w:p>
            <w:pPr>
              <w:spacing w:after="0"/>
              <w:rPr>
                <w:sz w:val="1"/>
                <w:szCs w:val="1"/>
                <w:color w:val="auto"/>
              </w:rPr>
            </w:pPr>
          </w:p>
        </w:tc>
      </w:tr>
      <w:tr>
        <w:trPr>
          <w:trHeight w:val="243"/>
        </w:trPr>
        <w:tc>
          <w:tcPr>
            <w:tcW w:w="44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460" w:type="dxa"/>
            <w:vAlign w:val="bottom"/>
          </w:tcPr>
          <w:p>
            <w:pPr>
              <w:spacing w:after="0"/>
              <w:rPr>
                <w:sz w:val="21"/>
                <w:szCs w:val="21"/>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(3.2)%</w:t>
            </w:r>
          </w:p>
        </w:tc>
        <w:tc>
          <w:tcPr>
            <w:tcW w:w="1720" w:type="dxa"/>
            <w:vAlign w:val="bottom"/>
          </w:tcPr>
          <w:p>
            <w:pPr>
              <w:spacing w:after="0"/>
              <w:rPr>
                <w:sz w:val="21"/>
                <w:szCs w:val="21"/>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 %</w:t>
            </w:r>
          </w:p>
        </w:tc>
        <w:tc>
          <w:tcPr>
            <w:tcW w:w="204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right="20" w:firstLine="432"/>
        <w:spacing w:after="0" w:line="342" w:lineRule="auto"/>
        <w:rPr>
          <w:sz w:val="20"/>
          <w:szCs w:val="20"/>
          <w:color w:val="auto"/>
        </w:rPr>
      </w:pPr>
      <w:r>
        <w:rPr>
          <w:rFonts w:ascii="Arial" w:cs="Arial" w:eastAsia="Arial" w:hAnsi="Arial"/>
          <w:sz w:val="16"/>
          <w:szCs w:val="16"/>
          <w:color w:val="auto"/>
        </w:rPr>
        <w:t>Interest expense increased by $21.0 million in the three months ended May 4, 2019, compared to the three months ended May 5, 2018. The increase is primarily due to interest expense incurred resulting from the issuance of our 2023 Notes, 2028 Notes and amounts borrowed under our credit agreement.</w:t>
      </w:r>
    </w:p>
    <w:p>
      <w:pPr>
        <w:spacing w:after="0" w:line="151"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Other Income (Loss), Net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440" w:type="dxa"/>
            <w:vAlign w:val="bottom"/>
          </w:tcPr>
          <w:p>
            <w:pPr>
              <w:spacing w:after="0"/>
              <w:rPr>
                <w:sz w:val="16"/>
                <w:szCs w:val="16"/>
                <w:color w:val="auto"/>
              </w:rPr>
            </w:pPr>
          </w:p>
        </w:tc>
        <w:tc>
          <w:tcPr>
            <w:tcW w:w="1620" w:type="dxa"/>
            <w:vAlign w:val="bottom"/>
            <w:tcBorders>
              <w:bottom w:val="single" w:sz="8" w:color="auto"/>
            </w:tcBorders>
          </w:tcPr>
          <w:p>
            <w:pPr>
              <w:spacing w:after="0"/>
              <w:rPr>
                <w:sz w:val="16"/>
                <w:szCs w:val="16"/>
                <w:color w:val="auto"/>
              </w:rPr>
            </w:pPr>
          </w:p>
        </w:tc>
        <w:tc>
          <w:tcPr>
            <w:tcW w:w="2380" w:type="dxa"/>
            <w:vAlign w:val="bottom"/>
            <w:tcBorders>
              <w:bottom w:val="single" w:sz="8" w:color="auto"/>
            </w:tcBorders>
            <w:gridSpan w:val="2"/>
          </w:tcPr>
          <w:p>
            <w:pPr>
              <w:jc w:val="right"/>
              <w:ind w:right="922"/>
              <w:spacing w:after="0"/>
              <w:rPr>
                <w:sz w:val="20"/>
                <w:szCs w:val="20"/>
                <w:color w:val="auto"/>
              </w:rPr>
            </w:pPr>
            <w:r>
              <w:rPr>
                <w:rFonts w:ascii="Arial" w:cs="Arial" w:eastAsia="Arial" w:hAnsi="Arial"/>
                <w:sz w:val="14"/>
                <w:szCs w:val="14"/>
                <w:b w:val="1"/>
                <w:bCs w:val="1"/>
                <w:color w:val="auto"/>
                <w:w w:val="98"/>
              </w:rPr>
              <w:t>Three Months Ended</w:t>
            </w:r>
          </w:p>
        </w:tc>
        <w:tc>
          <w:tcPr>
            <w:tcW w:w="680" w:type="dxa"/>
            <w:vAlign w:val="bottom"/>
            <w:tcBorders>
              <w:bottom w:val="single" w:sz="8" w:color="auto"/>
            </w:tcBorders>
          </w:tcPr>
          <w:p>
            <w:pPr>
              <w:spacing w:after="0"/>
              <w:rPr>
                <w:sz w:val="16"/>
                <w:szCs w:val="16"/>
                <w:color w:val="auto"/>
              </w:rPr>
            </w:pPr>
          </w:p>
        </w:tc>
        <w:tc>
          <w:tcPr>
            <w:tcW w:w="2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4440" w:type="dxa"/>
            <w:vAlign w:val="bottom"/>
          </w:tcPr>
          <w:p>
            <w:pPr>
              <w:spacing w:after="0"/>
              <w:rPr>
                <w:sz w:val="12"/>
                <w:szCs w:val="12"/>
                <w:color w:val="auto"/>
              </w:rPr>
            </w:pPr>
          </w:p>
        </w:tc>
        <w:tc>
          <w:tcPr>
            <w:tcW w:w="1620" w:type="dxa"/>
            <w:vAlign w:val="bottom"/>
            <w:vMerge w:val="restart"/>
          </w:tcPr>
          <w:p>
            <w:pPr>
              <w:jc w:val="right"/>
              <w:ind w:right="19"/>
              <w:spacing w:after="0"/>
              <w:rPr>
                <w:sz w:val="20"/>
                <w:szCs w:val="20"/>
                <w:color w:val="auto"/>
              </w:rPr>
            </w:pPr>
            <w:r>
              <w:rPr>
                <w:rFonts w:ascii="Arial" w:cs="Arial" w:eastAsia="Arial" w:hAnsi="Arial"/>
                <w:sz w:val="14"/>
                <w:szCs w:val="14"/>
                <w:b w:val="1"/>
                <w:bCs w:val="1"/>
                <w:color w:val="auto"/>
              </w:rPr>
              <w:t>May 4, 2019</w:t>
            </w:r>
          </w:p>
        </w:tc>
        <w:tc>
          <w:tcPr>
            <w:tcW w:w="700" w:type="dxa"/>
            <w:vAlign w:val="bottom"/>
          </w:tcPr>
          <w:p>
            <w:pPr>
              <w:spacing w:after="0"/>
              <w:rPr>
                <w:sz w:val="12"/>
                <w:szCs w:val="12"/>
                <w:color w:val="auto"/>
              </w:rPr>
            </w:pPr>
          </w:p>
        </w:tc>
        <w:tc>
          <w:tcPr>
            <w:tcW w:w="1680" w:type="dxa"/>
            <w:vAlign w:val="bottom"/>
            <w:vMerge w:val="restart"/>
          </w:tcPr>
          <w:p>
            <w:pPr>
              <w:jc w:val="right"/>
              <w:ind w:right="2"/>
              <w:spacing w:after="0"/>
              <w:rPr>
                <w:sz w:val="20"/>
                <w:szCs w:val="20"/>
                <w:color w:val="auto"/>
              </w:rPr>
            </w:pPr>
            <w:r>
              <w:rPr>
                <w:rFonts w:ascii="Arial" w:cs="Arial" w:eastAsia="Arial" w:hAnsi="Arial"/>
                <w:sz w:val="14"/>
                <w:szCs w:val="14"/>
                <w:b w:val="1"/>
                <w:bCs w:val="1"/>
                <w:color w:val="auto"/>
              </w:rPr>
              <w:t>May 5, 2018</w:t>
            </w:r>
          </w:p>
        </w:tc>
        <w:tc>
          <w:tcPr>
            <w:tcW w:w="680" w:type="dxa"/>
            <w:vAlign w:val="bottom"/>
          </w:tcPr>
          <w:p>
            <w:pPr>
              <w:spacing w:after="0"/>
              <w:rPr>
                <w:sz w:val="12"/>
                <w:szCs w:val="12"/>
                <w:color w:val="auto"/>
              </w:rPr>
            </w:pPr>
          </w:p>
        </w:tc>
        <w:tc>
          <w:tcPr>
            <w:tcW w:w="2100" w:type="dxa"/>
            <w:vAlign w:val="bottom"/>
          </w:tcPr>
          <w:p>
            <w:pPr>
              <w:jc w:val="right"/>
              <w:ind w:right="84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4440" w:type="dxa"/>
            <w:vAlign w:val="bottom"/>
          </w:tcPr>
          <w:p>
            <w:pPr>
              <w:spacing w:after="0"/>
              <w:rPr>
                <w:sz w:val="16"/>
                <w:szCs w:val="16"/>
                <w:color w:val="auto"/>
              </w:rPr>
            </w:pPr>
          </w:p>
        </w:tc>
        <w:tc>
          <w:tcPr>
            <w:tcW w:w="1620" w:type="dxa"/>
            <w:vAlign w:val="bottom"/>
            <w:tcBorders>
              <w:bottom w:val="single" w:sz="8" w:color="auto"/>
            </w:tcBorders>
            <w:vMerge w:val="continue"/>
          </w:tcPr>
          <w:p>
            <w:pPr>
              <w:spacing w:after="0"/>
              <w:rPr>
                <w:sz w:val="16"/>
                <w:szCs w:val="16"/>
                <w:color w:val="auto"/>
              </w:rPr>
            </w:pPr>
          </w:p>
        </w:tc>
        <w:tc>
          <w:tcPr>
            <w:tcW w:w="70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vMerge w:val="continue"/>
          </w:tcPr>
          <w:p>
            <w:pPr>
              <w:spacing w:after="0"/>
              <w:rPr>
                <w:sz w:val="16"/>
                <w:szCs w:val="16"/>
                <w:color w:val="auto"/>
              </w:rPr>
            </w:pPr>
          </w:p>
        </w:tc>
        <w:tc>
          <w:tcPr>
            <w:tcW w:w="680" w:type="dxa"/>
            <w:vAlign w:val="bottom"/>
            <w:tcBorders>
              <w:bottom w:val="single" w:sz="8" w:color="auto"/>
            </w:tcBorders>
          </w:tcPr>
          <w:p>
            <w:pPr>
              <w:spacing w:after="0"/>
              <w:rPr>
                <w:sz w:val="16"/>
                <w:szCs w:val="16"/>
                <w:color w:val="auto"/>
              </w:rPr>
            </w:pPr>
          </w:p>
        </w:tc>
        <w:tc>
          <w:tcPr>
            <w:tcW w:w="210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96"/>
        </w:trPr>
        <w:tc>
          <w:tcPr>
            <w:tcW w:w="4440" w:type="dxa"/>
            <w:vAlign w:val="bottom"/>
          </w:tcPr>
          <w:p>
            <w:pPr>
              <w:spacing w:after="0"/>
              <w:rPr>
                <w:sz w:val="17"/>
                <w:szCs w:val="17"/>
                <w:color w:val="auto"/>
              </w:rPr>
            </w:pPr>
          </w:p>
        </w:tc>
        <w:tc>
          <w:tcPr>
            <w:tcW w:w="1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360" w:type="dxa"/>
            <w:vAlign w:val="bottom"/>
            <w:gridSpan w:val="2"/>
          </w:tcPr>
          <w:p>
            <w:pPr>
              <w:jc w:val="right"/>
              <w:ind w:right="170"/>
              <w:spacing w:after="0"/>
              <w:rPr>
                <w:sz w:val="20"/>
                <w:szCs w:val="20"/>
                <w:color w:val="auto"/>
              </w:rPr>
            </w:pPr>
            <w:r>
              <w:rPr>
                <w:rFonts w:ascii="Arial" w:cs="Arial" w:eastAsia="Arial" w:hAnsi="Arial"/>
                <w:sz w:val="14"/>
                <w:szCs w:val="14"/>
                <w:b w:val="1"/>
                <w:bCs w:val="1"/>
                <w:color w:val="auto"/>
                <w:w w:val="91"/>
              </w:rPr>
              <w:t>(in thousands, except percentage)</w:t>
            </w:r>
          </w:p>
        </w:tc>
        <w:tc>
          <w:tcPr>
            <w:tcW w:w="2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4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income (loss), net</w:t>
            </w:r>
          </w:p>
        </w:tc>
        <w:tc>
          <w:tcPr>
            <w:tcW w:w="1620" w:type="dxa"/>
            <w:vAlign w:val="bottom"/>
            <w:tcBorders>
              <w:bottom w:val="single" w:sz="8" w:color="CCEEFF"/>
            </w:tcBorders>
            <w:shd w:val="clear" w:color="auto" w:fill="CCEEFF"/>
          </w:tcPr>
          <w:p>
            <w:pPr>
              <w:jc w:val="right"/>
              <w:ind w:right="1419"/>
              <w:spacing w:after="0"/>
              <w:rPr>
                <w:sz w:val="20"/>
                <w:szCs w:val="20"/>
                <w:color w:val="auto"/>
              </w:rPr>
            </w:pPr>
            <w:r>
              <w:rPr>
                <w:rFonts w:ascii="Arial" w:cs="Arial" w:eastAsia="Arial" w:hAnsi="Arial"/>
                <w:sz w:val="18"/>
                <w:szCs w:val="18"/>
                <w:color w:val="auto"/>
                <w:w w:val="99"/>
              </w:rPr>
              <w:t>$</w:t>
            </w:r>
          </w:p>
        </w:tc>
        <w:tc>
          <w:tcPr>
            <w:tcW w:w="70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(116)</w:t>
            </w:r>
          </w:p>
        </w:tc>
        <w:tc>
          <w:tcPr>
            <w:tcW w:w="1680" w:type="dxa"/>
            <w:vAlign w:val="bottom"/>
            <w:tcBorders>
              <w:bottom w:val="single" w:sz="8" w:color="CCEEFF"/>
            </w:tcBorders>
            <w:shd w:val="clear" w:color="auto" w:fill="CCEEFF"/>
          </w:tcPr>
          <w:p>
            <w:pPr>
              <w:jc w:val="right"/>
              <w:ind w:right="1382"/>
              <w:spacing w:after="0"/>
              <w:rPr>
                <w:sz w:val="20"/>
                <w:szCs w:val="20"/>
                <w:color w:val="auto"/>
              </w:rPr>
            </w:pPr>
            <w:r>
              <w:rPr>
                <w:rFonts w:ascii="Arial" w:cs="Arial" w:eastAsia="Arial" w:hAnsi="Arial"/>
                <w:sz w:val="18"/>
                <w:szCs w:val="18"/>
                <w:color w:val="auto"/>
              </w:rPr>
              <w:t>$</w:t>
            </w:r>
          </w:p>
        </w:tc>
        <w:tc>
          <w:tcPr>
            <w:tcW w:w="6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1,471</w:t>
            </w:r>
          </w:p>
        </w:tc>
        <w:tc>
          <w:tcPr>
            <w:tcW w:w="2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(107.9)%</w:t>
            </w:r>
          </w:p>
        </w:tc>
        <w:tc>
          <w:tcPr>
            <w:tcW w:w="0" w:type="dxa"/>
            <w:vAlign w:val="bottom"/>
          </w:tcPr>
          <w:p>
            <w:pPr>
              <w:spacing w:after="0"/>
              <w:rPr>
                <w:sz w:val="1"/>
                <w:szCs w:val="1"/>
                <w:color w:val="auto"/>
              </w:rPr>
            </w:pPr>
          </w:p>
        </w:tc>
      </w:tr>
      <w:tr>
        <w:trPr>
          <w:trHeight w:val="243"/>
        </w:trPr>
        <w:tc>
          <w:tcPr>
            <w:tcW w:w="44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620" w:type="dxa"/>
            <w:vAlign w:val="bottom"/>
          </w:tcPr>
          <w:p>
            <w:pPr>
              <w:spacing w:after="0"/>
              <w:rPr>
                <w:sz w:val="21"/>
                <w:szCs w:val="21"/>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 %</w:t>
            </w:r>
          </w:p>
        </w:tc>
        <w:tc>
          <w:tcPr>
            <w:tcW w:w="1680" w:type="dxa"/>
            <w:vAlign w:val="bottom"/>
          </w:tcPr>
          <w:p>
            <w:pPr>
              <w:spacing w:after="0"/>
              <w:rPr>
                <w:sz w:val="21"/>
                <w:szCs w:val="21"/>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0.2%</w:t>
            </w:r>
          </w:p>
        </w:tc>
        <w:tc>
          <w:tcPr>
            <w:tcW w:w="210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firstLine="432"/>
        <w:spacing w:after="0" w:line="264" w:lineRule="auto"/>
        <w:rPr>
          <w:sz w:val="20"/>
          <w:szCs w:val="20"/>
          <w:color w:val="auto"/>
        </w:rPr>
      </w:pPr>
      <w:r>
        <w:rPr>
          <w:rFonts w:ascii="Arial" w:cs="Arial" w:eastAsia="Arial" w:hAnsi="Arial"/>
          <w:sz w:val="18"/>
          <w:szCs w:val="18"/>
          <w:color w:val="auto"/>
        </w:rPr>
        <w:t>Other income (loss), net, was a loss of $0.1 million in the three months ended May 4, 2019, compared to a gain of $1.5 million in the three months ended May 5, 2018. This was primarily due to the foreign currency gain related to the revaluation of foreign currency denominated tax liabilities in the three months ended May 5, 2018.</w:t>
      </w:r>
    </w:p>
    <w:p>
      <w:pPr>
        <w:spacing w:after="0" w:line="127"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560" w:type="dxa"/>
            <w:vAlign w:val="bottom"/>
          </w:tcPr>
          <w:p>
            <w:pPr>
              <w:spacing w:after="0"/>
              <w:rPr>
                <w:sz w:val="16"/>
                <w:szCs w:val="16"/>
                <w:color w:val="auto"/>
              </w:rPr>
            </w:pPr>
          </w:p>
        </w:tc>
        <w:tc>
          <w:tcPr>
            <w:tcW w:w="156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9"/>
              </w:rPr>
              <w:t>Three Months Ended</w:t>
            </w:r>
          </w:p>
        </w:tc>
        <w:tc>
          <w:tcPr>
            <w:tcW w:w="1560" w:type="dxa"/>
            <w:vAlign w:val="bottom"/>
            <w:tcBorders>
              <w:bottom w:val="single" w:sz="8" w:color="auto"/>
            </w:tcBorders>
          </w:tcPr>
          <w:p>
            <w:pPr>
              <w:spacing w:after="0"/>
              <w:rPr>
                <w:sz w:val="16"/>
                <w:szCs w:val="16"/>
                <w:color w:val="auto"/>
              </w:rPr>
            </w:pPr>
          </w:p>
        </w:tc>
        <w:tc>
          <w:tcPr>
            <w:tcW w:w="20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4560" w:type="dxa"/>
            <w:vAlign w:val="bottom"/>
          </w:tcPr>
          <w:p>
            <w:pPr>
              <w:spacing w:after="0"/>
              <w:rPr>
                <w:sz w:val="12"/>
                <w:szCs w:val="12"/>
                <w:color w:val="auto"/>
              </w:rPr>
            </w:pPr>
          </w:p>
        </w:tc>
        <w:tc>
          <w:tcPr>
            <w:tcW w:w="156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May 4, 2019</w:t>
            </w:r>
          </w:p>
        </w:tc>
        <w:tc>
          <w:tcPr>
            <w:tcW w:w="6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60" w:type="dxa"/>
            <w:vAlign w:val="bottom"/>
            <w:vMerge w:val="restart"/>
          </w:tcPr>
          <w:p>
            <w:pPr>
              <w:jc w:val="right"/>
              <w:ind w:right="659"/>
              <w:spacing w:after="0"/>
              <w:rPr>
                <w:sz w:val="20"/>
                <w:szCs w:val="20"/>
                <w:color w:val="auto"/>
              </w:rPr>
            </w:pPr>
            <w:r>
              <w:rPr>
                <w:rFonts w:ascii="Arial" w:cs="Arial" w:eastAsia="Arial" w:hAnsi="Arial"/>
                <w:sz w:val="14"/>
                <w:szCs w:val="14"/>
                <w:b w:val="1"/>
                <w:bCs w:val="1"/>
                <w:color w:val="auto"/>
              </w:rPr>
              <w:t>May 5, 2018</w:t>
            </w:r>
          </w:p>
        </w:tc>
        <w:tc>
          <w:tcPr>
            <w:tcW w:w="2080" w:type="dxa"/>
            <w:vAlign w:val="bottom"/>
          </w:tcPr>
          <w:p>
            <w:pPr>
              <w:jc w:val="right"/>
              <w:ind w:right="84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4560" w:type="dxa"/>
            <w:vAlign w:val="bottom"/>
          </w:tcPr>
          <w:p>
            <w:pPr>
              <w:spacing w:after="0"/>
              <w:rPr>
                <w:sz w:val="16"/>
                <w:szCs w:val="16"/>
                <w:color w:val="auto"/>
              </w:rPr>
            </w:pPr>
          </w:p>
        </w:tc>
        <w:tc>
          <w:tcPr>
            <w:tcW w:w="1560" w:type="dxa"/>
            <w:vAlign w:val="bottom"/>
            <w:tcBorders>
              <w:bottom w:val="single" w:sz="8" w:color="auto"/>
            </w:tcBorders>
            <w:vMerge w:val="continue"/>
          </w:tcPr>
          <w:p>
            <w:pPr>
              <w:spacing w:after="0"/>
              <w:rPr>
                <w:sz w:val="16"/>
                <w:szCs w:val="16"/>
                <w:color w:val="auto"/>
              </w:rPr>
            </w:pPr>
          </w:p>
        </w:tc>
        <w:tc>
          <w:tcPr>
            <w:tcW w:w="660" w:type="dxa"/>
            <w:vAlign w:val="bottom"/>
            <w:tcBorders>
              <w:bottom w:val="single" w:sz="8" w:color="auto"/>
            </w:tcBorders>
          </w:tcPr>
          <w:p>
            <w:pPr>
              <w:spacing w:after="0"/>
              <w:rPr>
                <w:sz w:val="16"/>
                <w:szCs w:val="16"/>
                <w:color w:val="auto"/>
              </w:rPr>
            </w:pPr>
          </w:p>
        </w:tc>
        <w:tc>
          <w:tcPr>
            <w:tcW w:w="800" w:type="dxa"/>
            <w:vAlign w:val="bottom"/>
            <w:tcBorders>
              <w:bottom w:val="single" w:sz="8" w:color="auto"/>
            </w:tcBorders>
          </w:tcPr>
          <w:p>
            <w:pPr>
              <w:spacing w:after="0"/>
              <w:rPr>
                <w:sz w:val="16"/>
                <w:szCs w:val="16"/>
                <w:color w:val="auto"/>
              </w:rPr>
            </w:pPr>
          </w:p>
        </w:tc>
        <w:tc>
          <w:tcPr>
            <w:tcW w:w="1560" w:type="dxa"/>
            <w:vAlign w:val="bottom"/>
            <w:tcBorders>
              <w:bottom w:val="single" w:sz="8" w:color="auto"/>
            </w:tcBorders>
            <w:vMerge w:val="continue"/>
          </w:tcPr>
          <w:p>
            <w:pPr>
              <w:spacing w:after="0"/>
              <w:rPr>
                <w:sz w:val="16"/>
                <w:szCs w:val="16"/>
                <w:color w:val="auto"/>
              </w:rPr>
            </w:pPr>
          </w:p>
        </w:tc>
        <w:tc>
          <w:tcPr>
            <w:tcW w:w="208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4560" w:type="dxa"/>
            <w:vAlign w:val="bottom"/>
          </w:tcPr>
          <w:p>
            <w:pPr>
              <w:spacing w:after="0"/>
              <w:rPr>
                <w:sz w:val="17"/>
                <w:szCs w:val="17"/>
                <w:color w:val="auto"/>
              </w:rPr>
            </w:pPr>
          </w:p>
        </w:tc>
        <w:tc>
          <w:tcPr>
            <w:tcW w:w="15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2360" w:type="dxa"/>
            <w:vAlign w:val="bottom"/>
            <w:gridSpan w:val="2"/>
          </w:tcPr>
          <w:p>
            <w:pPr>
              <w:jc w:val="right"/>
              <w:ind w:right="139"/>
              <w:spacing w:after="0"/>
              <w:rPr>
                <w:sz w:val="20"/>
                <w:szCs w:val="20"/>
                <w:color w:val="auto"/>
              </w:rPr>
            </w:pPr>
            <w:r>
              <w:rPr>
                <w:rFonts w:ascii="Arial" w:cs="Arial" w:eastAsia="Arial" w:hAnsi="Arial"/>
                <w:sz w:val="14"/>
                <w:szCs w:val="14"/>
                <w:b w:val="1"/>
                <w:bCs w:val="1"/>
                <w:color w:val="auto"/>
                <w:w w:val="93"/>
              </w:rPr>
              <w:t>(in thousands, except percentage)</w:t>
            </w:r>
          </w:p>
        </w:tc>
        <w:tc>
          <w:tcPr>
            <w:tcW w:w="20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45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Provision (benefit) for income taxes</w:t>
            </w:r>
          </w:p>
        </w:tc>
        <w:tc>
          <w:tcPr>
            <w:tcW w:w="1560" w:type="dxa"/>
            <w:vAlign w:val="bottom"/>
            <w:tcBorders>
              <w:bottom w:val="single" w:sz="8" w:color="CCEEFF"/>
            </w:tcBorders>
            <w:shd w:val="clear" w:color="auto" w:fill="CCEEFF"/>
          </w:tcPr>
          <w:p>
            <w:pPr>
              <w:jc w:val="right"/>
              <w:ind w:right="1356"/>
              <w:spacing w:after="0"/>
              <w:rPr>
                <w:sz w:val="20"/>
                <w:szCs w:val="20"/>
                <w:color w:val="auto"/>
              </w:rPr>
            </w:pPr>
            <w:r>
              <w:rPr>
                <w:rFonts w:ascii="Arial" w:cs="Arial" w:eastAsia="Arial" w:hAnsi="Arial"/>
                <w:sz w:val="18"/>
                <w:szCs w:val="18"/>
                <w:color w:val="auto"/>
                <w:w w:val="99"/>
              </w:rPr>
              <w:t>$</w:t>
            </w:r>
          </w:p>
        </w:tc>
        <w:tc>
          <w:tcPr>
            <w:tcW w:w="6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7,273</w:t>
            </w:r>
          </w:p>
        </w:tc>
        <w:tc>
          <w:tcPr>
            <w:tcW w:w="800" w:type="dxa"/>
            <w:vAlign w:val="bottom"/>
            <w:tcBorders>
              <w:bottom w:val="single" w:sz="8" w:color="CCEEFF"/>
            </w:tcBorders>
            <w:shd w:val="clear" w:color="auto" w:fill="CCEEFF"/>
          </w:tcPr>
          <w:p>
            <w:pPr>
              <w:jc w:val="right"/>
              <w:ind w:right="479"/>
              <w:spacing w:after="0"/>
              <w:rPr>
                <w:sz w:val="20"/>
                <w:szCs w:val="20"/>
                <w:color w:val="auto"/>
              </w:rPr>
            </w:pPr>
            <w:r>
              <w:rPr>
                <w:rFonts w:ascii="Arial" w:cs="Arial" w:eastAsia="Arial" w:hAnsi="Arial"/>
                <w:sz w:val="18"/>
                <w:szCs w:val="18"/>
                <w:color w:val="auto"/>
              </w:rPr>
              <w:t>$</w:t>
            </w:r>
          </w:p>
        </w:tc>
        <w:tc>
          <w:tcPr>
            <w:tcW w:w="156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8"/>
                <w:szCs w:val="18"/>
                <w:color w:val="auto"/>
              </w:rPr>
              <w:t>3,763</w:t>
            </w:r>
          </w:p>
        </w:tc>
        <w:tc>
          <w:tcPr>
            <w:tcW w:w="2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93.3%</w:t>
            </w:r>
          </w:p>
        </w:tc>
        <w:tc>
          <w:tcPr>
            <w:tcW w:w="0" w:type="dxa"/>
            <w:vAlign w:val="bottom"/>
          </w:tcPr>
          <w:p>
            <w:pPr>
              <w:spacing w:after="0"/>
              <w:rPr>
                <w:sz w:val="1"/>
                <w:szCs w:val="1"/>
                <w:color w:val="auto"/>
              </w:rPr>
            </w:pPr>
          </w:p>
        </w:tc>
      </w:tr>
      <w:tr>
        <w:trPr>
          <w:trHeight w:val="675"/>
        </w:trPr>
        <w:tc>
          <w:tcPr>
            <w:tcW w:w="4560" w:type="dxa"/>
            <w:vAlign w:val="bottom"/>
          </w:tcPr>
          <w:p>
            <w:pPr>
              <w:spacing w:after="0"/>
              <w:rPr>
                <w:sz w:val="24"/>
                <w:szCs w:val="24"/>
                <w:color w:val="auto"/>
              </w:rPr>
            </w:pPr>
          </w:p>
        </w:tc>
        <w:tc>
          <w:tcPr>
            <w:tcW w:w="1560" w:type="dxa"/>
            <w:vAlign w:val="bottom"/>
          </w:tcPr>
          <w:p>
            <w:pPr>
              <w:jc w:val="right"/>
              <w:ind w:right="236"/>
              <w:spacing w:after="0"/>
              <w:rPr>
                <w:sz w:val="20"/>
                <w:szCs w:val="20"/>
                <w:color w:val="auto"/>
              </w:rPr>
            </w:pPr>
            <w:r>
              <w:rPr>
                <w:rFonts w:ascii="Arial" w:cs="Arial" w:eastAsia="Arial" w:hAnsi="Arial"/>
                <w:sz w:val="18"/>
                <w:szCs w:val="18"/>
                <w:color w:val="auto"/>
              </w:rPr>
              <w:t>29</w:t>
            </w:r>
          </w:p>
        </w:tc>
        <w:tc>
          <w:tcPr>
            <w:tcW w:w="6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80"/>
          </w:cols>
          <w:pgMar w:left="240" w:top="130" w:right="379" w:bottom="1440" w:gutter="0" w:footer="0" w:header="0"/>
        </w:sectPr>
      </w:pPr>
    </w:p>
    <w:bookmarkStart w:id="30" w:name="page31"/>
    <w:bookmarkEnd w:id="3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4" w:lineRule="exact"/>
        <w:rPr>
          <w:sz w:val="20"/>
          <w:szCs w:val="20"/>
          <w:color w:val="auto"/>
        </w:rPr>
      </w:pPr>
    </w:p>
    <w:p>
      <w:pPr>
        <w:ind w:right="120" w:firstLine="405"/>
        <w:spacing w:after="0" w:line="276" w:lineRule="auto"/>
        <w:rPr>
          <w:sz w:val="20"/>
          <w:szCs w:val="20"/>
          <w:color w:val="auto"/>
        </w:rPr>
      </w:pPr>
      <w:r>
        <w:rPr>
          <w:rFonts w:ascii="Arial" w:cs="Arial" w:eastAsia="Arial" w:hAnsi="Arial"/>
          <w:sz w:val="17"/>
          <w:szCs w:val="17"/>
          <w:color w:val="auto"/>
        </w:rPr>
        <w:t>Our income tax expense for the three months ended May 4, 2019 was $7.3 million compared to tax expense of $3.8 million for the three months ended May 5, 2018. Our income tax expense for the three months ended May 4, 2019 differs from the same period in the prior year primarily due to tax expense associated with amounts that were previously considered indefinitely reinvested, foreign income taxable in the U.S., partially offset by the tax benefit from a net reduction in unrecognized tax benefits. The effective tax rate for the three months ended May 4, 2019 and May 5, 2018 differs from the statutory Federal rate of 21% and 35%, respectively, primarily due to non-U.S. earnings that are taxed at a substantially lower tax rate.</w:t>
      </w:r>
    </w:p>
    <w:p>
      <w:pPr>
        <w:spacing w:after="0" w:line="173"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Our provision for income taxes may be affected by changes in the geographic mix of earnings with different applicable tax rates,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It is possible that significant negative evidence may become available to reach a conclusion that a valuation allowance will be needed, and as such, we may recognize a valuation allowance in the next 12 months. Additionally, please see the information in “Item 1A: Risk Factors” under the caption “Changes in existing taxation benefits, rules or practices may adversely affect our financial results.”</w:t>
      </w:r>
    </w:p>
    <w:p>
      <w:pPr>
        <w:spacing w:after="0" w:line="200" w:lineRule="exact"/>
        <w:rPr>
          <w:sz w:val="20"/>
          <w:szCs w:val="20"/>
          <w:color w:val="auto"/>
        </w:rPr>
      </w:pPr>
    </w:p>
    <w:p>
      <w:pPr>
        <w:spacing w:after="0" w:line="3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4" w:lineRule="exact"/>
        <w:rPr>
          <w:sz w:val="20"/>
          <w:szCs w:val="20"/>
          <w:color w:val="auto"/>
        </w:rPr>
      </w:pPr>
    </w:p>
    <w:p>
      <w:pPr>
        <w:ind w:right="140" w:firstLine="405"/>
        <w:spacing w:after="0" w:line="286" w:lineRule="auto"/>
        <w:rPr>
          <w:sz w:val="20"/>
          <w:szCs w:val="20"/>
          <w:color w:val="auto"/>
        </w:rPr>
      </w:pPr>
      <w:r>
        <w:rPr>
          <w:rFonts w:ascii="Arial" w:cs="Arial" w:eastAsia="Arial" w:hAnsi="Arial"/>
          <w:sz w:val="17"/>
          <w:szCs w:val="17"/>
          <w:color w:val="auto"/>
        </w:rPr>
        <w:t>Our principal source of liquidity as of May 4, 2019 consisted of approximately $572 million of cash, cash equivalents and short-term investments, of which approximately $543 million was held by subsidiaries outside of Bermuda. We plan to use such amounts to fund various activities outside of Bermuda, including working capital requirements, capital expenditures for expansion, funding of future acquisitions or other financing activities.</w:t>
      </w:r>
    </w:p>
    <w:p>
      <w:pPr>
        <w:spacing w:after="0" w:line="30" w:lineRule="exact"/>
        <w:rPr>
          <w:sz w:val="20"/>
          <w:szCs w:val="20"/>
          <w:color w:val="auto"/>
        </w:rPr>
      </w:pPr>
    </w:p>
    <w:p>
      <w:pPr>
        <w:ind w:right="260" w:firstLine="405"/>
        <w:spacing w:after="0" w:line="264" w:lineRule="auto"/>
        <w:rPr>
          <w:sz w:val="20"/>
          <w:szCs w:val="20"/>
          <w:color w:val="auto"/>
        </w:rPr>
      </w:pPr>
      <w:r>
        <w:rPr>
          <w:rFonts w:ascii="Arial" w:cs="Arial" w:eastAsia="Arial" w:hAnsi="Arial"/>
          <w:sz w:val="18"/>
          <w:szCs w:val="18"/>
          <w:color w:val="auto"/>
        </w:rPr>
        <w:t>In June 2018, we executed debt agreements to obtain a $900 million term loan and $1.0 billion of senior unsecured notes in order to fund the Cavium acquisition. In addition, we executed a debt agreement in June 2018 to obtain a $500 million Revolving Credit Facility, which was undrawn as of May 4, 2019. See “Note 8 - Debt” for further information.</w:t>
      </w:r>
    </w:p>
    <w:p>
      <w:pPr>
        <w:spacing w:after="0" w:line="73" w:lineRule="exact"/>
        <w:rPr>
          <w:sz w:val="20"/>
          <w:szCs w:val="20"/>
          <w:color w:val="auto"/>
        </w:rPr>
      </w:pPr>
    </w:p>
    <w:p>
      <w:pPr>
        <w:ind w:right="40" w:firstLine="405"/>
        <w:spacing w:after="0" w:line="290" w:lineRule="auto"/>
        <w:rPr>
          <w:sz w:val="20"/>
          <w:szCs w:val="20"/>
          <w:color w:val="auto"/>
        </w:rPr>
      </w:pPr>
      <w:r>
        <w:rPr>
          <w:rFonts w:ascii="Arial" w:cs="Arial" w:eastAsia="Arial" w:hAnsi="Arial"/>
          <w:sz w:val="16"/>
          <w:szCs w:val="16"/>
          <w:color w:val="auto"/>
        </w:rPr>
        <w:t xml:space="preserve">We believe that our existing cash, cash equivalents and short-term investments, together with cash generated from operations, and funds from our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For a discussion of litigation related risks, see Part II, Item 1A, “Risk Factors,” including the risk detailed under the caption </w:t>
      </w:r>
      <w:r>
        <w:rPr>
          <w:rFonts w:ascii="Arial" w:cs="Arial" w:eastAsia="Arial" w:hAnsi="Arial"/>
          <w:sz w:val="16"/>
          <w:szCs w:val="16"/>
          <w:i w:val="1"/>
          <w:iCs w:val="1"/>
          <w:color w:val="auto"/>
        </w:rPr>
        <w:t>“We have been named as a party to several legal proceedings and may be named in additional</w:t>
      </w:r>
      <w:r>
        <w:rPr>
          <w:rFonts w:ascii="Arial" w:cs="Arial" w:eastAsia="Arial" w:hAnsi="Arial"/>
          <w:sz w:val="16"/>
          <w:szCs w:val="16"/>
          <w:color w:val="auto"/>
        </w:rPr>
        <w:t xml:space="preserve"> </w:t>
      </w:r>
      <w:r>
        <w:rPr>
          <w:rFonts w:ascii="Arial" w:cs="Arial" w:eastAsia="Arial" w:hAnsi="Arial"/>
          <w:sz w:val="16"/>
          <w:szCs w:val="16"/>
          <w:i w:val="1"/>
          <w:iCs w:val="1"/>
          <w:color w:val="auto"/>
        </w:rPr>
        <w:t>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58" w:lineRule="exact"/>
        <w:rPr>
          <w:sz w:val="20"/>
          <w:szCs w:val="20"/>
          <w:color w:val="auto"/>
        </w:rPr>
      </w:pPr>
    </w:p>
    <w:p>
      <w:pPr>
        <w:ind w:right="140" w:firstLine="405"/>
        <w:spacing w:after="0" w:line="273" w:lineRule="auto"/>
        <w:rPr>
          <w:sz w:val="20"/>
          <w:szCs w:val="20"/>
          <w:color w:val="auto"/>
        </w:rPr>
      </w:pPr>
      <w:r>
        <w:rPr>
          <w:rFonts w:ascii="Arial" w:cs="Arial" w:eastAsia="Arial" w:hAnsi="Arial"/>
          <w:sz w:val="17"/>
          <w:szCs w:val="17"/>
          <w:color w:val="auto"/>
        </w:rPr>
        <w:t>To the extent that our existing cash, cash equivalents and short-term investments together with cash generated by operations, and funds available under our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178" w:lineRule="exact"/>
        <w:rPr>
          <w:sz w:val="20"/>
          <w:szCs w:val="20"/>
          <w:color w:val="auto"/>
        </w:rPr>
      </w:pPr>
    </w:p>
    <w:p>
      <w:pPr>
        <w:ind w:right="60" w:firstLine="405"/>
        <w:spacing w:after="0" w:line="257" w:lineRule="auto"/>
        <w:rPr>
          <w:sz w:val="20"/>
          <w:szCs w:val="20"/>
          <w:color w:val="auto"/>
        </w:rPr>
      </w:pPr>
      <w:r>
        <w:rPr>
          <w:rFonts w:ascii="Arial" w:cs="Arial" w:eastAsia="Arial" w:hAnsi="Arial"/>
          <w:sz w:val="18"/>
          <w:szCs w:val="18"/>
          <w:color w:val="auto"/>
        </w:rPr>
        <w:t>Future payment of a regular quarterly cash dividend on our common shares and our planned repurchases of common stock will be subject to, among other things, the best interests of the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w:t>
      </w:r>
    </w:p>
    <w:p>
      <w:pPr>
        <w:spacing w:after="0" w:line="2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130" w:right="239" w:bottom="1440" w:gutter="0" w:footer="0" w:header="0"/>
        </w:sectPr>
      </w:pPr>
    </w:p>
    <w:bookmarkStart w:id="31" w:name="page32"/>
    <w:bookmarkEnd w:id="3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87"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90" w:lineRule="exact"/>
        <w:rPr>
          <w:sz w:val="20"/>
          <w:szCs w:val="20"/>
          <w:color w:val="auto"/>
        </w:rPr>
      </w:pPr>
    </w:p>
    <w:p>
      <w:pPr>
        <w:ind w:right="60" w:firstLine="405"/>
        <w:spacing w:after="0" w:line="270" w:lineRule="auto"/>
        <w:rPr>
          <w:sz w:val="20"/>
          <w:szCs w:val="20"/>
          <w:color w:val="auto"/>
        </w:rPr>
      </w:pPr>
      <w:r>
        <w:rPr>
          <w:rFonts w:ascii="Arial" w:cs="Arial" w:eastAsia="Arial" w:hAnsi="Arial"/>
          <w:sz w:val="17"/>
          <w:szCs w:val="17"/>
          <w:color w:val="auto"/>
        </w:rPr>
        <w:t>Net cash flow provided by operating activities for the three months ended May 4, 2019 was $165.8 million. We had a net loss of $48.5 million adjusted for the following non-cash items: share-based compensation expense of $58.6 million, amortization of acquired intangible assets of $79.7 million, depreciation and amortization of $44.3 million, deferred income tax expense of $4.4 million, amortization of deferred debt issuance costs and debt discounts of $1.7 million, and $5.3 million net loss from other non-cash items. Cash inflow from working capital of $20.3 million for the three months ended May 4, 2019 was primarily driven by a decrease in accounts receivable and inventories and an increase in accrued employee compensation, slightly offset by a decrease in accrued liabilities and other non-current liabilities. The decrease in accounts receivable and inventories was driven primarily by collection of payments during the quarter as well as lower inventory in response to lower sales. The increase in accrued employee compensation is due to increases in employee stock purchase plan accruals and accrued salaries. The decrease in accrued liabilities and other non-current liabilities is due to decreases in accrued rebates and income tax payable, as well as decreases due to severance payments.</w:t>
      </w:r>
    </w:p>
    <w:p>
      <w:pPr>
        <w:spacing w:after="0" w:line="263" w:lineRule="exact"/>
        <w:rPr>
          <w:sz w:val="20"/>
          <w:szCs w:val="20"/>
          <w:color w:val="auto"/>
        </w:rPr>
      </w:pPr>
    </w:p>
    <w:p>
      <w:pPr>
        <w:ind w:right="20" w:firstLine="378"/>
        <w:spacing w:after="0" w:line="272" w:lineRule="auto"/>
        <w:rPr>
          <w:sz w:val="20"/>
          <w:szCs w:val="20"/>
          <w:color w:val="auto"/>
        </w:rPr>
      </w:pPr>
      <w:r>
        <w:rPr>
          <w:rFonts w:ascii="Arial" w:cs="Arial" w:eastAsia="Arial" w:hAnsi="Arial"/>
          <w:sz w:val="17"/>
          <w:szCs w:val="17"/>
          <w:color w:val="auto"/>
        </w:rPr>
        <w:t>Net cash flow provided by operating activities for the three months ended May 5, 2018 was $128.8 million. We had net income of $128.6 million, adjusted for the following non-cash items: depreciation and amortization of $20.3 million, share-based compensation expense of $23.9 million and $1.7 million net loss from other non-cash items. Cash outflow from working capital of $45.7 million for the three months ended May 5, 2018 was primarily driven by an increase in accounts receivable and a decrease in accrued compensation. This outflow was offset by an increase in accrued liabilities. The increase in accounts receivable was driven primarily by an increase in DSO from 45 to 50 days. The decrease in accrued compensation was mainly driven by a decrease in our bonus accrual due to our annual bonus payout during the three months ended May 5, 2018. The increase in accrued liabilities was driven by an increase in variable consideration as a result of our adoption of the new revenue recognition standard.</w:t>
      </w:r>
    </w:p>
    <w:p>
      <w:pPr>
        <w:spacing w:after="0" w:line="205"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90" w:lineRule="exact"/>
        <w:rPr>
          <w:sz w:val="20"/>
          <w:szCs w:val="20"/>
          <w:color w:val="auto"/>
        </w:rPr>
      </w:pPr>
    </w:p>
    <w:p>
      <w:pPr>
        <w:ind w:right="60" w:firstLine="405"/>
        <w:spacing w:after="0" w:line="286" w:lineRule="auto"/>
        <w:rPr>
          <w:sz w:val="20"/>
          <w:szCs w:val="20"/>
          <w:color w:val="auto"/>
        </w:rPr>
      </w:pPr>
      <w:r>
        <w:rPr>
          <w:rFonts w:ascii="Arial" w:cs="Arial" w:eastAsia="Arial" w:hAnsi="Arial"/>
          <w:sz w:val="17"/>
          <w:szCs w:val="17"/>
          <w:color w:val="auto"/>
        </w:rPr>
        <w:t>Net cash used in investing activities was $21.0 million for the three months ended May 4, 2019 compared to net cash provided by investing activities of $216.7 million for the three months ended May 5, 2018. For the three months ended May 4, 2019, net cash used in investing activities was primarily driven by purchases of property and equipment of $19.2 million and purchases of technology licenses of $1.5 million.</w:t>
      </w:r>
    </w:p>
    <w:p>
      <w:pPr>
        <w:spacing w:after="0" w:line="247" w:lineRule="exact"/>
        <w:rPr>
          <w:sz w:val="20"/>
          <w:szCs w:val="20"/>
          <w:color w:val="auto"/>
        </w:rPr>
      </w:pPr>
    </w:p>
    <w:p>
      <w:pPr>
        <w:jc w:val="both"/>
        <w:ind w:right="120" w:firstLine="378"/>
        <w:spacing w:after="0" w:line="264" w:lineRule="auto"/>
        <w:rPr>
          <w:sz w:val="20"/>
          <w:szCs w:val="20"/>
          <w:color w:val="auto"/>
        </w:rPr>
      </w:pPr>
      <w:r>
        <w:rPr>
          <w:rFonts w:ascii="Arial" w:cs="Arial" w:eastAsia="Arial" w:hAnsi="Arial"/>
          <w:sz w:val="18"/>
          <w:szCs w:val="18"/>
          <w:color w:val="auto"/>
        </w:rPr>
        <w:t>For the three months ended May 5, 2018, net cash provided by investing activities of $216.7 million was primarily driven by net proceeds for sales and maturities of available-for-sale securities and time deposits of $274.1 million, offset by purchases of available-for-sale securities and time deposits of $38.5 million and purchases of property and equipment of $13.6 million.</w:t>
      </w:r>
    </w:p>
    <w:p>
      <w:pPr>
        <w:spacing w:after="0" w:line="208"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90"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For the three months ended May 4, 2019, net cash used in financing activities of $155.3 million was primarily attributable to $50.0 million repayment of debt, $48.0 million for repurchases of our common stock, $39.5 million for payment of our quarterly dividends, $28.8 million tax withholding payments on behalf of employees for net share settlements, and $15.3 million payments for technology license obligations. These outflows were partially offset by proceeds of $31.1 million from employee stock plans.</w:t>
      </w:r>
    </w:p>
    <w:p>
      <w:pPr>
        <w:spacing w:after="0" w:line="187" w:lineRule="exact"/>
        <w:rPr>
          <w:sz w:val="20"/>
          <w:szCs w:val="20"/>
          <w:color w:val="auto"/>
        </w:rPr>
      </w:pPr>
    </w:p>
    <w:p>
      <w:pPr>
        <w:jc w:val="both"/>
        <w:ind w:firstLine="378"/>
        <w:spacing w:after="0" w:line="264" w:lineRule="auto"/>
        <w:rPr>
          <w:sz w:val="20"/>
          <w:szCs w:val="20"/>
          <w:color w:val="auto"/>
        </w:rPr>
      </w:pPr>
      <w:r>
        <w:rPr>
          <w:rFonts w:ascii="Arial" w:cs="Arial" w:eastAsia="Arial" w:hAnsi="Arial"/>
          <w:sz w:val="18"/>
          <w:szCs w:val="18"/>
          <w:color w:val="auto"/>
        </w:rPr>
        <w:t>For the three months ended May 5, 2018, net cash used in financing activities of $66.7 million was primarily attributable to $29.8 million for payment of our quarterly dividends, $23.9 million tax withholding payments on behalf of employees for net share settlements, and $20.5 million payments on technology license obligations. These outflows were partially offset by proceeds of $11.1 million from employee stock plans.</w:t>
      </w:r>
    </w:p>
    <w:p>
      <w:pPr>
        <w:spacing w:after="0" w:line="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121" w:lineRule="exact"/>
        <w:rPr>
          <w:sz w:val="20"/>
          <w:szCs w:val="20"/>
          <w:color w:val="auto"/>
        </w:rPr>
      </w:pPr>
    </w:p>
    <w:p>
      <w:pPr>
        <w:ind w:right="280" w:firstLine="405"/>
        <w:spacing w:after="0" w:line="277" w:lineRule="auto"/>
        <w:rPr>
          <w:sz w:val="20"/>
          <w:szCs w:val="20"/>
          <w:color w:val="auto"/>
        </w:rPr>
      </w:pPr>
      <w:r>
        <w:rPr>
          <w:rFonts w:ascii="Arial" w:cs="Arial" w:eastAsia="Arial" w:hAnsi="Arial"/>
          <w:sz w:val="18"/>
          <w:szCs w:val="18"/>
          <w:color w:val="auto"/>
        </w:rPr>
        <w:t>We presented our contractual obligations at February 2, 2019 in our Annual Report on Form 10-K for the fiscal year then ended. There have been no material changes outside the ordinary course of business in those obligations during the three months ended May 4, 2019.</w:t>
      </w: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121"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See “Note 10 – Commitments and Contingencies” in the Notes to the Unaudited Condensed Consolidated Financial Statements set forth in Part I, Item 1 of this Quarterly Report on Form 10-Q.</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00"/>
          </w:cols>
          <w:pgMar w:left="240" w:top="130" w:right="259" w:bottom="1440" w:gutter="0" w:footer="0" w:header="0"/>
        </w:sectPr>
      </w:pPr>
    </w:p>
    <w:bookmarkStart w:id="32" w:name="page33"/>
    <w:bookmarkEnd w:id="3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4" w:lineRule="exact"/>
        <w:rPr>
          <w:sz w:val="20"/>
          <w:szCs w:val="20"/>
          <w:color w:val="auto"/>
        </w:rPr>
      </w:pPr>
    </w:p>
    <w:p>
      <w:pPr>
        <w:ind w:right="400" w:firstLine="405"/>
        <w:spacing w:after="0" w:line="259" w:lineRule="auto"/>
        <w:rPr>
          <w:sz w:val="20"/>
          <w:szCs w:val="20"/>
          <w:color w:val="auto"/>
        </w:rPr>
      </w:pPr>
      <w:r>
        <w:rPr>
          <w:rFonts w:ascii="Arial" w:cs="Arial" w:eastAsia="Arial" w:hAnsi="Arial"/>
          <w:sz w:val="18"/>
          <w:szCs w:val="18"/>
          <w:i w:val="1"/>
          <w:iCs w:val="1"/>
          <w:color w:val="auto"/>
        </w:rPr>
        <w:t>Interest Rate Risk</w:t>
      </w:r>
      <w:r>
        <w:rPr>
          <w:rFonts w:ascii="Arial" w:cs="Arial" w:eastAsia="Arial" w:hAnsi="Arial"/>
          <w:sz w:val="18"/>
          <w:szCs w:val="18"/>
          <w:color w:val="auto"/>
        </w:rPr>
        <w:t>. With our outstanding debt following our acquisition of Cavium, we are exposed to various forms of market risk, including the</w:t>
      </w:r>
      <w:r>
        <w:rPr>
          <w:rFonts w:ascii="Arial" w:cs="Arial" w:eastAsia="Arial" w:hAnsi="Arial"/>
          <w:sz w:val="18"/>
          <w:szCs w:val="18"/>
          <w:i w:val="1"/>
          <w:iCs w:val="1"/>
          <w:color w:val="auto"/>
        </w:rPr>
        <w:t xml:space="preserve"> </w:t>
      </w:r>
      <w:r>
        <w:rPr>
          <w:rFonts w:ascii="Arial" w:cs="Arial" w:eastAsia="Arial" w:hAnsi="Arial"/>
          <w:sz w:val="18"/>
          <w:szCs w:val="18"/>
          <w:color w:val="auto"/>
        </w:rPr>
        <w:t>potential losses arising from adverse changes in interest rates on our outstanding Term Loan. See “Note 8 - Debt” for further information. A hypothetical increase or decrease in the interest rate by 1% would result in an increase or decrease in annual interest expense by approximately $3.0 million to $7.2 million.</w:t>
      </w:r>
    </w:p>
    <w:p>
      <w:pPr>
        <w:spacing w:after="0" w:line="52" w:lineRule="exact"/>
        <w:rPr>
          <w:sz w:val="20"/>
          <w:szCs w:val="20"/>
          <w:color w:val="auto"/>
        </w:rPr>
      </w:pPr>
    </w:p>
    <w:p>
      <w:pPr>
        <w:ind w:right="40" w:firstLine="405"/>
        <w:spacing w:after="0" w:line="271" w:lineRule="auto"/>
        <w:rPr>
          <w:sz w:val="20"/>
          <w:szCs w:val="20"/>
          <w:color w:val="auto"/>
        </w:rPr>
      </w:pPr>
      <w:r>
        <w:rPr>
          <w:rFonts w:ascii="Arial" w:cs="Arial" w:eastAsia="Arial" w:hAnsi="Arial"/>
          <w:sz w:val="17"/>
          <w:szCs w:val="17"/>
          <w:color w:val="auto"/>
        </w:rPr>
        <w:t>We maintain an investment policy that requires minimum credit ratings, diversification of credit risk and limits the long-term interest rate risk by requiring effective maturities of generally less than five years. We invest our excess cash in highly liquid and highly rated debt instruments of the U.S. government and its agencies, money market mutual funds, asset backed securities, corporate debt securities and municipal debt securities that are classified as available-for-sale and time deposits. These investments are recorded on our consolidated balance sheets at fair market value with their related unrealized gain or loss reflected as a component of accumulated other comprehensive income (loss) in the consolidated statements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At May 4, 2019, our investment portfolio balance was $0.</w:t>
      </w:r>
    </w:p>
    <w:p>
      <w:pPr>
        <w:spacing w:after="0" w:line="179" w:lineRule="exact"/>
        <w:rPr>
          <w:sz w:val="20"/>
          <w:szCs w:val="20"/>
          <w:color w:val="auto"/>
        </w:rPr>
      </w:pPr>
    </w:p>
    <w:p>
      <w:pPr>
        <w:ind w:right="20" w:firstLine="378"/>
        <w:spacing w:after="0" w:line="270" w:lineRule="auto"/>
        <w:rPr>
          <w:sz w:val="20"/>
          <w:szCs w:val="20"/>
          <w:color w:val="auto"/>
        </w:rPr>
      </w:pPr>
      <w:r>
        <w:rPr>
          <w:rFonts w:ascii="Arial" w:cs="Arial" w:eastAsia="Arial" w:hAnsi="Arial"/>
          <w:sz w:val="17"/>
          <w:szCs w:val="17"/>
          <w:i w:val="1"/>
          <w:iCs w:val="1"/>
          <w:color w:val="auto"/>
        </w:rPr>
        <w:t>Foreign Currency Exchange Risk</w:t>
      </w:r>
      <w:r>
        <w:rPr>
          <w:rFonts w:ascii="Arial" w:cs="Arial" w:eastAsia="Arial" w:hAnsi="Arial"/>
          <w:sz w:val="17"/>
          <w:szCs w:val="17"/>
          <w:color w:val="auto"/>
        </w:rPr>
        <w:t>. All of our sales and the majority of our expenses are denominated in U.S. dollars. Since we operate in many countries,</w:t>
      </w:r>
      <w:r>
        <w:rPr>
          <w:rFonts w:ascii="Arial" w:cs="Arial" w:eastAsia="Arial" w:hAnsi="Arial"/>
          <w:sz w:val="17"/>
          <w:szCs w:val="17"/>
          <w:i w:val="1"/>
          <w:iCs w:val="1"/>
          <w:color w:val="auto"/>
        </w:rPr>
        <w:t xml:space="preserve"> </w:t>
      </w:r>
      <w:r>
        <w:rPr>
          <w:rFonts w:ascii="Arial" w:cs="Arial" w:eastAsia="Arial" w:hAnsi="Arial"/>
          <w:sz w:val="17"/>
          <w:szCs w:val="17"/>
          <w:color w:val="auto"/>
        </w:rPr>
        <w:t>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182" w:lineRule="exact"/>
        <w:rPr>
          <w:sz w:val="20"/>
          <w:szCs w:val="20"/>
          <w:color w:val="auto"/>
        </w:rPr>
      </w:pPr>
    </w:p>
    <w:p>
      <w:pPr>
        <w:ind w:firstLine="378"/>
        <w:spacing w:after="0" w:line="259"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187" w:lineRule="exact"/>
        <w:rPr>
          <w:sz w:val="20"/>
          <w:szCs w:val="20"/>
          <w:color w:val="auto"/>
        </w:rPr>
      </w:pPr>
    </w:p>
    <w:p>
      <w:pPr>
        <w:jc w:val="both"/>
        <w:ind w:right="40" w:firstLine="378"/>
        <w:spacing w:after="0" w:line="264"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1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29" w:lineRule="exact"/>
        <w:rPr>
          <w:sz w:val="20"/>
          <w:szCs w:val="20"/>
          <w:color w:val="auto"/>
        </w:rPr>
      </w:pPr>
    </w:p>
    <w:p>
      <w:pPr>
        <w:ind w:right="20" w:firstLine="648"/>
        <w:spacing w:after="0" w:line="273" w:lineRule="auto"/>
        <w:rPr>
          <w:sz w:val="20"/>
          <w:szCs w:val="20"/>
          <w:color w:val="auto"/>
        </w:rPr>
      </w:pPr>
      <w:r>
        <w:rPr>
          <w:rFonts w:ascii="Arial" w:cs="Arial" w:eastAsia="Arial" w:hAnsi="Arial"/>
          <w:sz w:val="17"/>
          <w:szCs w:val="17"/>
          <w:color w:val="auto"/>
        </w:rPr>
        <w:t>Our management, with the participation of our principal executive officer and our principal financial officer, has evaluated the effectiveness of our disclosure controls and procedures (as defined in Rule 13a-15(e) of the Exchange Act). Our disclosure controls and 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the Chief Executive Officer and Chief Financial Officer, as appropriate, to allow timely decisions regarding required disclosure. Based on this evaluation, our principal executive officer and our principal financial officer concluded that, as of May 4, 2019, our disclosure controls and procedures were effective.</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29" w:lineRule="exact"/>
        <w:rPr>
          <w:sz w:val="20"/>
          <w:szCs w:val="20"/>
          <w:color w:val="auto"/>
        </w:rPr>
      </w:pPr>
    </w:p>
    <w:p>
      <w:pPr>
        <w:ind w:right="20" w:firstLine="648"/>
        <w:spacing w:after="0" w:line="277" w:lineRule="auto"/>
        <w:rPr>
          <w:sz w:val="20"/>
          <w:szCs w:val="20"/>
          <w:color w:val="auto"/>
        </w:rPr>
      </w:pPr>
      <w:r>
        <w:rPr>
          <w:rFonts w:ascii="Arial" w:cs="Arial" w:eastAsia="Arial" w:hAnsi="Arial"/>
          <w:sz w:val="18"/>
          <w:szCs w:val="18"/>
          <w:color w:val="auto"/>
        </w:rPr>
        <w:t>There have been no changes in our internal control over financial reporting during the three months ended May 4, 2019 that have materially affected, or are reasonably likely to materially affect, our internal control over financial reporting.</w:t>
      </w:r>
    </w:p>
    <w:p>
      <w:pPr>
        <w:spacing w:after="0" w:line="200" w:lineRule="exact"/>
        <w:rPr>
          <w:sz w:val="20"/>
          <w:szCs w:val="20"/>
          <w:color w:val="auto"/>
        </w:rPr>
      </w:pPr>
    </w:p>
    <w:p>
      <w:pPr>
        <w:spacing w:after="0" w:line="2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130" w:right="239" w:bottom="1440" w:gutter="0" w:footer="0" w:header="0"/>
        </w:sectPr>
      </w:pPr>
    </w:p>
    <w:bookmarkStart w:id="33" w:name="page34"/>
    <w:bookmarkEnd w:id="3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202" w:lineRule="exact"/>
        <w:rPr>
          <w:sz w:val="20"/>
          <w:szCs w:val="20"/>
          <w:color w:val="auto"/>
        </w:rPr>
      </w:pPr>
    </w:p>
    <w:p>
      <w:pPr>
        <w:ind w:firstLine="648"/>
        <w:spacing w:after="0" w:line="270"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130" w:right="239" w:bottom="1440" w:gutter="0" w:footer="0" w:header="0"/>
        </w:sectPr>
      </w:pPr>
    </w:p>
    <w:bookmarkStart w:id="34" w:name="page35"/>
    <w:bookmarkEnd w:id="3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II. OTHER INFORMATION</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103" w:lineRule="exact"/>
        <w:rPr>
          <w:sz w:val="20"/>
          <w:szCs w:val="20"/>
          <w:color w:val="auto"/>
        </w:rPr>
      </w:pPr>
    </w:p>
    <w:p>
      <w:pPr>
        <w:ind w:right="160" w:firstLine="405"/>
        <w:spacing w:after="0" w:line="264"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366"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121" w:lineRule="exact"/>
        <w:rPr>
          <w:sz w:val="20"/>
          <w:szCs w:val="20"/>
          <w:color w:val="auto"/>
        </w:rPr>
      </w:pPr>
    </w:p>
    <w:p>
      <w:pPr>
        <w:ind w:right="80" w:firstLine="405"/>
        <w:spacing w:after="0" w:line="255" w:lineRule="auto"/>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infrastructure,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That May Affect Our Future Results</w:t>
      </w:r>
    </w:p>
    <w:p>
      <w:pPr>
        <w:spacing w:after="0" w:line="12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40" w:lineRule="exact"/>
        <w:rPr>
          <w:sz w:val="20"/>
          <w:szCs w:val="20"/>
          <w:color w:val="auto"/>
        </w:rPr>
      </w:pPr>
    </w:p>
    <w:p>
      <w:pPr>
        <w:ind w:firstLine="378"/>
        <w:spacing w:after="0" w:line="277"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62" w:lineRule="exact"/>
        <w:rPr>
          <w:sz w:val="20"/>
          <w:szCs w:val="20"/>
          <w:color w:val="auto"/>
        </w:rPr>
      </w:pPr>
    </w:p>
    <w:p>
      <w:pPr>
        <w:ind w:right="20" w:firstLine="378"/>
        <w:spacing w:after="0" w:line="277"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170" w:lineRule="exact"/>
        <w:rPr>
          <w:sz w:val="20"/>
          <w:szCs w:val="20"/>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realize anticipated synergies in connection with our acquisitions;</w:t>
      </w:r>
    </w:p>
    <w:p>
      <w:pPr>
        <w:spacing w:after="0" w:line="23" w:lineRule="exact"/>
        <w:rPr>
          <w:rFonts w:ascii="Arial" w:cs="Arial" w:eastAsia="Arial" w:hAnsi="Arial"/>
          <w:sz w:val="18"/>
          <w:szCs w:val="18"/>
          <w:color w:val="auto"/>
        </w:rPr>
      </w:pPr>
    </w:p>
    <w:p>
      <w:pPr>
        <w:ind w:left="820" w:right="140" w:hanging="420"/>
        <w:spacing w:after="0" w:line="250"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effects of any acquisitions, divestitures or significant investments;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severe financial hardship or bankruptcy of one or more of our major customers;</w:t>
      </w:r>
    </w:p>
    <w:p>
      <w:pPr>
        <w:spacing w:after="0" w:line="9" w:lineRule="exact"/>
        <w:rPr>
          <w:rFonts w:ascii="Arial" w:cs="Arial" w:eastAsia="Arial" w:hAnsi="Arial"/>
          <w:sz w:val="18"/>
          <w:szCs w:val="18"/>
          <w:color w:val="auto"/>
        </w:rPr>
      </w:pPr>
    </w:p>
    <w:p>
      <w:pPr>
        <w:ind w:left="820" w:right="460" w:hanging="420"/>
        <w:spacing w:after="0" w:line="250"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ind w:left="820" w:right="260" w:hanging="420"/>
        <w:spacing w:after="0" w:line="250"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ind w:left="820" w:hanging="420"/>
        <w:spacing w:after="0"/>
        <w:tabs>
          <w:tab w:leader="none" w:pos="820" w:val="left"/>
        </w:tabs>
        <w:numPr>
          <w:ilvl w:val="0"/>
          <w:numId w:val="9"/>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32" w:lineRule="exact"/>
        <w:rPr>
          <w:rFonts w:ascii="Arial" w:cs="Arial" w:eastAsia="Arial" w:hAnsi="Arial"/>
          <w:sz w:val="16"/>
          <w:szCs w:val="16"/>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 w:lineRule="exact"/>
        <w:rPr>
          <w:rFonts w:ascii="Arial" w:cs="Arial" w:eastAsia="Arial" w:hAnsi="Arial"/>
          <w:sz w:val="18"/>
          <w:szCs w:val="18"/>
          <w:color w:val="auto"/>
        </w:rPr>
      </w:pPr>
    </w:p>
    <w:p>
      <w:pPr>
        <w:ind w:left="820" w:right="180" w:hanging="420"/>
        <w:spacing w:after="0" w:line="250"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 w:lineRule="exact"/>
        <w:rPr>
          <w:rFonts w:ascii="Arial" w:cs="Arial" w:eastAsia="Arial" w:hAnsi="Arial"/>
          <w:sz w:val="18"/>
          <w:szCs w:val="18"/>
          <w:color w:val="auto"/>
        </w:rPr>
      </w:pPr>
    </w:p>
    <w:p>
      <w:pPr>
        <w:ind w:left="820" w:right="380" w:hanging="420"/>
        <w:spacing w:after="0" w:line="281" w:lineRule="auto"/>
        <w:tabs>
          <w:tab w:leader="none" w:pos="820" w:val="left"/>
        </w:tabs>
        <w:numPr>
          <w:ilvl w:val="0"/>
          <w:numId w:val="9"/>
        </w:numPr>
        <w:rPr>
          <w:rFonts w:ascii="Arial" w:cs="Arial" w:eastAsia="Arial" w:hAnsi="Arial"/>
          <w:sz w:val="16"/>
          <w:szCs w:val="16"/>
          <w:color w:val="auto"/>
        </w:rPr>
      </w:pPr>
      <w:r>
        <w:rPr>
          <w:rFonts w:ascii="Arial" w:cs="Arial" w:eastAsia="Arial" w:hAnsi="Arial"/>
          <w:sz w:val="16"/>
          <w:szCs w:val="16"/>
          <w:color w:val="auto"/>
        </w:rPr>
        <w:t>impact of a significant natural disaster, including earthquakes, floods and tsunamis, particularly in certain regions in which we operate or own buildings, such as Santa Clara, California, and where our third party suppliers operate, such as Taiwan and elsewhere in the Pacific Rim; and</w:t>
      </w:r>
    </w:p>
    <w:p>
      <w:pPr>
        <w:spacing w:after="0" w:line="1" w:lineRule="exact"/>
        <w:rPr>
          <w:rFonts w:ascii="Arial" w:cs="Arial" w:eastAsia="Arial" w:hAnsi="Arial"/>
          <w:sz w:val="16"/>
          <w:szCs w:val="16"/>
          <w:color w:val="auto"/>
        </w:rPr>
      </w:pPr>
    </w:p>
    <w:p>
      <w:pPr>
        <w:ind w:left="820" w:hanging="420"/>
        <w:spacing w:after="0"/>
        <w:tabs>
          <w:tab w:leader="none" w:pos="820" w:val="left"/>
        </w:tabs>
        <w:numPr>
          <w:ilvl w:val="0"/>
          <w:numId w:val="9"/>
        </w:numPr>
        <w:rPr>
          <w:rFonts w:ascii="Arial" w:cs="Arial" w:eastAsia="Arial" w:hAnsi="Arial"/>
          <w:sz w:val="17"/>
          <w:szCs w:val="17"/>
          <w:color w:val="auto"/>
        </w:rPr>
      </w:pPr>
      <w:r>
        <w:rPr>
          <w:rFonts w:ascii="Arial" w:cs="Arial" w:eastAsia="Arial" w:hAnsi="Arial"/>
          <w:sz w:val="17"/>
          <w:szCs w:val="17"/>
          <w:color w:val="auto"/>
        </w:rPr>
        <w:t>our ability to attract, retain and motivate a highly skilled workforce, especially managerial, engineering, sales and marketing personnel.</w:t>
      </w:r>
    </w:p>
    <w:p>
      <w:pPr>
        <w:spacing w:after="0" w:line="24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130" w:right="239" w:bottom="1440" w:gutter="0" w:footer="0" w:header="0"/>
        </w:sectPr>
      </w:pPr>
    </w:p>
    <w:bookmarkStart w:id="35" w:name="page36"/>
    <w:bookmarkEnd w:id="3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40" w:firstLine="405"/>
        <w:spacing w:after="0" w:line="255" w:lineRule="auto"/>
        <w:rPr>
          <w:sz w:val="20"/>
          <w:szCs w:val="20"/>
          <w:color w:val="auto"/>
        </w:rPr>
      </w:pPr>
      <w:r>
        <w:rPr>
          <w:rFonts w:ascii="Arial" w:cs="Arial" w:eastAsia="Arial" w:hAnsi="Arial"/>
          <w:sz w:val="18"/>
          <w:szCs w:val="18"/>
          <w:color w:val="auto"/>
        </w:rPr>
        <w:t>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Our stock is traded on the NASDAQ stock exchange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85" w:lineRule="exact"/>
        <w:rPr>
          <w:sz w:val="20"/>
          <w:szCs w:val="20"/>
          <w:color w:val="auto"/>
        </w:rPr>
      </w:pPr>
    </w:p>
    <w:p>
      <w:pPr>
        <w:jc w:val="both"/>
        <w:ind w:right="40"/>
        <w:spacing w:after="0" w:line="286" w:lineRule="auto"/>
        <w:rPr>
          <w:sz w:val="20"/>
          <w:szCs w:val="20"/>
          <w:color w:val="auto"/>
        </w:rPr>
      </w:pPr>
      <w:r>
        <w:rPr>
          <w:rFonts w:ascii="Arial" w:cs="Arial" w:eastAsia="Arial" w:hAnsi="Arial"/>
          <w:sz w:val="17"/>
          <w:szCs w:val="17"/>
          <w:b w:val="1"/>
          <w:bCs w:val="1"/>
          <w:i w:val="1"/>
          <w:i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57" w:lineRule="exact"/>
        <w:rPr>
          <w:sz w:val="20"/>
          <w:szCs w:val="20"/>
          <w:color w:val="auto"/>
        </w:rPr>
      </w:pPr>
    </w:p>
    <w:p>
      <w:pPr>
        <w:ind w:right="20" w:firstLine="405"/>
        <w:spacing w:after="0" w:line="291" w:lineRule="auto"/>
        <w:rPr>
          <w:sz w:val="20"/>
          <w:szCs w:val="20"/>
          <w:color w:val="auto"/>
        </w:rPr>
      </w:pPr>
      <w:r>
        <w:rPr>
          <w:rFonts w:ascii="Arial" w:cs="Arial" w:eastAsia="Arial" w:hAnsi="Arial"/>
          <w:sz w:val="16"/>
          <w:szCs w:val="16"/>
          <w:color w:val="auto"/>
        </w:rPr>
        <w:t>We receive a significant amount of our revenue from a limited number of customers. Net revenue from our two largest customers represented 22% and 31% of our net revenue for the three months ended May 4, 2019 and May 5, 2018, respectively.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59"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79" w:lineRule="exact"/>
        <w:rPr>
          <w:sz w:val="20"/>
          <w:szCs w:val="20"/>
          <w:color w:val="auto"/>
        </w:rPr>
      </w:pPr>
    </w:p>
    <w:p>
      <w:pPr>
        <w:ind w:left="820" w:right="420" w:hanging="420"/>
        <w:spacing w:after="0" w:line="258" w:lineRule="auto"/>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1"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develop their own solutions or acquire fully developed solutions from third-parties;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 including, but not limited to, those driven by financial instability; or</w:t>
      </w:r>
    </w:p>
    <w:p>
      <w:pPr>
        <w:spacing w:after="0" w:line="9" w:lineRule="exact"/>
        <w:rPr>
          <w:rFonts w:ascii="Arial" w:cs="Arial" w:eastAsia="Arial" w:hAnsi="Arial"/>
          <w:sz w:val="18"/>
          <w:szCs w:val="18"/>
          <w:color w:val="auto"/>
        </w:rPr>
      </w:pPr>
    </w:p>
    <w:p>
      <w:pPr>
        <w:ind w:left="820" w:right="200" w:hanging="420"/>
        <w:spacing w:after="0" w:line="255" w:lineRule="auto"/>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consolidate (for example, Western Digital acquired SanDisk in 2017, and Toshiba Corporation sold control of a portion of its semiconductor business in 2018), which could lead to changing demand for our products, replacement of our products by the merged entity with those of our competitors and cancellation of orders.</w:t>
      </w:r>
    </w:p>
    <w:p>
      <w:pPr>
        <w:spacing w:after="0" w:line="298" w:lineRule="exact"/>
        <w:rPr>
          <w:sz w:val="20"/>
          <w:szCs w:val="20"/>
          <w:color w:val="auto"/>
        </w:rPr>
      </w:pPr>
    </w:p>
    <w:p>
      <w:pPr>
        <w:ind w:right="20" w:firstLine="405"/>
        <w:spacing w:after="0" w:line="290" w:lineRule="auto"/>
        <w:rPr>
          <w:sz w:val="20"/>
          <w:szCs w:val="20"/>
          <w:color w:val="auto"/>
        </w:rPr>
      </w:pPr>
      <w:r>
        <w:rPr>
          <w:rFonts w:ascii="Arial" w:cs="Arial" w:eastAsia="Arial" w:hAnsi="Arial"/>
          <w:sz w:val="16"/>
          <w:szCs w:val="16"/>
          <w:color w:val="auto"/>
        </w:rPr>
        <w:t>In addition, if regulatory activity, such as enforcement of U.S. export control and sanctions laws, or the imposition of new tariffs, were to materially limit our ability to make sales to any of our significant customers, it could harm our results of operations, reputation and financial condition. For example, the recent US government export restrictions on a Chinese customer, Huawei Technologies Co. Ltd., has dampened demand for our products, adding to the already challenging macroeconomic environment. This export restriction was implemented in the second week of our second quarter of fiscal year 2020, limiting revenue from that customer to shipments during a short period during the quarter. In addition, there may be indirect impacts to our business which we cannot easily quantify such as the fact that some of our other customer’s products which use our solutions, such as hard disk drives, may also be impacted by this export restriction. If this export restriction is sustained for a long period of time, or if other export restrictions were to be imposed as a result of current trade tensions such as restrictions on trade with Mexico or other countries, it could have an adverse impact on our revenues and results of operations.</w:t>
      </w:r>
    </w:p>
    <w:p>
      <w:pPr>
        <w:spacing w:after="0" w:line="166"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62" w:lineRule="exact"/>
        <w:rPr>
          <w:sz w:val="20"/>
          <w:szCs w:val="20"/>
          <w:color w:val="auto"/>
        </w:rPr>
      </w:pPr>
    </w:p>
    <w:p>
      <w:pPr>
        <w:ind w:right="400" w:firstLine="405"/>
        <w:spacing w:after="0" w:line="264"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w:t>
      </w:r>
    </w:p>
    <w:p>
      <w:pPr>
        <w:spacing w:after="0" w:line="200" w:lineRule="exact"/>
        <w:rPr>
          <w:sz w:val="20"/>
          <w:szCs w:val="20"/>
          <w:color w:val="auto"/>
        </w:rPr>
      </w:pPr>
    </w:p>
    <w:p>
      <w:pPr>
        <w:spacing w:after="0" w:line="2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130" w:right="239" w:bottom="1440" w:gutter="0" w:footer="0" w:header="0"/>
        </w:sectPr>
      </w:pPr>
    </w:p>
    <w:bookmarkStart w:id="36" w:name="page37"/>
    <w:bookmarkEnd w:id="3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4" w:lineRule="exact"/>
        <w:rPr>
          <w:sz w:val="20"/>
          <w:szCs w:val="20"/>
          <w:color w:val="auto"/>
        </w:rPr>
      </w:pPr>
    </w:p>
    <w:p>
      <w:pPr>
        <w:ind w:right="200" w:firstLine="405"/>
        <w:spacing w:after="0" w:line="293" w:lineRule="auto"/>
        <w:rPr>
          <w:sz w:val="20"/>
          <w:szCs w:val="20"/>
          <w:color w:val="auto"/>
        </w:rPr>
      </w:pPr>
      <w:r>
        <w:rPr>
          <w:rFonts w:ascii="Arial" w:cs="Arial" w:eastAsia="Arial" w:hAnsi="Arial"/>
          <w:sz w:val="16"/>
          <w:szCs w:val="16"/>
          <w:color w:val="auto"/>
        </w:rPr>
        <w:t>We have recently entered into a number of transaction agreements, including (i) a definitive merger agreement dated May 6, 2019 under which we agreed to acquire all outstanding shares of Aquantia Corp. common stock for $13.25 per share in cash, (ii) a definitive agreement dated May 20, 2019 to purchase Avera Semiconductor, the Application Specific Integrated Circuit (ASIC) business of GLOBALFOUNDRIES for $650 million in cash at closing plus an additional $90 million in cash if certain business conditions are satisfied within the next 15 months and (iii) an asset purchase agreement with NXP USA, Inc. dated May 29, 2019 pursuant to which we agreed to sell to NXP certain assets related to our wireless business for $1.76 billion in cash at closing (collectively, the “Pending Transactions”). Each of these transactions is subject to customary closing conditions, including regulatory approvals.</w:t>
      </w:r>
    </w:p>
    <w:p>
      <w:pPr>
        <w:spacing w:after="0" w:line="165" w:lineRule="exact"/>
        <w:rPr>
          <w:sz w:val="20"/>
          <w:szCs w:val="20"/>
          <w:color w:val="auto"/>
        </w:rPr>
      </w:pPr>
    </w:p>
    <w:p>
      <w:pPr>
        <w:ind w:left="420"/>
        <w:spacing w:after="0"/>
        <w:rPr>
          <w:sz w:val="20"/>
          <w:szCs w:val="20"/>
          <w:color w:val="auto"/>
        </w:rPr>
      </w:pPr>
      <w:r>
        <w:rPr>
          <w:rFonts w:ascii="Arial" w:cs="Arial" w:eastAsia="Arial" w:hAnsi="Arial"/>
          <w:sz w:val="16"/>
          <w:szCs w:val="16"/>
          <w:color w:val="auto"/>
        </w:rPr>
        <w:t>Mergers, acquisitions and divestitures include a number of risks and present financial, managerial and operational challenges, including but not limited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to:</w:t>
      </w:r>
    </w:p>
    <w:p>
      <w:pPr>
        <w:spacing w:after="0" w:line="9" w:lineRule="exact"/>
        <w:rPr>
          <w:sz w:val="20"/>
          <w:szCs w:val="20"/>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6"/>
          <w:szCs w:val="16"/>
          <w:color w:val="auto"/>
        </w:rPr>
      </w:pPr>
      <w:r>
        <w:rPr>
          <w:rFonts w:ascii="Arial" w:cs="Arial" w:eastAsia="Arial" w:hAnsi="Arial"/>
          <w:sz w:val="16"/>
          <w:szCs w:val="16"/>
          <w:color w:val="auto"/>
        </w:rPr>
        <w:t>increased expenses, including, but not limited to, legal, administrative and compensation expenses related to newly hired or terminated employees;</w:t>
      </w:r>
    </w:p>
    <w:p>
      <w:pPr>
        <w:spacing w:after="0" w:line="32" w:lineRule="exact"/>
        <w:rPr>
          <w:rFonts w:ascii="Arial" w:cs="Arial" w:eastAsia="Arial" w:hAnsi="Arial"/>
          <w:sz w:val="16"/>
          <w:szCs w:val="16"/>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key personnel of an acquired company may decide not to work for us;</w:t>
      </w:r>
    </w:p>
    <w:p>
      <w:pPr>
        <w:spacing w:after="0" w:line="9" w:lineRule="exact"/>
        <w:rPr>
          <w:rFonts w:ascii="Arial" w:cs="Arial" w:eastAsia="Arial" w:hAnsi="Arial"/>
          <w:sz w:val="18"/>
          <w:szCs w:val="18"/>
          <w:color w:val="auto"/>
        </w:rPr>
      </w:pPr>
    </w:p>
    <w:p>
      <w:pPr>
        <w:ind w:left="820" w:right="20" w:hanging="420"/>
        <w:spacing w:after="0" w:line="250" w:lineRule="auto"/>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ind w:left="820" w:right="340" w:hanging="420"/>
        <w:spacing w:after="0" w:line="250" w:lineRule="auto"/>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assuming the legal obligations of the acquired company, including potential exposure to material liabilities not discovered in the due diligence process;</w:t>
      </w: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ineffective or inadequate control, procedures and policies at the acquired company may negatively impact our results of operations;</w:t>
      </w:r>
    </w:p>
    <w:p>
      <w:pPr>
        <w:spacing w:after="0" w:line="9" w:lineRule="exact"/>
        <w:rPr>
          <w:rFonts w:ascii="Arial" w:cs="Arial" w:eastAsia="Arial" w:hAnsi="Arial"/>
          <w:sz w:val="18"/>
          <w:szCs w:val="18"/>
          <w:color w:val="auto"/>
        </w:rPr>
      </w:pPr>
    </w:p>
    <w:p>
      <w:pPr>
        <w:ind w:left="820" w:right="740" w:hanging="420"/>
        <w:spacing w:after="0" w:line="250" w:lineRule="auto"/>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burdensome conditions required to obtain regulatory approvals;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potential damage to relationships with customers, suppliers, partners or employees;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loss of synergies, in the case of divestitures;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reduction of potential benefits of a transaction in the event of a long delay between signing and closing;</w:t>
      </w:r>
    </w:p>
    <w:p>
      <w:pPr>
        <w:spacing w:after="0" w:line="9" w:lineRule="exact"/>
        <w:rPr>
          <w:rFonts w:ascii="Arial" w:cs="Arial" w:eastAsia="Arial" w:hAnsi="Arial"/>
          <w:sz w:val="18"/>
          <w:szCs w:val="18"/>
          <w:color w:val="auto"/>
        </w:rPr>
      </w:pPr>
    </w:p>
    <w:p>
      <w:pPr>
        <w:ind w:left="820" w:right="560" w:hanging="420"/>
        <w:spacing w:after="0" w:line="250" w:lineRule="auto"/>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reduction of our cash in the case of acquisitions for which we are paying cash consideration and share dilution if we are using our shares as consideration; and</w:t>
      </w: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unavailability of acquisition financing on reasonable terms or at all.</w:t>
      </w:r>
    </w:p>
    <w:p>
      <w:pPr>
        <w:spacing w:after="0" w:line="211" w:lineRule="exact"/>
        <w:rPr>
          <w:sz w:val="20"/>
          <w:szCs w:val="20"/>
          <w:color w:val="auto"/>
        </w:rPr>
      </w:pPr>
    </w:p>
    <w:p>
      <w:pPr>
        <w:ind w:right="200" w:firstLine="405"/>
        <w:spacing w:after="0" w:line="312" w:lineRule="auto"/>
        <w:rPr>
          <w:sz w:val="20"/>
          <w:szCs w:val="20"/>
          <w:color w:val="auto"/>
        </w:rPr>
      </w:pPr>
      <w:r>
        <w:rPr>
          <w:rFonts w:ascii="Arial" w:cs="Arial" w:eastAsia="Arial" w:hAnsi="Arial"/>
          <w:sz w:val="16"/>
          <w:szCs w:val="16"/>
          <w:color w:val="auto"/>
        </w:rPr>
        <w:t>Any acquired business, technology, service or product could significantly under-perform relative to our expectations and may not achieve the benefits we expect from possible acquisitions.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147" w:lineRule="exact"/>
        <w:rPr>
          <w:sz w:val="20"/>
          <w:szCs w:val="20"/>
          <w:color w:val="auto"/>
        </w:rPr>
      </w:pPr>
    </w:p>
    <w:p>
      <w:pPr>
        <w:jc w:val="both"/>
        <w:ind w:firstLine="405"/>
        <w:spacing w:after="0" w:line="264"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181" w:lineRule="exact"/>
        <w:rPr>
          <w:sz w:val="20"/>
          <w:szCs w:val="20"/>
          <w:color w:val="auto"/>
        </w:rPr>
      </w:pPr>
    </w:p>
    <w:p>
      <w:pPr>
        <w:jc w:val="center"/>
        <w:ind w:right="20"/>
        <w:spacing w:after="0"/>
        <w:rPr>
          <w:sz w:val="20"/>
          <w:szCs w:val="20"/>
          <w:color w:val="auto"/>
        </w:rPr>
      </w:pPr>
      <w:r>
        <w:rPr>
          <w:rFonts w:ascii="Arial" w:cs="Arial" w:eastAsia="Arial" w:hAnsi="Arial"/>
          <w:sz w:val="17"/>
          <w:szCs w:val="17"/>
          <w:color w:val="auto"/>
        </w:rPr>
        <w:t>If we do enter into agreements with respect to acquisitions, divestitures, or other transactions, we may fail to complete them due to factors such as:</w:t>
      </w:r>
    </w:p>
    <w:p>
      <w:pPr>
        <w:spacing w:after="0" w:line="35" w:lineRule="exact"/>
        <w:rPr>
          <w:sz w:val="20"/>
          <w:szCs w:val="20"/>
          <w:color w:val="auto"/>
        </w:rPr>
      </w:pPr>
    </w:p>
    <w:p>
      <w:pPr>
        <w:ind w:left="820" w:hanging="420"/>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failure to obtain regulatory or other approvals;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disputes or litigation; or</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obtaining financing for the transaction.</w:t>
      </w:r>
    </w:p>
    <w:p>
      <w:pPr>
        <w:spacing w:after="0" w:line="211" w:lineRule="exact"/>
        <w:rPr>
          <w:sz w:val="20"/>
          <w:szCs w:val="20"/>
          <w:color w:val="auto"/>
        </w:rPr>
      </w:pPr>
    </w:p>
    <w:p>
      <w:pPr>
        <w:ind w:right="200" w:firstLine="405"/>
        <w:spacing w:after="0" w:line="286" w:lineRule="auto"/>
        <w:rPr>
          <w:sz w:val="20"/>
          <w:szCs w:val="20"/>
          <w:color w:val="auto"/>
        </w:rPr>
      </w:pPr>
      <w:r>
        <w:rPr>
          <w:rFonts w:ascii="Arial" w:cs="Arial" w:eastAsia="Arial" w:hAnsi="Arial"/>
          <w:sz w:val="17"/>
          <w:szCs w:val="17"/>
          <w:color w:val="auto"/>
        </w:rPr>
        <w:t>If we fail to complete a transaction, we may nonetheless have incurred significant expenses in connection with such transaction. Failure to complete a pending transaction may result in negative publicity and a negative perception of us in the investment community. For all these reasons, our pursuit of an acquisition, investment, divestiture, merger or joint venture could cause our actual results to differ materially from those anticipated.</w:t>
      </w:r>
    </w:p>
    <w:p>
      <w:pPr>
        <w:spacing w:after="0" w:line="200" w:lineRule="exact"/>
        <w:rPr>
          <w:sz w:val="20"/>
          <w:szCs w:val="20"/>
          <w:color w:val="auto"/>
        </w:rPr>
      </w:pPr>
    </w:p>
    <w:p>
      <w:pPr>
        <w:spacing w:after="0" w:line="31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130" w:right="259" w:bottom="1440" w:gutter="0" w:footer="0" w:header="0"/>
        </w:sectPr>
      </w:pPr>
    </w:p>
    <w:bookmarkStart w:id="37" w:name="page38"/>
    <w:bookmarkEnd w:id="3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4" w:lineRule="exact"/>
        <w:rPr>
          <w:sz w:val="20"/>
          <w:szCs w:val="20"/>
          <w:color w:val="auto"/>
        </w:rPr>
      </w:pPr>
    </w:p>
    <w:p>
      <w:pPr>
        <w:ind w:right="340"/>
        <w:spacing w:after="0" w:line="264" w:lineRule="auto"/>
        <w:rPr>
          <w:sz w:val="20"/>
          <w:szCs w:val="20"/>
          <w:color w:val="auto"/>
        </w:rPr>
      </w:pPr>
      <w:r>
        <w:rPr>
          <w:rFonts w:ascii="Arial" w:cs="Arial" w:eastAsia="Arial" w:hAnsi="Arial"/>
          <w:sz w:val="18"/>
          <w:szCs w:val="18"/>
          <w:b w:val="1"/>
          <w:bCs w:val="1"/>
          <w:i w:val="1"/>
          <w:iCs w:val="1"/>
          <w:color w:val="auto"/>
        </w:rPr>
        <w:t>Our acquisition of Cavium, and our proposed acquisitions of Aquantia and the Avera Semiconductor business of GLOBAL FOUNDRIES involve a number of risks, including, among others, associated with our use of a significant portion of our cash and our taking on significant indebtedness and other financial risks and integration risks.</w:t>
      </w:r>
    </w:p>
    <w:p>
      <w:pPr>
        <w:spacing w:after="0" w:line="181" w:lineRule="exact"/>
        <w:rPr>
          <w:sz w:val="20"/>
          <w:szCs w:val="20"/>
          <w:color w:val="auto"/>
        </w:rPr>
      </w:pPr>
    </w:p>
    <w:p>
      <w:pPr>
        <w:ind w:right="160" w:firstLine="405"/>
        <w:spacing w:after="0" w:line="302" w:lineRule="auto"/>
        <w:rPr>
          <w:sz w:val="20"/>
          <w:szCs w:val="20"/>
          <w:color w:val="auto"/>
        </w:rPr>
      </w:pPr>
      <w:r>
        <w:rPr>
          <w:rFonts w:ascii="Arial" w:cs="Arial" w:eastAsia="Arial" w:hAnsi="Arial"/>
          <w:sz w:val="16"/>
          <w:szCs w:val="16"/>
          <w:color w:val="auto"/>
        </w:rPr>
        <w:t>We used a significant portion of our cash and incurred substantial indebtedness in connection with the financing of our acquisition of Cavium (the “Cavium acquisition”), and will use additional cash in the acquisitions of Aquantia and the Avera Semiconductor business of GLOBALFOUNDRIES (the “Other Acquisitions”). Our use of cash in the Cavium acquisition and proposed use of cash in the Other Acquisitions would reduce our liquidity and may (i) limit our flexibility in responding to other business opportunities and (ii) increase our vulnerability to adverse economic and industry conditions.</w:t>
      </w:r>
    </w:p>
    <w:p>
      <w:pPr>
        <w:spacing w:after="0" w:line="154" w:lineRule="exact"/>
        <w:rPr>
          <w:sz w:val="20"/>
          <w:szCs w:val="20"/>
          <w:color w:val="auto"/>
        </w:rPr>
      </w:pPr>
    </w:p>
    <w:p>
      <w:pPr>
        <w:ind w:firstLine="405"/>
        <w:spacing w:after="0" w:line="253" w:lineRule="auto"/>
        <w:rPr>
          <w:sz w:val="20"/>
          <w:szCs w:val="20"/>
          <w:color w:val="auto"/>
        </w:rPr>
      </w:pPr>
      <w:r>
        <w:rPr>
          <w:rFonts w:ascii="Arial" w:cs="Arial" w:eastAsia="Arial" w:hAnsi="Arial"/>
          <w:sz w:val="18"/>
          <w:szCs w:val="18"/>
          <w:color w:val="auto"/>
        </w:rPr>
        <w:t>The benefits we expect to realize from the Other Acquisitions will depend, in part, on our ability to integrate the businesses successfully and efficiently. See also the Risk Factor entitled “</w:t>
      </w:r>
      <w:r>
        <w:rPr>
          <w:rFonts w:ascii="Arial" w:cs="Arial" w:eastAsia="Arial" w:hAnsi="Arial"/>
          <w:sz w:val="18"/>
          <w:szCs w:val="18"/>
          <w:i w:val="1"/>
          <w:iCs w:val="1"/>
          <w:color w:val="auto"/>
        </w:rPr>
        <w:t>Any potential future acquisitions, strategic investments, divestitures, mergers or joint ventures may subject us to significant</w:t>
      </w:r>
      <w:r>
        <w:rPr>
          <w:rFonts w:ascii="Arial" w:cs="Arial" w:eastAsia="Arial" w:hAnsi="Arial"/>
          <w:sz w:val="18"/>
          <w:szCs w:val="18"/>
          <w:color w:val="auto"/>
        </w:rPr>
        <w:t xml:space="preserve"> </w:t>
      </w:r>
      <w:r>
        <w:rPr>
          <w:rFonts w:ascii="Arial" w:cs="Arial" w:eastAsia="Arial" w:hAnsi="Arial"/>
          <w:sz w:val="18"/>
          <w:szCs w:val="18"/>
          <w:i w:val="1"/>
          <w:iCs w:val="1"/>
          <w:color w:val="auto"/>
        </w:rPr>
        <w:t>risks, any of which could harm our business</w:t>
      </w:r>
      <w:r>
        <w:rPr>
          <w:rFonts w:ascii="Arial" w:cs="Arial" w:eastAsia="Arial" w:hAnsi="Arial"/>
          <w:sz w:val="18"/>
          <w:szCs w:val="18"/>
          <w:color w:val="auto"/>
        </w:rPr>
        <w:t>.” If we are unable to successfully integrate the businesses of the Other Acquisitions with that of the Company, the</w:t>
      </w:r>
      <w:r>
        <w:rPr>
          <w:rFonts w:ascii="Arial" w:cs="Arial" w:eastAsia="Arial" w:hAnsi="Arial"/>
          <w:sz w:val="18"/>
          <w:szCs w:val="18"/>
          <w:i w:val="1"/>
          <w:iCs w:val="1"/>
          <w:color w:val="auto"/>
        </w:rPr>
        <w:t xml:space="preserve"> </w:t>
      </w:r>
      <w:r>
        <w:rPr>
          <w:rFonts w:ascii="Arial" w:cs="Arial" w:eastAsia="Arial" w:hAnsi="Arial"/>
          <w:sz w:val="18"/>
          <w:szCs w:val="18"/>
          <w:color w:val="auto"/>
        </w:rPr>
        <w:t>combined company’s business, results of operations, financial condition or cash flows could be harmed. The challenges in integrating the operations of the companies include, among others:</w:t>
      </w:r>
    </w:p>
    <w:p>
      <w:pPr>
        <w:spacing w:after="0" w:line="4" w:lineRule="exact"/>
        <w:rPr>
          <w:sz w:val="20"/>
          <w:szCs w:val="20"/>
          <w:color w:val="auto"/>
        </w:rPr>
      </w:pPr>
    </w:p>
    <w:p>
      <w:pPr>
        <w:ind w:left="880" w:hanging="413"/>
        <w:spacing w:after="0"/>
        <w:tabs>
          <w:tab w:leader="none" w:pos="880" w:val="left"/>
        </w:tabs>
        <w:numPr>
          <w:ilvl w:val="0"/>
          <w:numId w:val="13"/>
        </w:numPr>
        <w:rPr>
          <w:rFonts w:ascii="Arial" w:cs="Arial" w:eastAsia="Arial" w:hAnsi="Arial"/>
          <w:sz w:val="16"/>
          <w:szCs w:val="16"/>
          <w:color w:val="auto"/>
        </w:rPr>
      </w:pPr>
      <w:r>
        <w:rPr>
          <w:rFonts w:ascii="Arial" w:cs="Arial" w:eastAsia="Arial" w:hAnsi="Arial"/>
          <w:sz w:val="16"/>
          <w:szCs w:val="16"/>
          <w:color w:val="auto"/>
        </w:rPr>
        <w:t>difficulties in fully achieving anticipated cost savings, synergies, business opportunities and growth prospects from combining the businesses;</w:t>
      </w:r>
    </w:p>
    <w:p>
      <w:pPr>
        <w:spacing w:after="0" w:line="32" w:lineRule="exact"/>
        <w:rPr>
          <w:rFonts w:ascii="Arial" w:cs="Arial" w:eastAsia="Arial" w:hAnsi="Arial"/>
          <w:sz w:val="16"/>
          <w:szCs w:val="16"/>
          <w:color w:val="auto"/>
        </w:rPr>
      </w:pPr>
    </w:p>
    <w:p>
      <w:pPr>
        <w:ind w:left="880" w:hanging="413"/>
        <w:spacing w:after="0"/>
        <w:tabs>
          <w:tab w:leader="none" w:pos="8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difficulties entering new markets or manufacturing in new geographies where we have no or limited direct prior experience;</w:t>
      </w:r>
    </w:p>
    <w:p>
      <w:pPr>
        <w:spacing w:after="0" w:line="9" w:lineRule="exact"/>
        <w:rPr>
          <w:rFonts w:ascii="Arial" w:cs="Arial" w:eastAsia="Arial" w:hAnsi="Arial"/>
          <w:sz w:val="18"/>
          <w:szCs w:val="18"/>
          <w:color w:val="auto"/>
        </w:rPr>
      </w:pPr>
    </w:p>
    <w:p>
      <w:pPr>
        <w:ind w:left="880" w:hanging="413"/>
        <w:spacing w:after="0"/>
        <w:tabs>
          <w:tab w:leader="none" w:pos="8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difficulties in the integration of operations and systems;</w:t>
      </w:r>
    </w:p>
    <w:p>
      <w:pPr>
        <w:spacing w:after="0" w:line="9" w:lineRule="exact"/>
        <w:rPr>
          <w:rFonts w:ascii="Arial" w:cs="Arial" w:eastAsia="Arial" w:hAnsi="Arial"/>
          <w:sz w:val="18"/>
          <w:szCs w:val="18"/>
          <w:color w:val="auto"/>
        </w:rPr>
      </w:pPr>
    </w:p>
    <w:p>
      <w:pPr>
        <w:ind w:left="880" w:hanging="413"/>
        <w:spacing w:after="0"/>
        <w:tabs>
          <w:tab w:leader="none" w:pos="8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difficulties in the assimilation or retention of employees; and</w:t>
      </w:r>
    </w:p>
    <w:p>
      <w:pPr>
        <w:spacing w:after="0" w:line="9" w:lineRule="exact"/>
        <w:rPr>
          <w:rFonts w:ascii="Arial" w:cs="Arial" w:eastAsia="Arial" w:hAnsi="Arial"/>
          <w:sz w:val="18"/>
          <w:szCs w:val="18"/>
          <w:color w:val="auto"/>
        </w:rPr>
      </w:pPr>
    </w:p>
    <w:p>
      <w:pPr>
        <w:ind w:left="880" w:hanging="413"/>
        <w:spacing w:after="0"/>
        <w:tabs>
          <w:tab w:leader="none" w:pos="8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difficulties in managing the expanded operations of a significantly larger and more complex company.</w:t>
      </w:r>
    </w:p>
    <w:p>
      <w:pPr>
        <w:spacing w:after="0" w:line="211" w:lineRule="exact"/>
        <w:rPr>
          <w:sz w:val="20"/>
          <w:szCs w:val="20"/>
          <w:color w:val="auto"/>
        </w:rPr>
      </w:pPr>
    </w:p>
    <w:p>
      <w:pPr>
        <w:ind w:left="400"/>
        <w:spacing w:after="0"/>
        <w:rPr>
          <w:sz w:val="20"/>
          <w:szCs w:val="20"/>
          <w:color w:val="auto"/>
        </w:rPr>
      </w:pPr>
      <w:r>
        <w:rPr>
          <w:rFonts w:ascii="Arial" w:cs="Arial" w:eastAsia="Arial" w:hAnsi="Arial"/>
          <w:sz w:val="18"/>
          <w:szCs w:val="18"/>
          <w:color w:val="auto"/>
        </w:rPr>
        <w:t>Any of the above could harm the combined company and thus decrease the benefits we expect to receive from the acquisitions.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Our failure to compete effectively would harm our results of operations.</w:t>
      </w:r>
    </w:p>
    <w:p>
      <w:pPr>
        <w:spacing w:after="0" w:line="117" w:lineRule="exact"/>
        <w:rPr>
          <w:sz w:val="20"/>
          <w:szCs w:val="20"/>
          <w:color w:val="auto"/>
        </w:rPr>
      </w:pPr>
    </w:p>
    <w:p>
      <w:pPr>
        <w:ind w:right="100" w:firstLine="378"/>
        <w:spacing w:after="0" w:line="273" w:lineRule="auto"/>
        <w:rPr>
          <w:sz w:val="20"/>
          <w:szCs w:val="20"/>
          <w:color w:val="auto"/>
        </w:rPr>
      </w:pPr>
      <w:r>
        <w:rPr>
          <w:rFonts w:ascii="Arial" w:cs="Arial" w:eastAsia="Arial" w:hAnsi="Arial"/>
          <w:sz w:val="17"/>
          <w:szCs w:val="17"/>
          <w:color w:val="auto"/>
        </w:rPr>
        <w:t>The semiconductor industry, and specifically the storage, networking and infrastructure markets, is extremely competitive.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70" w:lineRule="exact"/>
        <w:rPr>
          <w:sz w:val="20"/>
          <w:szCs w:val="20"/>
          <w:color w:val="auto"/>
        </w:rPr>
      </w:pPr>
    </w:p>
    <w:p>
      <w:pPr>
        <w:ind w:right="20" w:firstLine="378"/>
        <w:spacing w:after="0" w:line="276" w:lineRule="auto"/>
        <w:rPr>
          <w:sz w:val="20"/>
          <w:szCs w:val="20"/>
          <w:color w:val="auto"/>
        </w:rPr>
      </w:pPr>
      <w:r>
        <w:rPr>
          <w:rFonts w:ascii="Arial" w:cs="Arial" w:eastAsia="Arial" w:hAnsi="Arial"/>
          <w:sz w:val="17"/>
          <w:szCs w:val="17"/>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 such as bundling multiple products and pricing. In addition, many of our competitors operate and maintain their own fabrication facilities and have longer operating histories, greater name recognition, larger customer bases, and greater sales, marketing and distribution resources than we do.</w:t>
      </w:r>
    </w:p>
    <w:p>
      <w:pPr>
        <w:spacing w:after="0" w:line="64" w:lineRule="exact"/>
        <w:rPr>
          <w:sz w:val="20"/>
          <w:szCs w:val="20"/>
          <w:color w:val="auto"/>
        </w:rPr>
      </w:pPr>
    </w:p>
    <w:p>
      <w:pPr>
        <w:ind w:right="40" w:firstLine="378"/>
        <w:spacing w:after="0" w:line="257" w:lineRule="auto"/>
        <w:rPr>
          <w:sz w:val="20"/>
          <w:szCs w:val="20"/>
          <w:color w:val="auto"/>
        </w:rPr>
      </w:pPr>
      <w:r>
        <w:rPr>
          <w:rFonts w:ascii="Arial" w:cs="Arial" w:eastAsia="Arial" w:hAnsi="Arial"/>
          <w:sz w:val="18"/>
          <w:szCs w:val="18"/>
          <w:color w:val="auto"/>
        </w:rPr>
        <w:t>In addition, the semiconductor industry has experienced increased consolidation over the past several years. For example, Microchip Technology acquired Microsemi in May 2018, Avago Technologies Limited (now Broadcom Limited (“Broadcom”)) acquired Broadcom Corporation in February 2016 and LSI Corporation in May 2014; Intel acquired Altera Corporation in December 2015; and NXP Semiconductors acquired Freescale Semiconductor, Ltd. in December 2015. Consolidation among our competitors could lead to a changing competitive landscape, capabilities and market share, which could put us at a competitive disadvantage and harm our results of operations.</w:t>
      </w:r>
    </w:p>
    <w:p>
      <w:pPr>
        <w:spacing w:after="0" w:line="2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130" w:right="239" w:bottom="1440" w:gutter="0" w:footer="0" w:header="0"/>
        </w:sectPr>
      </w:pPr>
    </w:p>
    <w:bookmarkStart w:id="38" w:name="page39"/>
    <w:bookmarkEnd w:id="3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60" w:lineRule="exact"/>
        <w:rPr>
          <w:sz w:val="20"/>
          <w:szCs w:val="20"/>
          <w:color w:val="auto"/>
        </w:rPr>
      </w:pPr>
    </w:p>
    <w:p>
      <w:pPr>
        <w:ind w:right="160"/>
        <w:spacing w:after="0" w:line="375" w:lineRule="auto"/>
        <w:rPr>
          <w:sz w:val="20"/>
          <w:szCs w:val="20"/>
          <w:color w:val="auto"/>
        </w:rPr>
      </w:pPr>
      <w:r>
        <w:rPr>
          <w:rFonts w:ascii="Arial" w:cs="Arial" w:eastAsia="Arial" w:hAnsi="Arial"/>
          <w:sz w:val="15"/>
          <w:szCs w:val="15"/>
          <w:b w:val="1"/>
          <w:bCs w:val="1"/>
          <w:i w:val="1"/>
          <w:i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1" w:lineRule="exact"/>
        <w:rPr>
          <w:sz w:val="20"/>
          <w:szCs w:val="20"/>
          <w:color w:val="auto"/>
        </w:rPr>
      </w:pPr>
    </w:p>
    <w:p>
      <w:pPr>
        <w:ind w:right="40" w:firstLine="405"/>
        <w:spacing w:after="0" w:line="290"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may be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166"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79"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129" w:lineRule="exact"/>
        <w:rPr>
          <w:sz w:val="20"/>
          <w:szCs w:val="20"/>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23" w:lineRule="exact"/>
        <w:rPr>
          <w:rFonts w:ascii="Arial" w:cs="Arial" w:eastAsia="Arial" w:hAnsi="Arial"/>
          <w:sz w:val="18"/>
          <w:szCs w:val="18"/>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9" w:lineRule="exact"/>
        <w:rPr>
          <w:rFonts w:ascii="Arial" w:cs="Arial" w:eastAsia="Arial" w:hAnsi="Arial"/>
          <w:sz w:val="18"/>
          <w:szCs w:val="18"/>
          <w:color w:val="auto"/>
        </w:rPr>
      </w:pPr>
    </w:p>
    <w:p>
      <w:pPr>
        <w:ind w:left="820" w:hanging="420"/>
        <w:spacing w:after="0" w:line="270" w:lineRule="auto"/>
        <w:tabs>
          <w:tab w:leader="none" w:pos="820" w:val="left"/>
        </w:tabs>
        <w:numPr>
          <w:ilvl w:val="0"/>
          <w:numId w:val="14"/>
        </w:numPr>
        <w:rPr>
          <w:rFonts w:ascii="Arial" w:cs="Arial" w:eastAsia="Arial" w:hAnsi="Arial"/>
          <w:sz w:val="17"/>
          <w:szCs w:val="17"/>
          <w:color w:val="auto"/>
        </w:rPr>
      </w:pPr>
      <w:r>
        <w:rPr>
          <w:rFonts w:ascii="Arial" w:cs="Arial" w:eastAsia="Arial" w:hAnsi="Arial"/>
          <w:sz w:val="17"/>
          <w:szCs w:val="17"/>
          <w:color w:val="auto"/>
        </w:rPr>
        <w:t>our customers may experience changed market conditions or product development issues. 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179" w:lineRule="exact"/>
        <w:rPr>
          <w:sz w:val="20"/>
          <w:szCs w:val="20"/>
          <w:color w:val="auto"/>
        </w:rPr>
      </w:pPr>
    </w:p>
    <w:p>
      <w:pPr>
        <w:ind w:right="80" w:firstLine="405"/>
        <w:spacing w:after="0" w:line="264"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73" w:lineRule="exact"/>
        <w:rPr>
          <w:sz w:val="20"/>
          <w:szCs w:val="20"/>
          <w:color w:val="auto"/>
        </w:rPr>
      </w:pPr>
    </w:p>
    <w:p>
      <w:pPr>
        <w:ind w:right="480"/>
        <w:spacing w:after="0" w:line="277" w:lineRule="auto"/>
        <w:rPr>
          <w:sz w:val="20"/>
          <w:szCs w:val="20"/>
          <w:color w:val="auto"/>
        </w:rPr>
      </w:pPr>
      <w:r>
        <w:rPr>
          <w:rFonts w:ascii="Arial" w:cs="Arial" w:eastAsia="Arial" w:hAnsi="Arial"/>
          <w:sz w:val="18"/>
          <w:szCs w:val="18"/>
          <w:b w:val="1"/>
          <w:bCs w:val="1"/>
          <w:i w:val="1"/>
          <w:iCs w:val="1"/>
          <w:color w:val="auto"/>
        </w:rPr>
        <w:t>A significant portion of our revenue comes from the storage industry, which is highly cyclical, experiences rapid technological change, is subject to industry consolidation and is facing increased competition from alternative technologies.</w:t>
      </w:r>
    </w:p>
    <w:p>
      <w:pPr>
        <w:spacing w:after="0" w:line="170" w:lineRule="exact"/>
        <w:rPr>
          <w:sz w:val="20"/>
          <w:szCs w:val="20"/>
          <w:color w:val="auto"/>
        </w:rPr>
      </w:pPr>
    </w:p>
    <w:p>
      <w:pPr>
        <w:ind w:right="180" w:firstLine="405"/>
        <w:spacing w:after="0" w:line="277" w:lineRule="auto"/>
        <w:rPr>
          <w:sz w:val="20"/>
          <w:szCs w:val="20"/>
          <w:color w:val="auto"/>
        </w:rPr>
      </w:pPr>
      <w:r>
        <w:rPr>
          <w:rFonts w:ascii="Arial" w:cs="Arial" w:eastAsia="Arial" w:hAnsi="Arial"/>
          <w:sz w:val="18"/>
          <w:szCs w:val="18"/>
          <w:color w:val="auto"/>
        </w:rPr>
        <w:t>The HDD and SSD storage industry is intensely competitive and technology inflections are happening rapidly. As a result, the average selling price of each of our products usually declines as individual products mature and competitors enter the market.</w:t>
      </w:r>
    </w:p>
    <w:p>
      <w:pPr>
        <w:spacing w:after="0" w:line="170" w:lineRule="exact"/>
        <w:rPr>
          <w:sz w:val="20"/>
          <w:szCs w:val="20"/>
          <w:color w:val="auto"/>
        </w:rPr>
      </w:pPr>
    </w:p>
    <w:p>
      <w:pPr>
        <w:ind w:right="440" w:firstLine="405"/>
        <w:spacing w:after="0" w:line="277" w:lineRule="auto"/>
        <w:rPr>
          <w:sz w:val="20"/>
          <w:szCs w:val="20"/>
          <w:color w:val="auto"/>
        </w:rPr>
      </w:pPr>
      <w:r>
        <w:rPr>
          <w:rFonts w:ascii="Arial" w:cs="Arial" w:eastAsia="Arial" w:hAnsi="Arial"/>
          <w:sz w:val="18"/>
          <w:szCs w:val="18"/>
          <w:color w:val="auto"/>
        </w:rPr>
        <w:t>This industry has historically been cyclical, with periods of increased demand and rapid growth followed by periods of oversupply and subsequent contraction. These cycles may affect us because some of our largest customers participate in this industry.</w:t>
      </w:r>
    </w:p>
    <w:p>
      <w:pPr>
        <w:spacing w:after="0" w:line="170" w:lineRule="exact"/>
        <w:rPr>
          <w:sz w:val="20"/>
          <w:szCs w:val="20"/>
          <w:color w:val="auto"/>
        </w:rPr>
      </w:pPr>
    </w:p>
    <w:p>
      <w:pPr>
        <w:ind w:right="140" w:firstLine="405"/>
        <w:spacing w:after="0" w:line="264" w:lineRule="auto"/>
        <w:rPr>
          <w:sz w:val="20"/>
          <w:szCs w:val="20"/>
          <w:color w:val="auto"/>
        </w:rPr>
      </w:pPr>
      <w:r>
        <w:rPr>
          <w:rFonts w:ascii="Arial" w:cs="Arial" w:eastAsia="Arial" w:hAnsi="Arial"/>
          <w:sz w:val="18"/>
          <w:szCs w:val="18"/>
          <w:color w:val="auto"/>
        </w:rPr>
        <w:t>Manufacturers tend to order more components than they may need during growth periods, and sharply reduce orders for components during periods of contraction. Rapid technological changes in the industry often result in shifts in market share among the industry’s participants. If the HDD and SSD manufacturers using our products do not retain or increase their market share, our sales may decrease.</w:t>
      </w:r>
    </w:p>
    <w:p>
      <w:pPr>
        <w:spacing w:after="0" w:line="200" w:lineRule="exact"/>
        <w:rPr>
          <w:sz w:val="20"/>
          <w:szCs w:val="20"/>
          <w:color w:val="auto"/>
        </w:rPr>
      </w:pPr>
    </w:p>
    <w:p>
      <w:pPr>
        <w:spacing w:after="0" w:line="2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130" w:right="259" w:bottom="1440" w:gutter="0" w:footer="0" w:header="0"/>
        </w:sectPr>
      </w:pPr>
    </w:p>
    <w:bookmarkStart w:id="39" w:name="page40"/>
    <w:bookmarkEnd w:id="3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4"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In addition, the storage industry has experienced significant consolidation. Consolidation among our customers will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187" w:lineRule="exact"/>
        <w:rPr>
          <w:sz w:val="20"/>
          <w:szCs w:val="20"/>
          <w:color w:val="auto"/>
        </w:rPr>
      </w:pPr>
    </w:p>
    <w:p>
      <w:pPr>
        <w:ind w:right="140" w:firstLine="405"/>
        <w:spacing w:after="0" w:line="259" w:lineRule="auto"/>
        <w:rPr>
          <w:sz w:val="20"/>
          <w:szCs w:val="20"/>
          <w:color w:val="auto"/>
        </w:rPr>
      </w:pPr>
      <w:r>
        <w:rPr>
          <w:rFonts w:ascii="Arial" w:cs="Arial" w:eastAsia="Arial" w:hAnsi="Arial"/>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are a source of competition to manufacturers of HDDs. Although we offer SSD controllers, leveraging our technology in hard drives, we cannot ensure that our overall business will not be adversely affected if demand for traditional HDDs decreases.</w:t>
      </w:r>
    </w:p>
    <w:p>
      <w:pPr>
        <w:spacing w:after="0" w:line="187" w:lineRule="exact"/>
        <w:rPr>
          <w:sz w:val="20"/>
          <w:szCs w:val="20"/>
          <w:color w:val="auto"/>
        </w:rPr>
      </w:pPr>
    </w:p>
    <w:p>
      <w:pPr>
        <w:ind w:right="60" w:firstLine="405"/>
        <w:spacing w:after="0" w:line="286" w:lineRule="auto"/>
        <w:rPr>
          <w:sz w:val="20"/>
          <w:szCs w:val="20"/>
          <w:color w:val="auto"/>
        </w:rPr>
      </w:pPr>
      <w:r>
        <w:rPr>
          <w:rFonts w:ascii="Arial" w:cs="Arial" w:eastAsia="Arial" w:hAnsi="Arial"/>
          <w:sz w:val="17"/>
          <w:szCs w:val="17"/>
          <w:color w:val="auto"/>
        </w:rPr>
        <w:t>We depend on a few customers for our SSD controllers and as such, the loss of any SSD controller customer or a significant reduction in sales we make to them may harm our financial condition and results of operations. SSD customers have, and may in the future develop their own controllers, which could pose a challenge to our market share in the SSD space and adversely affect our revenues in the storage business.</w:t>
      </w:r>
    </w:p>
    <w:p>
      <w:pPr>
        <w:spacing w:after="0" w:line="57"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62" w:lineRule="exact"/>
        <w:rPr>
          <w:sz w:val="20"/>
          <w:szCs w:val="20"/>
          <w:color w:val="auto"/>
        </w:rPr>
      </w:pPr>
    </w:p>
    <w:p>
      <w:pPr>
        <w:ind w:firstLine="378"/>
        <w:spacing w:after="0" w:line="291" w:lineRule="auto"/>
        <w:rPr>
          <w:sz w:val="20"/>
          <w:szCs w:val="20"/>
          <w:color w:val="auto"/>
        </w:rPr>
      </w:pPr>
      <w:r>
        <w:rPr>
          <w:rFonts w:ascii="Arial" w:cs="Arial" w:eastAsia="Arial" w:hAnsi="Arial"/>
          <w:sz w:val="16"/>
          <w:szCs w:val="16"/>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for our products addressing the 5G market,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Arial" w:cs="Arial" w:eastAsia="Arial" w:hAnsi="Arial"/>
          <w:sz w:val="16"/>
          <w:szCs w:val="16"/>
          <w:i w:val="1"/>
          <w:iCs w:val="1"/>
          <w:color w:val="auto"/>
        </w:rPr>
        <w:t>We may be unable to protect our intellectual property, which would negatively affect our ability to compete.”</w:t>
      </w:r>
    </w:p>
    <w:p>
      <w:pPr>
        <w:spacing w:after="0" w:line="59" w:lineRule="exact"/>
        <w:rPr>
          <w:sz w:val="20"/>
          <w:szCs w:val="20"/>
          <w:color w:val="auto"/>
        </w:rPr>
      </w:pPr>
    </w:p>
    <w:p>
      <w:pPr>
        <w:ind w:firstLine="378"/>
        <w:spacing w:after="0" w:line="257" w:lineRule="auto"/>
        <w:rPr>
          <w:sz w:val="20"/>
          <w:szCs w:val="20"/>
          <w:color w:val="auto"/>
        </w:rPr>
      </w:pPr>
      <w:r>
        <w:rPr>
          <w:rFonts w:ascii="Arial" w:cs="Arial" w:eastAsia="Arial" w:hAnsi="Arial"/>
          <w:sz w:val="18"/>
          <w:szCs w:val="18"/>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80"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Unfavorable or uncertain conditions in the 5G infrastructure market may cause fluctuations in our rate of revenue growth or financial results.</w:t>
      </w:r>
    </w:p>
    <w:p>
      <w:pPr>
        <w:spacing w:after="0" w:line="129"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Markets for 5G infrastructure may not develop in the manner or in the time periods we anticipate. If domestic and global economic conditions worsen, overall spending on 5G infrastructure may be reduced, which would adversely impact demand for our products in these markets. In addition, unfavorable developments with evolving laws and regulations worldwide related to 5G may limit global adoption, impede our strategy, and negatively impact our long-term expectations in this area. Even if the 5G infrastructure market develops in the manner or in the time periods we anticipate, if we do not have timely, competitively priced, market-accepted products available to meet our customers’ planned roll-out of 5G wireless communications systems, we may miss a significant opportunity and our business, financial condition, results of operations and cash flows could be materially and adversely affected. See also, “</w:t>
      </w:r>
      <w:r>
        <w:rPr>
          <w:rFonts w:ascii="Arial" w:cs="Arial" w:eastAsia="Arial" w:hAnsi="Arial"/>
          <w:sz w:val="17"/>
          <w:szCs w:val="17"/>
          <w:i w:val="1"/>
          <w:iCs w:val="1"/>
          <w:color w:val="auto"/>
        </w:rPr>
        <w:t>Our</w:t>
      </w:r>
      <w:r>
        <w:rPr>
          <w:rFonts w:ascii="Arial" w:cs="Arial" w:eastAsia="Arial" w:hAnsi="Arial"/>
          <w:sz w:val="17"/>
          <w:szCs w:val="17"/>
          <w:color w:val="auto"/>
        </w:rPr>
        <w:t xml:space="preserve"> </w:t>
      </w:r>
      <w:r>
        <w:rPr>
          <w:rFonts w:ascii="Arial" w:cs="Arial" w:eastAsia="Arial" w:hAnsi="Arial"/>
          <w:sz w:val="17"/>
          <w:szCs w:val="17"/>
          <w:i w:val="1"/>
          <w:iCs w:val="1"/>
          <w:color w:val="auto"/>
        </w:rPr>
        <w:t>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 for additional risks related to export restrictions that may impact a customer in the 5G infrastructure market.</w:t>
      </w:r>
    </w:p>
    <w:p>
      <w:pPr>
        <w:spacing w:after="0" w:line="70"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b w:val="1"/>
          <w:bCs w:val="1"/>
          <w:i w:val="1"/>
          <w:iCs w:val="1"/>
          <w:color w:val="auto"/>
        </w:rPr>
        <w:t>Our indebtedness could adversely affect our financial condition and our ability to raise additional capital to fund our operations and limit our ability to react to changes in the economy or our industry.</w:t>
      </w:r>
    </w:p>
    <w:p>
      <w:pPr>
        <w:spacing w:after="0" w:line="62" w:lineRule="exact"/>
        <w:rPr>
          <w:sz w:val="20"/>
          <w:szCs w:val="20"/>
          <w:color w:val="auto"/>
        </w:rPr>
      </w:pPr>
    </w:p>
    <w:p>
      <w:pPr>
        <w:ind w:firstLine="405"/>
        <w:spacing w:after="0" w:line="264" w:lineRule="auto"/>
        <w:rPr>
          <w:sz w:val="20"/>
          <w:szCs w:val="20"/>
          <w:color w:val="auto"/>
        </w:rPr>
      </w:pPr>
      <w:r>
        <w:rPr>
          <w:rFonts w:ascii="Arial" w:cs="Arial" w:eastAsia="Arial" w:hAnsi="Arial"/>
          <w:sz w:val="18"/>
          <w:szCs w:val="18"/>
          <w:color w:val="auto"/>
        </w:rPr>
        <w:t>On July 6, 2018, in connection with our acquisition of Cavium, we incurred substantial indebtedness pursuant to a Credit Agreement. The Credit Agreement provides for a $900.0 million Term Loan. The Term Loan will mature on July 6, 2021. As of May 4, 2019, the outstanding principal balance of the Term Loan amounted to $700.0 million.</w:t>
      </w:r>
    </w:p>
    <w:p>
      <w:pPr>
        <w:spacing w:after="0" w:line="200" w:lineRule="exact"/>
        <w:rPr>
          <w:sz w:val="20"/>
          <w:szCs w:val="20"/>
          <w:color w:val="auto"/>
        </w:rPr>
      </w:pPr>
    </w:p>
    <w:p>
      <w:pPr>
        <w:spacing w:after="0" w:line="2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130" w:right="259" w:bottom="1440" w:gutter="0" w:footer="0" w:header="0"/>
        </w:sectPr>
      </w:pPr>
    </w:p>
    <w:bookmarkStart w:id="40" w:name="page41"/>
    <w:bookmarkEnd w:id="4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4" w:lineRule="exact"/>
        <w:rPr>
          <w:sz w:val="20"/>
          <w:szCs w:val="20"/>
          <w:color w:val="auto"/>
        </w:rPr>
      </w:pPr>
    </w:p>
    <w:p>
      <w:pPr>
        <w:ind w:right="200" w:firstLine="405"/>
        <w:spacing w:after="0" w:line="257" w:lineRule="auto"/>
        <w:rPr>
          <w:sz w:val="20"/>
          <w:szCs w:val="20"/>
          <w:color w:val="auto"/>
        </w:rPr>
      </w:pPr>
      <w:r>
        <w:rPr>
          <w:rFonts w:ascii="Arial" w:cs="Arial" w:eastAsia="Arial" w:hAnsi="Arial"/>
          <w:sz w:val="18"/>
          <w:szCs w:val="18"/>
          <w:color w:val="auto"/>
        </w:rPr>
        <w:t>In addition to the Term Loan under the Credit Agreement, on June 22, 2018, we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 We are obligated to pay interest on the Senior Notes on June 22 and December 22 of each year, beginning on December 22, 2018. The 2023 Notes will mature on June 22, 2023 and the 2028 Notes will mature on June 22, 2028.</w:t>
      </w:r>
    </w:p>
    <w:p>
      <w:pPr>
        <w:spacing w:after="0" w:line="80" w:lineRule="exact"/>
        <w:rPr>
          <w:sz w:val="20"/>
          <w:szCs w:val="20"/>
          <w:color w:val="auto"/>
        </w:rPr>
      </w:pPr>
    </w:p>
    <w:p>
      <w:pPr>
        <w:ind w:left="42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23" w:lineRule="exact"/>
        <w:rPr>
          <w:sz w:val="20"/>
          <w:szCs w:val="20"/>
          <w:color w:val="auto"/>
        </w:rPr>
      </w:pPr>
    </w:p>
    <w:p>
      <w:pPr>
        <w:ind w:left="820" w:hanging="326"/>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increasing our vulnerability to adverse general economic and industry conditions;</w:t>
      </w:r>
    </w:p>
    <w:p>
      <w:pPr>
        <w:spacing w:after="0" w:line="9" w:lineRule="exact"/>
        <w:rPr>
          <w:rFonts w:ascii="Arial" w:cs="Arial" w:eastAsia="Arial" w:hAnsi="Arial"/>
          <w:sz w:val="18"/>
          <w:szCs w:val="18"/>
          <w:color w:val="auto"/>
        </w:rPr>
      </w:pPr>
    </w:p>
    <w:p>
      <w:pPr>
        <w:ind w:left="820" w:hanging="326"/>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requiring us to dedicate a substantial portion of our cash flow from operations to payments on our indebtedness,</w:t>
      </w:r>
    </w:p>
    <w:p>
      <w:pPr>
        <w:spacing w:after="0" w:line="9" w:lineRule="exact"/>
        <w:rPr>
          <w:rFonts w:ascii="Arial" w:cs="Arial" w:eastAsia="Arial" w:hAnsi="Arial"/>
          <w:sz w:val="18"/>
          <w:szCs w:val="18"/>
          <w:color w:val="auto"/>
        </w:rPr>
      </w:pPr>
    </w:p>
    <w:p>
      <w:pPr>
        <w:ind w:left="820" w:right="20"/>
        <w:spacing w:after="0" w:line="250" w:lineRule="auto"/>
        <w:rPr>
          <w:rFonts w:ascii="Arial" w:cs="Arial" w:eastAsia="Arial" w:hAnsi="Arial"/>
          <w:sz w:val="18"/>
          <w:szCs w:val="18"/>
          <w:color w:val="auto"/>
        </w:rPr>
      </w:pPr>
      <w:r>
        <w:rPr>
          <w:rFonts w:ascii="Arial" w:cs="Arial" w:eastAsia="Arial" w:hAnsi="Arial"/>
          <w:sz w:val="18"/>
          <w:szCs w:val="18"/>
          <w:color w:val="auto"/>
        </w:rPr>
        <w:t>thereby reducing the availability of our cash flow to fund working capital, capital expenditures, research and development efforts, execution of our business strategy, acquisitions and other general corporate purposes;</w:t>
      </w:r>
    </w:p>
    <w:p>
      <w:pPr>
        <w:ind w:left="820" w:hanging="326"/>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9" w:lineRule="exact"/>
        <w:rPr>
          <w:rFonts w:ascii="Arial" w:cs="Arial" w:eastAsia="Arial" w:hAnsi="Arial"/>
          <w:sz w:val="18"/>
          <w:szCs w:val="18"/>
          <w:color w:val="auto"/>
        </w:rPr>
      </w:pPr>
    </w:p>
    <w:p>
      <w:pPr>
        <w:ind w:left="820" w:hanging="326"/>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placing us at a competitive disadvantage compared to our competitors with less indebtedness;</w:t>
      </w:r>
    </w:p>
    <w:p>
      <w:pPr>
        <w:spacing w:after="0" w:line="9" w:lineRule="exact"/>
        <w:rPr>
          <w:rFonts w:ascii="Arial" w:cs="Arial" w:eastAsia="Arial" w:hAnsi="Arial"/>
          <w:sz w:val="18"/>
          <w:szCs w:val="18"/>
          <w:color w:val="auto"/>
        </w:rPr>
      </w:pPr>
    </w:p>
    <w:p>
      <w:pPr>
        <w:ind w:left="820" w:hanging="326"/>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exposing us to interest rate risk to the extent of our variable rate indebtedness; and</w:t>
      </w:r>
    </w:p>
    <w:p>
      <w:pPr>
        <w:spacing w:after="0" w:line="9" w:lineRule="exact"/>
        <w:rPr>
          <w:rFonts w:ascii="Arial" w:cs="Arial" w:eastAsia="Arial" w:hAnsi="Arial"/>
          <w:sz w:val="18"/>
          <w:szCs w:val="18"/>
          <w:color w:val="auto"/>
        </w:rPr>
      </w:pPr>
    </w:p>
    <w:p>
      <w:pPr>
        <w:ind w:left="820" w:right="440" w:hanging="326"/>
        <w:spacing w:after="0" w:line="261" w:lineRule="auto"/>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76" w:lineRule="exact"/>
        <w:rPr>
          <w:sz w:val="20"/>
          <w:szCs w:val="20"/>
          <w:color w:val="auto"/>
        </w:rPr>
      </w:pPr>
    </w:p>
    <w:p>
      <w:pPr>
        <w:jc w:val="both"/>
        <w:ind w:right="180" w:firstLine="405"/>
        <w:spacing w:after="0" w:line="312" w:lineRule="auto"/>
        <w:rPr>
          <w:sz w:val="20"/>
          <w:szCs w:val="20"/>
          <w:color w:val="auto"/>
        </w:rPr>
      </w:pPr>
      <w:r>
        <w:rPr>
          <w:rFonts w:ascii="Arial" w:cs="Arial" w:eastAsia="Arial" w:hAnsi="Arial"/>
          <w:sz w:val="16"/>
          <w:szCs w:val="16"/>
          <w:color w:val="auto"/>
        </w:rPr>
        <w:t>Although the Credit Agreement contains restriction on the incurrence of additional indebtedness and the indenture under which the Senior Notes were issued contains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39"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The Credit Agreement and the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Adverse changes to our debt ratings could negatively affect our ability to raise additional capital.</w:t>
      </w:r>
    </w:p>
    <w:p>
      <w:pPr>
        <w:spacing w:after="0" w:line="117"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Term Loan will vary based on the applicable public ratings assigned to the collateralized, long-term indebtedness for borrowed money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 Credit Agreement and the indenture under which the Senior Notes were issued impose restrictions on our business.</w:t>
      </w:r>
    </w:p>
    <w:p>
      <w:pPr>
        <w:spacing w:after="0" w:line="117" w:lineRule="exact"/>
        <w:rPr>
          <w:sz w:val="20"/>
          <w:szCs w:val="20"/>
          <w:color w:val="auto"/>
        </w:rPr>
      </w:pPr>
    </w:p>
    <w:p>
      <w:pPr>
        <w:ind w:right="120" w:firstLine="405"/>
        <w:spacing w:after="0" w:line="273" w:lineRule="auto"/>
        <w:rPr>
          <w:sz w:val="20"/>
          <w:szCs w:val="20"/>
          <w:color w:val="auto"/>
        </w:rPr>
      </w:pPr>
      <w:r>
        <w:rPr>
          <w:rFonts w:ascii="Arial" w:cs="Arial" w:eastAsia="Arial" w:hAnsi="Arial"/>
          <w:sz w:val="17"/>
          <w:szCs w:val="17"/>
          <w:color w:val="auto"/>
        </w:rPr>
        <w:t>The Credit Agreement and the indenture for the Senior Notes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 and the indenture for the Senior Notes. Our ability to meet the liquidity covenant set forth in the Credit Agreement may be affected by events beyond our control.</w:t>
      </w:r>
    </w:p>
    <w:p>
      <w:pPr>
        <w:spacing w:after="0" w:line="70" w:lineRule="exact"/>
        <w:rPr>
          <w:sz w:val="20"/>
          <w:szCs w:val="20"/>
          <w:color w:val="auto"/>
        </w:rPr>
      </w:pPr>
    </w:p>
    <w:p>
      <w:pPr>
        <w:jc w:val="both"/>
        <w:ind w:right="80" w:firstLine="405"/>
        <w:spacing w:after="0" w:line="264"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 or to the Senior Notes if for any reason we are unable to meet these requirements, or whether we will be able to refinance our indebtedness on terms acceptable to us, or at all.</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130" w:right="259" w:bottom="1440" w:gutter="0" w:footer="0" w:header="0"/>
        </w:sectPr>
      </w:pPr>
    </w:p>
    <w:bookmarkStart w:id="41" w:name="page42"/>
    <w:bookmarkEnd w:id="4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generate the cash flow to service our debt obligations.</w:t>
      </w:r>
    </w:p>
    <w:p>
      <w:pPr>
        <w:spacing w:after="0" w:line="117" w:lineRule="exact"/>
        <w:rPr>
          <w:sz w:val="20"/>
          <w:szCs w:val="20"/>
          <w:color w:val="auto"/>
        </w:rPr>
      </w:pPr>
    </w:p>
    <w:p>
      <w:pPr>
        <w:ind w:right="20" w:firstLine="405"/>
        <w:spacing w:after="0" w:line="270" w:lineRule="auto"/>
        <w:rPr>
          <w:sz w:val="20"/>
          <w:szCs w:val="20"/>
          <w:color w:val="auto"/>
        </w:rPr>
      </w:pPr>
      <w:r>
        <w:rPr>
          <w:rFonts w:ascii="Arial" w:cs="Arial" w:eastAsia="Arial" w:hAnsi="Arial"/>
          <w:sz w:val="17"/>
          <w:szCs w:val="17"/>
          <w:color w:val="auto"/>
        </w:rPr>
        <w:t>We may not be able to generate sufficient cash flow to enable us to service our indebtedness, including the Senior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Senior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under certain circumstances, be required to repurchase the Senior Notes at the option of the holder.</w:t>
      </w:r>
    </w:p>
    <w:p>
      <w:pPr>
        <w:spacing w:after="0" w:line="117" w:lineRule="exact"/>
        <w:rPr>
          <w:sz w:val="20"/>
          <w:szCs w:val="20"/>
          <w:color w:val="auto"/>
        </w:rPr>
      </w:pPr>
    </w:p>
    <w:p>
      <w:pPr>
        <w:ind w:right="20" w:firstLine="405"/>
        <w:spacing w:after="0" w:line="255" w:lineRule="auto"/>
        <w:rPr>
          <w:sz w:val="20"/>
          <w:szCs w:val="20"/>
          <w:color w:val="auto"/>
        </w:rPr>
      </w:pPr>
      <w:r>
        <w:rPr>
          <w:rFonts w:ascii="Arial" w:cs="Arial" w:eastAsia="Arial" w:hAnsi="Arial"/>
          <w:sz w:val="18"/>
          <w:szCs w:val="18"/>
          <w:color w:val="auto"/>
        </w:rPr>
        <w:t>We will be required to repurchase the Senior Notes at the option of each holder upon the occurrence of a change of control repurchase event as defined in the indenture for the Senior Notes. However, we may not have sufficient funds to repurchase the notes in cash at the time of any change of control repurchase event. Our failure to repurchase the Senior Notes upon a change of control repurchase event would be an event of default under the indenture for the Senior Notes and could cause a cross-default or acceleration under certain future agreements governing our other indebtedness. The repayment obligations under the Senior Notes may have the effect of discouraging, delaying or preventing a takeover of our company. If we were required to pay the Senior Notes prior to their scheduled maturity, it could have a significant negative impact on our cash and liquidity and could impact our ability to invest financial resources in other strategic initiatives.</w:t>
      </w:r>
    </w:p>
    <w:p>
      <w:pPr>
        <w:spacing w:after="0" w:line="81"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62" w:lineRule="exact"/>
        <w:rPr>
          <w:sz w:val="20"/>
          <w:szCs w:val="20"/>
          <w:color w:val="auto"/>
        </w:rPr>
      </w:pPr>
    </w:p>
    <w:p>
      <w:pPr>
        <w:ind w:right="60" w:firstLine="405"/>
        <w:spacing w:after="0" w:line="302"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46"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74" w:lineRule="exact"/>
        <w:rPr>
          <w:sz w:val="20"/>
          <w:szCs w:val="20"/>
          <w:color w:val="auto"/>
        </w:rPr>
      </w:pPr>
    </w:p>
    <w:p>
      <w:pPr>
        <w:ind w:right="400" w:firstLine="405"/>
        <w:spacing w:after="0" w:line="308" w:lineRule="auto"/>
        <w:rPr>
          <w:sz w:val="20"/>
          <w:szCs w:val="20"/>
          <w:color w:val="auto"/>
        </w:rPr>
      </w:pPr>
      <w:r>
        <w:rPr>
          <w:rFonts w:ascii="Arial" w:cs="Arial" w:eastAsia="Arial" w:hAnsi="Arial"/>
          <w:sz w:val="17"/>
          <w:szCs w:val="17"/>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38"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73" w:lineRule="exact"/>
        <w:rPr>
          <w:sz w:val="20"/>
          <w:szCs w:val="20"/>
          <w:color w:val="auto"/>
        </w:rPr>
      </w:pPr>
    </w:p>
    <w:p>
      <w:pPr>
        <w:jc w:val="both"/>
        <w:ind w:right="240" w:firstLine="378"/>
        <w:spacing w:after="0" w:line="264"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20"/>
          </w:cols>
          <w:pgMar w:left="240" w:top="130" w:right="239" w:bottom="1440" w:gutter="0" w:footer="0" w:header="0"/>
        </w:sectPr>
      </w:pPr>
    </w:p>
    <w:bookmarkStart w:id="42" w:name="page43"/>
    <w:bookmarkEnd w:id="4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Regional Concentration</w:t>
      </w:r>
    </w:p>
    <w:p>
      <w:pPr>
        <w:spacing w:after="0" w:line="117" w:lineRule="exact"/>
        <w:rPr>
          <w:sz w:val="20"/>
          <w:szCs w:val="20"/>
          <w:color w:val="auto"/>
        </w:rPr>
      </w:pPr>
    </w:p>
    <w:p>
      <w:pPr>
        <w:ind w:right="180" w:firstLine="378"/>
        <w:spacing w:after="0" w:line="290"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Germany, South Korea, Singapore and the United States. In addition, substantially all of our third-party assembly and testing facilities are located in China, Malaysia,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58"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No Guarantee of Capacity or Supply</w:t>
      </w:r>
    </w:p>
    <w:p>
      <w:pPr>
        <w:spacing w:after="0" w:line="117" w:lineRule="exact"/>
        <w:rPr>
          <w:sz w:val="20"/>
          <w:szCs w:val="20"/>
          <w:color w:val="auto"/>
        </w:rPr>
      </w:pPr>
    </w:p>
    <w:p>
      <w:pPr>
        <w:ind w:firstLine="378"/>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 experience difficulties in transitioning to smaller geometry process technologies or in achieving higher levels of design integration, which may</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result in reduced manufacturing yields, delays in product deliveries and increased expenses.” </w:t>
      </w:r>
      <w:r>
        <w:rPr>
          <w:rFonts w:ascii="Arial" w:cs="Arial" w:eastAsia="Arial" w:hAnsi="Arial"/>
          <w:sz w:val="16"/>
          <w:szCs w:val="16"/>
          <w:color w:val="auto"/>
        </w:rPr>
        <w:t>Moreover, if any of our third-party foundry suppliers are unable</w:t>
      </w:r>
      <w:r>
        <w:rPr>
          <w:rFonts w:ascii="Arial" w:cs="Arial" w:eastAsia="Arial" w:hAnsi="Arial"/>
          <w:sz w:val="16"/>
          <w:szCs w:val="16"/>
          <w:i w:val="1"/>
          <w:iCs w:val="1"/>
          <w:color w:val="auto"/>
        </w:rPr>
        <w:t xml:space="preserve"> </w:t>
      </w:r>
      <w:r>
        <w:rPr>
          <w:rFonts w:ascii="Arial" w:cs="Arial" w:eastAsia="Arial" w:hAnsi="Arial"/>
          <w:sz w:val="16"/>
          <w:szCs w:val="16"/>
          <w:color w:val="auto"/>
        </w:rPr>
        <w:t>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67" w:lineRule="exact"/>
        <w:rPr>
          <w:sz w:val="20"/>
          <w:szCs w:val="20"/>
          <w:color w:val="auto"/>
        </w:rPr>
      </w:pPr>
    </w:p>
    <w:p>
      <w:pPr>
        <w:ind w:right="80" w:firstLine="378"/>
        <w:spacing w:after="0" w:line="257" w:lineRule="auto"/>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w:t>
      </w:r>
    </w:p>
    <w:p>
      <w:pPr>
        <w:spacing w:after="0" w:line="80" w:lineRule="exact"/>
        <w:rPr>
          <w:sz w:val="20"/>
          <w:szCs w:val="20"/>
          <w:color w:val="auto"/>
        </w:rPr>
      </w:pPr>
    </w:p>
    <w:p>
      <w:pPr>
        <w:ind w:right="40" w:firstLine="378"/>
        <w:spacing w:after="0" w:line="255" w:lineRule="auto"/>
        <w:rPr>
          <w:sz w:val="20"/>
          <w:szCs w:val="20"/>
          <w:color w:val="auto"/>
        </w:rPr>
      </w:pPr>
      <w:r>
        <w:rPr>
          <w:rFonts w:ascii="Arial" w:cs="Arial" w:eastAsia="Arial" w:hAnsi="Arial"/>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85"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Uncertain Yields and Quality</w:t>
      </w:r>
    </w:p>
    <w:p>
      <w:pPr>
        <w:spacing w:after="0" w:line="117" w:lineRule="exact"/>
        <w:rPr>
          <w:sz w:val="20"/>
          <w:szCs w:val="20"/>
          <w:color w:val="auto"/>
        </w:rPr>
      </w:pPr>
    </w:p>
    <w:p>
      <w:pPr>
        <w:ind w:right="20" w:firstLine="378"/>
        <w:spacing w:after="0" w:line="253" w:lineRule="auto"/>
        <w:rPr>
          <w:sz w:val="20"/>
          <w:szCs w:val="20"/>
          <w:color w:val="auto"/>
        </w:rPr>
      </w:pPr>
      <w:r>
        <w:rPr>
          <w:rFonts w:ascii="Arial" w:cs="Arial" w:eastAsia="Arial" w:hAnsi="Arial"/>
          <w:sz w:val="18"/>
          <w:szCs w:val="18"/>
          <w:color w:val="auto"/>
        </w:rPr>
        <w:t>The fabrication of integrated circuits is a complex and technically demanding process. Our technology is transitioning from planar to FINFET transistors. This transition may result in longer qualification cycles and lower yields. Our foundries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8"/>
          <w:szCs w:val="18"/>
          <w:i w:val="1"/>
          <w:iCs w:val="1"/>
          <w:color w:val="auto"/>
        </w:rPr>
        <w:t>Costs related to defective products could have a material adverse effect on</w:t>
      </w:r>
      <w:r>
        <w:rPr>
          <w:rFonts w:ascii="Arial" w:cs="Arial" w:eastAsia="Arial" w:hAnsi="Arial"/>
          <w:sz w:val="18"/>
          <w:szCs w:val="18"/>
          <w:color w:val="auto"/>
        </w:rPr>
        <w:t xml:space="preserve"> </w:t>
      </w:r>
      <w:r>
        <w:rPr>
          <w:rFonts w:ascii="Arial" w:cs="Arial" w:eastAsia="Arial" w:hAnsi="Arial"/>
          <w:sz w:val="18"/>
          <w:szCs w:val="18"/>
          <w:i w:val="1"/>
          <w:iCs w:val="1"/>
          <w:color w:val="auto"/>
        </w:rPr>
        <w:t>us.</w:t>
      </w:r>
      <w:r>
        <w:rPr>
          <w:rFonts w:ascii="Arial" w:cs="Arial" w:eastAsia="Arial" w:hAnsi="Arial"/>
          <w:sz w:val="18"/>
          <w:szCs w:val="18"/>
          <w:color w:val="auto"/>
        </w:rPr>
        <w:t>”</w:t>
      </w:r>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130" w:right="239" w:bottom="1440" w:gutter="0" w:footer="0" w:header="0"/>
        </w:sectPr>
      </w:pPr>
    </w:p>
    <w:bookmarkStart w:id="43" w:name="page44"/>
    <w:bookmarkEnd w:id="4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jc w:val="both"/>
        <w:ind w:right="500" w:firstLine="378"/>
        <w:spacing w:after="0" w:line="264"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73"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Commodity Prices</w:t>
      </w:r>
    </w:p>
    <w:p>
      <w:pPr>
        <w:spacing w:after="0" w:line="117" w:lineRule="exact"/>
        <w:rPr>
          <w:sz w:val="20"/>
          <w:szCs w:val="20"/>
          <w:color w:val="auto"/>
        </w:rPr>
      </w:pPr>
    </w:p>
    <w:p>
      <w:pPr>
        <w:ind w:right="220" w:firstLine="378"/>
        <w:spacing w:after="0" w:line="264"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73"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62" w:lineRule="exact"/>
        <w:rPr>
          <w:sz w:val="20"/>
          <w:szCs w:val="20"/>
          <w:color w:val="auto"/>
        </w:rPr>
      </w:pPr>
    </w:p>
    <w:p>
      <w:pPr>
        <w:ind w:firstLine="405"/>
        <w:spacing w:after="0" w:line="293"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In addition, the cost of developing products with increasingly smaller line width geometries requires significantly higher investment and risk.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w:t>
      </w:r>
    </w:p>
    <w:p>
      <w:pPr>
        <w:spacing w:after="0" w:line="57" w:lineRule="exact"/>
        <w:rPr>
          <w:sz w:val="20"/>
          <w:szCs w:val="20"/>
          <w:color w:val="auto"/>
        </w:rPr>
      </w:pPr>
    </w:p>
    <w:p>
      <w:pPr>
        <w:ind w:right="140" w:firstLine="405"/>
        <w:spacing w:after="0" w:line="257" w:lineRule="auto"/>
        <w:rPr>
          <w:sz w:val="20"/>
          <w:szCs w:val="20"/>
          <w:color w:val="auto"/>
        </w:rPr>
      </w:pPr>
      <w:r>
        <w:rPr>
          <w:rFonts w:ascii="Arial" w:cs="Arial" w:eastAsia="Arial" w:hAnsi="Arial"/>
          <w:sz w:val="18"/>
          <w:szCs w:val="18"/>
          <w:color w:val="auto"/>
        </w:rPr>
        <w:t>We are dependent on our relationships with our foundry subcontractors to transition to smaller geometry processes successfully. We cannot ensure that the foundries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w:t>
      </w:r>
    </w:p>
    <w:p>
      <w:pPr>
        <w:spacing w:after="0" w:line="80" w:lineRule="exact"/>
        <w:rPr>
          <w:sz w:val="20"/>
          <w:szCs w:val="20"/>
          <w:color w:val="auto"/>
        </w:rPr>
      </w:pPr>
    </w:p>
    <w:p>
      <w:pPr>
        <w:ind w:right="20" w:firstLine="405"/>
        <w:spacing w:after="0" w:line="279" w:lineRule="auto"/>
        <w:rPr>
          <w:sz w:val="20"/>
          <w:szCs w:val="20"/>
          <w:color w:val="auto"/>
        </w:rPr>
      </w:pPr>
      <w:r>
        <w:rPr>
          <w:rFonts w:ascii="Arial" w:cs="Arial" w:eastAsia="Arial" w:hAnsi="Arial"/>
          <w:sz w:val="17"/>
          <w:szCs w:val="17"/>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63"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Our indemnification obligations and limitations of our director and officer liability insurance may have a material adverse effect on our financial condition, results of operations and cash flows.</w:t>
      </w:r>
    </w:p>
    <w:p>
      <w:pPr>
        <w:spacing w:after="0" w:line="62" w:lineRule="exact"/>
        <w:rPr>
          <w:sz w:val="20"/>
          <w:szCs w:val="20"/>
          <w:color w:val="auto"/>
        </w:rPr>
      </w:pPr>
    </w:p>
    <w:p>
      <w:pPr>
        <w:ind w:right="100" w:firstLine="378"/>
        <w:spacing w:after="0" w:line="273" w:lineRule="auto"/>
        <w:rPr>
          <w:sz w:val="20"/>
          <w:szCs w:val="20"/>
          <w:color w:val="auto"/>
        </w:rPr>
      </w:pPr>
      <w:r>
        <w:rPr>
          <w:rFonts w:ascii="Arial" w:cs="Arial" w:eastAsia="Arial" w:hAnsi="Arial"/>
          <w:sz w:val="17"/>
          <w:szCs w:val="17"/>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past, current and future investigations and litigation. For example, we have incurred significant indemnification expenses in connection with the Audit Committee's independent investigation completed in March 2016 and related shareholder litigation and pending government investigations. In connection with some of these pending matters, we are required to, or we have otherwise agreed to, advance, and have advanced, legal fees and related expenses to certain of our current and former directors and officers and expect to continue to do so while these matters are pending.</w:t>
      </w:r>
    </w:p>
    <w:p>
      <w:pPr>
        <w:spacing w:after="0" w:line="70" w:lineRule="exact"/>
        <w:rPr>
          <w:sz w:val="20"/>
          <w:szCs w:val="20"/>
          <w:color w:val="auto"/>
        </w:rPr>
      </w:pPr>
    </w:p>
    <w:p>
      <w:pPr>
        <w:jc w:val="both"/>
        <w:ind w:right="280" w:firstLine="378"/>
        <w:spacing w:after="0" w:line="264" w:lineRule="auto"/>
        <w:rPr>
          <w:sz w:val="20"/>
          <w:szCs w:val="20"/>
          <w:color w:val="auto"/>
        </w:rPr>
      </w:pPr>
      <w:r>
        <w:rPr>
          <w:rFonts w:ascii="Arial" w:cs="Arial" w:eastAsia="Arial" w:hAnsi="Arial"/>
          <w:sz w:val="18"/>
          <w:szCs w:val="18"/>
          <w:color w:val="auto"/>
        </w:rPr>
        <w:t>Indemnification obligations may not be “covered matters” under our directors’ and officers’ liability insurance, or there may be insufficient coverage available. Further, in the event the directors and officers are ultimately determined not to be entitled to indemnification, we may not be able to recover any amounts we previously advanced to them.</w:t>
      </w:r>
    </w:p>
    <w:p>
      <w:pPr>
        <w:spacing w:after="0" w:line="73" w:lineRule="exact"/>
        <w:rPr>
          <w:sz w:val="20"/>
          <w:szCs w:val="20"/>
          <w:color w:val="auto"/>
        </w:rPr>
      </w:pPr>
    </w:p>
    <w:p>
      <w:pPr>
        <w:ind w:right="20" w:firstLine="378"/>
        <w:spacing w:after="0" w:line="255" w:lineRule="auto"/>
        <w:rPr>
          <w:sz w:val="20"/>
          <w:szCs w:val="20"/>
          <w:color w:val="auto"/>
        </w:rPr>
      </w:pPr>
      <w:r>
        <w:rPr>
          <w:rFonts w:ascii="Arial" w:cs="Arial" w:eastAsia="Arial" w:hAnsi="Arial"/>
          <w:sz w:val="18"/>
          <w:szCs w:val="18"/>
          <w:color w:val="auto"/>
        </w:rPr>
        <w:t>We cannot provide any assurances that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21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130" w:right="259" w:bottom="1440" w:gutter="0" w:footer="0" w:header="0"/>
        </w:sectPr>
      </w:pPr>
    </w:p>
    <w:bookmarkStart w:id="44" w:name="page45"/>
    <w:bookmarkEnd w:id="4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117" w:lineRule="exact"/>
        <w:rPr>
          <w:sz w:val="20"/>
          <w:szCs w:val="20"/>
          <w:color w:val="auto"/>
        </w:rPr>
      </w:pPr>
    </w:p>
    <w:p>
      <w:pPr>
        <w:ind w:right="160" w:firstLine="378"/>
        <w:spacing w:after="0" w:line="264" w:lineRule="auto"/>
        <w:rPr>
          <w:sz w:val="20"/>
          <w:szCs w:val="20"/>
          <w:color w:val="auto"/>
        </w:rPr>
      </w:pPr>
      <w:r>
        <w:rPr>
          <w:rFonts w:ascii="Arial" w:cs="Arial" w:eastAsia="Arial" w:hAnsi="Arial"/>
          <w:sz w:val="18"/>
          <w:szCs w:val="18"/>
          <w:color w:val="auto"/>
        </w:rPr>
        <w:t>From time to time, we have experienced hardware and software defects and bugs associated with the introduction of our highly complex products. Despite our testing procedures, we cannot ensure that errors will not be found in new products or releases after commencement of commercial shipments in the future. Such errors could result in:</w:t>
      </w:r>
    </w:p>
    <w:p>
      <w:pPr>
        <w:spacing w:after="0" w:line="73" w:lineRule="exact"/>
        <w:rPr>
          <w:sz w:val="20"/>
          <w:szCs w:val="20"/>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loss of or delay in market acceptance of our products;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material recall and replacement costs;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delay in revenue recognition or loss of revenue;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writing down the inventory of defective products;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diversion of the attention of our engineering personnel from product development efforts;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103" w:lineRule="exact"/>
        <w:rPr>
          <w:sz w:val="20"/>
          <w:szCs w:val="20"/>
          <w:color w:val="auto"/>
        </w:rPr>
      </w:pPr>
    </w:p>
    <w:p>
      <w:pPr>
        <w:ind w:right="140" w:firstLine="405"/>
        <w:spacing w:after="0" w:line="259"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79" w:lineRule="exact"/>
        <w:rPr>
          <w:sz w:val="20"/>
          <w:szCs w:val="20"/>
          <w:color w:val="auto"/>
        </w:rPr>
      </w:pPr>
    </w:p>
    <w:p>
      <w:pPr>
        <w:ind w:right="40" w:firstLine="405"/>
        <w:spacing w:after="0" w:line="297" w:lineRule="auto"/>
        <w:rPr>
          <w:sz w:val="20"/>
          <w:szCs w:val="20"/>
          <w:color w:val="auto"/>
        </w:rPr>
      </w:pPr>
      <w:r>
        <w:rPr>
          <w:rFonts w:ascii="Arial" w:cs="Arial" w:eastAsia="Arial" w:hAnsi="Arial"/>
          <w:sz w:val="16"/>
          <w:szCs w:val="16"/>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 For example, we were made aware of a potential vulnerability (CVE-2019-6496) with regard to our 88W8897 device in fiscal year 2019 and implemented a fix shortly thereafter.</w:t>
      </w:r>
    </w:p>
    <w:p>
      <w:pPr>
        <w:spacing w:after="0" w:line="50" w:lineRule="exact"/>
        <w:rPr>
          <w:sz w:val="20"/>
          <w:szCs w:val="20"/>
          <w:color w:val="auto"/>
        </w:rPr>
      </w:pPr>
    </w:p>
    <w:p>
      <w:pPr>
        <w:ind w:right="160"/>
        <w:spacing w:after="0" w:line="375" w:lineRule="auto"/>
        <w:rPr>
          <w:sz w:val="20"/>
          <w:szCs w:val="20"/>
          <w:color w:val="auto"/>
        </w:rPr>
      </w:pPr>
      <w:r>
        <w:rPr>
          <w:rFonts w:ascii="Arial" w:cs="Arial" w:eastAsia="Arial" w:hAnsi="Arial"/>
          <w:sz w:val="15"/>
          <w:szCs w:val="15"/>
          <w:b w:val="1"/>
          <w:bCs w:val="1"/>
          <w:i w:val="1"/>
          <w:iCs w:val="1"/>
          <w:color w:val="auto"/>
        </w:rPr>
        <w:t>We depend on highly skilled engineering and sales and marketing personnel to support our business operations. If we are unable to retain and motivate our current personnel or attract additional qualified personnel, our ability to develop and successfully market our products could be harmed.</w:t>
      </w:r>
    </w:p>
    <w:p>
      <w:pPr>
        <w:spacing w:after="0" w:line="1"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both in the Silicon Valley where our U.S. operations are based and in global markets in which we operate. Our inability to attract qualified personnel, including hardware and software engineers and sales and marketing personnel, could delay the development and introduction of, and harm our ability to sell, our products. Changes to United States immigration policies that restrict our ability to attract and retain technical personnel may negatively affect our research and development efforts.</w:t>
      </w:r>
    </w:p>
    <w:p>
      <w:pPr>
        <w:spacing w:after="0" w:line="85"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We typically do not enter into employment agreements with any of our key technical personnel and the loss of such personnel could harm our business, as their knowledge of our business and industry would be extremely difficult to replace. The impact on employee morale experienced in connection with our restructuring efforts in fiscal 2017 and 2018, which eliminated approximately 900 jobs worldwide, could make it more difficult for us to add to our workforce when needed due to speculation regarding our future restructuring activities. In addition, as a result of our acquisitions and divestiture, our current and prospective employees may experience uncertainty about their futures that may impair our ability to retain, recruit or motivate key management, engineering, technical and other personnel.</w:t>
      </w:r>
    </w:p>
    <w:p>
      <w:pPr>
        <w:spacing w:after="0" w:line="8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Cybersecurity risks could adversely affect our business and disrupt our operations.</w:t>
      </w:r>
    </w:p>
    <w:p>
      <w:pPr>
        <w:spacing w:after="0" w:line="225" w:lineRule="exact"/>
        <w:rPr>
          <w:sz w:val="20"/>
          <w:szCs w:val="20"/>
          <w:color w:val="auto"/>
        </w:rPr>
      </w:pPr>
    </w:p>
    <w:p>
      <w:pPr>
        <w:ind w:right="60" w:firstLine="324"/>
        <w:spacing w:after="0" w:line="273" w:lineRule="auto"/>
        <w:rPr>
          <w:sz w:val="20"/>
          <w:szCs w:val="20"/>
          <w:color w:val="auto"/>
        </w:rPr>
      </w:pPr>
      <w:r>
        <w:rPr>
          <w:rFonts w:ascii="Arial" w:cs="Arial" w:eastAsia="Arial" w:hAnsi="Arial"/>
          <w:sz w:val="17"/>
          <w:szCs w:val="17"/>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us may include viruses and worms, phishing attacks, and denial-of-service attacks. In addition, we may be the target of email scams that attempt to acquire personal information or company assets.</w:t>
      </w:r>
    </w:p>
    <w:p>
      <w:pPr>
        <w:spacing w:after="0" w:line="2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380"/>
          </w:cols>
          <w:pgMar w:left="240" w:top="130" w:right="279" w:bottom="1440" w:gutter="0" w:footer="0" w:header="0"/>
        </w:sectPr>
      </w:pPr>
    </w:p>
    <w:bookmarkStart w:id="45" w:name="page46"/>
    <w:bookmarkEnd w:id="4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20" w:firstLine="405"/>
        <w:spacing w:after="0" w:line="273" w:lineRule="auto"/>
        <w:rPr>
          <w:sz w:val="20"/>
          <w:szCs w:val="20"/>
          <w:color w:val="auto"/>
        </w:rPr>
      </w:pPr>
      <w:r>
        <w:rPr>
          <w:rFonts w:ascii="Arial" w:cs="Arial" w:eastAsia="Arial" w:hAnsi="Arial"/>
          <w:sz w:val="17"/>
          <w:szCs w:val="17"/>
          <w:color w:val="auto"/>
        </w:rPr>
        <w:t>We have implemented processes for systems under our control intended to mitigate risks; however, we can provide no guarantee that those risk mitigation measures will be effective. Given the frequency of cyber-attacks and resulting breaches reported by other businesses and governments, it is likely we will experience one or more breaches of some extent in the future. We may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70" w:lineRule="exact"/>
        <w:rPr>
          <w:sz w:val="20"/>
          <w:szCs w:val="20"/>
          <w:color w:val="auto"/>
        </w:rPr>
      </w:pPr>
    </w:p>
    <w:p>
      <w:pPr>
        <w:ind w:right="80" w:firstLine="405"/>
        <w:spacing w:after="0" w:line="259" w:lineRule="auto"/>
        <w:rPr>
          <w:sz w:val="20"/>
          <w:szCs w:val="20"/>
          <w:color w:val="auto"/>
        </w:rPr>
      </w:pPr>
      <w:r>
        <w:rPr>
          <w:rFonts w:ascii="Arial" w:cs="Arial" w:eastAsia="Arial" w:hAnsi="Arial"/>
          <w:sz w:val="18"/>
          <w:szCs w:val="18"/>
          <w:color w:val="auto"/>
        </w:rPr>
        <w:t>The Company’s business also requires it to share confidential information with suppliers and other third parties. Although the Company takes steps to secure confidential information that is provided to third parties, such measures may not always be effective and data breaches, losses or other unauthorized access to or releases of confidential information may occur and could materially adversely affect the Company’s reputation, financial condition and operating results.</w:t>
      </w:r>
    </w:p>
    <w:p>
      <w:pPr>
        <w:spacing w:after="0" w:line="79" w:lineRule="exact"/>
        <w:rPr>
          <w:sz w:val="20"/>
          <w:szCs w:val="20"/>
          <w:color w:val="auto"/>
        </w:rPr>
      </w:pPr>
    </w:p>
    <w:p>
      <w:pPr>
        <w:jc w:val="both"/>
        <w:ind w:right="360" w:firstLine="405"/>
        <w:spacing w:after="0" w:line="264"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3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117" w:lineRule="exact"/>
        <w:rPr>
          <w:sz w:val="20"/>
          <w:szCs w:val="20"/>
          <w:color w:val="auto"/>
        </w:rPr>
      </w:pPr>
    </w:p>
    <w:p>
      <w:pPr>
        <w:ind w:right="160" w:firstLine="405"/>
        <w:spacing w:after="0" w:line="259"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79" w:lineRule="exact"/>
        <w:rPr>
          <w:sz w:val="20"/>
          <w:szCs w:val="20"/>
          <w:color w:val="auto"/>
        </w:rPr>
      </w:pPr>
    </w:p>
    <w:p>
      <w:pPr>
        <w:ind w:right="240" w:firstLine="405"/>
        <w:spacing w:after="0" w:line="297" w:lineRule="auto"/>
        <w:rPr>
          <w:sz w:val="20"/>
          <w:szCs w:val="20"/>
          <w:color w:val="auto"/>
        </w:rPr>
      </w:pPr>
      <w:r>
        <w:rPr>
          <w:rFonts w:ascii="Arial" w:cs="Arial" w:eastAsia="Arial" w:hAnsi="Arial"/>
          <w:sz w:val="16"/>
          <w:szCs w:val="16"/>
          <w:color w:val="auto"/>
        </w:rPr>
        <w:t>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w:t>
      </w:r>
    </w:p>
    <w:p>
      <w:pPr>
        <w:spacing w:after="0" w:line="50" w:lineRule="exact"/>
        <w:rPr>
          <w:sz w:val="20"/>
          <w:szCs w:val="20"/>
          <w:color w:val="auto"/>
        </w:rPr>
      </w:pPr>
    </w:p>
    <w:p>
      <w:pPr>
        <w:ind w:right="20" w:firstLine="405"/>
        <w:spacing w:after="0" w:line="287" w:lineRule="auto"/>
        <w:rPr>
          <w:sz w:val="20"/>
          <w:szCs w:val="20"/>
          <w:color w:val="auto"/>
        </w:rPr>
      </w:pPr>
      <w:r>
        <w:rPr>
          <w:rFonts w:ascii="Arial" w:cs="Arial" w:eastAsia="Arial" w:hAnsi="Arial"/>
          <w:sz w:val="16"/>
          <w:szCs w:val="16"/>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If we fail to protect these intellectual property rights, competitors could sell products based on technology that we have developed, which could harm our competitive position and decrease our revenue.</w:t>
      </w:r>
    </w:p>
    <w:p>
      <w:pPr>
        <w:spacing w:after="0" w:line="61" w:lineRule="exact"/>
        <w:rPr>
          <w:sz w:val="20"/>
          <w:szCs w:val="20"/>
          <w:color w:val="auto"/>
        </w:rPr>
      </w:pPr>
    </w:p>
    <w:p>
      <w:pPr>
        <w:ind w:firstLine="405"/>
        <w:spacing w:after="0" w:line="271"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2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130" w:right="239" w:bottom="1440" w:gutter="0" w:footer="0" w:header="0"/>
        </w:sectPr>
      </w:pPr>
    </w:p>
    <w:bookmarkStart w:id="46" w:name="page47"/>
    <w:bookmarkEnd w:id="4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73" w:lineRule="exact"/>
        <w:rPr>
          <w:sz w:val="20"/>
          <w:szCs w:val="20"/>
          <w:color w:val="auto"/>
        </w:rPr>
      </w:pPr>
    </w:p>
    <w:p>
      <w:pPr>
        <w:ind w:right="20" w:firstLine="378"/>
        <w:spacing w:after="0" w:line="293"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57" w:lineRule="exact"/>
        <w:rPr>
          <w:sz w:val="20"/>
          <w:szCs w:val="20"/>
          <w:color w:val="auto"/>
        </w:rPr>
      </w:pPr>
    </w:p>
    <w:p>
      <w:pPr>
        <w:ind w:right="60" w:firstLine="378"/>
        <w:spacing w:after="0" w:line="273" w:lineRule="auto"/>
        <w:rPr>
          <w:sz w:val="20"/>
          <w:szCs w:val="20"/>
          <w:color w:val="auto"/>
        </w:rPr>
      </w:pPr>
      <w:r>
        <w:rPr>
          <w:rFonts w:ascii="Arial" w:cs="Arial" w:eastAsia="Arial" w:hAnsi="Arial"/>
          <w:sz w:val="17"/>
          <w:szCs w:val="17"/>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70" w:lineRule="exact"/>
        <w:rPr>
          <w:sz w:val="20"/>
          <w:szCs w:val="20"/>
          <w:color w:val="auto"/>
        </w:rPr>
      </w:pPr>
    </w:p>
    <w:p>
      <w:pPr>
        <w:ind w:right="260" w:firstLine="378"/>
        <w:spacing w:after="0" w:line="259"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79"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85"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62"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85" w:lineRule="exact"/>
        <w:rPr>
          <w:sz w:val="20"/>
          <w:szCs w:val="20"/>
          <w:color w:val="auto"/>
        </w:rPr>
      </w:pPr>
    </w:p>
    <w:p>
      <w:pPr>
        <w:ind w:right="280"/>
        <w:spacing w:after="0" w:line="264" w:lineRule="auto"/>
        <w:rPr>
          <w:sz w:val="20"/>
          <w:szCs w:val="20"/>
          <w:color w:val="auto"/>
        </w:rPr>
      </w:pPr>
      <w:r>
        <w:rPr>
          <w:rFonts w:ascii="Arial" w:cs="Arial" w:eastAsia="Arial" w:hAnsi="Arial"/>
          <w:sz w:val="18"/>
          <w:szCs w:val="18"/>
          <w:b w:val="1"/>
          <w:bCs w:val="1"/>
          <w:i w:val="1"/>
          <w:i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73" w:lineRule="exact"/>
        <w:rPr>
          <w:sz w:val="20"/>
          <w:szCs w:val="20"/>
          <w:color w:val="auto"/>
        </w:rPr>
      </w:pPr>
    </w:p>
    <w:p>
      <w:pPr>
        <w:ind w:right="20" w:firstLine="378"/>
        <w:spacing w:after="0" w:line="276" w:lineRule="auto"/>
        <w:rPr>
          <w:sz w:val="20"/>
          <w:szCs w:val="20"/>
          <w:color w:val="auto"/>
        </w:rPr>
      </w:pPr>
      <w:r>
        <w:rPr>
          <w:rFonts w:ascii="Arial" w:cs="Arial" w:eastAsia="Arial" w:hAnsi="Arial"/>
          <w:sz w:val="17"/>
          <w:szCs w:val="17"/>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shipped to customers with operations in Asia represented approximately 80% and 94% of our net revenue in the three months ended May 4, 2019 and May 5, 2018, respectively.</w:t>
      </w:r>
    </w:p>
    <w:p>
      <w:pPr>
        <w:spacing w:after="0" w:line="64" w:lineRule="exact"/>
        <w:rPr>
          <w:sz w:val="20"/>
          <w:szCs w:val="20"/>
          <w:color w:val="auto"/>
        </w:rPr>
      </w:pPr>
    </w:p>
    <w:p>
      <w:pPr>
        <w:ind w:right="20" w:firstLine="378"/>
        <w:spacing w:after="0" w:line="259" w:lineRule="auto"/>
        <w:rPr>
          <w:sz w:val="20"/>
          <w:szCs w:val="20"/>
          <w:color w:val="auto"/>
        </w:rPr>
      </w:pPr>
      <w:r>
        <w:rPr>
          <w:rFonts w:ascii="Arial" w:cs="Arial" w:eastAsia="Arial" w:hAnsi="Arial"/>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2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130" w:right="239" w:bottom="1440" w:gutter="0" w:footer="0" w:header="0"/>
        </w:sectPr>
      </w:pPr>
    </w:p>
    <w:bookmarkStart w:id="47" w:name="page48"/>
    <w:bookmarkEnd w:id="4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left="38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117" w:lineRule="exact"/>
        <w:rPr>
          <w:sz w:val="20"/>
          <w:szCs w:val="20"/>
          <w:color w:val="auto"/>
        </w:rPr>
      </w:pPr>
    </w:p>
    <w:p>
      <w:pPr>
        <w:ind w:left="820" w:hanging="420"/>
        <w:spacing w:after="0"/>
        <w:tabs>
          <w:tab w:leader="none" w:pos="820" w:val="left"/>
        </w:tabs>
        <w:numPr>
          <w:ilvl w:val="0"/>
          <w:numId w:val="17"/>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46" w:lineRule="exact"/>
        <w:rPr>
          <w:rFonts w:ascii="Arial" w:cs="Arial" w:eastAsia="Arial" w:hAnsi="Arial"/>
          <w:sz w:val="16"/>
          <w:szCs w:val="16"/>
          <w:color w:val="auto"/>
        </w:rPr>
      </w:pPr>
    </w:p>
    <w:p>
      <w:pPr>
        <w:ind w:left="820" w:right="420" w:hanging="420"/>
        <w:spacing w:after="0" w:line="250"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our gross margin;</w:t>
      </w:r>
    </w:p>
    <w:p>
      <w:pPr>
        <w:ind w:left="820" w:right="700" w:hanging="420"/>
        <w:spacing w:after="0" w:line="250"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ind w:left="820" w:right="40" w:hanging="420"/>
        <w:spacing w:after="0" w:line="250"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 w:lineRule="exact"/>
        <w:rPr>
          <w:rFonts w:ascii="Arial" w:cs="Arial" w:eastAsia="Arial" w:hAnsi="Arial"/>
          <w:sz w:val="18"/>
          <w:szCs w:val="18"/>
          <w:color w:val="auto"/>
        </w:rPr>
      </w:pPr>
    </w:p>
    <w:p>
      <w:pPr>
        <w:ind w:left="820" w:hanging="420"/>
        <w:spacing w:after="0" w:line="250"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recently imposed tariffs announced by the Trump administration;</w:t>
      </w: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03" w:lineRule="exact"/>
        <w:rPr>
          <w:sz w:val="20"/>
          <w:szCs w:val="20"/>
          <w:color w:val="auto"/>
        </w:rPr>
      </w:pPr>
    </w:p>
    <w:p>
      <w:pPr>
        <w:ind w:right="500" w:firstLine="378"/>
        <w:spacing w:after="0" w:line="342"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w:t>
      </w:r>
    </w:p>
    <w:p>
      <w:pPr>
        <w:spacing w:after="0" w:line="16" w:lineRule="exact"/>
        <w:rPr>
          <w:sz w:val="20"/>
          <w:szCs w:val="20"/>
          <w:color w:val="auto"/>
        </w:rPr>
      </w:pPr>
    </w:p>
    <w:p>
      <w:pPr>
        <w:ind w:right="440" w:firstLine="378"/>
        <w:spacing w:after="0" w:line="264"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73" w:lineRule="exact"/>
        <w:rPr>
          <w:sz w:val="20"/>
          <w:szCs w:val="20"/>
          <w:color w:val="auto"/>
        </w:rPr>
      </w:pPr>
    </w:p>
    <w:p>
      <w:pPr>
        <w:ind w:right="660"/>
        <w:spacing w:after="0" w:line="277" w:lineRule="auto"/>
        <w:rPr>
          <w:sz w:val="20"/>
          <w:szCs w:val="20"/>
          <w:color w:val="auto"/>
        </w:rPr>
      </w:pPr>
      <w:r>
        <w:rPr>
          <w:rFonts w:ascii="Arial" w:cs="Arial" w:eastAsia="Arial" w:hAnsi="Arial"/>
          <w:sz w:val="18"/>
          <w:szCs w:val="18"/>
          <w:b w:val="1"/>
          <w:bCs w:val="1"/>
          <w:i w:val="1"/>
          <w:iCs w:val="1"/>
          <w:color w:val="auto"/>
        </w:rPr>
        <w:t>We must comply with a variety of existing and future laws and regulations that could impose substantial costs on us and may adversely affect our business.</w:t>
      </w:r>
    </w:p>
    <w:p>
      <w:pPr>
        <w:spacing w:after="0" w:line="62" w:lineRule="exact"/>
        <w:rPr>
          <w:sz w:val="20"/>
          <w:szCs w:val="20"/>
          <w:color w:val="auto"/>
        </w:rPr>
      </w:pPr>
    </w:p>
    <w:p>
      <w:pPr>
        <w:ind w:firstLine="378"/>
        <w:spacing w:after="0" w:line="288"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data private requirements; competition; advertising; employment; product regulations; environment,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If we violate or fail to comply with any of them,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61" w:lineRule="exact"/>
        <w:rPr>
          <w:sz w:val="20"/>
          <w:szCs w:val="20"/>
          <w:color w:val="auto"/>
        </w:rPr>
      </w:pPr>
    </w:p>
    <w:p>
      <w:pPr>
        <w:jc w:val="both"/>
        <w:ind w:right="260" w:firstLine="405"/>
        <w:spacing w:after="0" w:line="259" w:lineRule="auto"/>
        <w:rPr>
          <w:sz w:val="20"/>
          <w:szCs w:val="20"/>
          <w:color w:val="auto"/>
        </w:rPr>
      </w:pPr>
      <w:r>
        <w:rPr>
          <w:rFonts w:ascii="Arial" w:cs="Arial" w:eastAsia="Arial" w:hAnsi="Arial"/>
          <w:sz w:val="18"/>
          <w:szCs w:val="18"/>
          <w:color w:val="auto"/>
        </w:rPr>
        <w:t>Our product or manufacturing standards could also be impacted by new or revised environmental rules and regulations or other social initiatives. For instance, the SEC requires disclosures relating to the sourcing of certain minerals from the Democratic Republic of Congo and adjoining countries. Those rules, or similar rules that may be adopted in other jurisdictions, could adversely affect our costs, the availability of minerals used in our products and our relationships with customers and suppliers.</w:t>
      </w:r>
    </w:p>
    <w:p>
      <w:pPr>
        <w:spacing w:after="0" w:line="79" w:lineRule="exact"/>
        <w:rPr>
          <w:sz w:val="20"/>
          <w:szCs w:val="20"/>
          <w:color w:val="auto"/>
        </w:rPr>
      </w:pPr>
    </w:p>
    <w:p>
      <w:pPr>
        <w:jc w:val="both"/>
        <w:ind w:right="420" w:firstLine="405"/>
        <w:spacing w:after="0" w:line="302" w:lineRule="auto"/>
        <w:rPr>
          <w:sz w:val="20"/>
          <w:szCs w:val="20"/>
          <w:color w:val="auto"/>
        </w:rPr>
      </w:pPr>
      <w:r>
        <w:rPr>
          <w:rFonts w:ascii="Arial" w:cs="Arial" w:eastAsia="Arial" w:hAnsi="Arial"/>
          <w:sz w:val="16"/>
          <w:szCs w:val="16"/>
          <w:color w:val="auto"/>
        </w:rPr>
        <w:t>In connection with the Cavium acquisition, we have been subject to regulatory conditions imposed by the Committee on Foreign Investment in the United States (CFIUS) pursuant to a Letter of Assurance (LA) where we have agreed to implement certain cyber security, physical security and training measures to protect national security, which may materially and adversely affect our operating results due to the increased cost of compliance with these measures. If we fail to comply with our obligations under the LA, our ability to operate our business may be adversely affected.</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00"/>
          </w:cols>
          <w:pgMar w:left="240" w:top="130" w:right="259" w:bottom="1440" w:gutter="0" w:footer="0" w:header="0"/>
        </w:sectPr>
      </w:pPr>
    </w:p>
    <w:bookmarkStart w:id="48" w:name="page49"/>
    <w:bookmarkEnd w:id="4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117" w:lineRule="exact"/>
        <w:rPr>
          <w:sz w:val="20"/>
          <w:szCs w:val="20"/>
          <w:color w:val="auto"/>
        </w:rPr>
      </w:pPr>
    </w:p>
    <w:p>
      <w:pPr>
        <w:ind w:right="60" w:firstLine="405"/>
        <w:spacing w:after="0" w:line="291"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For example, the Tax Cuts and Jobs Act (“2017 Tax Act”) was signed into law on December 22, 2017. The 2017 Tax Act significantly revises the U.S. corporate income tax by, among other things, lowering the statutory corporate tax rate from 35% to 21%, eliminating certain deductions, imposing a mandatory one-time tax on accumulated earnings of foreign subsidiaries, introducing new tax regimes, and changing how foreign earnings are subject to U.S. tax. Please see “Provision for Income Taxes” set forth in Part II, Item 7 of this Annual Report on Form 10-K for more information on the impact of the 2017 Tax Act on the Company.</w:t>
      </w:r>
    </w:p>
    <w:p>
      <w:pPr>
        <w:spacing w:after="0" w:line="59" w:lineRule="exact"/>
        <w:rPr>
          <w:sz w:val="20"/>
          <w:szCs w:val="20"/>
          <w:color w:val="auto"/>
        </w:rPr>
      </w:pPr>
    </w:p>
    <w:p>
      <w:pPr>
        <w:ind w:right="60" w:firstLine="405"/>
        <w:spacing w:after="0" w:line="269" w:lineRule="auto"/>
        <w:rPr>
          <w:sz w:val="20"/>
          <w:szCs w:val="20"/>
          <w:color w:val="auto"/>
        </w:rPr>
      </w:pPr>
      <w:r>
        <w:rPr>
          <w:rFonts w:ascii="Arial" w:cs="Arial" w:eastAsia="Arial" w:hAnsi="Arial"/>
          <w:sz w:val="17"/>
          <w:szCs w:val="17"/>
          <w:color w:val="auto"/>
        </w:rPr>
        <w:t>In addition,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it expired in June 2014. However, we re-negotiated with the Singapore government and in fiscal 2015, they extended the Development and Expansion Incentive until June 2019. Furthermore, under the Israeli Encouragement law of “approved or benefited enterprise,” our subsidiary in Israel, Marvell Israel (M.I.S.L) Ltd., is entitled to, and has certain existing programs that qualify as, approved and benefited tax programs that include reduced tax rates and exemption of certain income through fiscal 2027.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75" w:lineRule="exact"/>
        <w:rPr>
          <w:sz w:val="20"/>
          <w:szCs w:val="20"/>
          <w:color w:val="auto"/>
        </w:rPr>
      </w:pPr>
    </w:p>
    <w:p>
      <w:pPr>
        <w:ind w:right="20" w:firstLine="405"/>
        <w:spacing w:after="0" w:line="268" w:lineRule="auto"/>
        <w:rPr>
          <w:sz w:val="20"/>
          <w:szCs w:val="20"/>
          <w:color w:val="auto"/>
        </w:rPr>
      </w:pPr>
      <w:r>
        <w:rPr>
          <w:rFonts w:ascii="Arial" w:cs="Arial" w:eastAsia="Arial" w:hAnsi="Arial"/>
          <w:sz w:val="17"/>
          <w:szCs w:val="17"/>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We can provide no assurance that changes in tax laws and additional investigations as a result of this project would not have an adverse tax impact on our international operations. In addition, the European Union (“EU”) has initiated its own measures along similar lines. In December 2017, the EU identified certain jurisdictions (including Bermuda and Cayman Islands) which it considered had a tax system that facilitated offshore structuring by attracting profits without commensurate economic activity. In order to avoid EU “blacklisting”, both Bermuda and Cayman Islands introduced new legislation in December 2018, which came into force on January 1, 2019. These new laws require Bermuda and Cayman companies carrying on one or more “relevant activity” (including: banking, insurance, fund management, financing, leasing, headquarters, shipping, distribution and service center, intellectual property or holding company) to maintain a substantial economic presence in Bermuda in order to comply with the economic substance requirements. There is no experience yet as to how the Bermuda and Cayman Islands authorities will interpret and enforce these new rules and, accordingly, we are not able to predict their impact on our operations and net income. In addition, to the extent that we are required to maintain more of a presence in Bermuda or the Cayman Islands, such requirements will increase our costs either directly in those locations or indirectly as a result of increased costs related to moving our operations to other jurisdictions.</w:t>
      </w:r>
    </w:p>
    <w:p>
      <w:pPr>
        <w:spacing w:after="0" w:line="80" w:lineRule="exact"/>
        <w:rPr>
          <w:sz w:val="20"/>
          <w:szCs w:val="20"/>
          <w:color w:val="auto"/>
        </w:rPr>
      </w:pPr>
    </w:p>
    <w:p>
      <w:pPr>
        <w:ind w:right="540"/>
        <w:spacing w:after="0" w:line="277" w:lineRule="auto"/>
        <w:rPr>
          <w:sz w:val="20"/>
          <w:szCs w:val="20"/>
          <w:color w:val="auto"/>
        </w:rPr>
      </w:pPr>
      <w:r>
        <w:rPr>
          <w:rFonts w:ascii="Arial" w:cs="Arial" w:eastAsia="Arial" w:hAnsi="Arial"/>
          <w:sz w:val="18"/>
          <w:szCs w:val="18"/>
          <w:b w:val="1"/>
          <w:bCs w:val="1"/>
          <w:i w:val="1"/>
          <w:iCs w:val="1"/>
          <w:color w:val="auto"/>
        </w:rPr>
        <w:t>Matters relating to or arising from our Audit Committee investigation, including regulatory proceedings, litigation matters and potential additional expenses, may adversely affect our business and results of operations.</w:t>
      </w:r>
    </w:p>
    <w:p>
      <w:pPr>
        <w:spacing w:after="0" w:line="62" w:lineRule="exact"/>
        <w:rPr>
          <w:sz w:val="20"/>
          <w:szCs w:val="20"/>
          <w:color w:val="auto"/>
        </w:rPr>
      </w:pPr>
    </w:p>
    <w:p>
      <w:pPr>
        <w:ind w:right="20" w:firstLine="405"/>
        <w:spacing w:after="0" w:line="272" w:lineRule="auto"/>
        <w:rPr>
          <w:sz w:val="20"/>
          <w:szCs w:val="20"/>
          <w:color w:val="auto"/>
        </w:rPr>
      </w:pPr>
      <w:r>
        <w:rPr>
          <w:rFonts w:ascii="Arial" w:cs="Arial" w:eastAsia="Arial" w:hAnsi="Arial"/>
          <w:sz w:val="17"/>
          <w:szCs w:val="17"/>
          <w:color w:val="auto"/>
        </w:rPr>
        <w:t>As previously disclosed in our public filings, in March 2016, the Audit Committee of our Board of Directors completed an investigation that generally included a review of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the accrual of a litigation reserve in the second quarter of fiscal 2016, and the stated belief by Marvell’s former Chairman and Chief Executive Officer of ownership of certain patent rights related to the Final-Level Cache invention and his later assignment of associated patent rights to Marvell. We are also the subject of investigations by the Securities and Exchange Commission and the U.S. Attorney related to these matters. We are fully cooperating with the SEC and the U.S. Attorney with respect to those investigations.</w:t>
      </w:r>
    </w:p>
    <w:p>
      <w:pPr>
        <w:spacing w:after="0" w:line="70" w:lineRule="exact"/>
        <w:rPr>
          <w:sz w:val="20"/>
          <w:szCs w:val="20"/>
          <w:color w:val="auto"/>
        </w:rPr>
      </w:pPr>
    </w:p>
    <w:p>
      <w:pPr>
        <w:ind w:firstLine="405"/>
        <w:spacing w:after="0" w:line="276" w:lineRule="auto"/>
        <w:rPr>
          <w:sz w:val="20"/>
          <w:szCs w:val="20"/>
          <w:color w:val="auto"/>
        </w:rPr>
      </w:pPr>
      <w:r>
        <w:rPr>
          <w:rFonts w:ascii="Arial" w:cs="Arial" w:eastAsia="Arial" w:hAnsi="Arial"/>
          <w:sz w:val="17"/>
          <w:szCs w:val="17"/>
          <w:color w:val="auto"/>
        </w:rPr>
        <w:t>We incurred significant expenses related to legal, accounting, and other professional services in connection with the investigations and related matters and related remediation efforts. In addition, we incurred significant legal expenses in connection with the litigation and settlement of securities class actions or other lawsuits that were filed against us, our directors and officers. The expenses incurred, the impact of our delay in fiscal 2016 and the beginning of fiscal 2017 in meeting our periodic reports on the confidence of investors, employees and customers, and the diversion of the attention of the management team that occurred adversely affected our business, financial condition and results of operations or cash flows.</w:t>
      </w:r>
    </w:p>
    <w:p>
      <w:pPr>
        <w:spacing w:after="0" w:line="2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130" w:right="239" w:bottom="1440" w:gutter="0" w:footer="0" w:header="0"/>
        </w:sectPr>
      </w:pPr>
    </w:p>
    <w:bookmarkStart w:id="49" w:name="page50"/>
    <w:bookmarkEnd w:id="4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80" w:firstLine="405"/>
        <w:spacing w:after="0" w:line="277" w:lineRule="auto"/>
        <w:rPr>
          <w:sz w:val="20"/>
          <w:szCs w:val="20"/>
          <w:color w:val="auto"/>
        </w:rPr>
      </w:pPr>
      <w:r>
        <w:rPr>
          <w:rFonts w:ascii="Arial" w:cs="Arial" w:eastAsia="Arial" w:hAnsi="Arial"/>
          <w:sz w:val="18"/>
          <w:szCs w:val="18"/>
          <w:color w:val="auto"/>
        </w:rPr>
        <w:t>The pending investigations or any future additional lawsuits could also result in significant expenses, distraction and may adversely affect our business, financial condition, results of operations and cash flows.</w:t>
      </w:r>
    </w:p>
    <w:p>
      <w:pPr>
        <w:spacing w:after="0" w:line="62"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b w:val="1"/>
          <w:bCs w:val="1"/>
          <w:i w:val="1"/>
          <w:i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73" w:lineRule="exact"/>
        <w:rPr>
          <w:sz w:val="20"/>
          <w:szCs w:val="20"/>
          <w:color w:val="auto"/>
        </w:rPr>
      </w:pPr>
    </w:p>
    <w:p>
      <w:pPr>
        <w:ind w:firstLine="405"/>
        <w:spacing w:after="0" w:line="272" w:lineRule="auto"/>
        <w:rPr>
          <w:sz w:val="20"/>
          <w:szCs w:val="20"/>
          <w:color w:val="auto"/>
        </w:rPr>
      </w:pPr>
      <w:r>
        <w:rPr>
          <w:rFonts w:ascii="Arial" w:cs="Arial" w:eastAsia="Arial" w:hAnsi="Arial"/>
          <w:sz w:val="17"/>
          <w:szCs w:val="17"/>
          <w:color w:val="auto"/>
        </w:rPr>
        <w:t>We have been named as a party to several lawsuits, government inquiries or investigations and other legal proceedings (referred to as “litigation”), and we may be named in additional ones in the future. Please see “Note 10 - Commitments and Contingencies” of our Notes to the Unaudited Condensed Consolidated Financial Statements set forth in Part I, Item 1 of this Quarterly Report on Form 10-Q for a more detailed description of material litigation matters in which we may be currently engaged.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7"/>
          <w:szCs w:val="17"/>
          <w:i w:val="1"/>
          <w:iCs w:val="1"/>
          <w:color w:val="auto"/>
        </w:rPr>
        <w:t>We may be unable to protect our intellectual property, which would negatively affect our ability to compete.”</w:t>
      </w:r>
    </w:p>
    <w:p>
      <w:pPr>
        <w:spacing w:after="0" w:line="70" w:lineRule="exact"/>
        <w:rPr>
          <w:sz w:val="20"/>
          <w:szCs w:val="20"/>
          <w:color w:val="auto"/>
        </w:rPr>
      </w:pPr>
    </w:p>
    <w:p>
      <w:pPr>
        <w:ind w:right="120" w:firstLine="405"/>
        <w:spacing w:after="0" w:line="302"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46" w:lineRule="exact"/>
        <w:rPr>
          <w:sz w:val="20"/>
          <w:szCs w:val="20"/>
          <w:color w:val="auto"/>
        </w:rPr>
      </w:pPr>
    </w:p>
    <w:p>
      <w:pPr>
        <w:ind w:left="820" w:right="260" w:hanging="420"/>
        <w:spacing w:after="0" w:line="258" w:lineRule="auto"/>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 w:lineRule="exact"/>
        <w:rPr>
          <w:rFonts w:ascii="Arial" w:cs="Arial" w:eastAsia="Arial" w:hAnsi="Arial"/>
          <w:sz w:val="18"/>
          <w:szCs w:val="18"/>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 w:lineRule="exact"/>
        <w:rPr>
          <w:rFonts w:ascii="Arial" w:cs="Arial" w:eastAsia="Arial" w:hAnsi="Arial"/>
          <w:sz w:val="18"/>
          <w:szCs w:val="18"/>
          <w:color w:val="auto"/>
        </w:rPr>
      </w:pPr>
    </w:p>
    <w:p>
      <w:pPr>
        <w:ind w:left="820" w:right="360" w:hanging="420"/>
        <w:spacing w:after="0" w:line="250" w:lineRule="auto"/>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ind w:left="820" w:hanging="420"/>
        <w:spacing w:after="0"/>
        <w:tabs>
          <w:tab w:leader="none" w:pos="820" w:val="left"/>
        </w:tabs>
        <w:numPr>
          <w:ilvl w:val="0"/>
          <w:numId w:val="18"/>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32" w:lineRule="exact"/>
        <w:rPr>
          <w:rFonts w:ascii="Arial" w:cs="Arial" w:eastAsia="Arial" w:hAnsi="Arial"/>
          <w:sz w:val="16"/>
          <w:szCs w:val="16"/>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03" w:lineRule="exact"/>
        <w:rPr>
          <w:sz w:val="20"/>
          <w:szCs w:val="20"/>
          <w:color w:val="auto"/>
        </w:rPr>
      </w:pPr>
    </w:p>
    <w:p>
      <w:pPr>
        <w:ind w:right="120" w:firstLine="378"/>
        <w:spacing w:after="0" w:line="259" w:lineRule="auto"/>
        <w:rPr>
          <w:sz w:val="20"/>
          <w:szCs w:val="20"/>
          <w:color w:val="auto"/>
        </w:rPr>
      </w:pPr>
      <w:r>
        <w:rPr>
          <w:rFonts w:ascii="Arial" w:cs="Arial" w:eastAsia="Arial" w:hAnsi="Arial"/>
          <w:sz w:val="18"/>
          <w:szCs w:val="18"/>
          <w:color w:val="auto"/>
        </w:rPr>
        <w:t>Under certain circumstances, we have contractual and other legal obligations to indemnify and to incur legal expenses for current and former directors and officers. Additionally, from time to time, we have agreed to indemnify select customers for claims 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79" w:lineRule="exact"/>
        <w:rPr>
          <w:sz w:val="20"/>
          <w:szCs w:val="20"/>
          <w:color w:val="auto"/>
        </w:rPr>
      </w:pPr>
    </w:p>
    <w:p>
      <w:pPr>
        <w:ind w:right="20" w:firstLine="378"/>
        <w:spacing w:after="0" w:line="302" w:lineRule="auto"/>
        <w:rPr>
          <w:sz w:val="20"/>
          <w:szCs w:val="20"/>
          <w:color w:val="auto"/>
        </w:rPr>
      </w:pPr>
      <w:r>
        <w:rPr>
          <w:rFonts w:ascii="Arial" w:cs="Arial" w:eastAsia="Arial" w:hAnsi="Arial"/>
          <w:sz w:val="16"/>
          <w:szCs w:val="16"/>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117" w:lineRule="exact"/>
        <w:rPr>
          <w:sz w:val="20"/>
          <w:szCs w:val="20"/>
          <w:color w:val="auto"/>
        </w:rPr>
      </w:pPr>
    </w:p>
    <w:p>
      <w:pPr>
        <w:ind w:right="60" w:firstLine="378"/>
        <w:spacing w:after="0" w:line="302" w:lineRule="auto"/>
        <w:rPr>
          <w:sz w:val="20"/>
          <w:szCs w:val="20"/>
          <w:color w:val="auto"/>
        </w:rPr>
      </w:pPr>
      <w:r>
        <w:rPr>
          <w:rFonts w:ascii="Arial" w:cs="Arial" w:eastAsia="Arial" w:hAnsi="Arial"/>
          <w:sz w:val="16"/>
          <w:szCs w:val="16"/>
          <w:color w:val="auto"/>
        </w:rPr>
        <w:t>We had approximately $5.5 billion of goodwill on our consolidated balance sheet as of May 4, 2019.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w:t>
      </w:r>
    </w:p>
    <w:p>
      <w:pPr>
        <w:spacing w:after="0" w:line="46" w:lineRule="exact"/>
        <w:rPr>
          <w:sz w:val="20"/>
          <w:szCs w:val="20"/>
          <w:color w:val="auto"/>
        </w:rPr>
      </w:pPr>
    </w:p>
    <w:p>
      <w:pPr>
        <w:ind w:right="20" w:firstLine="378"/>
        <w:spacing w:after="0" w:line="293" w:lineRule="auto"/>
        <w:rPr>
          <w:sz w:val="20"/>
          <w:szCs w:val="20"/>
          <w:color w:val="auto"/>
        </w:rPr>
      </w:pPr>
      <w:r>
        <w:rPr>
          <w:rFonts w:ascii="Arial" w:cs="Arial" w:eastAsia="Arial" w:hAnsi="Arial"/>
          <w:sz w:val="16"/>
          <w:szCs w:val="16"/>
          <w:color w:val="auto"/>
        </w:rPr>
        <w:t>We have identified that our business operates as a single operating segment with two primary components (Storage and Networking),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1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130" w:right="259" w:bottom="1440" w:gutter="0" w:footer="0" w:header="0"/>
        </w:sectPr>
      </w:pPr>
    </w:p>
    <w:bookmarkStart w:id="50" w:name="page51"/>
    <w:bookmarkEnd w:id="5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80" w:firstLine="378"/>
        <w:spacing w:after="0" w:line="257"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80"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were classified as a passive foreign investment company, there would be adverse tax consequences to U.S. holders of our ordinary shares.</w:t>
      </w:r>
    </w:p>
    <w:p>
      <w:pPr>
        <w:spacing w:after="0" w:line="140" w:lineRule="exact"/>
        <w:rPr>
          <w:sz w:val="20"/>
          <w:szCs w:val="20"/>
          <w:color w:val="auto"/>
        </w:rPr>
      </w:pPr>
    </w:p>
    <w:p>
      <w:pPr>
        <w:ind w:right="100" w:firstLine="392"/>
        <w:spacing w:after="0" w:line="302"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46" w:lineRule="exact"/>
        <w:rPr>
          <w:sz w:val="20"/>
          <w:szCs w:val="20"/>
          <w:color w:val="auto"/>
        </w:rPr>
      </w:pPr>
    </w:p>
    <w:p>
      <w:pPr>
        <w:ind w:right="20" w:firstLine="392"/>
        <w:spacing w:after="0" w:line="271" w:lineRule="auto"/>
        <w:rPr>
          <w:sz w:val="20"/>
          <w:szCs w:val="20"/>
          <w:color w:val="auto"/>
        </w:rPr>
      </w:pPr>
      <w:r>
        <w:rPr>
          <w:rFonts w:ascii="Arial" w:cs="Arial" w:eastAsia="Arial" w:hAnsi="Arial"/>
          <w:sz w:val="17"/>
          <w:szCs w:val="17"/>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2018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71"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62" w:lineRule="exact"/>
        <w:rPr>
          <w:sz w:val="20"/>
          <w:szCs w:val="20"/>
          <w:color w:val="auto"/>
        </w:rPr>
      </w:pPr>
    </w:p>
    <w:p>
      <w:pPr>
        <w:ind w:firstLine="378"/>
        <w:spacing w:after="0" w:line="273" w:lineRule="auto"/>
        <w:rPr>
          <w:sz w:val="20"/>
          <w:szCs w:val="20"/>
          <w:color w:val="auto"/>
        </w:rPr>
      </w:pPr>
      <w:r>
        <w:rPr>
          <w:rFonts w:ascii="Arial" w:cs="Arial" w:eastAsia="Arial" w:hAnsi="Arial"/>
          <w:sz w:val="17"/>
          <w:szCs w:val="17"/>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117" w:lineRule="exact"/>
        <w:rPr>
          <w:sz w:val="20"/>
          <w:szCs w:val="20"/>
          <w:color w:val="auto"/>
        </w:rPr>
      </w:pPr>
    </w:p>
    <w:p>
      <w:pPr>
        <w:ind w:left="380"/>
        <w:spacing w:after="0"/>
        <w:rPr>
          <w:sz w:val="20"/>
          <w:szCs w:val="20"/>
          <w:color w:val="auto"/>
        </w:rPr>
      </w:pPr>
      <w:r>
        <w:rPr>
          <w:rFonts w:ascii="Arial" w:cs="Arial" w:eastAsia="Arial" w:hAnsi="Arial"/>
          <w:sz w:val="17"/>
          <w:szCs w:val="17"/>
          <w:color w:val="auto"/>
        </w:rPr>
        <w:t>Our buildings in Santa Clara, California and Shanghai, China subject us to the risks of owning real property, which include, but are not limited to:</w:t>
      </w:r>
    </w:p>
    <w:p>
      <w:pPr>
        <w:spacing w:after="0" w:line="129" w:lineRule="exact"/>
        <w:rPr>
          <w:sz w:val="20"/>
          <w:szCs w:val="20"/>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23" w:lineRule="exact"/>
        <w:rPr>
          <w:rFonts w:ascii="Arial" w:cs="Arial" w:eastAsia="Arial" w:hAnsi="Arial"/>
          <w:sz w:val="18"/>
          <w:szCs w:val="18"/>
          <w:color w:val="auto"/>
        </w:rPr>
      </w:pPr>
    </w:p>
    <w:p>
      <w:pPr>
        <w:ind w:left="820" w:right="20" w:hanging="420"/>
        <w:spacing w:after="0" w:line="250" w:lineRule="auto"/>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9"/>
        </w:numPr>
        <w:rPr>
          <w:rFonts w:ascii="Arial" w:cs="Arial" w:eastAsia="Arial" w:hAnsi="Arial"/>
          <w:sz w:val="17"/>
          <w:szCs w:val="17"/>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20" w:lineRule="exact"/>
        <w:rPr>
          <w:rFonts w:ascii="Arial" w:cs="Arial" w:eastAsia="Arial" w:hAnsi="Arial"/>
          <w:sz w:val="17"/>
          <w:szCs w:val="17"/>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9" w:lineRule="exact"/>
        <w:rPr>
          <w:rFonts w:ascii="Arial" w:cs="Arial" w:eastAsia="Arial" w:hAnsi="Arial"/>
          <w:sz w:val="18"/>
          <w:szCs w:val="18"/>
          <w:color w:val="auto"/>
        </w:rPr>
      </w:pPr>
    </w:p>
    <w:p>
      <w:pPr>
        <w:ind w:left="820" w:right="320" w:hanging="420"/>
        <w:spacing w:after="0" w:line="261" w:lineRule="auto"/>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130" w:right="239" w:bottom="1440" w:gutter="0" w:footer="0" w:header="0"/>
        </w:sectPr>
      </w:pPr>
    </w:p>
    <w:bookmarkStart w:id="51" w:name="page52"/>
    <w:bookmarkEnd w:id="5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Risks Related to Owning Marvell Common Shares</w:t>
      </w:r>
    </w:p>
    <w:p>
      <w:pPr>
        <w:spacing w:after="0" w:line="121" w:lineRule="exact"/>
        <w:rPr>
          <w:sz w:val="20"/>
          <w:szCs w:val="20"/>
          <w:color w:val="auto"/>
        </w:rPr>
      </w:pPr>
    </w:p>
    <w:p>
      <w:pPr>
        <w:ind w:right="260"/>
        <w:spacing w:after="0" w:line="308" w:lineRule="auto"/>
        <w:rPr>
          <w:sz w:val="20"/>
          <w:szCs w:val="20"/>
          <w:color w:val="auto"/>
        </w:rPr>
      </w:pPr>
      <w:r>
        <w:rPr>
          <w:rFonts w:ascii="Arial" w:cs="Arial" w:eastAsia="Arial" w:hAnsi="Arial"/>
          <w:sz w:val="17"/>
          <w:szCs w:val="17"/>
          <w:b w:val="1"/>
          <w:bCs w:val="1"/>
          <w:i w:val="1"/>
          <w:iCs w:val="1"/>
          <w:color w:val="auto"/>
        </w:rPr>
        <w:t>There can be no assurance that we will continue to declare cash dividends or effect share repurchases in any particular amount or at all, and statutory requirements under Bermuda Law may require us to defer payment of declared dividends or suspend share repurchases.</w:t>
      </w:r>
    </w:p>
    <w:p>
      <w:pPr>
        <w:spacing w:after="0" w:line="38" w:lineRule="exact"/>
        <w:rPr>
          <w:sz w:val="20"/>
          <w:szCs w:val="20"/>
          <w:color w:val="auto"/>
        </w:rPr>
      </w:pPr>
    </w:p>
    <w:p>
      <w:pPr>
        <w:ind w:right="20" w:firstLine="378"/>
        <w:spacing w:after="0" w:line="271" w:lineRule="auto"/>
        <w:rPr>
          <w:sz w:val="20"/>
          <w:szCs w:val="20"/>
          <w:color w:val="auto"/>
        </w:rPr>
      </w:pPr>
      <w:r>
        <w:rPr>
          <w:rFonts w:ascii="Arial" w:cs="Arial" w:eastAsia="Arial" w:hAnsi="Arial"/>
          <w:sz w:val="17"/>
          <w:szCs w:val="17"/>
          <w:color w:val="auto"/>
        </w:rPr>
        <w:t>In May 2012, we declared our first quarterly cash dividend and in October 2018, we announced that our board of directors had authorized a $700 million addition to our previously existing $1 billion share repurchase program. An aggregate of $796 million of shares have been repurchased under that program as of May 4, 2019. Future payment of a regular quarterly cash dividend on our common shares and future share repurchases will be subject to, among other things: the best interests of our company and our shareholders; our results of operations, cash balances and future cash requirements; financial condition; developments in ongoing litigation; statutory requirements under Bermuda law; market conditions; and other factors that the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w:t>
      </w:r>
    </w:p>
    <w:p>
      <w:pPr>
        <w:spacing w:after="0" w:line="71" w:lineRule="exact"/>
        <w:rPr>
          <w:sz w:val="20"/>
          <w:szCs w:val="20"/>
          <w:color w:val="auto"/>
        </w:rPr>
      </w:pPr>
    </w:p>
    <w:p>
      <w:pPr>
        <w:jc w:val="both"/>
        <w:ind w:right="160"/>
        <w:spacing w:after="0" w:line="312"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39" w:lineRule="exact"/>
        <w:rPr>
          <w:sz w:val="20"/>
          <w:szCs w:val="20"/>
          <w:color w:val="auto"/>
        </w:rPr>
      </w:pPr>
    </w:p>
    <w:p>
      <w:pPr>
        <w:ind w:right="20" w:firstLine="378"/>
        <w:spacing w:after="0" w:line="291"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59" w:lineRule="exact"/>
        <w:rPr>
          <w:sz w:val="20"/>
          <w:szCs w:val="20"/>
          <w:color w:val="auto"/>
        </w:rPr>
      </w:pPr>
    </w:p>
    <w:p>
      <w:pPr>
        <w:ind w:firstLine="378"/>
        <w:spacing w:after="0" w:line="271" w:lineRule="auto"/>
        <w:rPr>
          <w:sz w:val="20"/>
          <w:szCs w:val="20"/>
          <w:color w:val="auto"/>
        </w:rPr>
      </w:pPr>
      <w:r>
        <w:rPr>
          <w:rFonts w:ascii="Arial" w:cs="Arial" w:eastAsia="Arial" w:hAnsi="Arial"/>
          <w:sz w:val="17"/>
          <w:szCs w:val="17"/>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71"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62" w:lineRule="exact"/>
        <w:rPr>
          <w:sz w:val="20"/>
          <w:szCs w:val="20"/>
          <w:color w:val="auto"/>
        </w:rPr>
      </w:pPr>
    </w:p>
    <w:p>
      <w:pPr>
        <w:ind w:left="380"/>
        <w:spacing w:after="0"/>
        <w:rPr>
          <w:sz w:val="20"/>
          <w:szCs w:val="20"/>
          <w:color w:val="auto"/>
        </w:rPr>
      </w:pPr>
      <w:r>
        <w:rPr>
          <w:rFonts w:ascii="Arial" w:cs="Arial" w:eastAsia="Arial" w:hAnsi="Arial"/>
          <w:sz w:val="16"/>
          <w:szCs w:val="16"/>
          <w:color w:val="auto"/>
        </w:rPr>
        <w:t>Our Bye-Laws contain change in corporate control provisions, which include authorizing the issuance of preferred shares without shareholder approval.</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This provision could make it more difficult for a third party to acquire us, even if doing so would benefit our shareholders.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130" w:right="239" w:bottom="1440" w:gutter="0" w:footer="0" w:header="0"/>
        </w:sectPr>
      </w:pPr>
    </w:p>
    <w:bookmarkStart w:id="52" w:name="page53"/>
    <w:bookmarkEnd w:id="5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There were no sales of unregistered equity securities during the three months ended May 4, 2019.</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following table presents details of our share repurchases during the three months ended May 4, 2019 (in thousands, except per share data):</w:t>
      </w:r>
    </w:p>
    <w:p>
      <w:pPr>
        <w:spacing w:after="0" w:line="35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4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380" w:type="dxa"/>
            <w:vAlign w:val="bottom"/>
          </w:tcPr>
          <w:p>
            <w:pPr>
              <w:jc w:val="center"/>
              <w:spacing w:after="0"/>
              <w:rPr>
                <w:sz w:val="20"/>
                <w:szCs w:val="20"/>
                <w:color w:val="auto"/>
              </w:rPr>
            </w:pPr>
            <w:r>
              <w:rPr>
                <w:rFonts w:ascii="Arial" w:cs="Arial" w:eastAsia="Arial" w:hAnsi="Arial"/>
                <w:sz w:val="14"/>
                <w:szCs w:val="14"/>
                <w:b w:val="1"/>
                <w:bCs w:val="1"/>
                <w:color w:val="auto"/>
                <w:w w:val="92"/>
              </w:rPr>
              <w:t>Total Number of Shares</w:t>
            </w: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0" w:type="dxa"/>
            <w:vAlign w:val="bottom"/>
          </w:tcPr>
          <w:p>
            <w:pPr>
              <w:jc w:val="center"/>
              <w:ind w:right="99"/>
              <w:spacing w:after="0"/>
              <w:rPr>
                <w:sz w:val="20"/>
                <w:szCs w:val="20"/>
                <w:color w:val="auto"/>
              </w:rPr>
            </w:pPr>
            <w:r>
              <w:rPr>
                <w:rFonts w:ascii="Arial" w:cs="Arial" w:eastAsia="Arial" w:hAnsi="Arial"/>
                <w:sz w:val="14"/>
                <w:szCs w:val="14"/>
                <w:b w:val="1"/>
                <w:bCs w:val="1"/>
                <w:color w:val="auto"/>
                <w:w w:val="94"/>
              </w:rPr>
              <w:t>Approximate Dollar Value of</w:t>
            </w:r>
          </w:p>
        </w:tc>
        <w:tc>
          <w:tcPr>
            <w:tcW w:w="0" w:type="dxa"/>
            <w:vAlign w:val="bottom"/>
          </w:tcPr>
          <w:p>
            <w:pPr>
              <w:spacing w:after="0"/>
              <w:rPr>
                <w:sz w:val="1"/>
                <w:szCs w:val="1"/>
                <w:color w:val="auto"/>
              </w:rPr>
            </w:pPr>
          </w:p>
        </w:tc>
      </w:tr>
      <w:tr>
        <w:trPr>
          <w:trHeight w:val="149"/>
        </w:trPr>
        <w:tc>
          <w:tcPr>
            <w:tcW w:w="3440" w:type="dxa"/>
            <w:vAlign w:val="bottom"/>
          </w:tcPr>
          <w:p>
            <w:pPr>
              <w:spacing w:after="0"/>
              <w:rPr>
                <w:sz w:val="12"/>
                <w:szCs w:val="12"/>
                <w:color w:val="auto"/>
              </w:rPr>
            </w:pPr>
          </w:p>
        </w:tc>
        <w:tc>
          <w:tcPr>
            <w:tcW w:w="1500" w:type="dxa"/>
            <w:vAlign w:val="bottom"/>
            <w:vMerge w:val="restart"/>
          </w:tcPr>
          <w:p>
            <w:pPr>
              <w:jc w:val="right"/>
              <w:ind w:right="156"/>
              <w:spacing w:after="0"/>
              <w:rPr>
                <w:sz w:val="20"/>
                <w:szCs w:val="20"/>
                <w:color w:val="auto"/>
              </w:rPr>
            </w:pPr>
            <w:r>
              <w:rPr>
                <w:rFonts w:ascii="Arial" w:cs="Arial" w:eastAsia="Arial" w:hAnsi="Arial"/>
                <w:sz w:val="14"/>
                <w:szCs w:val="14"/>
                <w:b w:val="1"/>
                <w:bCs w:val="1"/>
                <w:color w:val="auto"/>
              </w:rPr>
              <w:t>Total Number of</w:t>
            </w: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0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Average Price</w:t>
            </w:r>
          </w:p>
        </w:tc>
        <w:tc>
          <w:tcPr>
            <w:tcW w:w="2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Purchased as Part of</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0" w:type="dxa"/>
            <w:vAlign w:val="bottom"/>
          </w:tcPr>
          <w:p>
            <w:pPr>
              <w:jc w:val="center"/>
              <w:ind w:right="119"/>
              <w:spacing w:after="0" w:line="149" w:lineRule="exact"/>
              <w:rPr>
                <w:sz w:val="20"/>
                <w:szCs w:val="20"/>
                <w:color w:val="auto"/>
              </w:rPr>
            </w:pPr>
            <w:r>
              <w:rPr>
                <w:rFonts w:ascii="Arial" w:cs="Arial" w:eastAsia="Arial" w:hAnsi="Arial"/>
                <w:sz w:val="14"/>
                <w:szCs w:val="14"/>
                <w:b w:val="1"/>
                <w:bCs w:val="1"/>
                <w:color w:val="auto"/>
                <w:w w:val="92"/>
              </w:rPr>
              <w:t>Shares that May Yet Be</w:t>
            </w:r>
          </w:p>
        </w:tc>
        <w:tc>
          <w:tcPr>
            <w:tcW w:w="0" w:type="dxa"/>
            <w:vAlign w:val="bottom"/>
          </w:tcPr>
          <w:p>
            <w:pPr>
              <w:spacing w:after="0"/>
              <w:rPr>
                <w:sz w:val="1"/>
                <w:szCs w:val="1"/>
                <w:color w:val="auto"/>
              </w:rPr>
            </w:pPr>
          </w:p>
        </w:tc>
      </w:tr>
      <w:tr>
        <w:trPr>
          <w:trHeight w:val="149"/>
        </w:trPr>
        <w:tc>
          <w:tcPr>
            <w:tcW w:w="3440" w:type="dxa"/>
            <w:vAlign w:val="bottom"/>
            <w:vMerge w:val="restart"/>
          </w:tcPr>
          <w:p>
            <w:pPr>
              <w:ind w:left="40"/>
              <w:spacing w:after="0"/>
              <w:rPr>
                <w:sz w:val="20"/>
                <w:szCs w:val="20"/>
                <w:color w:val="auto"/>
              </w:rPr>
            </w:pPr>
            <w:r>
              <w:rPr>
                <w:rFonts w:ascii="Arial" w:cs="Arial" w:eastAsia="Arial" w:hAnsi="Arial"/>
                <w:sz w:val="14"/>
                <w:szCs w:val="14"/>
                <w:b w:val="1"/>
                <w:bCs w:val="1"/>
                <w:color w:val="auto"/>
              </w:rPr>
              <w:t>Period (1)</w:t>
            </w:r>
          </w:p>
        </w:tc>
        <w:tc>
          <w:tcPr>
            <w:tcW w:w="150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00" w:type="dxa"/>
            <w:vAlign w:val="bottom"/>
            <w:gridSpan w:val="2"/>
            <w:vMerge w:val="continue"/>
          </w:tcPr>
          <w:p>
            <w:pPr>
              <w:spacing w:after="0"/>
              <w:rPr>
                <w:sz w:val="12"/>
                <w:szCs w:val="12"/>
                <w:color w:val="auto"/>
              </w:rPr>
            </w:pPr>
          </w:p>
        </w:tc>
        <w:tc>
          <w:tcPr>
            <w:tcW w:w="2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Publicly Announced Plans or</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0" w:type="dxa"/>
            <w:vAlign w:val="bottom"/>
          </w:tcPr>
          <w:p>
            <w:pPr>
              <w:jc w:val="center"/>
              <w:ind w:right="119"/>
              <w:spacing w:after="0" w:line="149" w:lineRule="exact"/>
              <w:rPr>
                <w:sz w:val="20"/>
                <w:szCs w:val="20"/>
                <w:color w:val="auto"/>
              </w:rPr>
            </w:pPr>
            <w:r>
              <w:rPr>
                <w:rFonts w:ascii="Arial" w:cs="Arial" w:eastAsia="Arial" w:hAnsi="Arial"/>
                <w:sz w:val="14"/>
                <w:szCs w:val="14"/>
                <w:b w:val="1"/>
                <w:bCs w:val="1"/>
                <w:color w:val="auto"/>
                <w:w w:val="92"/>
              </w:rPr>
              <w:t>Purchased Under the Plans or</w:t>
            </w:r>
          </w:p>
        </w:tc>
        <w:tc>
          <w:tcPr>
            <w:tcW w:w="0" w:type="dxa"/>
            <w:vAlign w:val="bottom"/>
          </w:tcPr>
          <w:p>
            <w:pPr>
              <w:spacing w:after="0"/>
              <w:rPr>
                <w:sz w:val="1"/>
                <w:szCs w:val="1"/>
                <w:color w:val="auto"/>
              </w:rPr>
            </w:pPr>
          </w:p>
        </w:tc>
      </w:tr>
      <w:tr>
        <w:trPr>
          <w:trHeight w:val="192"/>
        </w:trPr>
        <w:tc>
          <w:tcPr>
            <w:tcW w:w="3440" w:type="dxa"/>
            <w:vAlign w:val="bottom"/>
            <w:tcBorders>
              <w:bottom w:val="single" w:sz="8" w:color="CCEEFF"/>
            </w:tcBorders>
            <w:vMerge w:val="continue"/>
          </w:tcPr>
          <w:p>
            <w:pPr>
              <w:spacing w:after="0"/>
              <w:rPr>
                <w:sz w:val="16"/>
                <w:szCs w:val="16"/>
                <w:color w:val="auto"/>
              </w:rPr>
            </w:pPr>
          </w:p>
        </w:tc>
        <w:tc>
          <w:tcPr>
            <w:tcW w:w="150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Shares Purchased</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5"/>
              </w:rPr>
              <w:t>Paid per Share</w:t>
            </w:r>
          </w:p>
        </w:tc>
        <w:tc>
          <w:tcPr>
            <w:tcW w:w="120" w:type="dxa"/>
            <w:vAlign w:val="bottom"/>
            <w:tcBorders>
              <w:bottom w:val="single" w:sz="8" w:color="CCEEFF"/>
            </w:tcBorders>
          </w:tcPr>
          <w:p>
            <w:pPr>
              <w:spacing w:after="0"/>
              <w:rPr>
                <w:sz w:val="16"/>
                <w:szCs w:val="16"/>
                <w:color w:val="auto"/>
              </w:rPr>
            </w:pPr>
          </w:p>
        </w:tc>
        <w:tc>
          <w:tcPr>
            <w:tcW w:w="23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Programs</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200" w:type="dxa"/>
            <w:vAlign w:val="bottom"/>
            <w:tcBorders>
              <w:bottom w:val="single" w:sz="8" w:color="auto"/>
            </w:tcBorders>
          </w:tcPr>
          <w:p>
            <w:pPr>
              <w:jc w:val="center"/>
              <w:ind w:right="119"/>
              <w:spacing w:after="0"/>
              <w:rPr>
                <w:sz w:val="20"/>
                <w:szCs w:val="20"/>
                <w:color w:val="auto"/>
              </w:rPr>
            </w:pPr>
            <w:r>
              <w:rPr>
                <w:rFonts w:ascii="Arial" w:cs="Arial" w:eastAsia="Arial" w:hAnsi="Arial"/>
                <w:sz w:val="14"/>
                <w:szCs w:val="14"/>
                <w:b w:val="1"/>
                <w:bCs w:val="1"/>
                <w:color w:val="auto"/>
                <w:w w:val="92"/>
              </w:rPr>
              <w:t>Programs (2)</w:t>
            </w:r>
          </w:p>
        </w:tc>
        <w:tc>
          <w:tcPr>
            <w:tcW w:w="0" w:type="dxa"/>
            <w:vAlign w:val="bottom"/>
          </w:tcPr>
          <w:p>
            <w:pPr>
              <w:spacing w:after="0"/>
              <w:rPr>
                <w:sz w:val="1"/>
                <w:szCs w:val="1"/>
                <w:color w:val="auto"/>
              </w:rPr>
            </w:pPr>
          </w:p>
        </w:tc>
      </w:tr>
      <w:tr>
        <w:trPr>
          <w:trHeight w:val="250"/>
        </w:trPr>
        <w:tc>
          <w:tcPr>
            <w:tcW w:w="3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February 3, 2019 - March 2, 2019</w:t>
            </w:r>
          </w:p>
        </w:tc>
        <w:tc>
          <w:tcPr>
            <w:tcW w:w="15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38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22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953,982</w:t>
            </w:r>
          </w:p>
        </w:tc>
        <w:tc>
          <w:tcPr>
            <w:tcW w:w="0" w:type="dxa"/>
            <w:vAlign w:val="bottom"/>
          </w:tcPr>
          <w:p>
            <w:pPr>
              <w:spacing w:after="0"/>
              <w:rPr>
                <w:sz w:val="1"/>
                <w:szCs w:val="1"/>
                <w:color w:val="auto"/>
              </w:rPr>
            </w:pPr>
          </w:p>
        </w:tc>
      </w:tr>
      <w:tr>
        <w:trPr>
          <w:trHeight w:val="243"/>
        </w:trPr>
        <w:tc>
          <w:tcPr>
            <w:tcW w:w="3440" w:type="dxa"/>
            <w:vAlign w:val="bottom"/>
          </w:tcPr>
          <w:p>
            <w:pPr>
              <w:ind w:left="40"/>
              <w:spacing w:after="0"/>
              <w:rPr>
                <w:sz w:val="20"/>
                <w:szCs w:val="20"/>
                <w:color w:val="auto"/>
              </w:rPr>
            </w:pPr>
            <w:r>
              <w:rPr>
                <w:rFonts w:ascii="Arial" w:cs="Arial" w:eastAsia="Arial" w:hAnsi="Arial"/>
                <w:sz w:val="18"/>
                <w:szCs w:val="18"/>
                <w:color w:val="auto"/>
              </w:rPr>
              <w:t>March 3, 2019 - March 30, 2019</w:t>
            </w:r>
          </w:p>
        </w:tc>
        <w:tc>
          <w:tcPr>
            <w:tcW w:w="1500" w:type="dxa"/>
            <w:vAlign w:val="bottom"/>
          </w:tcPr>
          <w:p>
            <w:pPr>
              <w:jc w:val="right"/>
              <w:ind w:right="36"/>
              <w:spacing w:after="0"/>
              <w:rPr>
                <w:sz w:val="20"/>
                <w:szCs w:val="20"/>
                <w:color w:val="auto"/>
              </w:rPr>
            </w:pPr>
            <w:r>
              <w:rPr>
                <w:rFonts w:ascii="Arial" w:cs="Arial" w:eastAsia="Arial" w:hAnsi="Arial"/>
                <w:sz w:val="18"/>
                <w:szCs w:val="18"/>
                <w:color w:val="auto"/>
              </w:rPr>
              <w:t>1,434</w:t>
            </w:r>
          </w:p>
        </w:tc>
        <w:tc>
          <w:tcPr>
            <w:tcW w:w="30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6"/>
              <w:spacing w:after="0"/>
              <w:rPr>
                <w:sz w:val="20"/>
                <w:szCs w:val="20"/>
                <w:color w:val="auto"/>
              </w:rPr>
            </w:pPr>
            <w:r>
              <w:rPr>
                <w:rFonts w:ascii="Arial" w:cs="Arial" w:eastAsia="Arial" w:hAnsi="Arial"/>
                <w:sz w:val="18"/>
                <w:szCs w:val="18"/>
                <w:color w:val="auto"/>
              </w:rPr>
              <w:t>19.83</w:t>
            </w:r>
          </w:p>
        </w:tc>
        <w:tc>
          <w:tcPr>
            <w:tcW w:w="120" w:type="dxa"/>
            <w:vAlign w:val="bottom"/>
          </w:tcPr>
          <w:p>
            <w:pPr>
              <w:spacing w:after="0"/>
              <w:rPr>
                <w:sz w:val="21"/>
                <w:szCs w:val="21"/>
                <w:color w:val="auto"/>
              </w:rPr>
            </w:pPr>
          </w:p>
        </w:tc>
        <w:tc>
          <w:tcPr>
            <w:tcW w:w="2380" w:type="dxa"/>
            <w:vAlign w:val="bottom"/>
          </w:tcPr>
          <w:p>
            <w:pPr>
              <w:jc w:val="right"/>
              <w:ind w:right="19"/>
              <w:spacing w:after="0"/>
              <w:rPr>
                <w:sz w:val="20"/>
                <w:szCs w:val="20"/>
                <w:color w:val="auto"/>
              </w:rPr>
            </w:pPr>
            <w:r>
              <w:rPr>
                <w:rFonts w:ascii="Arial" w:cs="Arial" w:eastAsia="Arial" w:hAnsi="Arial"/>
                <w:sz w:val="18"/>
                <w:szCs w:val="18"/>
                <w:color w:val="auto"/>
              </w:rPr>
              <w:t>1,434</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200" w:type="dxa"/>
            <w:vAlign w:val="bottom"/>
          </w:tcPr>
          <w:p>
            <w:pPr>
              <w:jc w:val="right"/>
              <w:ind w:right="19"/>
              <w:spacing w:after="0"/>
              <w:rPr>
                <w:sz w:val="20"/>
                <w:szCs w:val="20"/>
                <w:color w:val="auto"/>
              </w:rPr>
            </w:pPr>
            <w:r>
              <w:rPr>
                <w:rFonts w:ascii="Arial" w:cs="Arial" w:eastAsia="Arial" w:hAnsi="Arial"/>
                <w:sz w:val="18"/>
                <w:szCs w:val="18"/>
                <w:color w:val="auto"/>
              </w:rPr>
              <w:t>925,537</w:t>
            </w:r>
          </w:p>
        </w:tc>
        <w:tc>
          <w:tcPr>
            <w:tcW w:w="0" w:type="dxa"/>
            <w:vAlign w:val="bottom"/>
          </w:tcPr>
          <w:p>
            <w:pPr>
              <w:spacing w:after="0"/>
              <w:rPr>
                <w:sz w:val="1"/>
                <w:szCs w:val="1"/>
                <w:color w:val="auto"/>
              </w:rPr>
            </w:pPr>
          </w:p>
        </w:tc>
      </w:tr>
      <w:tr>
        <w:trPr>
          <w:trHeight w:val="27"/>
        </w:trPr>
        <w:tc>
          <w:tcPr>
            <w:tcW w:w="344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March 31, 2019 - May 4, 2019</w:t>
            </w:r>
          </w:p>
        </w:tc>
        <w:tc>
          <w:tcPr>
            <w:tcW w:w="15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925</w:t>
            </w:r>
          </w:p>
        </w:tc>
        <w:tc>
          <w:tcPr>
            <w:tcW w:w="30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23.34</w:t>
            </w:r>
          </w:p>
        </w:tc>
        <w:tc>
          <w:tcPr>
            <w:tcW w:w="120" w:type="dxa"/>
            <w:vAlign w:val="bottom"/>
            <w:tcBorders>
              <w:bottom w:val="single" w:sz="8" w:color="CCEEFF"/>
            </w:tcBorders>
            <w:shd w:val="clear" w:color="auto" w:fill="CCEEFF"/>
          </w:tcPr>
          <w:p>
            <w:pPr>
              <w:spacing w:after="0"/>
              <w:rPr>
                <w:sz w:val="23"/>
                <w:szCs w:val="23"/>
                <w:color w:val="auto"/>
              </w:rPr>
            </w:pPr>
          </w:p>
        </w:tc>
        <w:tc>
          <w:tcPr>
            <w:tcW w:w="238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925</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22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903,959</w:t>
            </w:r>
          </w:p>
        </w:tc>
        <w:tc>
          <w:tcPr>
            <w:tcW w:w="0" w:type="dxa"/>
            <w:vAlign w:val="bottom"/>
          </w:tcPr>
          <w:p>
            <w:pPr>
              <w:spacing w:after="0"/>
              <w:rPr>
                <w:sz w:val="1"/>
                <w:szCs w:val="1"/>
                <w:color w:val="auto"/>
              </w:rPr>
            </w:pPr>
          </w:p>
        </w:tc>
      </w:tr>
      <w:tr>
        <w:trPr>
          <w:trHeight w:val="257"/>
        </w:trPr>
        <w:tc>
          <w:tcPr>
            <w:tcW w:w="3440" w:type="dxa"/>
            <w:vAlign w:val="bottom"/>
          </w:tcPr>
          <w:p>
            <w:pPr>
              <w:ind w:left="40"/>
              <w:spacing w:after="0"/>
              <w:rPr>
                <w:sz w:val="20"/>
                <w:szCs w:val="20"/>
                <w:color w:val="auto"/>
              </w:rPr>
            </w:pPr>
            <w:r>
              <w:rPr>
                <w:rFonts w:ascii="Arial" w:cs="Arial" w:eastAsia="Arial" w:hAnsi="Arial"/>
                <w:sz w:val="18"/>
                <w:szCs w:val="18"/>
                <w:color w:val="auto"/>
              </w:rPr>
              <w:t>Total</w:t>
            </w:r>
          </w:p>
        </w:tc>
        <w:tc>
          <w:tcPr>
            <w:tcW w:w="1500" w:type="dxa"/>
            <w:vAlign w:val="bottom"/>
            <w:tcBorders>
              <w:top w:val="single" w:sz="8" w:color="auto"/>
              <w:bottom w:val="single" w:sz="8" w:color="auto"/>
            </w:tcBorders>
          </w:tcPr>
          <w:p>
            <w:pPr>
              <w:jc w:val="right"/>
              <w:ind w:right="36"/>
              <w:spacing w:after="0"/>
              <w:rPr>
                <w:sz w:val="20"/>
                <w:szCs w:val="20"/>
                <w:color w:val="auto"/>
              </w:rPr>
            </w:pPr>
            <w:r>
              <w:rPr>
                <w:rFonts w:ascii="Arial" w:cs="Arial" w:eastAsia="Arial" w:hAnsi="Arial"/>
                <w:sz w:val="18"/>
                <w:szCs w:val="18"/>
                <w:color w:val="auto"/>
              </w:rPr>
              <w:t>2,359</w:t>
            </w:r>
          </w:p>
        </w:tc>
        <w:tc>
          <w:tcPr>
            <w:tcW w:w="30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6"/>
              <w:spacing w:after="0"/>
              <w:rPr>
                <w:sz w:val="20"/>
                <w:szCs w:val="20"/>
                <w:color w:val="auto"/>
              </w:rPr>
            </w:pPr>
            <w:r>
              <w:rPr>
                <w:rFonts w:ascii="Arial" w:cs="Arial" w:eastAsia="Arial" w:hAnsi="Arial"/>
                <w:sz w:val="18"/>
                <w:szCs w:val="18"/>
                <w:color w:val="auto"/>
              </w:rPr>
              <w:t>21.20</w:t>
            </w:r>
          </w:p>
        </w:tc>
        <w:tc>
          <w:tcPr>
            <w:tcW w:w="120" w:type="dxa"/>
            <w:vAlign w:val="bottom"/>
          </w:tcPr>
          <w:p>
            <w:pPr>
              <w:spacing w:after="0"/>
              <w:rPr>
                <w:sz w:val="22"/>
                <w:szCs w:val="22"/>
                <w:color w:val="auto"/>
              </w:rPr>
            </w:pPr>
          </w:p>
        </w:tc>
        <w:tc>
          <w:tcPr>
            <w:tcW w:w="238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8"/>
                <w:szCs w:val="18"/>
                <w:color w:val="auto"/>
              </w:rPr>
              <w:t>2,359</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200" w:type="dxa"/>
            <w:vAlign w:val="bottom"/>
          </w:tcPr>
          <w:p>
            <w:pPr>
              <w:jc w:val="right"/>
              <w:ind w:right="19"/>
              <w:spacing w:after="0"/>
              <w:rPr>
                <w:sz w:val="20"/>
                <w:szCs w:val="20"/>
                <w:color w:val="auto"/>
              </w:rPr>
            </w:pPr>
            <w:r>
              <w:rPr>
                <w:rFonts w:ascii="Arial" w:cs="Arial" w:eastAsia="Arial" w:hAnsi="Arial"/>
                <w:sz w:val="18"/>
                <w:szCs w:val="18"/>
                <w:color w:val="auto"/>
              </w:rPr>
              <w:t>903,959</w:t>
            </w:r>
          </w:p>
        </w:tc>
        <w:tc>
          <w:tcPr>
            <w:tcW w:w="0" w:type="dxa"/>
            <w:vAlign w:val="bottom"/>
          </w:tcPr>
          <w:p>
            <w:pPr>
              <w:spacing w:after="0"/>
              <w:rPr>
                <w:sz w:val="1"/>
                <w:szCs w:val="1"/>
                <w:color w:val="auto"/>
              </w:rPr>
            </w:pPr>
          </w:p>
        </w:tc>
      </w:tr>
      <w:tr>
        <w:trPr>
          <w:trHeight w:val="20"/>
        </w:trPr>
        <w:tc>
          <w:tcPr>
            <w:tcW w:w="344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75" w:lineRule="exact"/>
        <w:rPr>
          <w:sz w:val="20"/>
          <w:szCs w:val="20"/>
          <w:color w:val="auto"/>
        </w:rPr>
      </w:pPr>
    </w:p>
    <w:p>
      <w:pPr>
        <w:ind w:left="660" w:right="180" w:hanging="652"/>
        <w:spacing w:after="0" w:line="258" w:lineRule="auto"/>
        <w:tabs>
          <w:tab w:leader="none" w:pos="6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monthly periods presented above for the three months ended May 4, 2019, are based on our fiscal accounting periods which follow a quarterly 4-4-5 week fiscal accounting period.</w:t>
      </w:r>
    </w:p>
    <w:p>
      <w:pPr>
        <w:spacing w:after="0" w:line="1" w:lineRule="exact"/>
        <w:rPr>
          <w:rFonts w:ascii="Arial" w:cs="Arial" w:eastAsia="Arial" w:hAnsi="Arial"/>
          <w:sz w:val="18"/>
          <w:szCs w:val="18"/>
          <w:color w:val="auto"/>
        </w:rPr>
      </w:pPr>
    </w:p>
    <w:p>
      <w:pPr>
        <w:ind w:left="660" w:right="200" w:hanging="652"/>
        <w:spacing w:after="0" w:line="269" w:lineRule="auto"/>
        <w:tabs>
          <w:tab w:leader="none" w:pos="660" w:val="left"/>
        </w:tabs>
        <w:numPr>
          <w:ilvl w:val="0"/>
          <w:numId w:val="20"/>
        </w:numPr>
        <w:rPr>
          <w:rFonts w:ascii="Arial" w:cs="Arial" w:eastAsia="Arial" w:hAnsi="Arial"/>
          <w:sz w:val="17"/>
          <w:szCs w:val="17"/>
          <w:color w:val="auto"/>
        </w:rPr>
      </w:pPr>
      <w:r>
        <w:rPr>
          <w:rFonts w:ascii="Arial" w:cs="Arial" w:eastAsia="Arial" w:hAnsi="Arial"/>
          <w:sz w:val="17"/>
          <w:szCs w:val="17"/>
          <w:color w:val="auto"/>
        </w:rPr>
        <w:t>On November 17, 2016, we announced that our Board of Directors had authorized a $1 billion share repurchase plan. On October 16, 2018, we announced that our Board of Directors authorized a $700 million addition to the balance of our existing share repurchase plan. Our existing share repurchase program had approximately $304 million of repurchase authority remaining as of October 16, 2018 prior to the approved addition.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200" w:lineRule="exact"/>
        <w:rPr>
          <w:sz w:val="20"/>
          <w:szCs w:val="20"/>
          <w:color w:val="auto"/>
        </w:rPr>
      </w:pP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130" w:right="239" w:bottom="1440" w:gutter="0" w:footer="0" w:header="0"/>
        </w:sectPr>
      </w:pPr>
    </w:p>
    <w:bookmarkStart w:id="53" w:name="page54"/>
    <w:bookmarkEnd w:id="5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6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60" w:type="dxa"/>
            <w:vAlign w:val="bottom"/>
            <w:gridSpan w:val="2"/>
          </w:tcPr>
          <w:p>
            <w:pPr>
              <w:ind w:left="220"/>
              <w:spacing w:after="0"/>
              <w:rPr>
                <w:sz w:val="20"/>
                <w:szCs w:val="20"/>
                <w:color w:val="auto"/>
              </w:rPr>
            </w:pPr>
            <w:r>
              <w:rPr>
                <w:rFonts w:ascii="Arial" w:cs="Arial" w:eastAsia="Arial" w:hAnsi="Arial"/>
                <w:sz w:val="14"/>
                <w:szCs w:val="14"/>
                <w:color w:val="auto"/>
              </w:rPr>
              <w:t>Incorporated by</w:t>
            </w:r>
          </w:p>
        </w:tc>
        <w:tc>
          <w:tcPr>
            <w:tcW w:w="1480" w:type="dxa"/>
            <w:vAlign w:val="bottom"/>
          </w:tcPr>
          <w:p>
            <w:pPr>
              <w:spacing w:after="0"/>
              <w:rPr>
                <w:sz w:val="14"/>
                <w:szCs w:val="14"/>
                <w:color w:val="auto"/>
              </w:rPr>
            </w:pPr>
          </w:p>
        </w:tc>
      </w:tr>
      <w:tr>
        <w:trPr>
          <w:trHeight w:val="149"/>
        </w:trPr>
        <w:tc>
          <w:tcPr>
            <w:tcW w:w="9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4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60" w:type="dxa"/>
            <w:vAlign w:val="bottom"/>
            <w:gridSpan w:val="2"/>
          </w:tcPr>
          <w:p>
            <w:pPr>
              <w:ind w:left="220"/>
              <w:spacing w:after="0" w:line="149" w:lineRule="exact"/>
              <w:rPr>
                <w:sz w:val="20"/>
                <w:szCs w:val="20"/>
                <w:color w:val="auto"/>
              </w:rPr>
            </w:pPr>
            <w:r>
              <w:rPr>
                <w:rFonts w:ascii="Arial" w:cs="Arial" w:eastAsia="Arial" w:hAnsi="Arial"/>
                <w:sz w:val="14"/>
                <w:szCs w:val="14"/>
                <w:color w:val="auto"/>
              </w:rPr>
              <w:t>Reference from</w:t>
            </w:r>
          </w:p>
        </w:tc>
        <w:tc>
          <w:tcPr>
            <w:tcW w:w="1480" w:type="dxa"/>
            <w:vAlign w:val="bottom"/>
          </w:tcPr>
          <w:p>
            <w:pPr>
              <w:spacing w:after="0"/>
              <w:rPr>
                <w:sz w:val="12"/>
                <w:szCs w:val="12"/>
                <w:color w:val="auto"/>
              </w:rPr>
            </w:pPr>
          </w:p>
        </w:tc>
      </w:tr>
      <w:tr>
        <w:trPr>
          <w:trHeight w:val="188"/>
        </w:trPr>
        <w:tc>
          <w:tcPr>
            <w:tcW w:w="920" w:type="dxa"/>
            <w:vAlign w:val="bottom"/>
            <w:tcBorders>
              <w:bottom w:val="single" w:sz="8" w:color="auto"/>
            </w:tcBorders>
          </w:tcPr>
          <w:p>
            <w:pPr>
              <w:ind w:left="140"/>
              <w:spacing w:after="0"/>
              <w:rPr>
                <w:sz w:val="20"/>
                <w:szCs w:val="20"/>
                <w:color w:val="auto"/>
              </w:rPr>
            </w:pPr>
            <w:r>
              <w:rPr>
                <w:rFonts w:ascii="Arial" w:cs="Arial" w:eastAsia="Arial" w:hAnsi="Arial"/>
                <w:sz w:val="14"/>
                <w:szCs w:val="14"/>
                <w:color w:val="auto"/>
              </w:rPr>
              <w:t>Exhibit No.</w:t>
            </w:r>
          </w:p>
        </w:tc>
        <w:tc>
          <w:tcPr>
            <w:tcW w:w="120" w:type="dxa"/>
            <w:vAlign w:val="bottom"/>
          </w:tcPr>
          <w:p>
            <w:pPr>
              <w:spacing w:after="0"/>
              <w:rPr>
                <w:sz w:val="16"/>
                <w:szCs w:val="16"/>
                <w:color w:val="auto"/>
              </w:rPr>
            </w:pPr>
          </w:p>
        </w:tc>
        <w:tc>
          <w:tcPr>
            <w:tcW w:w="40" w:type="dxa"/>
            <w:vAlign w:val="bottom"/>
            <w:tcBorders>
              <w:bottom w:val="single" w:sz="8" w:color="auto"/>
            </w:tcBorders>
          </w:tcPr>
          <w:p>
            <w:pPr>
              <w:spacing w:after="0"/>
              <w:rPr>
                <w:sz w:val="16"/>
                <w:szCs w:val="16"/>
                <w:color w:val="auto"/>
              </w:rPr>
            </w:pPr>
          </w:p>
        </w:tc>
        <w:tc>
          <w:tcPr>
            <w:tcW w:w="520" w:type="dxa"/>
            <w:vAlign w:val="bottom"/>
            <w:tcBorders>
              <w:bottom w:val="single" w:sz="8" w:color="auto"/>
            </w:tcBorders>
          </w:tcPr>
          <w:p>
            <w:pPr>
              <w:spacing w:after="0"/>
              <w:rPr>
                <w:sz w:val="16"/>
                <w:szCs w:val="16"/>
                <w:color w:val="auto"/>
              </w:rPr>
            </w:pPr>
          </w:p>
        </w:tc>
        <w:tc>
          <w:tcPr>
            <w:tcW w:w="6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3940" w:type="dxa"/>
            <w:vAlign w:val="bottom"/>
            <w:tcBorders>
              <w:bottom w:val="single" w:sz="8" w:color="auto"/>
            </w:tcBorders>
            <w:gridSpan w:val="8"/>
          </w:tcPr>
          <w:p>
            <w:pPr>
              <w:ind w:left="1180"/>
              <w:spacing w:after="0"/>
              <w:rPr>
                <w:sz w:val="20"/>
                <w:szCs w:val="20"/>
                <w:color w:val="auto"/>
              </w:rPr>
            </w:pPr>
            <w:r>
              <w:rPr>
                <w:rFonts w:ascii="Arial" w:cs="Arial" w:eastAsia="Arial" w:hAnsi="Arial"/>
                <w:sz w:val="14"/>
                <w:szCs w:val="14"/>
                <w:color w:val="auto"/>
              </w:rPr>
              <w:t>Item</w:t>
            </w:r>
          </w:p>
        </w:tc>
        <w:tc>
          <w:tcPr>
            <w:tcW w:w="120" w:type="dxa"/>
            <w:vAlign w:val="bottom"/>
          </w:tcPr>
          <w:p>
            <w:pPr>
              <w:spacing w:after="0"/>
              <w:rPr>
                <w:sz w:val="16"/>
                <w:szCs w:val="16"/>
                <w:color w:val="auto"/>
              </w:rPr>
            </w:pPr>
          </w:p>
        </w:tc>
        <w:tc>
          <w:tcPr>
            <w:tcW w:w="700" w:type="dxa"/>
            <w:vAlign w:val="bottom"/>
            <w:tcBorders>
              <w:bottom w:val="single" w:sz="8" w:color="auto"/>
            </w:tcBorders>
          </w:tcPr>
          <w:p>
            <w:pPr>
              <w:ind w:left="200"/>
              <w:spacing w:after="0"/>
              <w:rPr>
                <w:sz w:val="20"/>
                <w:szCs w:val="20"/>
                <w:color w:val="auto"/>
              </w:rPr>
            </w:pPr>
            <w:r>
              <w:rPr>
                <w:rFonts w:ascii="Arial" w:cs="Arial" w:eastAsia="Arial" w:hAnsi="Arial"/>
                <w:sz w:val="14"/>
                <w:szCs w:val="14"/>
                <w:color w:val="auto"/>
              </w:rPr>
              <w:t>Form</w:t>
            </w:r>
          </w:p>
        </w:tc>
        <w:tc>
          <w:tcPr>
            <w:tcW w:w="120" w:type="dxa"/>
            <w:vAlign w:val="bottom"/>
          </w:tcPr>
          <w:p>
            <w:pPr>
              <w:spacing w:after="0"/>
              <w:rPr>
                <w:sz w:val="16"/>
                <w:szCs w:val="16"/>
                <w:color w:val="auto"/>
              </w:rPr>
            </w:pPr>
          </w:p>
        </w:tc>
        <w:tc>
          <w:tcPr>
            <w:tcW w:w="1120" w:type="dxa"/>
            <w:vAlign w:val="bottom"/>
            <w:tcBorders>
              <w:bottom w:val="single" w:sz="8" w:color="auto"/>
            </w:tcBorders>
          </w:tcPr>
          <w:p>
            <w:pPr>
              <w:ind w:left="200"/>
              <w:spacing w:after="0"/>
              <w:rPr>
                <w:sz w:val="20"/>
                <w:szCs w:val="20"/>
                <w:color w:val="auto"/>
              </w:rPr>
            </w:pPr>
            <w:r>
              <w:rPr>
                <w:rFonts w:ascii="Arial" w:cs="Arial" w:eastAsia="Arial" w:hAnsi="Arial"/>
                <w:sz w:val="14"/>
                <w:szCs w:val="14"/>
                <w:color w:val="auto"/>
              </w:rPr>
              <w:t>File Number</w:t>
            </w:r>
          </w:p>
        </w:tc>
        <w:tc>
          <w:tcPr>
            <w:tcW w:w="120" w:type="dxa"/>
            <w:vAlign w:val="bottom"/>
          </w:tcPr>
          <w:p>
            <w:pPr>
              <w:spacing w:after="0"/>
              <w:rPr>
                <w:sz w:val="16"/>
                <w:szCs w:val="16"/>
                <w:color w:val="auto"/>
              </w:rPr>
            </w:pPr>
          </w:p>
        </w:tc>
        <w:tc>
          <w:tcPr>
            <w:tcW w:w="1360" w:type="dxa"/>
            <w:vAlign w:val="bottom"/>
            <w:tcBorders>
              <w:bottom w:val="single" w:sz="8" w:color="auto"/>
            </w:tcBorders>
          </w:tcPr>
          <w:p>
            <w:pPr>
              <w:ind w:left="220"/>
              <w:spacing w:after="0"/>
              <w:rPr>
                <w:sz w:val="20"/>
                <w:szCs w:val="20"/>
                <w:color w:val="auto"/>
              </w:rPr>
            </w:pPr>
            <w:r>
              <w:rPr>
                <w:rFonts w:ascii="Arial" w:cs="Arial" w:eastAsia="Arial" w:hAnsi="Arial"/>
                <w:sz w:val="14"/>
                <w:szCs w:val="14"/>
                <w:color w:val="auto"/>
              </w:rPr>
              <w:t>Exhibit Number</w:t>
            </w:r>
          </w:p>
        </w:tc>
        <w:tc>
          <w:tcPr>
            <w:tcW w:w="100" w:type="dxa"/>
            <w:vAlign w:val="bottom"/>
          </w:tcPr>
          <w:p>
            <w:pPr>
              <w:spacing w:after="0"/>
              <w:rPr>
                <w:sz w:val="16"/>
                <w:szCs w:val="16"/>
                <w:color w:val="auto"/>
              </w:rPr>
            </w:pPr>
          </w:p>
        </w:tc>
        <w:tc>
          <w:tcPr>
            <w:tcW w:w="148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5"/>
              </w:rPr>
              <w:t>Filed with SEC</w:t>
            </w:r>
          </w:p>
        </w:tc>
      </w:tr>
      <w:tr>
        <w:trPr>
          <w:trHeight w:val="202"/>
        </w:trPr>
        <w:tc>
          <w:tcPr>
            <w:tcW w:w="920" w:type="dxa"/>
            <w:vAlign w:val="bottom"/>
          </w:tcPr>
          <w:p>
            <w:pPr>
              <w:ind w:left="280"/>
              <w:spacing w:after="0" w:line="202" w:lineRule="exact"/>
              <w:rPr>
                <w:sz w:val="20"/>
                <w:szCs w:val="20"/>
                <w:color w:val="auto"/>
              </w:rPr>
            </w:pPr>
            <w:r>
              <w:rPr>
                <w:rFonts w:ascii="Arial" w:cs="Arial" w:eastAsia="Arial" w:hAnsi="Arial"/>
                <w:sz w:val="18"/>
                <w:szCs w:val="18"/>
                <w:color w:val="auto"/>
              </w:rPr>
              <w:t>10.1#</w:t>
            </w: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340" w:type="dxa"/>
            <w:vAlign w:val="bottom"/>
            <w:gridSpan w:val="13"/>
          </w:tcPr>
          <w:p>
            <w:pPr>
              <w:spacing w:after="0" w:line="202" w:lineRule="exact"/>
              <w:rPr>
                <w:rFonts w:ascii="Arial" w:cs="Arial" w:eastAsia="Arial" w:hAnsi="Arial"/>
                <w:sz w:val="18"/>
                <w:szCs w:val="18"/>
                <w:color w:val="0000FF"/>
              </w:rPr>
            </w:pPr>
            <w:hyperlink w:anchor="page56">
              <w:r>
                <w:rPr>
                  <w:rFonts w:ascii="Arial" w:cs="Arial" w:eastAsia="Arial" w:hAnsi="Arial"/>
                  <w:sz w:val="18"/>
                  <w:szCs w:val="18"/>
                  <w:color w:val="0000FF"/>
                </w:rPr>
                <w:t>Form of Value Creation Performance Based Restricted Stock Unit</w:t>
              </w:r>
            </w:hyperlink>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jc w:val="center"/>
              <w:spacing w:after="0" w:line="202" w:lineRule="exact"/>
              <w:rPr>
                <w:sz w:val="20"/>
                <w:szCs w:val="20"/>
                <w:color w:val="auto"/>
              </w:rPr>
            </w:pPr>
            <w:r>
              <w:rPr>
                <w:rFonts w:ascii="Arial" w:cs="Arial" w:eastAsia="Arial" w:hAnsi="Arial"/>
                <w:sz w:val="18"/>
                <w:szCs w:val="18"/>
                <w:color w:val="auto"/>
                <w:w w:val="92"/>
              </w:rPr>
              <w:t>Filed herewith</w:t>
            </w: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740" w:type="dxa"/>
            <w:vAlign w:val="bottom"/>
            <w:tcBorders>
              <w:top w:val="single" w:sz="8" w:color="0000FF"/>
            </w:tcBorders>
            <w:gridSpan w:val="10"/>
          </w:tcPr>
          <w:p>
            <w:pPr>
              <w:spacing w:after="0" w:line="196" w:lineRule="exact"/>
              <w:rPr>
                <w:rFonts w:ascii="Arial" w:cs="Arial" w:eastAsia="Arial" w:hAnsi="Arial"/>
                <w:sz w:val="18"/>
                <w:szCs w:val="18"/>
                <w:color w:val="0000FF"/>
              </w:rPr>
            </w:pPr>
            <w:hyperlink w:anchor="page56">
              <w:r>
                <w:rPr>
                  <w:rFonts w:ascii="Arial" w:cs="Arial" w:eastAsia="Arial" w:hAnsi="Arial"/>
                  <w:sz w:val="18"/>
                  <w:szCs w:val="18"/>
                  <w:color w:val="0000FF"/>
                </w:rPr>
                <w:t>Notice of Grant</w:t>
              </w:r>
            </w:hyperlink>
          </w:p>
        </w:tc>
        <w:tc>
          <w:tcPr>
            <w:tcW w:w="600" w:type="dxa"/>
            <w:vAlign w:val="bottom"/>
            <w:gridSpan w:val="3"/>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20"/>
        </w:trPr>
        <w:tc>
          <w:tcPr>
            <w:tcW w:w="9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10.2#</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3920" w:type="dxa"/>
            <w:vAlign w:val="bottom"/>
            <w:tcBorders>
              <w:bottom w:val="single" w:sz="8" w:color="0000FF"/>
            </w:tcBorders>
            <w:gridSpan w:val="6"/>
          </w:tcPr>
          <w:p>
            <w:pPr>
              <w:spacing w:after="0"/>
              <w:rPr>
                <w:rFonts w:ascii="Arial" w:cs="Arial" w:eastAsia="Arial" w:hAnsi="Arial"/>
                <w:sz w:val="18"/>
                <w:szCs w:val="18"/>
                <w:color w:val="0000FF"/>
                <w:w w:val="90"/>
              </w:rPr>
            </w:pPr>
            <w:hyperlink w:anchor="page61">
              <w:r>
                <w:rPr>
                  <w:rFonts w:ascii="Arial" w:cs="Arial" w:eastAsia="Arial" w:hAnsi="Arial"/>
                  <w:sz w:val="18"/>
                  <w:szCs w:val="18"/>
                  <w:color w:val="0000FF"/>
                  <w:w w:val="90"/>
                </w:rPr>
                <w:t>Summary of Fiscal 2020 Compensation Arrangements</w:t>
              </w:r>
            </w:hyperlink>
          </w:p>
        </w:tc>
        <w:tc>
          <w:tcPr>
            <w:tcW w:w="1420" w:type="dxa"/>
            <w:vAlign w:val="bottom"/>
            <w:gridSpan w:val="7"/>
          </w:tcPr>
          <w:p>
            <w:pPr>
              <w:spacing w:after="0"/>
              <w:rPr>
                <w:sz w:val="21"/>
                <w:szCs w:val="21"/>
                <w:color w:val="auto"/>
              </w:rPr>
            </w:pPr>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10.3#</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540" w:type="dxa"/>
            <w:vAlign w:val="bottom"/>
            <w:tcBorders>
              <w:bottom w:val="single" w:sz="8" w:color="0000FF"/>
            </w:tcBorders>
            <w:gridSpan w:val="7"/>
          </w:tcPr>
          <w:p>
            <w:pPr>
              <w:spacing w:after="0"/>
              <w:rPr>
                <w:rFonts w:ascii="Arial" w:cs="Arial" w:eastAsia="Arial" w:hAnsi="Arial"/>
                <w:sz w:val="18"/>
                <w:szCs w:val="18"/>
                <w:color w:val="0000FF"/>
                <w:w w:val="89"/>
              </w:rPr>
            </w:pPr>
            <w:hyperlink w:anchor="page63">
              <w:r>
                <w:rPr>
                  <w:rFonts w:ascii="Arial" w:cs="Arial" w:eastAsia="Arial" w:hAnsi="Arial"/>
                  <w:sz w:val="18"/>
                  <w:szCs w:val="18"/>
                  <w:color w:val="0000FF"/>
                  <w:w w:val="89"/>
                </w:rPr>
                <w:t>Form of Relative Total Shareholder Return Performance Based</w:t>
              </w:r>
            </w:hyperlink>
          </w:p>
        </w:tc>
        <w:tc>
          <w:tcPr>
            <w:tcW w:w="800" w:type="dxa"/>
            <w:vAlign w:val="bottom"/>
            <w:gridSpan w:val="6"/>
          </w:tcPr>
          <w:p>
            <w:pPr>
              <w:spacing w:after="0"/>
              <w:rPr>
                <w:sz w:val="21"/>
                <w:szCs w:val="21"/>
                <w:color w:val="auto"/>
              </w:rPr>
            </w:pPr>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340" w:type="dxa"/>
            <w:vAlign w:val="bottom"/>
            <w:gridSpan w:val="13"/>
          </w:tcPr>
          <w:p>
            <w:pPr>
              <w:spacing w:after="0" w:line="196" w:lineRule="exact"/>
              <w:rPr>
                <w:rFonts w:ascii="Arial" w:cs="Arial" w:eastAsia="Arial" w:hAnsi="Arial"/>
                <w:sz w:val="18"/>
                <w:szCs w:val="18"/>
                <w:color w:val="0000FF"/>
              </w:rPr>
            </w:pPr>
            <w:hyperlink w:anchor="page63">
              <w:r>
                <w:rPr>
                  <w:rFonts w:ascii="Arial" w:cs="Arial" w:eastAsia="Arial" w:hAnsi="Arial"/>
                  <w:sz w:val="18"/>
                  <w:szCs w:val="18"/>
                  <w:color w:val="0000FF"/>
                </w:rPr>
                <w:t>Restricted Stock Unit Grant Notice</w:t>
              </w:r>
            </w:hyperlink>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20"/>
        </w:trPr>
        <w:tc>
          <w:tcPr>
            <w:tcW w:w="9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70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240" w:type="dxa"/>
            <w:vAlign w:val="bottom"/>
            <w:shd w:val="clear" w:color="auto" w:fill="0000FF"/>
          </w:tcPr>
          <w:p>
            <w:pPr>
              <w:spacing w:after="0" w:line="20" w:lineRule="exact"/>
              <w:rPr>
                <w:sz w:val="1"/>
                <w:szCs w:val="1"/>
                <w:color w:val="auto"/>
              </w:rPr>
            </w:pPr>
          </w:p>
        </w:tc>
        <w:tc>
          <w:tcPr>
            <w:tcW w:w="202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31.1</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720" w:type="dxa"/>
            <w:vAlign w:val="bottom"/>
            <w:tcBorders>
              <w:bottom w:val="single" w:sz="8" w:color="0000FF"/>
            </w:tcBorders>
            <w:gridSpan w:val="9"/>
          </w:tcPr>
          <w:p>
            <w:pPr>
              <w:spacing w:after="0"/>
              <w:rPr>
                <w:rFonts w:ascii="Arial" w:cs="Arial" w:eastAsia="Arial" w:hAnsi="Arial"/>
                <w:sz w:val="18"/>
                <w:szCs w:val="18"/>
                <w:color w:val="0000FF"/>
                <w:w w:val="92"/>
              </w:rPr>
            </w:pPr>
            <w:hyperlink w:anchor="page67">
              <w:r>
                <w:rPr>
                  <w:rFonts w:ascii="Arial" w:cs="Arial" w:eastAsia="Arial" w:hAnsi="Arial"/>
                  <w:sz w:val="18"/>
                  <w:szCs w:val="18"/>
                  <w:color w:val="0000FF"/>
                  <w:w w:val="92"/>
                </w:rPr>
                <w:t>Rule 13a-14(a)/15d-14(a) Certification of the Principal Executive</w:t>
              </w:r>
            </w:hyperlink>
          </w:p>
        </w:tc>
        <w:tc>
          <w:tcPr>
            <w:tcW w:w="620" w:type="dxa"/>
            <w:vAlign w:val="bottom"/>
            <w:gridSpan w:val="4"/>
          </w:tcPr>
          <w:p>
            <w:pPr>
              <w:spacing w:after="0"/>
              <w:rPr>
                <w:sz w:val="21"/>
                <w:szCs w:val="21"/>
                <w:color w:val="auto"/>
              </w:rPr>
            </w:pPr>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20" w:type="dxa"/>
            <w:vAlign w:val="bottom"/>
            <w:tcBorders>
              <w:bottom w:val="single" w:sz="8" w:color="0000FF"/>
            </w:tcBorders>
          </w:tcPr>
          <w:p>
            <w:pPr>
              <w:spacing w:after="0" w:line="196" w:lineRule="exact"/>
              <w:rPr>
                <w:rFonts w:ascii="Arial" w:cs="Arial" w:eastAsia="Arial" w:hAnsi="Arial"/>
                <w:sz w:val="18"/>
                <w:szCs w:val="18"/>
                <w:color w:val="0000FF"/>
                <w:w w:val="94"/>
              </w:rPr>
            </w:pPr>
            <w:hyperlink w:anchor="page67">
              <w:r>
                <w:rPr>
                  <w:rFonts w:ascii="Arial" w:cs="Arial" w:eastAsia="Arial" w:hAnsi="Arial"/>
                  <w:sz w:val="18"/>
                  <w:szCs w:val="18"/>
                  <w:color w:val="0000FF"/>
                  <w:w w:val="94"/>
                </w:rPr>
                <w:t>Officer</w:t>
              </w:r>
            </w:hyperlink>
          </w:p>
        </w:tc>
        <w:tc>
          <w:tcPr>
            <w:tcW w:w="4820" w:type="dxa"/>
            <w:vAlign w:val="bottom"/>
            <w:gridSpan w:val="12"/>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31.2</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340" w:type="dxa"/>
            <w:vAlign w:val="bottom"/>
            <w:gridSpan w:val="13"/>
          </w:tcPr>
          <w:p>
            <w:pPr>
              <w:spacing w:after="0"/>
              <w:rPr>
                <w:rFonts w:ascii="Arial" w:cs="Arial" w:eastAsia="Arial" w:hAnsi="Arial"/>
                <w:sz w:val="18"/>
                <w:szCs w:val="18"/>
                <w:color w:val="0000FF"/>
              </w:rPr>
            </w:pPr>
            <w:hyperlink w:anchor="page68">
              <w:r>
                <w:rPr>
                  <w:rFonts w:ascii="Arial" w:cs="Arial" w:eastAsia="Arial" w:hAnsi="Arial"/>
                  <w:sz w:val="18"/>
                  <w:szCs w:val="18"/>
                  <w:color w:val="0000FF"/>
                </w:rPr>
                <w:t>Rule 13a-14(a)/15d-14(a) Certification of the Principal Financial</w:t>
              </w:r>
            </w:hyperlink>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20" w:type="dxa"/>
            <w:vAlign w:val="bottom"/>
            <w:tcBorders>
              <w:top w:val="single" w:sz="8" w:color="0000FF"/>
              <w:bottom w:val="single" w:sz="8" w:color="0000FF"/>
            </w:tcBorders>
          </w:tcPr>
          <w:p>
            <w:pPr>
              <w:spacing w:after="0" w:line="196" w:lineRule="exact"/>
              <w:rPr>
                <w:rFonts w:ascii="Arial" w:cs="Arial" w:eastAsia="Arial" w:hAnsi="Arial"/>
                <w:sz w:val="18"/>
                <w:szCs w:val="18"/>
                <w:color w:val="0000FF"/>
                <w:w w:val="94"/>
              </w:rPr>
            </w:pPr>
            <w:hyperlink w:anchor="page68">
              <w:r>
                <w:rPr>
                  <w:rFonts w:ascii="Arial" w:cs="Arial" w:eastAsia="Arial" w:hAnsi="Arial"/>
                  <w:sz w:val="18"/>
                  <w:szCs w:val="18"/>
                  <w:color w:val="0000FF"/>
                  <w:w w:val="94"/>
                </w:rPr>
                <w:t>Officer</w:t>
              </w:r>
            </w:hyperlink>
          </w:p>
        </w:tc>
        <w:tc>
          <w:tcPr>
            <w:tcW w:w="4140" w:type="dxa"/>
            <w:vAlign w:val="bottom"/>
            <w:tcBorders>
              <w:top w:val="single" w:sz="8" w:color="0000FF"/>
            </w:tcBorders>
            <w:gridSpan w:val="7"/>
          </w:tcPr>
          <w:p>
            <w:pPr>
              <w:spacing w:after="0"/>
              <w:rPr>
                <w:sz w:val="17"/>
                <w:szCs w:val="17"/>
                <w:color w:val="auto"/>
              </w:rPr>
            </w:pPr>
          </w:p>
        </w:tc>
        <w:tc>
          <w:tcPr>
            <w:tcW w:w="680" w:type="dxa"/>
            <w:vAlign w:val="bottom"/>
            <w:gridSpan w:val="5"/>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250"/>
        </w:trPr>
        <w:tc>
          <w:tcPr>
            <w:tcW w:w="920" w:type="dxa"/>
            <w:vAlign w:val="bottom"/>
          </w:tcPr>
          <w:p>
            <w:pPr>
              <w:ind w:left="260"/>
              <w:spacing w:after="0"/>
              <w:rPr>
                <w:sz w:val="20"/>
                <w:szCs w:val="20"/>
                <w:color w:val="auto"/>
              </w:rPr>
            </w:pPr>
            <w:r>
              <w:rPr>
                <w:rFonts w:ascii="Arial" w:cs="Arial" w:eastAsia="Arial" w:hAnsi="Arial"/>
                <w:sz w:val="18"/>
                <w:szCs w:val="18"/>
                <w:color w:val="auto"/>
              </w:rPr>
              <w:t>32.1*</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340" w:type="dxa"/>
            <w:vAlign w:val="bottom"/>
            <w:gridSpan w:val="13"/>
          </w:tcPr>
          <w:p>
            <w:pPr>
              <w:spacing w:after="0"/>
              <w:rPr>
                <w:rFonts w:ascii="Arial" w:cs="Arial" w:eastAsia="Arial" w:hAnsi="Arial"/>
                <w:sz w:val="18"/>
                <w:szCs w:val="18"/>
                <w:color w:val="0000FF"/>
                <w:w w:val="94"/>
              </w:rPr>
            </w:pPr>
            <w:hyperlink w:anchor="page69">
              <w:r>
                <w:rPr>
                  <w:rFonts w:ascii="Arial" w:cs="Arial" w:eastAsia="Arial" w:hAnsi="Arial"/>
                  <w:sz w:val="18"/>
                  <w:szCs w:val="18"/>
                  <w:color w:val="0000FF"/>
                  <w:w w:val="94"/>
                </w:rPr>
                <w:t>Certification Pursuant to 18 U.S.C. Section 1350, as Adopted Pursuant</w:t>
              </w:r>
            </w:hyperlink>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080" w:type="dxa"/>
            <w:vAlign w:val="bottom"/>
            <w:tcBorders>
              <w:top w:val="single" w:sz="8" w:color="0000FF"/>
            </w:tcBorders>
            <w:gridSpan w:val="11"/>
          </w:tcPr>
          <w:p>
            <w:pPr>
              <w:spacing w:after="0" w:line="196" w:lineRule="exact"/>
              <w:rPr>
                <w:rFonts w:ascii="Arial" w:cs="Arial" w:eastAsia="Arial" w:hAnsi="Arial"/>
                <w:sz w:val="18"/>
                <w:szCs w:val="18"/>
                <w:color w:val="0000FF"/>
              </w:rPr>
            </w:pPr>
            <w:hyperlink w:anchor="page69">
              <w:r>
                <w:rPr>
                  <w:rFonts w:ascii="Arial" w:cs="Arial" w:eastAsia="Arial" w:hAnsi="Arial"/>
                  <w:sz w:val="18"/>
                  <w:szCs w:val="18"/>
                  <w:color w:val="0000FF"/>
                </w:rPr>
                <w:t>to Section 906 of the Sarbanes-Oxley Act of 2002 for Principal</w:t>
              </w:r>
            </w:hyperlink>
          </w:p>
        </w:tc>
        <w:tc>
          <w:tcPr>
            <w:tcW w:w="260" w:type="dxa"/>
            <w:vAlign w:val="bottom"/>
            <w:gridSpan w:val="2"/>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80" w:type="dxa"/>
            <w:vAlign w:val="bottom"/>
            <w:tcBorders>
              <w:top w:val="single" w:sz="8" w:color="0000FF"/>
              <w:bottom w:val="single" w:sz="8" w:color="0000FF"/>
            </w:tcBorders>
            <w:gridSpan w:val="4"/>
          </w:tcPr>
          <w:p>
            <w:pPr>
              <w:spacing w:after="0" w:line="196" w:lineRule="exact"/>
              <w:rPr>
                <w:rFonts w:ascii="Arial" w:cs="Arial" w:eastAsia="Arial" w:hAnsi="Arial"/>
                <w:sz w:val="18"/>
                <w:szCs w:val="18"/>
                <w:color w:val="0000FF"/>
                <w:w w:val="92"/>
              </w:rPr>
            </w:pPr>
            <w:hyperlink w:anchor="page69">
              <w:r>
                <w:rPr>
                  <w:rFonts w:ascii="Arial" w:cs="Arial" w:eastAsia="Arial" w:hAnsi="Arial"/>
                  <w:sz w:val="18"/>
                  <w:szCs w:val="18"/>
                  <w:color w:val="0000FF"/>
                  <w:w w:val="92"/>
                </w:rPr>
                <w:t>Executive Officer</w:t>
              </w:r>
            </w:hyperlink>
          </w:p>
        </w:tc>
        <w:tc>
          <w:tcPr>
            <w:tcW w:w="3260" w:type="dxa"/>
            <w:vAlign w:val="bottom"/>
            <w:tcBorders>
              <w:top w:val="single" w:sz="8" w:color="0000FF"/>
            </w:tcBorders>
            <w:gridSpan w:val="3"/>
          </w:tcPr>
          <w:p>
            <w:pPr>
              <w:spacing w:after="0"/>
              <w:rPr>
                <w:sz w:val="17"/>
                <w:szCs w:val="17"/>
                <w:color w:val="auto"/>
              </w:rPr>
            </w:pPr>
          </w:p>
        </w:tc>
        <w:tc>
          <w:tcPr>
            <w:tcW w:w="800" w:type="dxa"/>
            <w:vAlign w:val="bottom"/>
            <w:gridSpan w:val="6"/>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250"/>
        </w:trPr>
        <w:tc>
          <w:tcPr>
            <w:tcW w:w="920" w:type="dxa"/>
            <w:vAlign w:val="bottom"/>
          </w:tcPr>
          <w:p>
            <w:pPr>
              <w:ind w:left="260"/>
              <w:spacing w:after="0"/>
              <w:rPr>
                <w:sz w:val="20"/>
                <w:szCs w:val="20"/>
                <w:color w:val="auto"/>
              </w:rPr>
            </w:pPr>
            <w:r>
              <w:rPr>
                <w:rFonts w:ascii="Arial" w:cs="Arial" w:eastAsia="Arial" w:hAnsi="Arial"/>
                <w:sz w:val="18"/>
                <w:szCs w:val="18"/>
                <w:color w:val="auto"/>
              </w:rPr>
              <w:t>32.2*</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340" w:type="dxa"/>
            <w:vAlign w:val="bottom"/>
            <w:gridSpan w:val="13"/>
          </w:tcPr>
          <w:p>
            <w:pPr>
              <w:spacing w:after="0"/>
              <w:rPr>
                <w:rFonts w:ascii="Arial" w:cs="Arial" w:eastAsia="Arial" w:hAnsi="Arial"/>
                <w:sz w:val="18"/>
                <w:szCs w:val="18"/>
                <w:color w:val="0000FF"/>
                <w:w w:val="94"/>
              </w:rPr>
            </w:pPr>
            <w:hyperlink w:anchor="page70">
              <w:r>
                <w:rPr>
                  <w:rFonts w:ascii="Arial" w:cs="Arial" w:eastAsia="Arial" w:hAnsi="Arial"/>
                  <w:sz w:val="18"/>
                  <w:szCs w:val="18"/>
                  <w:color w:val="0000FF"/>
                  <w:w w:val="94"/>
                </w:rPr>
                <w:t>Certification Pursuant to 18 U.S.C. Section 1350, as Adopted Pursuant</w:t>
              </w:r>
            </w:hyperlink>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080" w:type="dxa"/>
            <w:vAlign w:val="bottom"/>
            <w:tcBorders>
              <w:top w:val="single" w:sz="8" w:color="0000FF"/>
            </w:tcBorders>
            <w:gridSpan w:val="11"/>
          </w:tcPr>
          <w:p>
            <w:pPr>
              <w:spacing w:after="0" w:line="196" w:lineRule="exact"/>
              <w:rPr>
                <w:rFonts w:ascii="Arial" w:cs="Arial" w:eastAsia="Arial" w:hAnsi="Arial"/>
                <w:sz w:val="18"/>
                <w:szCs w:val="18"/>
                <w:color w:val="0000FF"/>
              </w:rPr>
            </w:pPr>
            <w:hyperlink w:anchor="page70">
              <w:r>
                <w:rPr>
                  <w:rFonts w:ascii="Arial" w:cs="Arial" w:eastAsia="Arial" w:hAnsi="Arial"/>
                  <w:sz w:val="18"/>
                  <w:szCs w:val="18"/>
                  <w:color w:val="0000FF"/>
                </w:rPr>
                <w:t>to Section 906 of the Sarbanes-Oxley Act of 2002 for Principal</w:t>
              </w:r>
            </w:hyperlink>
          </w:p>
        </w:tc>
        <w:tc>
          <w:tcPr>
            <w:tcW w:w="260" w:type="dxa"/>
            <w:vAlign w:val="bottom"/>
            <w:gridSpan w:val="2"/>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540" w:type="dxa"/>
            <w:vAlign w:val="bottom"/>
            <w:tcBorders>
              <w:top w:val="single" w:sz="8" w:color="0000FF"/>
            </w:tcBorders>
            <w:gridSpan w:val="7"/>
          </w:tcPr>
          <w:p>
            <w:pPr>
              <w:spacing w:after="0" w:line="196" w:lineRule="exact"/>
              <w:rPr>
                <w:rFonts w:ascii="Arial" w:cs="Arial" w:eastAsia="Arial" w:hAnsi="Arial"/>
                <w:sz w:val="18"/>
                <w:szCs w:val="18"/>
                <w:color w:val="0000FF"/>
              </w:rPr>
            </w:pPr>
            <w:hyperlink w:anchor="page70">
              <w:r>
                <w:rPr>
                  <w:rFonts w:ascii="Arial" w:cs="Arial" w:eastAsia="Arial" w:hAnsi="Arial"/>
                  <w:sz w:val="18"/>
                  <w:szCs w:val="18"/>
                  <w:color w:val="0000FF"/>
                </w:rPr>
                <w:t>Financial Officer</w:t>
              </w:r>
            </w:hyperlink>
          </w:p>
        </w:tc>
        <w:tc>
          <w:tcPr>
            <w:tcW w:w="800" w:type="dxa"/>
            <w:vAlign w:val="bottom"/>
            <w:gridSpan w:val="6"/>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20"/>
        </w:trPr>
        <w:tc>
          <w:tcPr>
            <w:tcW w:w="10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20" w:type="dxa"/>
            <w:vAlign w:val="bottom"/>
            <w:gridSpan w:val="3"/>
            <w:shd w:val="clear" w:color="auto" w:fill="0000FF"/>
          </w:tcPr>
          <w:p>
            <w:pPr>
              <w:spacing w:after="0" w:line="20" w:lineRule="exact"/>
              <w:rPr>
                <w:sz w:val="1"/>
                <w:szCs w:val="1"/>
                <w:color w:val="auto"/>
              </w:rPr>
            </w:pPr>
          </w:p>
        </w:tc>
        <w:tc>
          <w:tcPr>
            <w:tcW w:w="4120" w:type="dxa"/>
            <w:vAlign w:val="bottom"/>
            <w:gridSpan w:val="10"/>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r>
      <w:tr>
        <w:trPr>
          <w:trHeight w:val="291"/>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101.INS</w:t>
            </w:r>
          </w:p>
        </w:tc>
        <w:tc>
          <w:tcPr>
            <w:tcW w:w="40" w:type="dxa"/>
            <w:vAlign w:val="bottom"/>
          </w:tcPr>
          <w:p>
            <w:pPr>
              <w:spacing w:after="0"/>
              <w:rPr>
                <w:sz w:val="24"/>
                <w:szCs w:val="24"/>
                <w:color w:val="auto"/>
              </w:rPr>
            </w:pPr>
          </w:p>
        </w:tc>
        <w:tc>
          <w:tcPr>
            <w:tcW w:w="5340" w:type="dxa"/>
            <w:vAlign w:val="bottom"/>
            <w:gridSpan w:val="13"/>
          </w:tcPr>
          <w:p>
            <w:pPr>
              <w:spacing w:after="0"/>
              <w:rPr>
                <w:sz w:val="20"/>
                <w:szCs w:val="20"/>
                <w:color w:val="auto"/>
              </w:rPr>
            </w:pPr>
            <w:r>
              <w:rPr>
                <w:rFonts w:ascii="Arial" w:cs="Arial" w:eastAsia="Arial" w:hAnsi="Arial"/>
                <w:sz w:val="18"/>
                <w:szCs w:val="18"/>
                <w:color w:val="auto"/>
              </w:rPr>
              <w:t>XBRL Instance Document</w:t>
            </w:r>
          </w:p>
        </w:tc>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101.SCH</w:t>
            </w:r>
          </w:p>
        </w:tc>
        <w:tc>
          <w:tcPr>
            <w:tcW w:w="40" w:type="dxa"/>
            <w:vAlign w:val="bottom"/>
          </w:tcPr>
          <w:p>
            <w:pPr>
              <w:spacing w:after="0"/>
              <w:rPr>
                <w:sz w:val="23"/>
                <w:szCs w:val="23"/>
                <w:color w:val="auto"/>
              </w:rPr>
            </w:pPr>
          </w:p>
        </w:tc>
        <w:tc>
          <w:tcPr>
            <w:tcW w:w="5340" w:type="dxa"/>
            <w:vAlign w:val="bottom"/>
            <w:gridSpan w:val="13"/>
          </w:tcPr>
          <w:p>
            <w:pPr>
              <w:spacing w:after="0"/>
              <w:rPr>
                <w:sz w:val="20"/>
                <w:szCs w:val="20"/>
                <w:color w:val="auto"/>
              </w:rPr>
            </w:pPr>
            <w:r>
              <w:rPr>
                <w:rFonts w:ascii="Arial" w:cs="Arial" w:eastAsia="Arial" w:hAnsi="Arial"/>
                <w:sz w:val="18"/>
                <w:szCs w:val="18"/>
                <w:color w:val="auto"/>
              </w:rPr>
              <w:t>XBRL Taxonomy Extension Schema Document</w:t>
            </w: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101.CAL</w:t>
            </w:r>
          </w:p>
        </w:tc>
        <w:tc>
          <w:tcPr>
            <w:tcW w:w="40" w:type="dxa"/>
            <w:vAlign w:val="bottom"/>
          </w:tcPr>
          <w:p>
            <w:pPr>
              <w:spacing w:after="0"/>
              <w:rPr>
                <w:sz w:val="23"/>
                <w:szCs w:val="23"/>
                <w:color w:val="auto"/>
              </w:rPr>
            </w:pPr>
          </w:p>
        </w:tc>
        <w:tc>
          <w:tcPr>
            <w:tcW w:w="5340" w:type="dxa"/>
            <w:vAlign w:val="bottom"/>
            <w:gridSpan w:val="13"/>
          </w:tcPr>
          <w:p>
            <w:pPr>
              <w:spacing w:after="0"/>
              <w:rPr>
                <w:sz w:val="20"/>
                <w:szCs w:val="20"/>
                <w:color w:val="auto"/>
              </w:rPr>
            </w:pPr>
            <w:r>
              <w:rPr>
                <w:rFonts w:ascii="Arial" w:cs="Arial" w:eastAsia="Arial" w:hAnsi="Arial"/>
                <w:sz w:val="18"/>
                <w:szCs w:val="18"/>
                <w:color w:val="auto"/>
              </w:rPr>
              <w:t>XBRL Taxonomy Extension Calculation Linkbase Document</w:t>
            </w: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101.DEF</w:t>
            </w:r>
          </w:p>
        </w:tc>
        <w:tc>
          <w:tcPr>
            <w:tcW w:w="40" w:type="dxa"/>
            <w:vAlign w:val="bottom"/>
          </w:tcPr>
          <w:p>
            <w:pPr>
              <w:spacing w:after="0"/>
              <w:rPr>
                <w:sz w:val="23"/>
                <w:szCs w:val="23"/>
                <w:color w:val="auto"/>
              </w:rPr>
            </w:pPr>
          </w:p>
        </w:tc>
        <w:tc>
          <w:tcPr>
            <w:tcW w:w="5340" w:type="dxa"/>
            <w:vAlign w:val="bottom"/>
            <w:gridSpan w:val="13"/>
          </w:tcPr>
          <w:p>
            <w:pPr>
              <w:spacing w:after="0"/>
              <w:rPr>
                <w:sz w:val="20"/>
                <w:szCs w:val="20"/>
                <w:color w:val="auto"/>
              </w:rPr>
            </w:pPr>
            <w:r>
              <w:rPr>
                <w:rFonts w:ascii="Arial" w:cs="Arial" w:eastAsia="Arial" w:hAnsi="Arial"/>
                <w:sz w:val="18"/>
                <w:szCs w:val="18"/>
                <w:color w:val="auto"/>
              </w:rPr>
              <w:t>XBRL Taxonomy Extension Definition Document</w:t>
            </w: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101.LAB</w:t>
            </w:r>
          </w:p>
        </w:tc>
        <w:tc>
          <w:tcPr>
            <w:tcW w:w="40" w:type="dxa"/>
            <w:vAlign w:val="bottom"/>
          </w:tcPr>
          <w:p>
            <w:pPr>
              <w:spacing w:after="0"/>
              <w:rPr>
                <w:sz w:val="23"/>
                <w:szCs w:val="23"/>
                <w:color w:val="auto"/>
              </w:rPr>
            </w:pPr>
          </w:p>
        </w:tc>
        <w:tc>
          <w:tcPr>
            <w:tcW w:w="5340" w:type="dxa"/>
            <w:vAlign w:val="bottom"/>
            <w:gridSpan w:val="13"/>
          </w:tcPr>
          <w:p>
            <w:pPr>
              <w:spacing w:after="0"/>
              <w:rPr>
                <w:sz w:val="20"/>
                <w:szCs w:val="20"/>
                <w:color w:val="auto"/>
              </w:rPr>
            </w:pPr>
            <w:r>
              <w:rPr>
                <w:rFonts w:ascii="Arial" w:cs="Arial" w:eastAsia="Arial" w:hAnsi="Arial"/>
                <w:sz w:val="18"/>
                <w:szCs w:val="18"/>
                <w:color w:val="auto"/>
              </w:rPr>
              <w:t>XBRL Taxonomy Extension Label Linkbase Document</w:t>
            </w: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101.PRE</w:t>
            </w:r>
          </w:p>
        </w:tc>
        <w:tc>
          <w:tcPr>
            <w:tcW w:w="40" w:type="dxa"/>
            <w:vAlign w:val="bottom"/>
          </w:tcPr>
          <w:p>
            <w:pPr>
              <w:spacing w:after="0"/>
              <w:rPr>
                <w:sz w:val="23"/>
                <w:szCs w:val="23"/>
                <w:color w:val="auto"/>
              </w:rPr>
            </w:pPr>
          </w:p>
        </w:tc>
        <w:tc>
          <w:tcPr>
            <w:tcW w:w="5340" w:type="dxa"/>
            <w:vAlign w:val="bottom"/>
            <w:gridSpan w:val="13"/>
          </w:tcPr>
          <w:p>
            <w:pPr>
              <w:spacing w:after="0"/>
              <w:rPr>
                <w:sz w:val="20"/>
                <w:szCs w:val="20"/>
                <w:color w:val="auto"/>
              </w:rPr>
            </w:pPr>
            <w:r>
              <w:rPr>
                <w:rFonts w:ascii="Arial" w:cs="Arial" w:eastAsia="Arial" w:hAnsi="Arial"/>
                <w:sz w:val="18"/>
                <w:szCs w:val="18"/>
                <w:color w:val="auto"/>
              </w:rPr>
              <w:t>XBRL Taxonomy Extension Presentation Linkbase Document</w:t>
            </w: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bl>
    <w:p>
      <w:pPr>
        <w:spacing w:after="0" w:line="175" w:lineRule="exact"/>
        <w:rPr>
          <w:sz w:val="20"/>
          <w:szCs w:val="20"/>
          <w:color w:val="auto"/>
        </w:rPr>
      </w:pPr>
    </w:p>
    <w:p>
      <w:pPr>
        <w:ind w:left="720" w:hanging="685"/>
        <w:spacing w:after="0"/>
        <w:tabs>
          <w:tab w:leader="none" w:pos="7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63" w:lineRule="exact"/>
        <w:rPr>
          <w:sz w:val="20"/>
          <w:szCs w:val="20"/>
          <w:color w:val="auto"/>
        </w:rPr>
      </w:pPr>
    </w:p>
    <w:p>
      <w:pPr>
        <w:ind w:left="720" w:right="80" w:hanging="685"/>
        <w:spacing w:after="0" w:line="264" w:lineRule="auto"/>
        <w:tabs>
          <w:tab w:leader="none" w:pos="7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3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20"/>
          </w:cols>
          <w:pgMar w:left="240" w:top="130" w:right="239" w:bottom="1440" w:gutter="0" w:footer="0" w:header="0"/>
        </w:sectPr>
      </w:pPr>
    </w:p>
    <w:bookmarkStart w:id="54" w:name="page55"/>
    <w:bookmarkEnd w:id="5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jc w:val="center"/>
        <w:ind w:right="-739"/>
        <w:spacing w:after="0"/>
        <w:rPr>
          <w:sz w:val="20"/>
          <w:szCs w:val="20"/>
          <w:color w:val="auto"/>
        </w:rPr>
      </w:pPr>
      <w:r>
        <w:rPr>
          <w:rFonts w:ascii="Arial" w:cs="Arial" w:eastAsia="Arial" w:hAnsi="Arial"/>
          <w:sz w:val="18"/>
          <w:szCs w:val="18"/>
          <w:b w:val="1"/>
          <w:bCs w:val="1"/>
          <w:color w:val="auto"/>
        </w:rPr>
        <w:t>SIGNATURES</w:t>
      </w:r>
    </w:p>
    <w:p>
      <w:pPr>
        <w:spacing w:after="0" w:line="175"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06" w:lineRule="exact"/>
        <w:rPr>
          <w:sz w:val="20"/>
          <w:szCs w:val="20"/>
          <w:color w:val="auto"/>
        </w:rPr>
      </w:pPr>
    </w:p>
    <w:p>
      <w:pPr>
        <w:ind w:left="6560"/>
        <w:spacing w:after="0"/>
        <w:rPr>
          <w:sz w:val="20"/>
          <w:szCs w:val="20"/>
          <w:color w:val="auto"/>
        </w:rPr>
      </w:pPr>
      <w:r>
        <w:rPr>
          <w:rFonts w:ascii="Arial" w:cs="Arial" w:eastAsia="Arial" w:hAnsi="Arial"/>
          <w:sz w:val="18"/>
          <w:szCs w:val="18"/>
          <w:color w:val="auto"/>
        </w:rPr>
        <w:t>MARVELL TECHNOLOGY GROUP LTD.</w:t>
      </w:r>
    </w:p>
    <w:p>
      <w:pPr>
        <w:spacing w:after="0" w:line="387" w:lineRule="exact"/>
        <w:rPr>
          <w:sz w:val="20"/>
          <w:szCs w:val="20"/>
          <w:color w:val="auto"/>
        </w:rPr>
      </w:pPr>
    </w:p>
    <w:p>
      <w:pPr>
        <w:ind w:left="40"/>
        <w:spacing w:after="0"/>
        <w:tabs>
          <w:tab w:leader="none" w:pos="6540" w:val="left"/>
          <w:tab w:leader="none" w:pos="6980" w:val="left"/>
        </w:tabs>
        <w:rPr>
          <w:sz w:val="20"/>
          <w:szCs w:val="20"/>
          <w:color w:val="auto"/>
        </w:rPr>
      </w:pPr>
      <w:r>
        <w:rPr>
          <w:rFonts w:ascii="Arial" w:cs="Arial" w:eastAsia="Arial" w:hAnsi="Arial"/>
          <w:sz w:val="18"/>
          <w:szCs w:val="18"/>
          <w:color w:val="auto"/>
        </w:rPr>
        <w:t>Date: June 6,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4430395</wp:posOffset>
            </wp:positionH>
            <wp:positionV relativeFrom="paragraph">
              <wp:posOffset>31750</wp:posOffset>
            </wp:positionV>
            <wp:extent cx="259016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2590165" cy="8890"/>
                    </a:xfrm>
                    <a:prstGeom prst="rect">
                      <a:avLst/>
                    </a:prstGeom>
                    <a:noFill/>
                  </pic:spPr>
                </pic:pic>
              </a:graphicData>
            </a:graphic>
          </wp:anchor>
        </w:drawing>
      </w:r>
    </w:p>
    <w:p>
      <w:pPr>
        <w:spacing w:after="0" w:line="53" w:lineRule="exact"/>
        <w:rPr>
          <w:sz w:val="20"/>
          <w:szCs w:val="20"/>
          <w:color w:val="auto"/>
        </w:rPr>
      </w:pPr>
    </w:p>
    <w:p>
      <w:pPr>
        <w:ind w:left="700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700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59" w:lineRule="exact"/>
        <w:rPr>
          <w:sz w:val="20"/>
          <w:szCs w:val="20"/>
          <w:color w:val="auto"/>
        </w:rPr>
      </w:pPr>
    </w:p>
    <w:p>
      <w:pPr>
        <w:ind w:left="7000"/>
        <w:spacing w:after="0"/>
        <w:rPr>
          <w:sz w:val="20"/>
          <w:szCs w:val="20"/>
          <w:color w:val="auto"/>
        </w:rPr>
      </w:pPr>
      <w:r>
        <w:rPr>
          <w:rFonts w:ascii="Arial" w:cs="Arial" w:eastAsia="Arial" w:hAnsi="Arial"/>
          <w:sz w:val="18"/>
          <w:szCs w:val="18"/>
          <w:b w:val="1"/>
          <w:bCs w:val="1"/>
          <w:color w:val="auto"/>
        </w:rPr>
        <w:t>(Principal Financial Officer)</w:t>
      </w:r>
    </w:p>
    <w:p>
      <w:pPr>
        <w:spacing w:after="0" w:line="200" w:lineRule="exact"/>
        <w:rPr>
          <w:sz w:val="20"/>
          <w:szCs w:val="20"/>
          <w:color w:val="auto"/>
        </w:rPr>
      </w:pPr>
    </w:p>
    <w:p>
      <w:pPr>
        <w:spacing w:after="0" w:line="29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0700"/>
          </w:cols>
          <w:pgMar w:left="240" w:top="130" w:right="959" w:bottom="1440" w:gutter="0" w:footer="0" w:header="0"/>
        </w:sectPr>
      </w:pPr>
    </w:p>
    <w:bookmarkStart w:id="55" w:name="page56"/>
    <w:bookmarkEnd w:id="55"/>
    <w:p>
      <w:pPr>
        <w:jc w:val="right"/>
        <w:spacing w:after="0"/>
        <w:rPr>
          <w:sz w:val="20"/>
          <w:szCs w:val="20"/>
          <w:color w:val="auto"/>
        </w:rPr>
      </w:pPr>
      <w:r>
        <w:rPr>
          <w:rFonts w:ascii="Arial" w:cs="Arial" w:eastAsia="Arial" w:hAnsi="Arial"/>
          <w:sz w:val="22"/>
          <w:szCs w:val="22"/>
          <w:b w:val="1"/>
          <w:bCs w:val="1"/>
          <w:color w:val="auto"/>
        </w:rPr>
        <w:t>Exhibit 10.01</w:t>
      </w:r>
    </w:p>
    <w:p>
      <w:pPr>
        <w:spacing w:after="0" w:line="174" w:lineRule="exact"/>
        <w:rPr>
          <w:sz w:val="20"/>
          <w:szCs w:val="20"/>
          <w:color w:val="auto"/>
        </w:rPr>
      </w:pPr>
    </w:p>
    <w:p>
      <w:pPr>
        <w:ind w:left="4460"/>
        <w:spacing w:after="0"/>
        <w:rPr>
          <w:sz w:val="20"/>
          <w:szCs w:val="20"/>
          <w:color w:val="auto"/>
        </w:rPr>
      </w:pPr>
      <w:r>
        <w:rPr>
          <w:rFonts w:ascii="Arial" w:cs="Arial" w:eastAsia="Arial" w:hAnsi="Arial"/>
          <w:sz w:val="21"/>
          <w:szCs w:val="21"/>
          <w:b w:val="1"/>
          <w:bCs w:val="1"/>
          <w:color w:val="auto"/>
        </w:rPr>
        <w:t>Notice of Grant of</w:t>
      </w:r>
    </w:p>
    <w:p>
      <w:pPr>
        <w:spacing w:after="0" w:line="28" w:lineRule="exact"/>
        <w:rPr>
          <w:sz w:val="20"/>
          <w:szCs w:val="20"/>
          <w:color w:val="auto"/>
        </w:rPr>
      </w:pPr>
    </w:p>
    <w:p>
      <w:pPr>
        <w:spacing w:after="0"/>
        <w:rPr>
          <w:sz w:val="20"/>
          <w:szCs w:val="20"/>
          <w:color w:val="auto"/>
        </w:rPr>
      </w:pPr>
      <w:r>
        <w:rPr>
          <w:rFonts w:ascii="Arial" w:cs="Arial" w:eastAsia="Arial" w:hAnsi="Arial"/>
          <w:sz w:val="21"/>
          <w:szCs w:val="21"/>
          <w:b w:val="1"/>
          <w:bCs w:val="1"/>
          <w:color w:val="auto"/>
        </w:rPr>
        <w:t>Performance Restricted Stock</w:t>
      </w:r>
    </w:p>
    <w:p>
      <w:pPr>
        <w:spacing w:after="0" w:line="8" w:lineRule="exact"/>
        <w:rPr>
          <w:sz w:val="20"/>
          <w:szCs w:val="20"/>
          <w:color w:val="auto"/>
        </w:rPr>
      </w:pPr>
    </w:p>
    <w:p>
      <w:pPr>
        <w:spacing w:after="0"/>
        <w:rPr>
          <w:sz w:val="20"/>
          <w:szCs w:val="20"/>
          <w:color w:val="auto"/>
        </w:rPr>
      </w:pPr>
      <w:r>
        <w:rPr>
          <w:rFonts w:ascii="Arial" w:cs="Arial" w:eastAsia="Arial" w:hAnsi="Arial"/>
          <w:sz w:val="21"/>
          <w:szCs w:val="21"/>
          <w:b w:val="1"/>
          <w:bCs w:val="1"/>
          <w:color w:val="auto"/>
        </w:rPr>
        <w:t>Units and Agreement</w:t>
      </w:r>
    </w:p>
    <w:p>
      <w:pPr>
        <w:spacing w:after="0" w:line="161"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Marvell Technology Group LTD</w:t>
      </w:r>
    </w:p>
    <w:p>
      <w:pPr>
        <w:spacing w:after="0" w:line="21" w:lineRule="exact"/>
        <w:rPr>
          <w:sz w:val="20"/>
          <w:szCs w:val="20"/>
          <w:color w:val="auto"/>
        </w:rPr>
      </w:pPr>
    </w:p>
    <w:p>
      <w:pPr>
        <w:spacing w:after="0"/>
        <w:rPr>
          <w:sz w:val="20"/>
          <w:szCs w:val="20"/>
          <w:color w:val="auto"/>
        </w:rPr>
      </w:pPr>
      <w:r>
        <w:rPr>
          <w:rFonts w:ascii="Arial" w:cs="Arial" w:eastAsia="Arial" w:hAnsi="Arial"/>
          <w:sz w:val="15"/>
          <w:szCs w:val="15"/>
          <w:color w:val="auto"/>
        </w:rPr>
        <w:t>ID: 77-0481679</w:t>
      </w:r>
    </w:p>
    <w:p>
      <w:pPr>
        <w:spacing w:after="0" w:line="3" w:lineRule="exact"/>
        <w:rPr>
          <w:sz w:val="20"/>
          <w:szCs w:val="20"/>
          <w:color w:val="auto"/>
        </w:rPr>
      </w:pPr>
    </w:p>
    <w:p>
      <w:pPr>
        <w:spacing w:after="0"/>
        <w:rPr>
          <w:sz w:val="20"/>
          <w:szCs w:val="20"/>
          <w:color w:val="auto"/>
        </w:rPr>
      </w:pPr>
      <w:r>
        <w:rPr>
          <w:rFonts w:ascii="Arial" w:cs="Arial" w:eastAsia="Arial" w:hAnsi="Arial"/>
          <w:sz w:val="15"/>
          <w:szCs w:val="15"/>
          <w:color w:val="auto"/>
        </w:rPr>
        <w:t>Canon’s Court, 22 Victoria Street</w:t>
      </w:r>
    </w:p>
    <w:p>
      <w:pPr>
        <w:spacing w:after="0" w:line="3" w:lineRule="exact"/>
        <w:rPr>
          <w:sz w:val="20"/>
          <w:szCs w:val="20"/>
          <w:color w:val="auto"/>
        </w:rPr>
      </w:pPr>
    </w:p>
    <w:p>
      <w:pPr>
        <w:spacing w:after="0"/>
        <w:rPr>
          <w:sz w:val="20"/>
          <w:szCs w:val="20"/>
          <w:color w:val="auto"/>
        </w:rPr>
      </w:pPr>
      <w:r>
        <w:rPr>
          <w:rFonts w:ascii="Arial" w:cs="Arial" w:eastAsia="Arial" w:hAnsi="Arial"/>
          <w:sz w:val="15"/>
          <w:szCs w:val="15"/>
          <w:color w:val="auto"/>
        </w:rPr>
        <w:t>P O Box HM 1179</w:t>
      </w:r>
    </w:p>
    <w:p>
      <w:pPr>
        <w:spacing w:after="0" w:line="3" w:lineRule="exact"/>
        <w:rPr>
          <w:sz w:val="20"/>
          <w:szCs w:val="20"/>
          <w:color w:val="auto"/>
        </w:rPr>
      </w:pPr>
    </w:p>
    <w:p>
      <w:pPr>
        <w:spacing w:after="0"/>
        <w:rPr>
          <w:sz w:val="20"/>
          <w:szCs w:val="20"/>
          <w:color w:val="auto"/>
        </w:rPr>
      </w:pPr>
      <w:r>
        <w:rPr>
          <w:rFonts w:ascii="Arial" w:cs="Arial" w:eastAsia="Arial" w:hAnsi="Arial"/>
          <w:sz w:val="15"/>
          <w:szCs w:val="15"/>
          <w:color w:val="auto"/>
        </w:rPr>
        <w:t>Hamilton HM EX, Bermuda</w:t>
      </w:r>
    </w:p>
    <w:p>
      <w:pPr>
        <w:sectPr>
          <w:pgSz w:w="11900" w:h="16838" w:orient="portrait"/>
          <w:cols w:equalWidth="0" w:num="1">
            <w:col w:w="11420"/>
          </w:cols>
          <w:pgMar w:left="240" w:top="620" w:right="239" w:bottom="1440" w:gutter="0" w:footer="0" w:header="0"/>
        </w:sectPr>
      </w:pPr>
    </w:p>
    <w:p>
      <w:pPr>
        <w:spacing w:after="0" w:line="20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NAME</w:t>
      </w:r>
    </w:p>
    <w:p>
      <w:pPr>
        <w:spacing w:after="0" w:line="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ADDRESS</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CITY STATE ZIP</w:t>
      </w:r>
    </w:p>
    <w:p>
      <w:pPr>
        <w:spacing w:after="0" w:line="20" w:lineRule="exact"/>
        <w:rPr>
          <w:sz w:val="20"/>
          <w:szCs w:val="20"/>
          <w:color w:val="auto"/>
        </w:rPr>
      </w:pPr>
      <w:r>
        <w:rPr>
          <w:sz w:val="20"/>
          <w:szCs w:val="20"/>
          <w:color w:val="auto"/>
        </w:rPr>
        <w:br w:type="column"/>
      </w:r>
    </w:p>
    <w:p>
      <w:pPr>
        <w:spacing w:after="0" w:line="3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Plan:</w:t>
      </w:r>
    </w:p>
    <w:p>
      <w:pPr>
        <w:spacing w:after="0" w:line="31" w:lineRule="exact"/>
        <w:rPr>
          <w:sz w:val="20"/>
          <w:szCs w:val="20"/>
          <w:color w:val="auto"/>
        </w:rPr>
      </w:pPr>
    </w:p>
    <w:p>
      <w:pPr>
        <w:ind w:left="340"/>
        <w:spacing w:after="0"/>
        <w:rPr>
          <w:sz w:val="20"/>
          <w:szCs w:val="20"/>
          <w:color w:val="auto"/>
        </w:rPr>
      </w:pPr>
      <w:r>
        <w:rPr>
          <w:rFonts w:ascii="Arial" w:cs="Arial" w:eastAsia="Arial" w:hAnsi="Arial"/>
          <w:sz w:val="18"/>
          <w:szCs w:val="18"/>
          <w:b w:val="1"/>
          <w:bCs w:val="1"/>
          <w:color w:val="auto"/>
        </w:rPr>
        <w:t>ID:</w:t>
      </w:r>
    </w:p>
    <w:p>
      <w:pPr>
        <w:spacing w:after="0" w:line="20" w:lineRule="exact"/>
        <w:rPr>
          <w:sz w:val="20"/>
          <w:szCs w:val="20"/>
          <w:color w:val="auto"/>
        </w:rPr>
      </w:pPr>
      <w:r>
        <w:rPr>
          <w:sz w:val="20"/>
          <w:szCs w:val="20"/>
          <w:color w:val="auto"/>
        </w:rPr>
        <w:br w:type="column"/>
      </w:r>
    </w:p>
    <w:p>
      <w:pPr>
        <w:spacing w:after="0" w:line="180" w:lineRule="exact"/>
        <w:rPr>
          <w:sz w:val="20"/>
          <w:szCs w:val="20"/>
          <w:color w:val="auto"/>
        </w:rPr>
      </w:pPr>
    </w:p>
    <w:p>
      <w:pPr>
        <w:spacing w:after="0"/>
        <w:tabs>
          <w:tab w:leader="none" w:pos="1500" w:val="left"/>
        </w:tabs>
        <w:rPr>
          <w:sz w:val="20"/>
          <w:szCs w:val="20"/>
          <w:color w:val="auto"/>
        </w:rPr>
      </w:pPr>
      <w:r>
        <w:rPr>
          <w:rFonts w:ascii="Arial" w:cs="Arial" w:eastAsia="Arial" w:hAnsi="Arial"/>
          <w:sz w:val="18"/>
          <w:szCs w:val="18"/>
          <w:b w:val="1"/>
          <w:bCs w:val="1"/>
          <w:color w:val="auto"/>
        </w:rPr>
        <w:t>Award Number:</w:t>
        <w:tab/>
        <w:t>NUMBER</w:t>
      </w:r>
    </w:p>
    <w:p>
      <w:pPr>
        <w:spacing w:after="0" w:line="31"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1995</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NUMBER</w:t>
      </w:r>
    </w:p>
    <w:p>
      <w:pPr>
        <w:spacing w:after="0" w:line="200" w:lineRule="exact"/>
        <w:rPr>
          <w:sz w:val="20"/>
          <w:szCs w:val="20"/>
          <w:color w:val="auto"/>
        </w:rPr>
      </w:pPr>
    </w:p>
    <w:p>
      <w:pPr>
        <w:sectPr>
          <w:pgSz w:w="11900" w:h="16838" w:orient="portrait"/>
          <w:cols w:equalWidth="0" w:num="3">
            <w:col w:w="1560" w:space="720"/>
            <w:col w:w="580" w:space="480"/>
            <w:col w:w="8080"/>
          </w:cols>
          <w:pgMar w:left="240" w:top="620" w:right="239" w:bottom="1440" w:gutter="0" w:footer="0" w:header="0"/>
          <w:type w:val="continuous"/>
        </w:sectPr>
      </w:pPr>
    </w:p>
    <w:p>
      <w:pPr>
        <w:spacing w:after="0" w:line="241" w:lineRule="exact"/>
        <w:rPr>
          <w:sz w:val="20"/>
          <w:szCs w:val="20"/>
          <w:color w:val="auto"/>
        </w:rPr>
      </w:pPr>
    </w:p>
    <w:p>
      <w:pPr>
        <w:ind w:right="60"/>
        <w:spacing w:after="0" w:line="262" w:lineRule="auto"/>
        <w:rPr>
          <w:sz w:val="20"/>
          <w:szCs w:val="20"/>
          <w:color w:val="auto"/>
        </w:rPr>
      </w:pPr>
      <w:r>
        <w:rPr>
          <w:rFonts w:ascii="Arial" w:cs="Arial" w:eastAsia="Arial" w:hAnsi="Arial"/>
          <w:sz w:val="18"/>
          <w:szCs w:val="18"/>
          <w:color w:val="auto"/>
        </w:rPr>
        <w:t xml:space="preserve">Effective April 15, 2019, you have been granted a Performance-based Restricted Stock Unit (RSU) award for the number of shares set forth on </w:t>
      </w:r>
      <w:r>
        <w:rPr>
          <w:rFonts w:ascii="Arial" w:cs="Arial" w:eastAsia="Arial" w:hAnsi="Arial"/>
          <w:sz w:val="18"/>
          <w:szCs w:val="18"/>
          <w:b w:val="1"/>
          <w:bCs w:val="1"/>
          <w:u w:val="single" w:color="auto"/>
          <w:color w:val="auto"/>
        </w:rPr>
        <w:t>Exhibit A</w:t>
      </w:r>
      <w:r>
        <w:rPr>
          <w:rFonts w:ascii="Arial" w:cs="Arial" w:eastAsia="Arial" w:hAnsi="Arial"/>
          <w:sz w:val="18"/>
          <w:szCs w:val="18"/>
          <w:color w:val="auto"/>
        </w:rPr>
        <w:t>, subject to the performance metrics set forth on</w:t>
      </w:r>
      <w:r>
        <w:rPr>
          <w:rFonts w:ascii="Arial" w:cs="Arial" w:eastAsia="Arial" w:hAnsi="Arial"/>
          <w:sz w:val="18"/>
          <w:szCs w:val="18"/>
          <w:b w:val="1"/>
          <w:bCs w:val="1"/>
          <w:color w:val="auto"/>
        </w:rPr>
        <w:t xml:space="preserve"> </w:t>
      </w:r>
      <w:r>
        <w:rPr>
          <w:rFonts w:ascii="Arial" w:cs="Arial" w:eastAsia="Arial" w:hAnsi="Arial"/>
          <w:sz w:val="18"/>
          <w:szCs w:val="18"/>
          <w:b w:val="1"/>
          <w:bCs w:val="1"/>
          <w:u w:val="single" w:color="auto"/>
          <w:color w:val="auto"/>
        </w:rPr>
        <w:t>Exhibit B</w:t>
      </w:r>
      <w:r>
        <w:rPr>
          <w:rFonts w:ascii="Arial" w:cs="Arial" w:eastAsia="Arial" w:hAnsi="Arial"/>
          <w:sz w:val="18"/>
          <w:szCs w:val="18"/>
          <w:color w:val="auto"/>
        </w:rPr>
        <w:t>.</w:t>
      </w:r>
    </w:p>
    <w:p>
      <w:pPr>
        <w:spacing w:after="0" w:line="196" w:lineRule="exact"/>
        <w:rPr>
          <w:sz w:val="20"/>
          <w:szCs w:val="20"/>
          <w:color w:val="auto"/>
        </w:rPr>
      </w:pPr>
    </w:p>
    <w:p>
      <w:pPr>
        <w:ind w:right="60"/>
        <w:spacing w:after="0" w:line="254" w:lineRule="auto"/>
        <w:rPr>
          <w:sz w:val="20"/>
          <w:szCs w:val="20"/>
          <w:color w:val="auto"/>
        </w:rPr>
      </w:pPr>
      <w:r>
        <w:rPr>
          <w:rFonts w:ascii="Arial" w:cs="Arial" w:eastAsia="Arial" w:hAnsi="Arial"/>
          <w:sz w:val="18"/>
          <w:szCs w:val="18"/>
          <w:color w:val="auto"/>
        </w:rPr>
        <w:t>This Notice of Grant is subject to all of the terms and conditions set forth herein, as well as the Stock Unit Agreement, the Appendix (which includes the special provisions for your country of residence if any), and the Amended and Restated 1995 Stock Option Plan (the “Plan”), all of which are incorporated herein by reference. This Notice of Grant, the Stock Unit Agreement, the Appendix and the Plan are referred to herein as the “Grant Documents.” Capitalized terms used in this Notice of Grant but not defined shall have the same meaning as provided in the Plan.</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color w:val="auto"/>
        </w:rPr>
        <w:t>By signing this document, you hereby acknowledge receipt of a copy of the Grant Documents, and agree that:</w:t>
      </w:r>
    </w:p>
    <w:p>
      <w:pPr>
        <w:spacing w:after="0" w:line="225" w:lineRule="exact"/>
        <w:rPr>
          <w:sz w:val="20"/>
          <w:szCs w:val="20"/>
          <w:color w:val="auto"/>
        </w:rPr>
      </w:pPr>
    </w:p>
    <w:p>
      <w:pPr>
        <w:ind w:left="280" w:hanging="272"/>
        <w:spacing w:after="0"/>
        <w:tabs>
          <w:tab w:leader="none" w:pos="2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these Performance-based RSUs are granted under and governed by the terms and conditions of the Grant Documents;</w:t>
      </w:r>
    </w:p>
    <w:p>
      <w:pPr>
        <w:spacing w:after="0" w:line="225" w:lineRule="exact"/>
        <w:rPr>
          <w:rFonts w:ascii="Arial" w:cs="Arial" w:eastAsia="Arial" w:hAnsi="Arial"/>
          <w:sz w:val="18"/>
          <w:szCs w:val="18"/>
          <w:color w:val="auto"/>
        </w:rPr>
      </w:pPr>
    </w:p>
    <w:p>
      <w:pPr>
        <w:ind w:left="280" w:hanging="272"/>
        <w:spacing w:after="0"/>
        <w:tabs>
          <w:tab w:leader="none" w:pos="2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you have carefully read, fully understand and agree to all of the terms and conditions described in the Grant Documents;</w:t>
      </w:r>
    </w:p>
    <w:p>
      <w:pPr>
        <w:spacing w:after="0" w:line="225" w:lineRule="exact"/>
        <w:rPr>
          <w:rFonts w:ascii="Arial" w:cs="Arial" w:eastAsia="Arial" w:hAnsi="Arial"/>
          <w:sz w:val="18"/>
          <w:szCs w:val="18"/>
          <w:color w:val="auto"/>
        </w:rPr>
      </w:pPr>
    </w:p>
    <w:p>
      <w:pPr>
        <w:ind w:right="340" w:firstLine="8"/>
        <w:spacing w:after="0" w:line="256" w:lineRule="auto"/>
        <w:tabs>
          <w:tab w:leader="none" w:pos="2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you understand and agree that the Grant Documents constitute the entire understanding between you and the Company regarding this Performance-based RSU, and that any prior agreements, commitments or negotiations concerning this grant are replaced and superseded; and</w:t>
      </w:r>
    </w:p>
    <w:p>
      <w:pPr>
        <w:spacing w:after="0" w:line="201" w:lineRule="exact"/>
        <w:rPr>
          <w:rFonts w:ascii="Arial" w:cs="Arial" w:eastAsia="Arial" w:hAnsi="Arial"/>
          <w:sz w:val="18"/>
          <w:szCs w:val="18"/>
          <w:color w:val="auto"/>
        </w:rPr>
      </w:pPr>
    </w:p>
    <w:p>
      <w:pPr>
        <w:ind w:right="440" w:firstLine="8"/>
        <w:spacing w:after="0" w:line="262" w:lineRule="auto"/>
        <w:tabs>
          <w:tab w:leader="none" w:pos="270" w:val="left"/>
        </w:tabs>
        <w:numPr>
          <w:ilvl w:val="0"/>
          <w:numId w:val="23"/>
        </w:numPr>
        <w:rPr>
          <w:rFonts w:ascii="Arial" w:cs="Arial" w:eastAsia="Arial" w:hAnsi="Arial"/>
          <w:sz w:val="18"/>
          <w:szCs w:val="18"/>
          <w:color w:val="auto"/>
        </w:rPr>
      </w:pPr>
      <w:r>
        <w:rPr>
          <w:rFonts w:ascii="Arial" w:cs="Arial" w:eastAsia="Arial" w:hAnsi="Arial"/>
          <w:sz w:val="18"/>
          <w:szCs w:val="18"/>
          <w:color w:val="auto"/>
        </w:rPr>
        <w:t>you have been given an opportunity to consult legal counsel with respect to all matters relating to this Performance-based RSU prior to signing this Notice of Grant and that you have either consulted such counsel or voluntarily declined to consult such counsel.</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color w:val="auto"/>
        </w:rPr>
        <w:t>The Stock Unit Agreement, the Appendix and the Plan are available on the Company’s website at</w:t>
      </w:r>
    </w:p>
    <w:p>
      <w:pPr>
        <w:spacing w:after="0" w:line="9" w:lineRule="exact"/>
        <w:rPr>
          <w:sz w:val="20"/>
          <w:szCs w:val="20"/>
          <w:color w:val="auto"/>
        </w:rPr>
      </w:pPr>
    </w:p>
    <w:p>
      <w:pPr>
        <w:ind w:right="220"/>
        <w:spacing w:after="0" w:line="262" w:lineRule="auto"/>
        <w:rPr>
          <w:sz w:val="20"/>
          <w:szCs w:val="20"/>
          <w:color w:val="auto"/>
        </w:rPr>
      </w:pPr>
      <w:r>
        <w:rPr>
          <w:rFonts w:ascii="Arial" w:cs="Arial" w:eastAsia="Arial" w:hAnsi="Arial"/>
          <w:sz w:val="18"/>
          <w:szCs w:val="18"/>
          <w:color w:val="auto"/>
        </w:rPr>
        <w:t>https://intranet/stockselfservice or by request from the Company’s Stock Administration Department. You hereby agree that these documents are deemed to be delivered to you.</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____________________________________________________________________________________</w:t>
      </w:r>
    </w:p>
    <w:p>
      <w:pPr>
        <w:sectPr>
          <w:pgSz w:w="11900" w:h="16838" w:orient="portrait"/>
          <w:cols w:equalWidth="0" w:num="1">
            <w:col w:w="11420"/>
          </w:cols>
          <w:pgMar w:left="240" w:top="620" w:right="239" w:bottom="1440" w:gutter="0" w:footer="0" w:header="0"/>
          <w:type w:val="continuous"/>
        </w:sectPr>
      </w:pPr>
    </w:p>
    <w:p>
      <w:pPr>
        <w:spacing w:after="0" w:line="200" w:lineRule="exact"/>
        <w:rPr>
          <w:sz w:val="20"/>
          <w:szCs w:val="20"/>
          <w:color w:val="auto"/>
        </w:rPr>
      </w:pPr>
    </w:p>
    <w:p>
      <w:pPr>
        <w:spacing w:after="0" w:line="263" w:lineRule="exact"/>
        <w:rPr>
          <w:sz w:val="20"/>
          <w:szCs w:val="20"/>
          <w:color w:val="auto"/>
        </w:rPr>
      </w:pPr>
    </w:p>
    <w:p>
      <w:pPr>
        <w:spacing w:after="0" w:line="249" w:lineRule="auto"/>
        <w:rPr>
          <w:sz w:val="20"/>
          <w:szCs w:val="20"/>
          <w:color w:val="auto"/>
        </w:rPr>
      </w:pPr>
      <w:r>
        <w:rPr>
          <w:rFonts w:ascii="Arial" w:cs="Arial" w:eastAsia="Arial" w:hAnsi="Arial"/>
          <w:sz w:val="18"/>
          <w:szCs w:val="18"/>
          <w:color w:val="auto"/>
        </w:rPr>
        <w:t xml:space="preserve">_____________________________________ </w:t>
      </w:r>
      <w:r>
        <w:rPr>
          <w:rFonts w:ascii="Arial" w:cs="Arial" w:eastAsia="Arial" w:hAnsi="Arial"/>
          <w:sz w:val="17"/>
          <w:szCs w:val="17"/>
          <w:color w:val="auto"/>
        </w:rPr>
        <w:t xml:space="preserve">Mitchell Gaynor </w:t>
      </w:r>
      <w:r>
        <w:rPr>
          <w:rFonts w:ascii="Arial" w:cs="Arial" w:eastAsia="Arial" w:hAnsi="Arial"/>
          <w:sz w:val="18"/>
          <w:szCs w:val="18"/>
          <w:color w:val="auto"/>
        </w:rPr>
        <w:t>Date</w:t>
      </w:r>
      <w:r>
        <w:rPr>
          <w:rFonts w:ascii="Arial" w:cs="Arial" w:eastAsia="Arial" w:hAnsi="Arial"/>
          <w:sz w:val="17"/>
          <w:szCs w:val="17"/>
          <w:color w:val="auto"/>
        </w:rPr>
        <w:t xml:space="preserve"> EVP, Chief Administration and Legal Officer Marvell Technology Group Ltd.</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3" w:lineRule="exact"/>
        <w:rPr>
          <w:sz w:val="20"/>
          <w:szCs w:val="20"/>
          <w:color w:val="auto"/>
        </w:rPr>
      </w:pPr>
    </w:p>
    <w:p>
      <w:pPr>
        <w:spacing w:after="0"/>
        <w:rPr>
          <w:sz w:val="20"/>
          <w:szCs w:val="20"/>
          <w:color w:val="auto"/>
        </w:rPr>
      </w:pPr>
      <w:r>
        <w:rPr>
          <w:rFonts w:ascii="Arial" w:cs="Arial" w:eastAsia="Arial" w:hAnsi="Arial"/>
          <w:sz w:val="17"/>
          <w:szCs w:val="17"/>
          <w:color w:val="auto"/>
        </w:rPr>
        <w:t>_____________________________________</w:t>
      </w:r>
    </w:p>
    <w:p>
      <w:pPr>
        <w:sectPr>
          <w:pgSz w:w="11900" w:h="16838" w:orient="portrait"/>
          <w:cols w:equalWidth="0" w:num="2">
            <w:col w:w="3720" w:space="400"/>
            <w:col w:w="7300"/>
          </w:cols>
          <w:pgMar w:left="240" w:top="620" w:right="239" w:bottom="1440" w:gutter="0" w:footer="0" w:header="0"/>
          <w:type w:val="continuous"/>
        </w:sectPr>
      </w:pPr>
    </w:p>
    <w:bookmarkStart w:id="56" w:name="page57"/>
    <w:bookmarkEnd w:id="56"/>
    <w:p>
      <w:pPr>
        <w:spacing w:after="0" w:line="262" w:lineRule="auto"/>
        <w:rPr>
          <w:sz w:val="20"/>
          <w:szCs w:val="20"/>
          <w:color w:val="auto"/>
        </w:rPr>
      </w:pPr>
      <w:r>
        <w:rPr>
          <w:rFonts w:ascii="Arial" w:cs="Arial" w:eastAsia="Arial" w:hAnsi="Arial"/>
          <w:sz w:val="18"/>
          <w:szCs w:val="18"/>
          <w:color w:val="auto"/>
        </w:rPr>
        <w:t xml:space="preserve">_____________________________________ </w:t>
      </w:r>
      <w:r>
        <w:rPr>
          <w:rFonts w:ascii="Arial" w:cs="Arial" w:eastAsia="Arial" w:hAnsi="Arial"/>
          <w:sz w:val="17"/>
          <w:szCs w:val="17"/>
          <w:color w:val="auto"/>
        </w:rPr>
        <w:t xml:space="preserve">NAME </w:t>
      </w: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7"/>
          <w:szCs w:val="17"/>
          <w:color w:val="auto"/>
        </w:rPr>
        <w:t>_____________________________________</w:t>
      </w:r>
    </w:p>
    <w:p>
      <w:pPr>
        <w:sectPr>
          <w:pgSz w:w="11900" w:h="16838" w:orient="portrait"/>
          <w:cols w:equalWidth="0" w:num="2">
            <w:col w:w="3720" w:space="400"/>
            <w:col w:w="6099"/>
          </w:cols>
          <w:pgMar w:left="240" w:top="854" w:right="1440" w:bottom="1440" w:gutter="0" w:footer="0" w:header="0"/>
        </w:sectPr>
      </w:pPr>
    </w:p>
    <w:bookmarkStart w:id="57" w:name="page58"/>
    <w:bookmarkEnd w:id="57"/>
    <w:tbl>
      <w:tblPr>
        <w:tblLayout w:type="fixed"/>
        <w:tblInd w:w="0" w:type="dxa"/>
        <w:tblCellMar>
          <w:top w:w="0" w:type="dxa"/>
          <w:left w:w="0" w:type="dxa"/>
          <w:bottom w:w="0" w:type="dxa"/>
          <w:right w:w="0" w:type="dxa"/>
        </w:tblCellMar>
      </w:tblPr>
      <w:tr>
        <w:trPr>
          <w:trHeight w:val="207"/>
        </w:trPr>
        <w:tc>
          <w:tcPr>
            <w:tcW w:w="4480" w:type="dxa"/>
            <w:vAlign w:val="bottom"/>
          </w:tcPr>
          <w:p>
            <w:pPr>
              <w:spacing w:after="0"/>
              <w:rPr>
                <w:sz w:val="17"/>
                <w:szCs w:val="17"/>
                <w:color w:val="auto"/>
              </w:rPr>
            </w:pPr>
          </w:p>
        </w:tc>
        <w:tc>
          <w:tcPr>
            <w:tcW w:w="6280" w:type="dxa"/>
            <w:vAlign w:val="bottom"/>
            <w:gridSpan w:val="3"/>
          </w:tcPr>
          <w:p>
            <w:pPr>
              <w:jc w:val="right"/>
              <w:ind w:right="4690"/>
              <w:spacing w:after="0"/>
              <w:rPr>
                <w:sz w:val="20"/>
                <w:szCs w:val="20"/>
                <w:color w:val="auto"/>
              </w:rPr>
            </w:pPr>
            <w:r>
              <w:rPr>
                <w:rFonts w:ascii="Arial" w:cs="Arial" w:eastAsia="Arial" w:hAnsi="Arial"/>
                <w:sz w:val="18"/>
                <w:szCs w:val="18"/>
                <w:b w:val="1"/>
                <w:bCs w:val="1"/>
                <w:color w:val="auto"/>
              </w:rPr>
              <w:t>Exhibit A</w:t>
            </w:r>
          </w:p>
        </w:tc>
      </w:tr>
      <w:tr>
        <w:trPr>
          <w:trHeight w:val="615"/>
        </w:trPr>
        <w:tc>
          <w:tcPr>
            <w:tcW w:w="4480" w:type="dxa"/>
            <w:vAlign w:val="bottom"/>
          </w:tcPr>
          <w:p>
            <w:pPr>
              <w:spacing w:after="0"/>
              <w:rPr>
                <w:sz w:val="20"/>
                <w:szCs w:val="20"/>
                <w:color w:val="auto"/>
              </w:rPr>
            </w:pPr>
            <w:r>
              <w:rPr>
                <w:rFonts w:ascii="Arial" w:cs="Arial" w:eastAsia="Arial" w:hAnsi="Arial"/>
                <w:sz w:val="18"/>
                <w:szCs w:val="18"/>
                <w:color w:val="auto"/>
              </w:rPr>
              <w:t>Grant Number:</w:t>
            </w:r>
          </w:p>
        </w:tc>
        <w:tc>
          <w:tcPr>
            <w:tcW w:w="720" w:type="dxa"/>
            <w:vAlign w:val="bottom"/>
          </w:tcPr>
          <w:p>
            <w:pPr>
              <w:spacing w:after="0"/>
              <w:rPr>
                <w:sz w:val="24"/>
                <w:szCs w:val="24"/>
                <w:color w:val="auto"/>
              </w:rPr>
            </w:pPr>
          </w:p>
        </w:tc>
        <w:tc>
          <w:tcPr>
            <w:tcW w:w="780" w:type="dxa"/>
            <w:vAlign w:val="bottom"/>
            <w:tcBorders>
              <w:top w:val="single" w:sz="8" w:color="auto"/>
            </w:tcBorders>
          </w:tcPr>
          <w:p>
            <w:pPr>
              <w:spacing w:after="0"/>
              <w:rPr>
                <w:sz w:val="24"/>
                <w:szCs w:val="24"/>
                <w:color w:val="auto"/>
              </w:rPr>
            </w:pPr>
          </w:p>
        </w:tc>
        <w:tc>
          <w:tcPr>
            <w:tcW w:w="4780" w:type="dxa"/>
            <w:vAlign w:val="bottom"/>
          </w:tcPr>
          <w:p>
            <w:pPr>
              <w:jc w:val="right"/>
              <w:spacing w:after="0"/>
              <w:rPr>
                <w:sz w:val="20"/>
                <w:szCs w:val="20"/>
                <w:color w:val="auto"/>
              </w:rPr>
            </w:pPr>
            <w:r>
              <w:rPr>
                <w:rFonts w:ascii="Arial" w:cs="Arial" w:eastAsia="Arial" w:hAnsi="Arial"/>
                <w:sz w:val="18"/>
                <w:szCs w:val="18"/>
                <w:color w:val="auto"/>
              </w:rPr>
              <w:t>NUMBER</w:t>
            </w:r>
          </w:p>
        </w:tc>
      </w:tr>
      <w:tr>
        <w:trPr>
          <w:trHeight w:val="257"/>
        </w:trPr>
        <w:tc>
          <w:tcPr>
            <w:tcW w:w="4480" w:type="dxa"/>
            <w:vAlign w:val="bottom"/>
          </w:tcPr>
          <w:p>
            <w:pPr>
              <w:spacing w:after="0"/>
              <w:rPr>
                <w:sz w:val="20"/>
                <w:szCs w:val="20"/>
                <w:color w:val="auto"/>
              </w:rPr>
            </w:pPr>
            <w:r>
              <w:rPr>
                <w:rFonts w:ascii="Arial" w:cs="Arial" w:eastAsia="Arial" w:hAnsi="Arial"/>
                <w:sz w:val="18"/>
                <w:szCs w:val="18"/>
                <w:color w:val="auto"/>
              </w:rPr>
              <w:t>Grant Date:</w:t>
            </w:r>
          </w:p>
        </w:tc>
        <w:tc>
          <w:tcPr>
            <w:tcW w:w="7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4780" w:type="dxa"/>
            <w:vAlign w:val="bottom"/>
          </w:tcPr>
          <w:p>
            <w:pPr>
              <w:jc w:val="right"/>
              <w:spacing w:after="0"/>
              <w:rPr>
                <w:sz w:val="20"/>
                <w:szCs w:val="20"/>
                <w:color w:val="auto"/>
              </w:rPr>
            </w:pPr>
            <w:r>
              <w:rPr>
                <w:rFonts w:ascii="Arial" w:cs="Arial" w:eastAsia="Arial" w:hAnsi="Arial"/>
                <w:sz w:val="18"/>
                <w:szCs w:val="18"/>
                <w:color w:val="auto"/>
              </w:rPr>
              <w:t>April 15, 2019</w:t>
            </w:r>
          </w:p>
        </w:tc>
      </w:tr>
      <w:tr>
        <w:trPr>
          <w:trHeight w:val="257"/>
        </w:trPr>
        <w:tc>
          <w:tcPr>
            <w:tcW w:w="4480" w:type="dxa"/>
            <w:vAlign w:val="bottom"/>
          </w:tcPr>
          <w:p>
            <w:pPr>
              <w:spacing w:after="0"/>
              <w:rPr>
                <w:sz w:val="20"/>
                <w:szCs w:val="20"/>
                <w:color w:val="auto"/>
              </w:rPr>
            </w:pPr>
            <w:r>
              <w:rPr>
                <w:rFonts w:ascii="Arial" w:cs="Arial" w:eastAsia="Arial" w:hAnsi="Arial"/>
                <w:sz w:val="18"/>
                <w:szCs w:val="18"/>
                <w:color w:val="auto"/>
              </w:rPr>
              <w:t>Grant Date Fair Market Value per Share:</w:t>
            </w:r>
          </w:p>
        </w:tc>
        <w:tc>
          <w:tcPr>
            <w:tcW w:w="7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4780" w:type="dxa"/>
            <w:vAlign w:val="bottom"/>
          </w:tcPr>
          <w:p>
            <w:pPr>
              <w:jc w:val="right"/>
              <w:spacing w:after="0"/>
              <w:rPr>
                <w:sz w:val="20"/>
                <w:szCs w:val="20"/>
                <w:color w:val="auto"/>
              </w:rPr>
            </w:pPr>
            <w:r>
              <w:rPr>
                <w:rFonts w:ascii="Arial" w:cs="Arial" w:eastAsia="Arial" w:hAnsi="Arial"/>
                <w:sz w:val="18"/>
                <w:szCs w:val="18"/>
                <w:color w:val="auto"/>
              </w:rPr>
              <w:t>$FMV</w:t>
            </w:r>
          </w:p>
        </w:tc>
      </w:tr>
      <w:tr>
        <w:trPr>
          <w:trHeight w:val="270"/>
        </w:trPr>
        <w:tc>
          <w:tcPr>
            <w:tcW w:w="4480" w:type="dxa"/>
            <w:vAlign w:val="bottom"/>
          </w:tcPr>
          <w:p>
            <w:pPr>
              <w:spacing w:after="0"/>
              <w:rPr>
                <w:sz w:val="20"/>
                <w:szCs w:val="20"/>
                <w:color w:val="auto"/>
              </w:rPr>
            </w:pPr>
            <w:r>
              <w:rPr>
                <w:rFonts w:ascii="Arial" w:cs="Arial" w:eastAsia="Arial" w:hAnsi="Arial"/>
                <w:sz w:val="18"/>
                <w:szCs w:val="18"/>
                <w:color w:val="auto"/>
              </w:rPr>
              <w:t>Grant Price:</w:t>
            </w:r>
          </w:p>
        </w:tc>
        <w:tc>
          <w:tcPr>
            <w:tcW w:w="6280" w:type="dxa"/>
            <w:vAlign w:val="bottom"/>
            <w:gridSpan w:val="3"/>
          </w:tcPr>
          <w:p>
            <w:pPr>
              <w:jc w:val="right"/>
              <w:spacing w:after="0"/>
              <w:rPr>
                <w:sz w:val="20"/>
                <w:szCs w:val="20"/>
                <w:color w:val="auto"/>
              </w:rPr>
            </w:pPr>
            <w:r>
              <w:rPr>
                <w:rFonts w:ascii="Arial" w:cs="Arial" w:eastAsia="Arial" w:hAnsi="Arial"/>
                <w:sz w:val="18"/>
                <w:szCs w:val="18"/>
                <w:color w:val="auto"/>
              </w:rPr>
              <w:t>$0.00</w:t>
            </w:r>
          </w:p>
        </w:tc>
      </w:tr>
      <w:tr>
        <w:trPr>
          <w:trHeight w:val="257"/>
        </w:trPr>
        <w:tc>
          <w:tcPr>
            <w:tcW w:w="4480" w:type="dxa"/>
            <w:vAlign w:val="bottom"/>
          </w:tcPr>
          <w:p>
            <w:pPr>
              <w:spacing w:after="0"/>
              <w:rPr>
                <w:sz w:val="20"/>
                <w:szCs w:val="20"/>
                <w:color w:val="auto"/>
              </w:rPr>
            </w:pPr>
            <w:r>
              <w:rPr>
                <w:rFonts w:ascii="Arial" w:cs="Arial" w:eastAsia="Arial" w:hAnsi="Arial"/>
                <w:sz w:val="18"/>
                <w:szCs w:val="18"/>
                <w:color w:val="auto"/>
              </w:rPr>
              <w:t>Number of Shares at Target (payable at 100%):</w:t>
            </w:r>
          </w:p>
        </w:tc>
        <w:tc>
          <w:tcPr>
            <w:tcW w:w="7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4780" w:type="dxa"/>
            <w:vAlign w:val="bottom"/>
          </w:tcPr>
          <w:p>
            <w:pPr>
              <w:jc w:val="right"/>
              <w:spacing w:after="0"/>
              <w:rPr>
                <w:sz w:val="20"/>
                <w:szCs w:val="20"/>
                <w:color w:val="auto"/>
              </w:rPr>
            </w:pPr>
            <w:r>
              <w:rPr>
                <w:rFonts w:ascii="Arial" w:cs="Arial" w:eastAsia="Arial" w:hAnsi="Arial"/>
                <w:sz w:val="18"/>
                <w:szCs w:val="18"/>
                <w:color w:val="auto"/>
              </w:rPr>
              <w:t>NUMBER</w:t>
            </w:r>
          </w:p>
        </w:tc>
      </w:tr>
      <w:tr>
        <w:trPr>
          <w:trHeight w:val="257"/>
        </w:trPr>
        <w:tc>
          <w:tcPr>
            <w:tcW w:w="4480" w:type="dxa"/>
            <w:vAlign w:val="bottom"/>
          </w:tcPr>
          <w:p>
            <w:pPr>
              <w:spacing w:after="0"/>
              <w:rPr>
                <w:sz w:val="20"/>
                <w:szCs w:val="20"/>
                <w:color w:val="auto"/>
              </w:rPr>
            </w:pPr>
            <w:r>
              <w:rPr>
                <w:rFonts w:ascii="Arial" w:cs="Arial" w:eastAsia="Arial" w:hAnsi="Arial"/>
                <w:sz w:val="18"/>
                <w:szCs w:val="18"/>
                <w:color w:val="auto"/>
              </w:rPr>
              <w:t>Vesting Schedule:</w:t>
            </w:r>
          </w:p>
        </w:tc>
        <w:tc>
          <w:tcPr>
            <w:tcW w:w="7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4780" w:type="dxa"/>
            <w:vAlign w:val="bottom"/>
          </w:tcPr>
          <w:p>
            <w:pPr>
              <w:jc w:val="right"/>
              <w:spacing w:after="0"/>
              <w:rPr>
                <w:sz w:val="20"/>
                <w:szCs w:val="20"/>
                <w:color w:val="auto"/>
              </w:rPr>
            </w:pPr>
            <w:r>
              <w:rPr>
                <w:rFonts w:ascii="Arial" w:cs="Arial" w:eastAsia="Arial" w:hAnsi="Arial"/>
                <w:sz w:val="18"/>
                <w:szCs w:val="18"/>
                <w:b w:val="1"/>
                <w:bCs w:val="1"/>
                <w:color w:val="auto"/>
              </w:rPr>
              <w:t>See Exhibit B</w:t>
            </w:r>
          </w:p>
        </w:tc>
      </w:tr>
      <w:tr>
        <w:trPr>
          <w:trHeight w:val="257"/>
        </w:trPr>
        <w:tc>
          <w:tcPr>
            <w:tcW w:w="4480" w:type="dxa"/>
            <w:vAlign w:val="bottom"/>
          </w:tcPr>
          <w:p>
            <w:pPr>
              <w:spacing w:after="0"/>
              <w:rPr>
                <w:sz w:val="20"/>
                <w:szCs w:val="20"/>
                <w:color w:val="auto"/>
              </w:rPr>
            </w:pPr>
            <w:r>
              <w:rPr>
                <w:rFonts w:ascii="Arial" w:cs="Arial" w:eastAsia="Arial" w:hAnsi="Arial"/>
                <w:sz w:val="18"/>
                <w:szCs w:val="18"/>
                <w:color w:val="auto"/>
              </w:rPr>
              <w:t>Performance Metrics:</w:t>
            </w:r>
          </w:p>
        </w:tc>
        <w:tc>
          <w:tcPr>
            <w:tcW w:w="7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4780" w:type="dxa"/>
            <w:vAlign w:val="bottom"/>
          </w:tcPr>
          <w:p>
            <w:pPr>
              <w:jc w:val="right"/>
              <w:spacing w:after="0"/>
              <w:rPr>
                <w:sz w:val="20"/>
                <w:szCs w:val="20"/>
                <w:color w:val="auto"/>
              </w:rPr>
            </w:pPr>
            <w:r>
              <w:rPr>
                <w:rFonts w:ascii="Arial" w:cs="Arial" w:eastAsia="Arial" w:hAnsi="Arial"/>
                <w:sz w:val="18"/>
                <w:szCs w:val="18"/>
                <w:b w:val="1"/>
                <w:bCs w:val="1"/>
                <w:color w:val="auto"/>
              </w:rPr>
              <w:t>See Exhibit B</w:t>
            </w:r>
          </w:p>
        </w:tc>
      </w:tr>
    </w:tbl>
    <w:p>
      <w:pPr>
        <w:sectPr>
          <w:pgSz w:w="11900" w:h="16838" w:orient="portrait"/>
          <w:cols w:equalWidth="0" w:num="1">
            <w:col w:w="10760"/>
          </w:cols>
          <w:pgMar w:left="360" w:top="608" w:right="779" w:bottom="1440" w:gutter="0" w:footer="0" w:header="0"/>
        </w:sectPr>
      </w:pPr>
    </w:p>
    <w:bookmarkStart w:id="58" w:name="page59"/>
    <w:bookmarkEnd w:id="58"/>
    <w:p>
      <w:pPr>
        <w:jc w:val="center"/>
        <w:spacing w:after="0"/>
        <w:rPr>
          <w:sz w:val="20"/>
          <w:szCs w:val="20"/>
          <w:color w:val="auto"/>
        </w:rPr>
      </w:pPr>
      <w:r>
        <w:rPr>
          <w:rFonts w:ascii="Arial" w:cs="Arial" w:eastAsia="Arial" w:hAnsi="Arial"/>
          <w:sz w:val="18"/>
          <w:szCs w:val="18"/>
          <w:b w:val="1"/>
          <w:bCs w:val="1"/>
          <w:u w:val="single" w:color="auto"/>
          <w:color w:val="auto"/>
        </w:rPr>
        <w:t>Exhibit B</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VESTING SCHEDULE FOR VALUE CREATION AWARDS</w:t>
      </w:r>
    </w:p>
    <w:p>
      <w:pPr>
        <w:spacing w:after="0" w:line="247" w:lineRule="exact"/>
        <w:rPr>
          <w:sz w:val="20"/>
          <w:szCs w:val="20"/>
          <w:color w:val="auto"/>
        </w:rPr>
      </w:pPr>
    </w:p>
    <w:p>
      <w:pPr>
        <w:jc w:val="both"/>
        <w:ind w:firstLine="648"/>
        <w:spacing w:after="0" w:line="254" w:lineRule="auto"/>
        <w:rPr>
          <w:sz w:val="20"/>
          <w:szCs w:val="20"/>
          <w:color w:val="auto"/>
        </w:rPr>
      </w:pPr>
      <w:r>
        <w:rPr>
          <w:rFonts w:ascii="Arial" w:cs="Arial" w:eastAsia="Arial" w:hAnsi="Arial"/>
          <w:sz w:val="18"/>
          <w:szCs w:val="18"/>
          <w:color w:val="auto"/>
        </w:rPr>
        <w:t>Subject to any acceleration provisions contained in the Plan or set forth below, the RSUs will vest only if certain performance-based goals are achieved (as described below) and certain service-based requirements (as described below) are met. Participant will not vest in the RSUs unless he or she remains in Continuous Service (as defined in the Plan) through the applicable vesting date (subject to termination and Change in Control provisions set forth below).</w:t>
      </w:r>
    </w:p>
    <w:p>
      <w:pPr>
        <w:spacing w:after="0" w:line="200" w:lineRule="exact"/>
        <w:rPr>
          <w:sz w:val="20"/>
          <w:szCs w:val="20"/>
          <w:color w:val="auto"/>
        </w:rPr>
      </w:pPr>
    </w:p>
    <w:p>
      <w:pPr>
        <w:spacing w:after="0" w:line="202"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Performance Period</w:t>
      </w:r>
      <w:r>
        <w:rPr>
          <w:rFonts w:ascii="Arial" w:cs="Arial" w:eastAsia="Arial" w:hAnsi="Arial"/>
          <w:sz w:val="18"/>
          <w:szCs w:val="18"/>
          <w:color w:val="auto"/>
        </w:rPr>
        <w:t>. 4-year period commencing as of the Grant Date.</w:t>
      </w:r>
    </w:p>
    <w:p>
      <w:pPr>
        <w:spacing w:after="0" w:line="225" w:lineRule="exact"/>
        <w:rPr>
          <w:sz w:val="20"/>
          <w:szCs w:val="20"/>
          <w:color w:val="auto"/>
        </w:rPr>
      </w:pPr>
    </w:p>
    <w:p>
      <w:pPr>
        <w:jc w:val="both"/>
        <w:ind w:right="20" w:firstLine="648"/>
        <w:spacing w:after="0" w:line="266" w:lineRule="auto"/>
        <w:rPr>
          <w:sz w:val="20"/>
          <w:szCs w:val="20"/>
          <w:color w:val="auto"/>
        </w:rPr>
      </w:pPr>
      <w:r>
        <w:rPr>
          <w:rFonts w:ascii="Arial" w:cs="Arial" w:eastAsia="Arial" w:hAnsi="Arial"/>
          <w:sz w:val="18"/>
          <w:szCs w:val="18"/>
          <w:i w:val="1"/>
          <w:iCs w:val="1"/>
          <w:color w:val="auto"/>
        </w:rPr>
        <w:t xml:space="preserve">Performance-Based Vesting Component. </w:t>
      </w:r>
      <w:r>
        <w:rPr>
          <w:rFonts w:ascii="Arial" w:cs="Arial" w:eastAsia="Arial" w:hAnsi="Arial"/>
          <w:sz w:val="18"/>
          <w:szCs w:val="18"/>
          <w:color w:val="auto"/>
        </w:rPr>
        <w:t>The RSUs will become eligible to vest (if at all) during the Performance Period based on</w:t>
      </w:r>
      <w:r>
        <w:rPr>
          <w:rFonts w:ascii="Arial" w:cs="Arial" w:eastAsia="Arial" w:hAnsi="Arial"/>
          <w:sz w:val="18"/>
          <w:szCs w:val="18"/>
          <w:i w:val="1"/>
          <w:iCs w:val="1"/>
          <w:color w:val="auto"/>
        </w:rPr>
        <w:t xml:space="preserve"> </w:t>
      </w:r>
      <w:r>
        <w:rPr>
          <w:rFonts w:ascii="Arial" w:cs="Arial" w:eastAsia="Arial" w:hAnsi="Arial"/>
          <w:sz w:val="18"/>
          <w:szCs w:val="18"/>
          <w:color w:val="auto"/>
        </w:rPr>
        <w:t>Performance Achievement (as set forth below). Any RSUs that become eligible to vest after Performance Achievement are referred to herein as “Eligible RSUs.”</w:t>
      </w:r>
    </w:p>
    <w:p>
      <w:pPr>
        <w:spacing w:after="0" w:line="176" w:lineRule="exact"/>
        <w:rPr>
          <w:sz w:val="20"/>
          <w:szCs w:val="20"/>
          <w:color w:val="auto"/>
        </w:rPr>
      </w:pPr>
    </w:p>
    <w:p>
      <w:pPr>
        <w:jc w:val="both"/>
        <w:ind w:firstLine="648"/>
        <w:spacing w:after="0" w:line="282" w:lineRule="auto"/>
        <w:rPr>
          <w:sz w:val="20"/>
          <w:szCs w:val="20"/>
          <w:color w:val="auto"/>
        </w:rPr>
      </w:pPr>
      <w:r>
        <w:rPr>
          <w:rFonts w:ascii="Arial" w:cs="Arial" w:eastAsia="Arial" w:hAnsi="Arial"/>
          <w:sz w:val="18"/>
          <w:szCs w:val="18"/>
          <w:i w:val="1"/>
          <w:iCs w:val="1"/>
          <w:color w:val="auto"/>
        </w:rPr>
        <w:t>Price Target</w:t>
      </w:r>
      <w:r>
        <w:rPr>
          <w:rFonts w:ascii="Arial" w:cs="Arial" w:eastAsia="Arial" w:hAnsi="Arial"/>
          <w:sz w:val="18"/>
          <w:szCs w:val="18"/>
          <w:color w:val="auto"/>
        </w:rPr>
        <w:t>: The Price Target shall be a stock price of $40 per share. The Price Target (e.g., $40 per share) shall be adjusted</w:t>
      </w:r>
      <w:r>
        <w:rPr>
          <w:rFonts w:ascii="Arial" w:cs="Arial" w:eastAsia="Arial" w:hAnsi="Arial"/>
          <w:sz w:val="18"/>
          <w:szCs w:val="18"/>
          <w:i w:val="1"/>
          <w:iCs w:val="1"/>
          <w:color w:val="auto"/>
        </w:rPr>
        <w:t xml:space="preserve"> </w:t>
      </w:r>
      <w:r>
        <w:rPr>
          <w:rFonts w:ascii="Arial" w:cs="Arial" w:eastAsia="Arial" w:hAnsi="Arial"/>
          <w:sz w:val="18"/>
          <w:szCs w:val="18"/>
          <w:color w:val="auto"/>
        </w:rPr>
        <w:t>proportionately in connection with any change in the Company’s capitalization as described in Section 14 of the Plan.</w:t>
      </w:r>
    </w:p>
    <w:p>
      <w:pPr>
        <w:spacing w:after="0" w:line="162" w:lineRule="exact"/>
        <w:rPr>
          <w:sz w:val="20"/>
          <w:szCs w:val="20"/>
          <w:color w:val="auto"/>
        </w:rPr>
      </w:pPr>
    </w:p>
    <w:p>
      <w:pPr>
        <w:jc w:val="both"/>
        <w:ind w:firstLine="648"/>
        <w:spacing w:after="0" w:line="282" w:lineRule="auto"/>
        <w:rPr>
          <w:sz w:val="20"/>
          <w:szCs w:val="20"/>
          <w:color w:val="auto"/>
        </w:rPr>
      </w:pPr>
      <w:r>
        <w:rPr>
          <w:rFonts w:ascii="Arial" w:cs="Arial" w:eastAsia="Arial" w:hAnsi="Arial"/>
          <w:sz w:val="18"/>
          <w:szCs w:val="18"/>
          <w:i w:val="1"/>
          <w:iCs w:val="1"/>
          <w:color w:val="auto"/>
        </w:rPr>
        <w:t>Performance Achievement</w:t>
      </w:r>
      <w:r>
        <w:rPr>
          <w:rFonts w:ascii="Arial" w:cs="Arial" w:eastAsia="Arial" w:hAnsi="Arial"/>
          <w:sz w:val="18"/>
          <w:szCs w:val="18"/>
          <w:color w:val="auto"/>
        </w:rPr>
        <w:t>: Performance Achievement shall occur once the average closing trading price for the Company’s common</w:t>
      </w:r>
      <w:r>
        <w:rPr>
          <w:rFonts w:ascii="Arial" w:cs="Arial" w:eastAsia="Arial" w:hAnsi="Arial"/>
          <w:sz w:val="18"/>
          <w:szCs w:val="18"/>
          <w:i w:val="1"/>
          <w:iCs w:val="1"/>
          <w:color w:val="auto"/>
        </w:rPr>
        <w:t xml:space="preserve"> </w:t>
      </w:r>
      <w:r>
        <w:rPr>
          <w:rFonts w:ascii="Arial" w:cs="Arial" w:eastAsia="Arial" w:hAnsi="Arial"/>
          <w:sz w:val="18"/>
          <w:szCs w:val="18"/>
          <w:color w:val="auto"/>
        </w:rPr>
        <w:t>stock equals or exceeds the Price Target for 100 calendar days.</w:t>
      </w:r>
    </w:p>
    <w:p>
      <w:pPr>
        <w:spacing w:after="0" w:line="180" w:lineRule="exact"/>
        <w:rPr>
          <w:sz w:val="20"/>
          <w:szCs w:val="20"/>
          <w:color w:val="auto"/>
        </w:rPr>
      </w:pPr>
    </w:p>
    <w:p>
      <w:pPr>
        <w:jc w:val="both"/>
        <w:ind w:firstLine="648"/>
        <w:spacing w:after="0" w:line="252" w:lineRule="auto"/>
        <w:rPr>
          <w:sz w:val="20"/>
          <w:szCs w:val="20"/>
          <w:color w:val="auto"/>
        </w:rPr>
      </w:pPr>
      <w:r>
        <w:rPr>
          <w:rFonts w:ascii="Arial" w:cs="Arial" w:eastAsia="Arial" w:hAnsi="Arial"/>
          <w:sz w:val="18"/>
          <w:szCs w:val="18"/>
          <w:color w:val="auto"/>
        </w:rPr>
        <w:t>All determinations regarding the occurrence of Performance Achievement shall be made by the Executive Compensation Committee of the Board (“ECC”) in its sole discretion and all such determinations shall be final and binding on all parties. Any RSUs that will become Eligible RSUs pursuant to the terms and conditions set forth herein will be deemed Eligible RSUs as of the date of occurrence of Performance Achievement (e.g., the last day of the 100 calendar day period referenced above) (the “Performance Achievement Date”); provided that the ECC has then certified in writing as to the occurrence of Performance Achievement within 60 calendar days after the Performance Achievement Date.</w:t>
      </w:r>
    </w:p>
    <w:p>
      <w:pPr>
        <w:spacing w:after="0" w:line="20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Performance Achievement must occur prior to the end of the Performance Period or the RSUs shall be forfeited.</w:t>
      </w:r>
    </w:p>
    <w:p>
      <w:pPr>
        <w:spacing w:after="0" w:line="207" w:lineRule="exact"/>
        <w:rPr>
          <w:sz w:val="20"/>
          <w:szCs w:val="20"/>
          <w:color w:val="auto"/>
        </w:rPr>
      </w:pPr>
    </w:p>
    <w:p>
      <w:pPr>
        <w:jc w:val="both"/>
        <w:ind w:firstLine="648"/>
        <w:spacing w:after="0" w:line="266" w:lineRule="auto"/>
        <w:rPr>
          <w:sz w:val="20"/>
          <w:szCs w:val="20"/>
          <w:color w:val="auto"/>
        </w:rPr>
      </w:pPr>
      <w:r>
        <w:rPr>
          <w:rFonts w:ascii="Arial" w:cs="Arial" w:eastAsia="Arial" w:hAnsi="Arial"/>
          <w:sz w:val="18"/>
          <w:szCs w:val="18"/>
          <w:i w:val="1"/>
          <w:iCs w:val="1"/>
          <w:color w:val="auto"/>
        </w:rPr>
        <w:t xml:space="preserve">Service-Based Vesting Component. </w:t>
      </w:r>
      <w:r>
        <w:rPr>
          <w:rFonts w:ascii="Arial" w:cs="Arial" w:eastAsia="Arial" w:hAnsi="Arial"/>
          <w:sz w:val="18"/>
          <w:szCs w:val="18"/>
          <w:color w:val="auto"/>
        </w:rPr>
        <w:t>Once the Eligible RSUs have been determined pursuant to the performance-based vesting</w:t>
      </w:r>
      <w:r>
        <w:rPr>
          <w:rFonts w:ascii="Arial" w:cs="Arial" w:eastAsia="Arial" w:hAnsi="Arial"/>
          <w:sz w:val="18"/>
          <w:szCs w:val="18"/>
          <w:i w:val="1"/>
          <w:iCs w:val="1"/>
          <w:color w:val="auto"/>
        </w:rPr>
        <w:t xml:space="preserve"> </w:t>
      </w:r>
      <w:r>
        <w:rPr>
          <w:rFonts w:ascii="Arial" w:cs="Arial" w:eastAsia="Arial" w:hAnsi="Arial"/>
          <w:sz w:val="18"/>
          <w:szCs w:val="18"/>
          <w:color w:val="auto"/>
        </w:rPr>
        <w:t>component described above, subject to any acceleration provisions contained below, the Eligible RSUs will vest in accordance with the following schedule:</w:t>
      </w:r>
    </w:p>
    <w:p>
      <w:pPr>
        <w:spacing w:after="0" w:line="194" w:lineRule="exact"/>
        <w:rPr>
          <w:sz w:val="20"/>
          <w:szCs w:val="20"/>
          <w:color w:val="auto"/>
        </w:rPr>
      </w:pPr>
    </w:p>
    <w:p>
      <w:pPr>
        <w:jc w:val="both"/>
        <w:ind w:firstLine="648"/>
        <w:spacing w:after="0" w:line="262" w:lineRule="auto"/>
        <w:rPr>
          <w:sz w:val="20"/>
          <w:szCs w:val="20"/>
          <w:color w:val="auto"/>
        </w:rPr>
      </w:pPr>
      <w:r>
        <w:rPr>
          <w:rFonts w:ascii="Arial" w:cs="Arial" w:eastAsia="Arial" w:hAnsi="Arial"/>
          <w:sz w:val="18"/>
          <w:szCs w:val="18"/>
          <w:color w:val="auto"/>
        </w:rPr>
        <w:t>100% of Eligible RSUs vest on the 1-year anniversary of the Performance Achievement Date (the “Vesting Date”), subject to Participant maintaining Continuous Service through such date.</w:t>
      </w:r>
    </w:p>
    <w:p>
      <w:pPr>
        <w:spacing w:after="0" w:line="178" w:lineRule="exact"/>
        <w:rPr>
          <w:sz w:val="20"/>
          <w:szCs w:val="20"/>
          <w:color w:val="auto"/>
        </w:rPr>
      </w:pPr>
    </w:p>
    <w:p>
      <w:pPr>
        <w:jc w:val="both"/>
        <w:ind w:firstLine="648"/>
        <w:spacing w:after="0" w:line="266" w:lineRule="auto"/>
        <w:rPr>
          <w:sz w:val="20"/>
          <w:szCs w:val="20"/>
          <w:color w:val="auto"/>
        </w:rPr>
      </w:pPr>
      <w:r>
        <w:rPr>
          <w:rFonts w:ascii="Arial" w:cs="Arial" w:eastAsia="Arial" w:hAnsi="Arial"/>
          <w:sz w:val="18"/>
          <w:szCs w:val="18"/>
          <w:i w:val="1"/>
          <w:iCs w:val="1"/>
          <w:color w:val="auto"/>
        </w:rPr>
        <w:t xml:space="preserve">Termination of Continuous Service Prior to a Change in Control. </w:t>
      </w:r>
      <w:r>
        <w:rPr>
          <w:rFonts w:ascii="Arial" w:cs="Arial" w:eastAsia="Arial" w:hAnsi="Arial"/>
          <w:sz w:val="18"/>
          <w:szCs w:val="18"/>
          <w:color w:val="auto"/>
        </w:rPr>
        <w:t>Notwithstanding the terms of the Plan or Section 5 of the Stock Unit</w:t>
      </w:r>
      <w:r>
        <w:rPr>
          <w:rFonts w:ascii="Arial" w:cs="Arial" w:eastAsia="Arial" w:hAnsi="Arial"/>
          <w:sz w:val="18"/>
          <w:szCs w:val="18"/>
          <w:i w:val="1"/>
          <w:iCs w:val="1"/>
          <w:color w:val="auto"/>
        </w:rPr>
        <w:t xml:space="preserve"> </w:t>
      </w:r>
      <w:r>
        <w:rPr>
          <w:rFonts w:ascii="Arial" w:cs="Arial" w:eastAsia="Arial" w:hAnsi="Arial"/>
          <w:sz w:val="18"/>
          <w:szCs w:val="18"/>
          <w:color w:val="auto"/>
        </w:rPr>
        <w:t>Agreement, the following provisions apply with respect to termination of Continuous Service prior to a Change in Control (as the term Change in Control is defined in the Company’s Change in Control and Severance Plan (the “CIC Plan”)).</w:t>
      </w:r>
    </w:p>
    <w:p>
      <w:pPr>
        <w:spacing w:after="0" w:line="194" w:lineRule="exact"/>
        <w:rPr>
          <w:sz w:val="20"/>
          <w:szCs w:val="20"/>
          <w:color w:val="auto"/>
        </w:rPr>
      </w:pPr>
    </w:p>
    <w:p>
      <w:pPr>
        <w:jc w:val="both"/>
        <w:ind w:firstLine="648"/>
        <w:spacing w:after="0" w:line="253" w:lineRule="auto"/>
        <w:rPr>
          <w:sz w:val="20"/>
          <w:szCs w:val="20"/>
          <w:color w:val="auto"/>
        </w:rPr>
      </w:pPr>
      <w:r>
        <w:rPr>
          <w:rFonts w:ascii="Arial" w:cs="Arial" w:eastAsia="Arial" w:hAnsi="Arial"/>
          <w:sz w:val="18"/>
          <w:szCs w:val="18"/>
          <w:color w:val="auto"/>
        </w:rPr>
        <w:t xml:space="preserve">If (x) Performance Achievement has not occurred, (y) Participant’s Continuous Service is terminated by the Company other than for Cause (as defined in the CIC Plan), death or Disability (as defined in the CIC Plan) </w:t>
      </w:r>
      <w:r>
        <w:rPr>
          <w:rFonts w:ascii="Arial" w:cs="Arial" w:eastAsia="Arial" w:hAnsi="Arial"/>
          <w:sz w:val="18"/>
          <w:szCs w:val="18"/>
          <w:u w:val="single" w:color="auto"/>
          <w:color w:val="auto"/>
        </w:rPr>
        <w:t>and</w:t>
      </w:r>
      <w:r>
        <w:rPr>
          <w:rFonts w:ascii="Arial" w:cs="Arial" w:eastAsia="Arial" w:hAnsi="Arial"/>
          <w:sz w:val="18"/>
          <w:szCs w:val="18"/>
          <w:color w:val="auto"/>
        </w:rPr>
        <w:t xml:space="preserve"> (z) termination of Continuous Service occurs on a date when the closing stock price has exceeded the Price Target at any time prior to the termination of employment (the “Termination Date”), then the RSUs will remain outstanding and shall vest (but not be settled) if Performance Achievement occurs on or prior to the date 100 calendar days following the Termination Date. Any RSUs that vest under this paragraph shall be paid and settled</w:t>
      </w:r>
    </w:p>
    <w:p>
      <w:pPr>
        <w:sectPr>
          <w:pgSz w:w="11900" w:h="16838" w:orient="portrait"/>
          <w:cols w:equalWidth="0" w:num="1">
            <w:col w:w="11420"/>
          </w:cols>
          <w:pgMar w:left="240" w:top="873" w:right="239" w:bottom="1440" w:gutter="0" w:footer="0" w:header="0"/>
        </w:sectPr>
      </w:pPr>
    </w:p>
    <w:bookmarkStart w:id="59" w:name="page60"/>
    <w:bookmarkEnd w:id="59"/>
    <w:p>
      <w:pPr>
        <w:jc w:val="both"/>
        <w:spacing w:after="0" w:line="233" w:lineRule="auto"/>
        <w:rPr>
          <w:sz w:val="20"/>
          <w:szCs w:val="20"/>
          <w:color w:val="auto"/>
        </w:rPr>
      </w:pPr>
      <w:r>
        <w:rPr>
          <w:rFonts w:ascii="Arial" w:cs="Arial" w:eastAsia="Arial" w:hAnsi="Arial"/>
          <w:sz w:val="18"/>
          <w:szCs w:val="18"/>
          <w:color w:val="auto"/>
        </w:rPr>
        <w:t>on the earlier of: (x) March 15</w:t>
      </w:r>
      <w:r>
        <w:rPr>
          <w:rFonts w:ascii="Arial" w:cs="Arial" w:eastAsia="Arial" w:hAnsi="Arial"/>
          <w:sz w:val="21"/>
          <w:szCs w:val="21"/>
          <w:color w:val="auto"/>
          <w:vertAlign w:val="superscript"/>
        </w:rPr>
        <w:t>th</w:t>
      </w:r>
      <w:r>
        <w:rPr>
          <w:rFonts w:ascii="Arial" w:cs="Arial" w:eastAsia="Arial" w:hAnsi="Arial"/>
          <w:sz w:val="18"/>
          <w:szCs w:val="18"/>
          <w:color w:val="auto"/>
        </w:rPr>
        <w:t xml:space="preserve"> of the year following the year that Performance Achievement occurs; or (y) the one-year anniversary of the Performance Achievement Date.</w:t>
      </w:r>
    </w:p>
    <w:p>
      <w:pPr>
        <w:spacing w:after="0" w:line="215" w:lineRule="exact"/>
        <w:rPr>
          <w:sz w:val="20"/>
          <w:szCs w:val="20"/>
          <w:color w:val="auto"/>
        </w:rPr>
      </w:pPr>
    </w:p>
    <w:p>
      <w:pPr>
        <w:jc w:val="both"/>
        <w:ind w:firstLine="648"/>
        <w:spacing w:after="0" w:line="241" w:lineRule="auto"/>
        <w:rPr>
          <w:sz w:val="20"/>
          <w:szCs w:val="20"/>
          <w:color w:val="auto"/>
        </w:rPr>
      </w:pPr>
      <w:r>
        <w:rPr>
          <w:rFonts w:ascii="Arial" w:cs="Arial" w:eastAsia="Arial" w:hAnsi="Arial"/>
          <w:sz w:val="18"/>
          <w:szCs w:val="18"/>
          <w:color w:val="auto"/>
        </w:rPr>
        <w:t xml:space="preserve">If (x) Performance Achievement has occurred, </w:t>
      </w:r>
      <w:r>
        <w:rPr>
          <w:rFonts w:ascii="Arial" w:cs="Arial" w:eastAsia="Arial" w:hAnsi="Arial"/>
          <w:sz w:val="18"/>
          <w:szCs w:val="18"/>
          <w:u w:val="single" w:color="auto"/>
          <w:color w:val="auto"/>
        </w:rPr>
        <w:t>and</w:t>
      </w:r>
      <w:r>
        <w:rPr>
          <w:rFonts w:ascii="Arial" w:cs="Arial" w:eastAsia="Arial" w:hAnsi="Arial"/>
          <w:sz w:val="18"/>
          <w:szCs w:val="18"/>
          <w:color w:val="auto"/>
        </w:rPr>
        <w:t xml:space="preserve"> (y) prior to the Vesting Date, Participant’s Continuous Service is terminated by the Company other than for Cause, death or Disability, then 100% of the Eligible RSUs shall vest (but not be settled) on the Termination Date. Any Eligible RSUs that vest under this paragraph shall be paid and settled on the earlier of: (x) March 15</w:t>
      </w:r>
      <w:r>
        <w:rPr>
          <w:rFonts w:ascii="Arial" w:cs="Arial" w:eastAsia="Arial" w:hAnsi="Arial"/>
          <w:sz w:val="21"/>
          <w:szCs w:val="21"/>
          <w:color w:val="auto"/>
          <w:vertAlign w:val="superscript"/>
        </w:rPr>
        <w:t>th</w:t>
      </w:r>
      <w:r>
        <w:rPr>
          <w:rFonts w:ascii="Arial" w:cs="Arial" w:eastAsia="Arial" w:hAnsi="Arial"/>
          <w:sz w:val="18"/>
          <w:szCs w:val="18"/>
          <w:color w:val="auto"/>
        </w:rPr>
        <w:t xml:space="preserve"> of the year following the year of the Termination Date; or (y) the one-year anniversary of the Performance Achievement Date.</w:t>
      </w:r>
    </w:p>
    <w:p>
      <w:pPr>
        <w:spacing w:after="0" w:line="196" w:lineRule="exact"/>
        <w:rPr>
          <w:sz w:val="20"/>
          <w:szCs w:val="20"/>
          <w:color w:val="auto"/>
        </w:rPr>
      </w:pPr>
    </w:p>
    <w:p>
      <w:pPr>
        <w:jc w:val="both"/>
        <w:ind w:firstLine="648"/>
        <w:spacing w:after="0" w:line="282" w:lineRule="auto"/>
        <w:rPr>
          <w:sz w:val="20"/>
          <w:szCs w:val="20"/>
          <w:color w:val="auto"/>
        </w:rPr>
      </w:pPr>
      <w:r>
        <w:rPr>
          <w:rFonts w:ascii="Arial" w:cs="Arial" w:eastAsia="Arial" w:hAnsi="Arial"/>
          <w:sz w:val="18"/>
          <w:szCs w:val="18"/>
          <w:i w:val="1"/>
          <w:iCs w:val="1"/>
          <w:color w:val="auto"/>
        </w:rPr>
        <w:t>Change in Control</w:t>
      </w:r>
      <w:r>
        <w:rPr>
          <w:rFonts w:ascii="Arial" w:cs="Arial" w:eastAsia="Arial" w:hAnsi="Arial"/>
          <w:sz w:val="18"/>
          <w:szCs w:val="18"/>
          <w:color w:val="auto"/>
        </w:rPr>
        <w:t>. Notwithstanding the terms of the Plan, Section 5 of the Stock Unit Agreement, or the CIC Plan, the following</w:t>
      </w:r>
      <w:r>
        <w:rPr>
          <w:rFonts w:ascii="Arial" w:cs="Arial" w:eastAsia="Arial" w:hAnsi="Arial"/>
          <w:sz w:val="18"/>
          <w:szCs w:val="18"/>
          <w:i w:val="1"/>
          <w:iCs w:val="1"/>
          <w:color w:val="auto"/>
        </w:rPr>
        <w:t xml:space="preserve"> </w:t>
      </w:r>
      <w:r>
        <w:rPr>
          <w:rFonts w:ascii="Arial" w:cs="Arial" w:eastAsia="Arial" w:hAnsi="Arial"/>
          <w:sz w:val="18"/>
          <w:szCs w:val="18"/>
          <w:color w:val="auto"/>
        </w:rPr>
        <w:t>provisions apply with respect to Change in Control.</w:t>
      </w:r>
    </w:p>
    <w:p>
      <w:pPr>
        <w:spacing w:after="0" w:line="180" w:lineRule="exact"/>
        <w:rPr>
          <w:sz w:val="20"/>
          <w:szCs w:val="20"/>
          <w:color w:val="auto"/>
        </w:rPr>
      </w:pPr>
    </w:p>
    <w:p>
      <w:pPr>
        <w:jc w:val="both"/>
        <w:ind w:firstLine="648"/>
        <w:spacing w:after="0" w:line="256" w:lineRule="auto"/>
        <w:rPr>
          <w:sz w:val="20"/>
          <w:szCs w:val="20"/>
          <w:color w:val="auto"/>
        </w:rPr>
      </w:pPr>
      <w:r>
        <w:rPr>
          <w:rFonts w:ascii="Arial" w:cs="Arial" w:eastAsia="Arial" w:hAnsi="Arial"/>
          <w:sz w:val="18"/>
          <w:szCs w:val="18"/>
          <w:color w:val="auto"/>
        </w:rPr>
        <w:t xml:space="preserve">If (x) Performance Achievement has not occurred on or prior to the Change in Control, </w:t>
      </w:r>
      <w:r>
        <w:rPr>
          <w:rFonts w:ascii="Arial" w:cs="Arial" w:eastAsia="Arial" w:hAnsi="Arial"/>
          <w:sz w:val="18"/>
          <w:szCs w:val="18"/>
          <w:u w:val="single" w:color="auto"/>
          <w:color w:val="auto"/>
        </w:rPr>
        <w:t>and</w:t>
      </w:r>
      <w:r>
        <w:rPr>
          <w:rFonts w:ascii="Arial" w:cs="Arial" w:eastAsia="Arial" w:hAnsi="Arial"/>
          <w:sz w:val="18"/>
          <w:szCs w:val="18"/>
          <w:color w:val="auto"/>
        </w:rPr>
        <w:t xml:space="preserve"> (y) the price per share payable to Company shareholders (in cash, stock or combination thereof) in the Change in Control (the “Per Share Amount”) equals or exceeds the Price Target, then Performance Achievement shall be deemed to occur on the Change in Control and 100% of RSUs shall vest upon the Change in Control.</w:t>
      </w:r>
    </w:p>
    <w:p>
      <w:pPr>
        <w:spacing w:after="0" w:line="202" w:lineRule="exact"/>
        <w:rPr>
          <w:sz w:val="20"/>
          <w:szCs w:val="20"/>
          <w:color w:val="auto"/>
        </w:rPr>
      </w:pPr>
    </w:p>
    <w:p>
      <w:pPr>
        <w:jc w:val="both"/>
        <w:ind w:firstLine="648"/>
        <w:spacing w:after="0" w:line="254" w:lineRule="auto"/>
        <w:rPr>
          <w:sz w:val="20"/>
          <w:szCs w:val="20"/>
          <w:color w:val="auto"/>
        </w:rPr>
      </w:pPr>
      <w:r>
        <w:rPr>
          <w:rFonts w:ascii="Arial" w:cs="Arial" w:eastAsia="Arial" w:hAnsi="Arial"/>
          <w:sz w:val="18"/>
          <w:szCs w:val="18"/>
          <w:color w:val="auto"/>
        </w:rPr>
        <w:t xml:space="preserve">If (x) Performance Achievement has not occurred on or prior to the Change in Control, </w:t>
      </w:r>
      <w:r>
        <w:rPr>
          <w:rFonts w:ascii="Arial" w:cs="Arial" w:eastAsia="Arial" w:hAnsi="Arial"/>
          <w:sz w:val="18"/>
          <w:szCs w:val="18"/>
          <w:u w:val="single" w:color="auto"/>
          <w:color w:val="auto"/>
        </w:rPr>
        <w:t>and</w:t>
      </w:r>
      <w:r>
        <w:rPr>
          <w:rFonts w:ascii="Arial" w:cs="Arial" w:eastAsia="Arial" w:hAnsi="Arial"/>
          <w:sz w:val="18"/>
          <w:szCs w:val="18"/>
          <w:color w:val="auto"/>
        </w:rPr>
        <w:t xml:space="preserve"> (y) the Per Share Amount equals or exceeds $32.50 (as adjusted under Section 14 of the Plan) but is less than the Price Target, then the following percentage of RSUs shall become Eligible RSUs and vest as of the Change in Control: (i) 30% plus the product of (a) 70% multiplied by (b) the difference of the Per Share Amount </w:t>
      </w:r>
      <w:r>
        <w:rPr>
          <w:rFonts w:ascii="Arial" w:cs="Arial" w:eastAsia="Arial" w:hAnsi="Arial"/>
          <w:sz w:val="18"/>
          <w:szCs w:val="18"/>
          <w:i w:val="1"/>
          <w:iCs w:val="1"/>
          <w:color w:val="auto"/>
        </w:rPr>
        <w:t>less</w:t>
      </w:r>
      <w:r>
        <w:rPr>
          <w:rFonts w:ascii="Arial" w:cs="Arial" w:eastAsia="Arial" w:hAnsi="Arial"/>
          <w:sz w:val="18"/>
          <w:szCs w:val="18"/>
          <w:color w:val="auto"/>
        </w:rPr>
        <w:t xml:space="preserve"> $32.50 </w:t>
      </w:r>
      <w:r>
        <w:rPr>
          <w:rFonts w:ascii="Arial" w:cs="Arial" w:eastAsia="Arial" w:hAnsi="Arial"/>
          <w:sz w:val="18"/>
          <w:szCs w:val="18"/>
          <w:i w:val="1"/>
          <w:iCs w:val="1"/>
          <w:color w:val="auto"/>
        </w:rPr>
        <w:t>divided by</w:t>
      </w:r>
      <w:r>
        <w:rPr>
          <w:rFonts w:ascii="Arial" w:cs="Arial" w:eastAsia="Arial" w:hAnsi="Arial"/>
          <w:sz w:val="18"/>
          <w:szCs w:val="18"/>
          <w:color w:val="auto"/>
        </w:rPr>
        <w:t xml:space="preserve"> $7.50.</w:t>
      </w:r>
    </w:p>
    <w:p>
      <w:pPr>
        <w:spacing w:after="0" w:line="204" w:lineRule="exact"/>
        <w:rPr>
          <w:sz w:val="20"/>
          <w:szCs w:val="20"/>
          <w:color w:val="auto"/>
        </w:rPr>
      </w:pPr>
    </w:p>
    <w:p>
      <w:pPr>
        <w:jc w:val="both"/>
        <w:ind w:right="20" w:firstLine="648"/>
        <w:spacing w:after="0" w:line="262" w:lineRule="auto"/>
        <w:rPr>
          <w:sz w:val="20"/>
          <w:szCs w:val="20"/>
          <w:color w:val="auto"/>
        </w:rPr>
      </w:pPr>
      <w:r>
        <w:rPr>
          <w:rFonts w:ascii="Arial" w:cs="Arial" w:eastAsia="Arial" w:hAnsi="Arial"/>
          <w:sz w:val="18"/>
          <w:szCs w:val="18"/>
          <w:color w:val="auto"/>
        </w:rPr>
        <w:t>If Performance Achievement has occurred on or prior to the Change in Control then 100% of Eligible RSUs shall vest upon the Change in Control.</w:t>
      </w:r>
    </w:p>
    <w:p>
      <w:pPr>
        <w:spacing w:after="0" w:line="178" w:lineRule="exact"/>
        <w:rPr>
          <w:sz w:val="20"/>
          <w:szCs w:val="20"/>
          <w:color w:val="auto"/>
        </w:rPr>
      </w:pPr>
    </w:p>
    <w:p>
      <w:pPr>
        <w:jc w:val="both"/>
        <w:ind w:right="20" w:firstLine="648"/>
        <w:spacing w:after="0" w:line="282" w:lineRule="auto"/>
        <w:rPr>
          <w:sz w:val="20"/>
          <w:szCs w:val="20"/>
          <w:color w:val="auto"/>
        </w:rPr>
      </w:pPr>
      <w:r>
        <w:rPr>
          <w:rFonts w:ascii="Arial" w:cs="Arial" w:eastAsia="Arial" w:hAnsi="Arial"/>
          <w:sz w:val="18"/>
          <w:szCs w:val="18"/>
          <w:i w:val="1"/>
          <w:iCs w:val="1"/>
          <w:color w:val="auto"/>
        </w:rPr>
        <w:t>Death / Disability</w:t>
      </w:r>
      <w:r>
        <w:rPr>
          <w:rFonts w:ascii="Arial" w:cs="Arial" w:eastAsia="Arial" w:hAnsi="Arial"/>
          <w:sz w:val="18"/>
          <w:szCs w:val="18"/>
          <w:color w:val="auto"/>
        </w:rPr>
        <w:t>. Notwithstanding the terms of the Plan, Section 5 of the Stock Unit Agreement, or the Company’s Equity Award Death</w:t>
      </w:r>
      <w:r>
        <w:rPr>
          <w:rFonts w:ascii="Arial" w:cs="Arial" w:eastAsia="Arial" w:hAnsi="Arial"/>
          <w:sz w:val="18"/>
          <w:szCs w:val="18"/>
          <w:i w:val="1"/>
          <w:iCs w:val="1"/>
          <w:color w:val="auto"/>
        </w:rPr>
        <w:t xml:space="preserve"> </w:t>
      </w:r>
      <w:r>
        <w:rPr>
          <w:rFonts w:ascii="Arial" w:cs="Arial" w:eastAsia="Arial" w:hAnsi="Arial"/>
          <w:sz w:val="18"/>
          <w:szCs w:val="18"/>
          <w:color w:val="auto"/>
        </w:rPr>
        <w:t>and Disability Acceleration Policy, the following provisions apply with respect to death or Disability.</w:t>
      </w:r>
    </w:p>
    <w:p>
      <w:pPr>
        <w:spacing w:after="0" w:line="180" w:lineRule="exact"/>
        <w:rPr>
          <w:sz w:val="20"/>
          <w:szCs w:val="20"/>
          <w:color w:val="auto"/>
        </w:rPr>
      </w:pPr>
    </w:p>
    <w:p>
      <w:pPr>
        <w:jc w:val="both"/>
        <w:ind w:right="20" w:firstLine="648"/>
        <w:spacing w:after="0" w:line="262" w:lineRule="auto"/>
        <w:rPr>
          <w:sz w:val="20"/>
          <w:szCs w:val="20"/>
          <w:color w:val="auto"/>
        </w:rPr>
      </w:pPr>
      <w:r>
        <w:rPr>
          <w:rFonts w:ascii="Arial" w:cs="Arial" w:eastAsia="Arial" w:hAnsi="Arial"/>
          <w:sz w:val="18"/>
          <w:szCs w:val="18"/>
          <w:color w:val="auto"/>
        </w:rPr>
        <w:t xml:space="preserve">If (x) Performance Achievement has occurred, </w:t>
      </w:r>
      <w:r>
        <w:rPr>
          <w:rFonts w:ascii="Arial" w:cs="Arial" w:eastAsia="Arial" w:hAnsi="Arial"/>
          <w:sz w:val="18"/>
          <w:szCs w:val="18"/>
          <w:u w:val="single" w:color="auto"/>
          <w:color w:val="auto"/>
        </w:rPr>
        <w:t>and</w:t>
      </w:r>
      <w:r>
        <w:rPr>
          <w:rFonts w:ascii="Arial" w:cs="Arial" w:eastAsia="Arial" w:hAnsi="Arial"/>
          <w:sz w:val="18"/>
          <w:szCs w:val="18"/>
          <w:color w:val="auto"/>
        </w:rPr>
        <w:t xml:space="preserve"> (y) prior to the Vesting Date, Participant terminates Continuous Service on account of death or Disability, then 100% of Eligible RSUs shall vest on the Termination Date.</w:t>
      </w:r>
    </w:p>
    <w:p>
      <w:pPr>
        <w:spacing w:after="0" w:line="196" w:lineRule="exact"/>
        <w:rPr>
          <w:sz w:val="20"/>
          <w:szCs w:val="20"/>
          <w:color w:val="auto"/>
        </w:rPr>
      </w:pPr>
    </w:p>
    <w:p>
      <w:pPr>
        <w:jc w:val="both"/>
        <w:ind w:firstLine="648"/>
        <w:spacing w:after="0" w:line="254" w:lineRule="auto"/>
        <w:rPr>
          <w:sz w:val="20"/>
          <w:szCs w:val="20"/>
          <w:color w:val="auto"/>
        </w:rPr>
      </w:pPr>
      <w:r>
        <w:rPr>
          <w:rFonts w:ascii="Arial" w:cs="Arial" w:eastAsia="Arial" w:hAnsi="Arial"/>
          <w:sz w:val="18"/>
          <w:szCs w:val="18"/>
          <w:color w:val="auto"/>
        </w:rPr>
        <w:t xml:space="preserve">If (x) Performance Achievement has not occurred, (y) Participant’s Continuous Service is terminated on account of death or Disability </w:t>
      </w:r>
      <w:r>
        <w:rPr>
          <w:rFonts w:ascii="Arial" w:cs="Arial" w:eastAsia="Arial" w:hAnsi="Arial"/>
          <w:sz w:val="18"/>
          <w:szCs w:val="18"/>
          <w:u w:val="single" w:color="auto"/>
          <w:color w:val="auto"/>
        </w:rPr>
        <w:t>and</w:t>
      </w:r>
      <w:r>
        <w:rPr>
          <w:rFonts w:ascii="Arial" w:cs="Arial" w:eastAsia="Arial" w:hAnsi="Arial"/>
          <w:sz w:val="18"/>
          <w:szCs w:val="18"/>
          <w:color w:val="auto"/>
        </w:rPr>
        <w:t xml:space="preserve"> (z) termination of Continuous Service occurs on a date when the closing stock price has exceeded the Price Target at any time prior thereto, then the RSUs will remain outstanding and shall vest if Performance Achievement occurs on or prior to the date that is 100 calendar days following the Termination Date.</w:t>
      </w:r>
    </w:p>
    <w:p>
      <w:pPr>
        <w:spacing w:after="0" w:line="204" w:lineRule="exact"/>
        <w:rPr>
          <w:sz w:val="20"/>
          <w:szCs w:val="20"/>
          <w:color w:val="auto"/>
        </w:rPr>
      </w:pPr>
    </w:p>
    <w:p>
      <w:pPr>
        <w:jc w:val="both"/>
        <w:ind w:firstLine="648"/>
        <w:spacing w:after="0" w:line="252" w:lineRule="auto"/>
        <w:rPr>
          <w:sz w:val="20"/>
          <w:szCs w:val="20"/>
          <w:color w:val="auto"/>
        </w:rPr>
      </w:pPr>
      <w:r>
        <w:rPr>
          <w:rFonts w:ascii="Arial" w:cs="Arial" w:eastAsia="Arial" w:hAnsi="Arial"/>
          <w:sz w:val="18"/>
          <w:szCs w:val="18"/>
          <w:color w:val="auto"/>
        </w:rPr>
        <w:t xml:space="preserve">If (x) Performance Achievement has not occurred on or prior to death, Disability or a Change in Control, (y) Participant’s Continuous Service is terminated on account of death or Disability and a Change in Control occurs on or prior to the date that is 100 calendar days following the Termination Date </w:t>
      </w:r>
      <w:r>
        <w:rPr>
          <w:rFonts w:ascii="Arial" w:cs="Arial" w:eastAsia="Arial" w:hAnsi="Arial"/>
          <w:sz w:val="18"/>
          <w:szCs w:val="18"/>
          <w:u w:val="single" w:color="auto"/>
          <w:color w:val="auto"/>
        </w:rPr>
        <w:t>and</w:t>
      </w:r>
      <w:r>
        <w:rPr>
          <w:rFonts w:ascii="Arial" w:cs="Arial" w:eastAsia="Arial" w:hAnsi="Arial"/>
          <w:sz w:val="18"/>
          <w:szCs w:val="18"/>
          <w:color w:val="auto"/>
        </w:rPr>
        <w:t xml:space="preserve"> (z) the Per Share Amount equals or exceeds $32.50 (as adjusted under Section 14 of the Plan), then the following percentage of RSUs shall become Eligible RSUs and vest as of the Change in Control: (i) 30% plus the product of (a) 70% multiplied by (b) the difference of the Per Share Amount </w:t>
      </w:r>
      <w:r>
        <w:rPr>
          <w:rFonts w:ascii="Arial" w:cs="Arial" w:eastAsia="Arial" w:hAnsi="Arial"/>
          <w:sz w:val="18"/>
          <w:szCs w:val="18"/>
          <w:i w:val="1"/>
          <w:iCs w:val="1"/>
          <w:color w:val="auto"/>
        </w:rPr>
        <w:t>less</w:t>
      </w:r>
      <w:r>
        <w:rPr>
          <w:rFonts w:ascii="Arial" w:cs="Arial" w:eastAsia="Arial" w:hAnsi="Arial"/>
          <w:sz w:val="18"/>
          <w:szCs w:val="18"/>
          <w:color w:val="auto"/>
        </w:rPr>
        <w:t xml:space="preserve"> $32.50 </w:t>
      </w:r>
      <w:r>
        <w:rPr>
          <w:rFonts w:ascii="Arial" w:cs="Arial" w:eastAsia="Arial" w:hAnsi="Arial"/>
          <w:sz w:val="18"/>
          <w:szCs w:val="18"/>
          <w:i w:val="1"/>
          <w:iCs w:val="1"/>
          <w:color w:val="auto"/>
        </w:rPr>
        <w:t>divided by</w:t>
      </w:r>
      <w:r>
        <w:rPr>
          <w:rFonts w:ascii="Arial" w:cs="Arial" w:eastAsia="Arial" w:hAnsi="Arial"/>
          <w:sz w:val="18"/>
          <w:szCs w:val="18"/>
          <w:color w:val="auto"/>
        </w:rPr>
        <w:t xml:space="preserve"> $7.50; provided, however, the percentage of RSUs vesting shall in no event exceed 100% (e.g., if the Per Share Amount equals or exceeds $40, then the vesting percentage shall be 100%).</w:t>
      </w:r>
    </w:p>
    <w:p>
      <w:pPr>
        <w:spacing w:after="0" w:line="187" w:lineRule="exact"/>
        <w:rPr>
          <w:sz w:val="20"/>
          <w:szCs w:val="20"/>
          <w:color w:val="auto"/>
        </w:rPr>
      </w:pPr>
    </w:p>
    <w:p>
      <w:pPr>
        <w:jc w:val="both"/>
        <w:ind w:firstLine="648"/>
        <w:spacing w:after="0" w:line="287" w:lineRule="auto"/>
        <w:rPr>
          <w:sz w:val="20"/>
          <w:szCs w:val="20"/>
          <w:color w:val="auto"/>
        </w:rPr>
      </w:pPr>
      <w:r>
        <w:rPr>
          <w:rFonts w:ascii="Arial" w:cs="Arial" w:eastAsia="Arial" w:hAnsi="Arial"/>
          <w:sz w:val="18"/>
          <w:szCs w:val="18"/>
          <w:color w:val="auto"/>
        </w:rPr>
        <w:t xml:space="preserve">Any accelerated vesting under this </w:t>
      </w:r>
      <w:r>
        <w:rPr>
          <w:rFonts w:ascii="Arial" w:cs="Arial" w:eastAsia="Arial" w:hAnsi="Arial"/>
          <w:sz w:val="18"/>
          <w:szCs w:val="18"/>
          <w:b w:val="1"/>
          <w:bCs w:val="1"/>
          <w:color w:val="auto"/>
        </w:rPr>
        <w:t>Exhibit B</w:t>
      </w:r>
      <w:r>
        <w:rPr>
          <w:rFonts w:ascii="Arial" w:cs="Arial" w:eastAsia="Arial" w:hAnsi="Arial"/>
          <w:sz w:val="18"/>
          <w:szCs w:val="18"/>
          <w:color w:val="auto"/>
        </w:rPr>
        <w:t xml:space="preserve"> (other than acceleration on account of death or Disability) will be subject to Participant’s execution of a customary release within 60 days following the Termination Date.</w:t>
      </w:r>
    </w:p>
    <w:p>
      <w:pPr>
        <w:sectPr>
          <w:pgSz w:w="11900" w:h="16838" w:orient="portrait"/>
          <w:cols w:equalWidth="0" w:num="1">
            <w:col w:w="11420"/>
          </w:cols>
          <w:pgMar w:left="240" w:top="852" w:right="239" w:bottom="1440" w:gutter="0" w:footer="0" w:header="0"/>
        </w:sectPr>
      </w:pPr>
    </w:p>
    <w:bookmarkStart w:id="60" w:name="page61"/>
    <w:bookmarkEnd w:id="60"/>
    <w:p>
      <w:pPr>
        <w:jc w:val="right"/>
        <w:spacing w:after="0"/>
        <w:rPr>
          <w:sz w:val="20"/>
          <w:szCs w:val="20"/>
          <w:color w:val="auto"/>
        </w:rPr>
      </w:pPr>
      <w:r>
        <w:rPr>
          <w:rFonts w:ascii="Arial" w:cs="Arial" w:eastAsia="Arial" w:hAnsi="Arial"/>
          <w:sz w:val="22"/>
          <w:szCs w:val="22"/>
          <w:b w:val="1"/>
          <w:bCs w:val="1"/>
          <w:color w:val="auto"/>
        </w:rPr>
        <w:t>Exhibit 10.02</w:t>
      </w:r>
    </w:p>
    <w:p>
      <w:pPr>
        <w:spacing w:after="0" w:line="200" w:lineRule="exact"/>
        <w:rPr>
          <w:sz w:val="20"/>
          <w:szCs w:val="20"/>
          <w:color w:val="auto"/>
        </w:rPr>
      </w:pPr>
    </w:p>
    <w:p>
      <w:pPr>
        <w:spacing w:after="0" w:line="211" w:lineRule="exact"/>
        <w:rPr>
          <w:sz w:val="20"/>
          <w:szCs w:val="20"/>
          <w:color w:val="auto"/>
        </w:rPr>
      </w:pPr>
    </w:p>
    <w:p>
      <w:pPr>
        <w:jc w:val="center"/>
        <w:spacing w:after="0"/>
        <w:rPr>
          <w:sz w:val="20"/>
          <w:szCs w:val="20"/>
          <w:color w:val="auto"/>
        </w:rPr>
      </w:pPr>
      <w:r>
        <w:rPr>
          <w:rFonts w:ascii="Arial" w:cs="Arial" w:eastAsia="Arial" w:hAnsi="Arial"/>
          <w:sz w:val="20"/>
          <w:szCs w:val="20"/>
          <w:b w:val="1"/>
          <w:bCs w:val="1"/>
          <w:i w:val="1"/>
          <w:iCs w:val="1"/>
          <w:color w:val="auto"/>
        </w:rPr>
        <w:t>Compensation Arrangements for FY 2020 of Named Executive Officers</w:t>
      </w:r>
    </w:p>
    <w:p>
      <w:pPr>
        <w:spacing w:after="0" w:line="162" w:lineRule="exact"/>
        <w:rPr>
          <w:sz w:val="20"/>
          <w:szCs w:val="20"/>
          <w:color w:val="auto"/>
        </w:rPr>
      </w:pPr>
    </w:p>
    <w:p>
      <w:pPr>
        <w:jc w:val="center"/>
        <w:spacing w:after="0"/>
        <w:rPr>
          <w:sz w:val="20"/>
          <w:szCs w:val="20"/>
          <w:color w:val="auto"/>
        </w:rPr>
      </w:pPr>
      <w:r>
        <w:rPr>
          <w:rFonts w:ascii="Arial" w:cs="Arial" w:eastAsia="Arial" w:hAnsi="Arial"/>
          <w:sz w:val="20"/>
          <w:szCs w:val="20"/>
          <w:b w:val="1"/>
          <w:bCs w:val="1"/>
          <w:i w:val="1"/>
          <w:iCs w:val="1"/>
          <w:color w:val="auto"/>
        </w:rPr>
        <w:t>Marvell Technology Group Ltd.</w:t>
      </w:r>
    </w:p>
    <w:p>
      <w:pPr>
        <w:spacing w:after="0" w:line="162" w:lineRule="exact"/>
        <w:rPr>
          <w:sz w:val="20"/>
          <w:szCs w:val="20"/>
          <w:color w:val="auto"/>
        </w:rPr>
      </w:pPr>
    </w:p>
    <w:p>
      <w:pPr>
        <w:spacing w:after="0" w:line="290" w:lineRule="auto"/>
        <w:rPr>
          <w:sz w:val="20"/>
          <w:szCs w:val="20"/>
          <w:color w:val="auto"/>
        </w:rPr>
      </w:pPr>
      <w:r>
        <w:rPr>
          <w:rFonts w:ascii="Arial" w:cs="Arial" w:eastAsia="Arial" w:hAnsi="Arial"/>
          <w:sz w:val="19"/>
          <w:szCs w:val="19"/>
          <w:color w:val="auto"/>
        </w:rPr>
        <w:t>Note: The following summary of compensation arrangements does not include all previously-reported compensation arrangements or awards granted under previously-disclosed incentive plans. Disclosures with respect to compensation for Named Executive Officers for the 2019 fiscal year were included in the Company's definitive proxy statement for the Company's 2019 Annual Meeting of Stockholders filed with the SEC on May 16, 2019, and additional disclosures with respect to compensation for Named Executive Officers for the 2020 fiscal year will be included in the Company's definitive proxy statement for the Company's 2020 Annual Meeting of Stockholders.</w:t>
      </w:r>
    </w:p>
    <w:p>
      <w:pPr>
        <w:spacing w:after="0" w:line="98" w:lineRule="exact"/>
        <w:rPr>
          <w:sz w:val="20"/>
          <w:szCs w:val="20"/>
          <w:color w:val="auto"/>
        </w:rPr>
      </w:pPr>
    </w:p>
    <w:p>
      <w:pPr>
        <w:spacing w:after="0"/>
        <w:rPr>
          <w:sz w:val="20"/>
          <w:szCs w:val="20"/>
          <w:color w:val="auto"/>
        </w:rPr>
      </w:pPr>
      <w:r>
        <w:rPr>
          <w:rFonts w:ascii="Arial" w:cs="Arial" w:eastAsia="Arial" w:hAnsi="Arial"/>
          <w:sz w:val="20"/>
          <w:szCs w:val="20"/>
          <w:b w:val="1"/>
          <w:bCs w:val="1"/>
          <w:i w:val="1"/>
          <w:iCs w:val="1"/>
          <w:color w:val="auto"/>
        </w:rPr>
        <w:t>Matthew Murphy (Chief Executive Officer)</w:t>
      </w:r>
    </w:p>
    <w:p>
      <w:pPr>
        <w:spacing w:after="0" w:line="162" w:lineRule="exact"/>
        <w:rPr>
          <w:sz w:val="20"/>
          <w:szCs w:val="20"/>
          <w:color w:val="auto"/>
        </w:rPr>
      </w:pPr>
    </w:p>
    <w:p>
      <w:pPr>
        <w:ind w:right="300"/>
        <w:spacing w:after="0" w:line="314" w:lineRule="auto"/>
        <w:rPr>
          <w:sz w:val="20"/>
          <w:szCs w:val="20"/>
          <w:color w:val="auto"/>
        </w:rPr>
      </w:pPr>
      <w:r>
        <w:rPr>
          <w:rFonts w:ascii="Arial" w:cs="Arial" w:eastAsia="Arial" w:hAnsi="Arial"/>
          <w:sz w:val="18"/>
          <w:szCs w:val="18"/>
          <w:color w:val="auto"/>
        </w:rPr>
        <w:t>Mr. Murphy’s current annual base salary is $900,000. In addition, Mr. Murphy will be eligible to participate in the Company's FY20 Annual Incentive Plan (as described below) with a bonus target of 150% as a percentage of base salary. On April 15, 2019, Mr. Murphy was granted 166,597 performance-based restricted stock unit awards, 888,099 value creation restricted stock unit awards and 139,182 service-based restricted stock unit awards under the Company's equity incentive plan as part of his fiscal year 2020 compensation.</w:t>
      </w:r>
    </w:p>
    <w:p>
      <w:pPr>
        <w:spacing w:after="0" w:line="78" w:lineRule="exact"/>
        <w:rPr>
          <w:sz w:val="20"/>
          <w:szCs w:val="20"/>
          <w:color w:val="auto"/>
        </w:rPr>
      </w:pPr>
    </w:p>
    <w:p>
      <w:pPr>
        <w:spacing w:after="0"/>
        <w:rPr>
          <w:sz w:val="20"/>
          <w:szCs w:val="20"/>
          <w:color w:val="auto"/>
        </w:rPr>
      </w:pPr>
      <w:r>
        <w:rPr>
          <w:rFonts w:ascii="Arial" w:cs="Arial" w:eastAsia="Arial" w:hAnsi="Arial"/>
          <w:sz w:val="20"/>
          <w:szCs w:val="20"/>
          <w:b w:val="1"/>
          <w:bCs w:val="1"/>
          <w:i w:val="1"/>
          <w:iCs w:val="1"/>
          <w:color w:val="auto"/>
        </w:rPr>
        <w:t>Jean Hu (Chief Financial Officer)</w:t>
      </w:r>
    </w:p>
    <w:p>
      <w:pPr>
        <w:spacing w:after="0" w:line="162" w:lineRule="exact"/>
        <w:rPr>
          <w:sz w:val="20"/>
          <w:szCs w:val="20"/>
          <w:color w:val="auto"/>
        </w:rPr>
      </w:pPr>
    </w:p>
    <w:p>
      <w:pPr>
        <w:ind w:right="200"/>
        <w:spacing w:after="0" w:line="293" w:lineRule="auto"/>
        <w:rPr>
          <w:sz w:val="20"/>
          <w:szCs w:val="20"/>
          <w:color w:val="auto"/>
        </w:rPr>
      </w:pPr>
      <w:r>
        <w:rPr>
          <w:rFonts w:ascii="Arial" w:cs="Arial" w:eastAsia="Arial" w:hAnsi="Arial"/>
          <w:sz w:val="19"/>
          <w:szCs w:val="19"/>
          <w:color w:val="auto"/>
        </w:rPr>
        <w:t>Ms. Hu's current annual base salary is $500,000. In addition, Ms. Hu will be eligible to participate in the Company's FY20 Annual Incentive Plan with a bonus target of 100% as a percentage of base salary. On April 15, 2019, Ms. Hu was granted 46,394 performance-based restricted stock unit awards, 204,262 value creation restricted stock unit awards and 46,394 service-based restricted stock unit awards under the Company's equity incentive plan as part of her fiscal year 2020 compensation.</w:t>
      </w:r>
    </w:p>
    <w:p>
      <w:pPr>
        <w:spacing w:after="0" w:line="95" w:lineRule="exact"/>
        <w:rPr>
          <w:sz w:val="20"/>
          <w:szCs w:val="20"/>
          <w:color w:val="auto"/>
        </w:rPr>
      </w:pPr>
    </w:p>
    <w:p>
      <w:pPr>
        <w:spacing w:after="0"/>
        <w:rPr>
          <w:sz w:val="20"/>
          <w:szCs w:val="20"/>
          <w:color w:val="auto"/>
        </w:rPr>
      </w:pPr>
      <w:r>
        <w:rPr>
          <w:rFonts w:ascii="Arial" w:cs="Arial" w:eastAsia="Arial" w:hAnsi="Arial"/>
          <w:sz w:val="20"/>
          <w:szCs w:val="20"/>
          <w:b w:val="1"/>
          <w:bCs w:val="1"/>
          <w:i w:val="1"/>
          <w:iCs w:val="1"/>
          <w:color w:val="auto"/>
        </w:rPr>
        <w:t>Raghib Hussain (EVP, Networking and Processor Group and Chief Strategy Officer)</w:t>
      </w:r>
    </w:p>
    <w:p>
      <w:pPr>
        <w:spacing w:after="0" w:line="162" w:lineRule="exact"/>
        <w:rPr>
          <w:sz w:val="20"/>
          <w:szCs w:val="20"/>
          <w:color w:val="auto"/>
        </w:rPr>
      </w:pPr>
    </w:p>
    <w:p>
      <w:pPr>
        <w:jc w:val="both"/>
        <w:ind w:right="240"/>
        <w:spacing w:after="0" w:line="293" w:lineRule="auto"/>
        <w:rPr>
          <w:sz w:val="20"/>
          <w:szCs w:val="20"/>
          <w:color w:val="auto"/>
        </w:rPr>
      </w:pPr>
      <w:r>
        <w:rPr>
          <w:rFonts w:ascii="Arial" w:cs="Arial" w:eastAsia="Arial" w:hAnsi="Arial"/>
          <w:sz w:val="19"/>
          <w:szCs w:val="19"/>
          <w:color w:val="auto"/>
        </w:rPr>
        <w:t>Mr. Hussain’s current annual base salary is $550,000. In addition, Mr. Hussain will be eligible to participate in the Company's FY20 Annual Incentive Plan with a bonus target of 100% as a percentage of base salary. On April 15, 2019, Mr. Hussain was granted 82,244 performance-based restricted stock unit awards, 399,644 value creation restricted stock unit awards and 114,351 service-based restricted stock unit awards under the Company's equity incentive plan as part of his fiscal year 2020 compensation.</w:t>
      </w:r>
    </w:p>
    <w:p>
      <w:pPr>
        <w:spacing w:after="0" w:line="95" w:lineRule="exact"/>
        <w:rPr>
          <w:sz w:val="20"/>
          <w:szCs w:val="20"/>
          <w:color w:val="auto"/>
        </w:rPr>
      </w:pPr>
    </w:p>
    <w:p>
      <w:pPr>
        <w:spacing w:after="0"/>
        <w:rPr>
          <w:sz w:val="20"/>
          <w:szCs w:val="20"/>
          <w:color w:val="auto"/>
        </w:rPr>
      </w:pPr>
      <w:r>
        <w:rPr>
          <w:rFonts w:ascii="Arial" w:cs="Arial" w:eastAsia="Arial" w:hAnsi="Arial"/>
          <w:sz w:val="20"/>
          <w:szCs w:val="20"/>
          <w:b w:val="1"/>
          <w:bCs w:val="1"/>
          <w:i w:val="1"/>
          <w:iCs w:val="1"/>
          <w:color w:val="auto"/>
        </w:rPr>
        <w:t>Mitchell Gaynor (Chief Administration and Legal Officer and Secretary)</w:t>
      </w:r>
    </w:p>
    <w:p>
      <w:pPr>
        <w:spacing w:after="0" w:line="162" w:lineRule="exact"/>
        <w:rPr>
          <w:sz w:val="20"/>
          <w:szCs w:val="20"/>
          <w:color w:val="auto"/>
        </w:rPr>
      </w:pPr>
    </w:p>
    <w:p>
      <w:pPr>
        <w:jc w:val="both"/>
        <w:ind w:right="340"/>
        <w:spacing w:after="0" w:line="293" w:lineRule="auto"/>
        <w:rPr>
          <w:sz w:val="20"/>
          <w:szCs w:val="20"/>
          <w:color w:val="auto"/>
        </w:rPr>
      </w:pPr>
      <w:r>
        <w:rPr>
          <w:rFonts w:ascii="Arial" w:cs="Arial" w:eastAsia="Arial" w:hAnsi="Arial"/>
          <w:sz w:val="19"/>
          <w:szCs w:val="19"/>
          <w:color w:val="auto"/>
        </w:rPr>
        <w:t>Mr. Gaynor’s current annual base salary is $480,000. In addition, Mr. Gaynor will be eligible to participate in the Company's FY20 Annual Incentive Plan with a bonus target of 75% as a percentage of base salary. On April 15, 2019, Mr. Gaynor was granted 31,633 performance-based restricted stock unit awards, 133,214 value creation restricted stock unit awards and 31,633 service-based restricted stock unit awards under the Company's equity incentive plan as part of his fiscal year 2020 compensation.</w:t>
      </w:r>
    </w:p>
    <w:p>
      <w:pPr>
        <w:spacing w:after="0" w:line="95" w:lineRule="exact"/>
        <w:rPr>
          <w:sz w:val="20"/>
          <w:szCs w:val="20"/>
          <w:color w:val="auto"/>
        </w:rPr>
      </w:pPr>
    </w:p>
    <w:p>
      <w:pPr>
        <w:spacing w:after="0"/>
        <w:rPr>
          <w:sz w:val="20"/>
          <w:szCs w:val="20"/>
          <w:color w:val="auto"/>
        </w:rPr>
      </w:pPr>
      <w:r>
        <w:rPr>
          <w:rFonts w:ascii="Arial" w:cs="Arial" w:eastAsia="Arial" w:hAnsi="Arial"/>
          <w:sz w:val="20"/>
          <w:szCs w:val="20"/>
          <w:b w:val="1"/>
          <w:bCs w:val="1"/>
          <w:i w:val="1"/>
          <w:iCs w:val="1"/>
          <w:color w:val="auto"/>
        </w:rPr>
        <w:t>Annual Incentive Plan for Fiscal Year 2020 (“AIP”)</w:t>
      </w:r>
    </w:p>
    <w:p>
      <w:pPr>
        <w:sectPr>
          <w:pgSz w:w="11900" w:h="16838" w:orient="portrait"/>
          <w:cols w:equalWidth="0" w:num="1">
            <w:col w:w="11420"/>
          </w:cols>
          <w:pgMar w:left="240" w:top="364" w:right="239" w:bottom="1440" w:gutter="0" w:footer="0" w:header="0"/>
        </w:sectPr>
      </w:pPr>
    </w:p>
    <w:bookmarkStart w:id="61" w:name="page62"/>
    <w:bookmarkEnd w:id="61"/>
    <w:p>
      <w:pPr>
        <w:ind w:right="40"/>
        <w:spacing w:after="0" w:line="278" w:lineRule="auto"/>
        <w:rPr>
          <w:sz w:val="20"/>
          <w:szCs w:val="20"/>
          <w:color w:val="auto"/>
        </w:rPr>
      </w:pPr>
      <w:r>
        <w:rPr>
          <w:rFonts w:ascii="Arial" w:cs="Arial" w:eastAsia="Arial" w:hAnsi="Arial"/>
          <w:sz w:val="20"/>
          <w:szCs w:val="20"/>
          <w:color w:val="auto"/>
        </w:rPr>
        <w:t>The AIP provides the Company’s executive officers with the opportunity to earn cash bonuses based upon the achievement of pre-established performance goals. Total bonus opportunities will be based on achievement of annual targets. Bonus payouts may range between 0% and 200% of the target bonus opportunity.</w:t>
      </w:r>
    </w:p>
    <w:p>
      <w:pPr>
        <w:spacing w:after="0" w:line="106" w:lineRule="exact"/>
        <w:rPr>
          <w:sz w:val="20"/>
          <w:szCs w:val="20"/>
          <w:color w:val="auto"/>
        </w:rPr>
      </w:pPr>
    </w:p>
    <w:p>
      <w:pPr>
        <w:ind w:right="160"/>
        <w:spacing w:after="0" w:line="363" w:lineRule="auto"/>
        <w:rPr>
          <w:sz w:val="20"/>
          <w:szCs w:val="20"/>
          <w:color w:val="auto"/>
        </w:rPr>
      </w:pPr>
      <w:r>
        <w:rPr>
          <w:rFonts w:ascii="Arial" w:cs="Arial" w:eastAsia="Arial" w:hAnsi="Arial"/>
          <w:sz w:val="16"/>
          <w:szCs w:val="16"/>
          <w:color w:val="auto"/>
        </w:rPr>
        <w:t>Under the AIP, in order for an executive officer to be eligible to receive a cash bonus, the Company has to meet a threshold non-GAAP earnings-per-share goal. For these purposes, earnings-per-share (as well as the non-GAAP measures below) may be adjusted by the Executive Compensation Committee by excluding (in its sole discretion) among other items: M&amp;A/divestiture expense, litigation expense, equity compensation expense, and restructuring costs. If the threshold performance goal is not met, no bonuses will be payable under the AIP.</w:t>
      </w:r>
    </w:p>
    <w:p>
      <w:pPr>
        <w:spacing w:after="0" w:line="48" w:lineRule="exact"/>
        <w:rPr>
          <w:sz w:val="20"/>
          <w:szCs w:val="20"/>
          <w:color w:val="auto"/>
        </w:rPr>
      </w:pPr>
    </w:p>
    <w:p>
      <w:pPr>
        <w:spacing w:after="0"/>
        <w:rPr>
          <w:sz w:val="20"/>
          <w:szCs w:val="20"/>
          <w:color w:val="auto"/>
        </w:rPr>
      </w:pPr>
      <w:r>
        <w:rPr>
          <w:rFonts w:ascii="Arial" w:cs="Arial" w:eastAsia="Arial" w:hAnsi="Arial"/>
          <w:sz w:val="20"/>
          <w:szCs w:val="20"/>
          <w:color w:val="auto"/>
        </w:rPr>
        <w:t>If the Company’s threshold performance goal is met, the AIP provides for potential payouts based on the following metrics:</w:t>
      </w:r>
    </w:p>
    <w:p>
      <w:pPr>
        <w:spacing w:after="0" w:line="162" w:lineRule="exact"/>
        <w:rPr>
          <w:sz w:val="20"/>
          <w:szCs w:val="20"/>
          <w:color w:val="auto"/>
        </w:rPr>
      </w:pPr>
    </w:p>
    <w:p>
      <w:pPr>
        <w:ind w:left="280" w:hanging="272"/>
        <w:spacing w:after="0"/>
        <w:tabs>
          <w:tab w:leader="none" w:pos="280" w:val="left"/>
        </w:tabs>
        <w:numPr>
          <w:ilvl w:val="0"/>
          <w:numId w:val="24"/>
        </w:numPr>
        <w:rPr>
          <w:rFonts w:ascii="Arial" w:cs="Arial" w:eastAsia="Arial" w:hAnsi="Arial"/>
          <w:sz w:val="20"/>
          <w:szCs w:val="20"/>
          <w:color w:val="auto"/>
        </w:rPr>
      </w:pPr>
      <w:r>
        <w:rPr>
          <w:rFonts w:ascii="Arial" w:cs="Arial" w:eastAsia="Arial" w:hAnsi="Arial"/>
          <w:sz w:val="20"/>
          <w:szCs w:val="20"/>
          <w:color w:val="auto"/>
        </w:rPr>
        <w:t>revenue (30%),</w:t>
      </w:r>
    </w:p>
    <w:p>
      <w:pPr>
        <w:spacing w:after="0" w:line="161" w:lineRule="exact"/>
        <w:rPr>
          <w:rFonts w:ascii="Arial" w:cs="Arial" w:eastAsia="Arial" w:hAnsi="Arial"/>
          <w:sz w:val="20"/>
          <w:szCs w:val="20"/>
          <w:color w:val="auto"/>
        </w:rPr>
      </w:pPr>
    </w:p>
    <w:p>
      <w:pPr>
        <w:ind w:left="280" w:hanging="272"/>
        <w:spacing w:after="0"/>
        <w:tabs>
          <w:tab w:leader="none" w:pos="280" w:val="left"/>
        </w:tabs>
        <w:numPr>
          <w:ilvl w:val="0"/>
          <w:numId w:val="24"/>
        </w:numPr>
        <w:rPr>
          <w:rFonts w:ascii="Arial" w:cs="Arial" w:eastAsia="Arial" w:hAnsi="Arial"/>
          <w:sz w:val="20"/>
          <w:szCs w:val="20"/>
          <w:color w:val="auto"/>
        </w:rPr>
      </w:pPr>
      <w:r>
        <w:rPr>
          <w:rFonts w:ascii="Arial" w:cs="Arial" w:eastAsia="Arial" w:hAnsi="Arial"/>
          <w:sz w:val="20"/>
          <w:szCs w:val="20"/>
          <w:color w:val="auto"/>
        </w:rPr>
        <w:t>non-GAAP gross margin (30%), and</w:t>
      </w:r>
    </w:p>
    <w:p>
      <w:pPr>
        <w:spacing w:after="0" w:line="161" w:lineRule="exact"/>
        <w:rPr>
          <w:rFonts w:ascii="Arial" w:cs="Arial" w:eastAsia="Arial" w:hAnsi="Arial"/>
          <w:sz w:val="20"/>
          <w:szCs w:val="20"/>
          <w:color w:val="auto"/>
        </w:rPr>
      </w:pPr>
    </w:p>
    <w:p>
      <w:pPr>
        <w:ind w:left="280" w:hanging="272"/>
        <w:spacing w:after="0"/>
        <w:tabs>
          <w:tab w:leader="none" w:pos="280" w:val="left"/>
        </w:tabs>
        <w:numPr>
          <w:ilvl w:val="0"/>
          <w:numId w:val="24"/>
        </w:numPr>
        <w:rPr>
          <w:rFonts w:ascii="Arial" w:cs="Arial" w:eastAsia="Arial" w:hAnsi="Arial"/>
          <w:sz w:val="20"/>
          <w:szCs w:val="20"/>
          <w:color w:val="auto"/>
        </w:rPr>
      </w:pPr>
      <w:r>
        <w:rPr>
          <w:rFonts w:ascii="Arial" w:cs="Arial" w:eastAsia="Arial" w:hAnsi="Arial"/>
          <w:sz w:val="20"/>
          <w:szCs w:val="20"/>
          <w:color w:val="auto"/>
        </w:rPr>
        <w:t>non-GAAP operating income margin (40%).</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color w:val="auto"/>
        </w:rPr>
        <w:t>If the Company fails to achieve the threshold level for any of the above Company performance goals, no payout is awarded for that goal.</w:t>
      </w:r>
    </w:p>
    <w:p>
      <w:pPr>
        <w:spacing w:after="0" w:line="185" w:lineRule="exact"/>
        <w:rPr>
          <w:sz w:val="20"/>
          <w:szCs w:val="20"/>
          <w:color w:val="auto"/>
        </w:rPr>
      </w:pPr>
    </w:p>
    <w:p>
      <w:pPr>
        <w:spacing w:after="0" w:line="272" w:lineRule="auto"/>
        <w:rPr>
          <w:sz w:val="20"/>
          <w:szCs w:val="20"/>
          <w:color w:val="auto"/>
        </w:rPr>
      </w:pPr>
      <w:r>
        <w:rPr>
          <w:rFonts w:ascii="Arial" w:cs="Arial" w:eastAsia="Arial" w:hAnsi="Arial"/>
          <w:sz w:val="20"/>
          <w:szCs w:val="20"/>
          <w:color w:val="auto"/>
        </w:rPr>
        <w:t>Payouts for the Chief Executive Officer and Chief Financial Officer will be based solely on the above Company performance goals. Payouts for the other executive officers may be based 80% on Company performance goals and 20% on individual performance goals, provided that no overachievement on the 20% individual component will be permitted unless the Company achieves at least 100% of the Company’s performance goals. Nevertheless, in its discretion, the Executive Compensation Committee may reduce the individual component for any executive officer (and increase the component based on Company performance) if it determines doing so would be appropriate in the circumstances.</w:t>
      </w:r>
    </w:p>
    <w:p>
      <w:pPr>
        <w:spacing w:after="0" w:line="111" w:lineRule="exact"/>
        <w:rPr>
          <w:sz w:val="20"/>
          <w:szCs w:val="20"/>
          <w:color w:val="auto"/>
        </w:rPr>
      </w:pPr>
    </w:p>
    <w:p>
      <w:pPr>
        <w:spacing w:after="0" w:line="289" w:lineRule="auto"/>
        <w:rPr>
          <w:sz w:val="20"/>
          <w:szCs w:val="20"/>
          <w:color w:val="auto"/>
        </w:rPr>
      </w:pPr>
      <w:r>
        <w:rPr>
          <w:rFonts w:ascii="Arial" w:cs="Arial" w:eastAsia="Arial" w:hAnsi="Arial"/>
          <w:sz w:val="20"/>
          <w:szCs w:val="20"/>
          <w:color w:val="auto"/>
        </w:rPr>
        <w:t>The Executive Compensation Committee determined that the combined application of all the metrics would make achievement difficult to meet at target and very difficult to meet at maximum payout.</w:t>
      </w:r>
    </w:p>
    <w:p>
      <w:pPr>
        <w:sectPr>
          <w:pgSz w:w="11900" w:h="16838" w:orient="portrait"/>
          <w:cols w:equalWidth="0" w:num="1">
            <w:col w:w="11400"/>
          </w:cols>
          <w:pgMar w:left="240" w:top="379" w:right="259" w:bottom="1440" w:gutter="0" w:footer="0" w:header="0"/>
        </w:sectPr>
      </w:pPr>
    </w:p>
    <w:bookmarkStart w:id="62" w:name="page63"/>
    <w:bookmarkEnd w:id="62"/>
    <w:p>
      <w:pPr>
        <w:jc w:val="right"/>
        <w:spacing w:after="0"/>
        <w:rPr>
          <w:sz w:val="20"/>
          <w:szCs w:val="20"/>
          <w:color w:val="auto"/>
        </w:rPr>
      </w:pPr>
      <w:r>
        <w:rPr>
          <w:rFonts w:ascii="Arial" w:cs="Arial" w:eastAsia="Arial" w:hAnsi="Arial"/>
          <w:sz w:val="22"/>
          <w:szCs w:val="22"/>
          <w:b w:val="1"/>
          <w:bCs w:val="1"/>
          <w:color w:val="auto"/>
        </w:rPr>
        <w:t>Exhibit 10.03</w:t>
      </w:r>
    </w:p>
    <w:p>
      <w:pPr>
        <w:spacing w:after="0" w:line="268" w:lineRule="exact"/>
        <w:rPr>
          <w:sz w:val="20"/>
          <w:szCs w:val="20"/>
          <w:color w:val="auto"/>
        </w:rPr>
      </w:pPr>
    </w:p>
    <w:p>
      <w:pPr>
        <w:spacing w:after="0"/>
        <w:rPr>
          <w:sz w:val="20"/>
          <w:szCs w:val="20"/>
          <w:color w:val="auto"/>
        </w:rPr>
      </w:pPr>
      <w:r>
        <w:rPr>
          <w:rFonts w:ascii="Arial" w:cs="Arial" w:eastAsia="Arial" w:hAnsi="Arial"/>
          <w:sz w:val="21"/>
          <w:szCs w:val="21"/>
          <w:b w:val="1"/>
          <w:bCs w:val="1"/>
          <w:color w:val="auto"/>
        </w:rPr>
        <w:t>Notice of Grant of Performance Restricted Stock Units and Agreement</w:t>
      </w:r>
    </w:p>
    <w:p>
      <w:pPr>
        <w:spacing w:after="0" w:line="22"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Marvell Technology Group LTD</w:t>
      </w:r>
    </w:p>
    <w:p>
      <w:pPr>
        <w:spacing w:after="0" w:line="3" w:lineRule="exact"/>
        <w:rPr>
          <w:sz w:val="20"/>
          <w:szCs w:val="20"/>
          <w:color w:val="auto"/>
        </w:rPr>
      </w:pPr>
    </w:p>
    <w:p>
      <w:pPr>
        <w:spacing w:after="0"/>
        <w:rPr>
          <w:sz w:val="20"/>
          <w:szCs w:val="20"/>
          <w:color w:val="auto"/>
        </w:rPr>
      </w:pPr>
      <w:r>
        <w:rPr>
          <w:rFonts w:ascii="Arial" w:cs="Arial" w:eastAsia="Arial" w:hAnsi="Arial"/>
          <w:sz w:val="15"/>
          <w:szCs w:val="15"/>
          <w:color w:val="auto"/>
        </w:rPr>
        <w:t>ID: 77-0481679</w:t>
      </w:r>
    </w:p>
    <w:p>
      <w:pPr>
        <w:spacing w:after="0" w:line="3" w:lineRule="exact"/>
        <w:rPr>
          <w:sz w:val="20"/>
          <w:szCs w:val="20"/>
          <w:color w:val="auto"/>
        </w:rPr>
      </w:pPr>
    </w:p>
    <w:p>
      <w:pPr>
        <w:spacing w:after="0"/>
        <w:rPr>
          <w:sz w:val="20"/>
          <w:szCs w:val="20"/>
          <w:color w:val="auto"/>
        </w:rPr>
      </w:pPr>
      <w:r>
        <w:rPr>
          <w:rFonts w:ascii="Arial" w:cs="Arial" w:eastAsia="Arial" w:hAnsi="Arial"/>
          <w:sz w:val="15"/>
          <w:szCs w:val="15"/>
          <w:color w:val="auto"/>
        </w:rPr>
        <w:t>Canon’s Court, 22 Victoria Street</w:t>
      </w:r>
    </w:p>
    <w:p>
      <w:pPr>
        <w:spacing w:after="0" w:line="3" w:lineRule="exact"/>
        <w:rPr>
          <w:sz w:val="20"/>
          <w:szCs w:val="20"/>
          <w:color w:val="auto"/>
        </w:rPr>
      </w:pPr>
    </w:p>
    <w:p>
      <w:pPr>
        <w:spacing w:after="0"/>
        <w:rPr>
          <w:sz w:val="20"/>
          <w:szCs w:val="20"/>
          <w:color w:val="auto"/>
        </w:rPr>
      </w:pPr>
      <w:r>
        <w:rPr>
          <w:rFonts w:ascii="Arial" w:cs="Arial" w:eastAsia="Arial" w:hAnsi="Arial"/>
          <w:sz w:val="15"/>
          <w:szCs w:val="15"/>
          <w:color w:val="auto"/>
        </w:rPr>
        <w:t>P O Box HM 1179</w:t>
      </w:r>
    </w:p>
    <w:p>
      <w:pPr>
        <w:spacing w:after="0" w:line="3" w:lineRule="exact"/>
        <w:rPr>
          <w:sz w:val="20"/>
          <w:szCs w:val="20"/>
          <w:color w:val="auto"/>
        </w:rPr>
      </w:pPr>
    </w:p>
    <w:p>
      <w:pPr>
        <w:spacing w:after="0"/>
        <w:rPr>
          <w:sz w:val="20"/>
          <w:szCs w:val="20"/>
          <w:color w:val="auto"/>
        </w:rPr>
      </w:pPr>
      <w:r>
        <w:rPr>
          <w:rFonts w:ascii="Arial" w:cs="Arial" w:eastAsia="Arial" w:hAnsi="Arial"/>
          <w:sz w:val="15"/>
          <w:szCs w:val="15"/>
          <w:color w:val="auto"/>
        </w:rPr>
        <w:t>Hamilton HM EX, Bermuda</w:t>
      </w:r>
    </w:p>
    <w:p>
      <w:pPr>
        <w:sectPr>
          <w:pgSz w:w="11900" w:h="16838" w:orient="portrait"/>
          <w:cols w:equalWidth="0" w:num="1">
            <w:col w:w="11420"/>
          </w:cols>
          <w:pgMar w:left="240" w:top="620" w:right="239" w:bottom="1440" w:gutter="0" w:footer="0" w:header="0"/>
        </w:sectPr>
      </w:pPr>
    </w:p>
    <w:p>
      <w:pPr>
        <w:spacing w:after="0" w:line="20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Name</w:t>
      </w:r>
    </w:p>
    <w:p>
      <w:pPr>
        <w:spacing w:after="0" w:line="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Street</w:t>
      </w:r>
    </w:p>
    <w:p>
      <w:pPr>
        <w:spacing w:after="0" w:line="20" w:lineRule="exact"/>
        <w:rPr>
          <w:sz w:val="20"/>
          <w:szCs w:val="20"/>
          <w:color w:val="auto"/>
        </w:rPr>
      </w:pPr>
      <w:r>
        <w:rPr>
          <w:sz w:val="20"/>
          <w:szCs w:val="20"/>
          <w:color w:val="auto"/>
        </w:rPr>
        <w:br w:type="column"/>
      </w:r>
    </w:p>
    <w:p>
      <w:pPr>
        <w:spacing w:after="0" w:line="396"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Plan:</w:t>
      </w:r>
    </w:p>
    <w:p>
      <w:pPr>
        <w:spacing w:after="0" w:line="20" w:lineRule="exact"/>
        <w:rPr>
          <w:sz w:val="20"/>
          <w:szCs w:val="20"/>
          <w:color w:val="auto"/>
        </w:rPr>
      </w:pPr>
      <w:r>
        <w:rPr>
          <w:sz w:val="20"/>
          <w:szCs w:val="20"/>
          <w:color w:val="auto"/>
        </w:rPr>
        <w:br w:type="column"/>
      </w:r>
    </w:p>
    <w:p>
      <w:pPr>
        <w:spacing w:after="0" w:line="180" w:lineRule="exact"/>
        <w:rPr>
          <w:sz w:val="20"/>
          <w:szCs w:val="20"/>
          <w:color w:val="auto"/>
        </w:rPr>
      </w:pPr>
    </w:p>
    <w:p>
      <w:pPr>
        <w:ind w:left="140"/>
        <w:spacing w:after="0"/>
        <w:tabs>
          <w:tab w:leader="none" w:pos="1640" w:val="left"/>
        </w:tabs>
        <w:rPr>
          <w:sz w:val="20"/>
          <w:szCs w:val="20"/>
          <w:color w:val="auto"/>
        </w:rPr>
      </w:pPr>
      <w:r>
        <w:rPr>
          <w:rFonts w:ascii="Arial" w:cs="Arial" w:eastAsia="Arial" w:hAnsi="Arial"/>
          <w:sz w:val="18"/>
          <w:szCs w:val="18"/>
          <w:b w:val="1"/>
          <w:bCs w:val="1"/>
          <w:color w:val="auto"/>
        </w:rPr>
        <w:t>Award Number:</w:t>
      </w:r>
      <w:r>
        <w:rPr>
          <w:sz w:val="20"/>
          <w:szCs w:val="20"/>
          <w:color w:val="auto"/>
        </w:rPr>
        <w:tab/>
      </w:r>
      <w:r>
        <w:rPr>
          <w:rFonts w:ascii="Arial" w:cs="Arial" w:eastAsia="Arial" w:hAnsi="Arial"/>
          <w:sz w:val="17"/>
          <w:szCs w:val="17"/>
          <w:b w:val="1"/>
          <w:bCs w:val="1"/>
          <w:color w:val="auto"/>
        </w:rPr>
        <w:t>number</w:t>
      </w:r>
    </w:p>
    <w:p>
      <w:pPr>
        <w:spacing w:after="0" w:line="3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1995</w:t>
      </w:r>
    </w:p>
    <w:p>
      <w:pPr>
        <w:spacing w:after="0" w:line="10" w:lineRule="exact"/>
        <w:rPr>
          <w:sz w:val="20"/>
          <w:szCs w:val="20"/>
          <w:color w:val="auto"/>
        </w:rPr>
      </w:pPr>
    </w:p>
    <w:p>
      <w:pPr>
        <w:sectPr>
          <w:pgSz w:w="11900" w:h="16838" w:orient="portrait"/>
          <w:cols w:equalWidth="0" w:num="3">
            <w:col w:w="1400" w:space="720"/>
            <w:col w:w="440" w:space="600"/>
            <w:col w:w="8260"/>
          </w:cols>
          <w:pgMar w:left="240" w:top="620" w:right="239" w:bottom="1440" w:gutter="0" w:footer="0" w:header="0"/>
          <w:type w:val="continuous"/>
        </w:sectPr>
      </w:pPr>
    </w:p>
    <w:p>
      <w:pPr>
        <w:spacing w:after="0"/>
        <w:rPr>
          <w:sz w:val="20"/>
          <w:szCs w:val="20"/>
          <w:color w:val="auto"/>
        </w:rPr>
      </w:pPr>
      <w:r>
        <w:rPr>
          <w:rFonts w:ascii="Arial" w:cs="Arial" w:eastAsia="Arial" w:hAnsi="Arial"/>
          <w:sz w:val="17"/>
          <w:szCs w:val="17"/>
          <w:b w:val="1"/>
          <w:bCs w:val="1"/>
          <w:color w:val="auto"/>
        </w:rPr>
        <w:t>City, State, Zip</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b w:val="1"/>
          <w:bCs w:val="1"/>
          <w:color w:val="auto"/>
        </w:rPr>
        <w:t>ID: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7"/>
          <w:szCs w:val="17"/>
          <w:b w:val="1"/>
          <w:bCs w:val="1"/>
          <w:color w:val="auto"/>
        </w:rPr>
        <w:t>number</w:t>
      </w:r>
    </w:p>
    <w:p>
      <w:pPr>
        <w:spacing w:after="0" w:line="211" w:lineRule="exact"/>
        <w:rPr>
          <w:sz w:val="20"/>
          <w:szCs w:val="20"/>
          <w:color w:val="auto"/>
        </w:rPr>
      </w:pPr>
    </w:p>
    <w:p>
      <w:pPr>
        <w:sectPr>
          <w:pgSz w:w="11900" w:h="16838" w:orient="portrait"/>
          <w:cols w:equalWidth="0" w:num="3">
            <w:col w:w="1980" w:space="720"/>
            <w:col w:w="240" w:space="640"/>
            <w:col w:w="7840"/>
          </w:cols>
          <w:pgMar w:left="240" w:top="620" w:right="239" w:bottom="1440" w:gutter="0" w:footer="0" w:header="0"/>
          <w:type w:val="continuous"/>
        </w:sectPr>
      </w:pPr>
    </w:p>
    <w:p>
      <w:pPr>
        <w:spacing w:after="0" w:line="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____________________________________________________________________________________</w:t>
      </w:r>
    </w:p>
    <w:p>
      <w:pPr>
        <w:spacing w:after="0" w:line="247" w:lineRule="exact"/>
        <w:rPr>
          <w:sz w:val="20"/>
          <w:szCs w:val="20"/>
          <w:color w:val="auto"/>
        </w:rPr>
      </w:pPr>
    </w:p>
    <w:p>
      <w:pPr>
        <w:ind w:right="260"/>
        <w:spacing w:after="0" w:line="262" w:lineRule="auto"/>
        <w:rPr>
          <w:sz w:val="20"/>
          <w:szCs w:val="20"/>
          <w:color w:val="auto"/>
        </w:rPr>
      </w:pPr>
      <w:r>
        <w:rPr>
          <w:rFonts w:ascii="Arial" w:cs="Arial" w:eastAsia="Arial" w:hAnsi="Arial"/>
          <w:sz w:val="18"/>
          <w:szCs w:val="18"/>
          <w:color w:val="auto"/>
        </w:rPr>
        <w:t xml:space="preserve">Effective April 15, 2019, you have been granted a Performance Restricted Stock Unit (RSU) award for the number of shares in the range set forth on </w:t>
      </w:r>
      <w:r>
        <w:rPr>
          <w:rFonts w:ascii="Arial" w:cs="Arial" w:eastAsia="Arial" w:hAnsi="Arial"/>
          <w:sz w:val="18"/>
          <w:szCs w:val="18"/>
          <w:b w:val="1"/>
          <w:bCs w:val="1"/>
          <w:u w:val="single" w:color="auto"/>
          <w:color w:val="auto"/>
        </w:rPr>
        <w:t>Exhibit A</w:t>
      </w:r>
      <w:r>
        <w:rPr>
          <w:rFonts w:ascii="Arial" w:cs="Arial" w:eastAsia="Arial" w:hAnsi="Arial"/>
          <w:sz w:val="18"/>
          <w:szCs w:val="18"/>
          <w:color w:val="auto"/>
        </w:rPr>
        <w:t xml:space="preserve">, subject to the performance metrics set forth on </w:t>
      </w:r>
      <w:r>
        <w:rPr>
          <w:rFonts w:ascii="Arial" w:cs="Arial" w:eastAsia="Arial" w:hAnsi="Arial"/>
          <w:sz w:val="18"/>
          <w:szCs w:val="18"/>
          <w:b w:val="1"/>
          <w:bCs w:val="1"/>
          <w:u w:val="single" w:color="auto"/>
          <w:color w:val="auto"/>
        </w:rPr>
        <w:t>Exhibit B</w:t>
      </w:r>
      <w:r>
        <w:rPr>
          <w:rFonts w:ascii="Arial" w:cs="Arial" w:eastAsia="Arial" w:hAnsi="Arial"/>
          <w:sz w:val="18"/>
          <w:szCs w:val="18"/>
          <w:color w:val="auto"/>
        </w:rPr>
        <w:t>.</w:t>
      </w:r>
    </w:p>
    <w:p>
      <w:pPr>
        <w:spacing w:after="0" w:line="196" w:lineRule="exact"/>
        <w:rPr>
          <w:sz w:val="20"/>
          <w:szCs w:val="20"/>
          <w:color w:val="auto"/>
        </w:rPr>
      </w:pPr>
    </w:p>
    <w:p>
      <w:pPr>
        <w:ind w:right="60"/>
        <w:spacing w:after="0" w:line="254" w:lineRule="auto"/>
        <w:rPr>
          <w:sz w:val="20"/>
          <w:szCs w:val="20"/>
          <w:color w:val="auto"/>
        </w:rPr>
      </w:pPr>
      <w:r>
        <w:rPr>
          <w:rFonts w:ascii="Arial" w:cs="Arial" w:eastAsia="Arial" w:hAnsi="Arial"/>
          <w:sz w:val="18"/>
          <w:szCs w:val="18"/>
          <w:color w:val="auto"/>
        </w:rPr>
        <w:t>This Notice of Grant is subject to all of the terms and conditions set forth herein, as well as the Stock Unit Agreement, the Appendix (which includes the special provisions for your country of residence if any), and the Amended and Restated 1995 Stock Option Plan (the “Plan”), all of which are incorporated herein by reference. This Notice of Grant, the Stock Unit Agreement, the Appendix and the Plan are referred to herein as the “Grant Documents.” Capitalized terms used in this Notice of Grant but not defined shall have the same meaning as provided in the Plan.</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color w:val="auto"/>
        </w:rPr>
        <w:t>By signing this document, you hereby acknowledge receipt of a copy of the Grant Documents, and agree that:</w:t>
      </w:r>
    </w:p>
    <w:p>
      <w:pPr>
        <w:spacing w:after="0" w:line="225" w:lineRule="exact"/>
        <w:rPr>
          <w:sz w:val="20"/>
          <w:szCs w:val="20"/>
          <w:color w:val="auto"/>
        </w:rPr>
      </w:pPr>
    </w:p>
    <w:p>
      <w:pPr>
        <w:ind w:left="280" w:hanging="272"/>
        <w:spacing w:after="0"/>
        <w:tabs>
          <w:tab w:leader="none" w:pos="2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these Performance-based RSUs are granted under and governed by the terms and conditions of the Grant Documents;</w:t>
      </w:r>
    </w:p>
    <w:p>
      <w:pPr>
        <w:spacing w:after="0" w:line="225" w:lineRule="exact"/>
        <w:rPr>
          <w:rFonts w:ascii="Arial" w:cs="Arial" w:eastAsia="Arial" w:hAnsi="Arial"/>
          <w:sz w:val="18"/>
          <w:szCs w:val="18"/>
          <w:color w:val="auto"/>
        </w:rPr>
      </w:pPr>
    </w:p>
    <w:p>
      <w:pPr>
        <w:ind w:left="280" w:hanging="272"/>
        <w:spacing w:after="0"/>
        <w:tabs>
          <w:tab w:leader="none" w:pos="2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you have carefully read, fully understand and agree to all of the terms and conditions described in the Grant Documents;</w:t>
      </w:r>
    </w:p>
    <w:p>
      <w:pPr>
        <w:spacing w:after="0" w:line="225" w:lineRule="exact"/>
        <w:rPr>
          <w:rFonts w:ascii="Arial" w:cs="Arial" w:eastAsia="Arial" w:hAnsi="Arial"/>
          <w:sz w:val="18"/>
          <w:szCs w:val="18"/>
          <w:color w:val="auto"/>
        </w:rPr>
      </w:pPr>
    </w:p>
    <w:p>
      <w:pPr>
        <w:ind w:right="340" w:firstLine="8"/>
        <w:spacing w:after="0" w:line="256" w:lineRule="auto"/>
        <w:tabs>
          <w:tab w:leader="none" w:pos="2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you understand and agree that the Grant Documents constitute the entire understanding between you and the Company regarding this Performance-based RSU, and that any prior agreements, commitments or negotiations concerning this grant are replaced and superseded; and</w:t>
      </w:r>
    </w:p>
    <w:p>
      <w:pPr>
        <w:spacing w:after="0" w:line="201" w:lineRule="exact"/>
        <w:rPr>
          <w:rFonts w:ascii="Arial" w:cs="Arial" w:eastAsia="Arial" w:hAnsi="Arial"/>
          <w:sz w:val="18"/>
          <w:szCs w:val="18"/>
          <w:color w:val="auto"/>
        </w:rPr>
      </w:pPr>
    </w:p>
    <w:p>
      <w:pPr>
        <w:ind w:right="440" w:firstLine="8"/>
        <w:spacing w:after="0" w:line="262" w:lineRule="auto"/>
        <w:tabs>
          <w:tab w:leader="none" w:pos="270" w:val="left"/>
        </w:tabs>
        <w:numPr>
          <w:ilvl w:val="0"/>
          <w:numId w:val="25"/>
        </w:numPr>
        <w:rPr>
          <w:rFonts w:ascii="Arial" w:cs="Arial" w:eastAsia="Arial" w:hAnsi="Arial"/>
          <w:sz w:val="18"/>
          <w:szCs w:val="18"/>
          <w:color w:val="auto"/>
        </w:rPr>
      </w:pPr>
      <w:r>
        <w:rPr>
          <w:rFonts w:ascii="Arial" w:cs="Arial" w:eastAsia="Arial" w:hAnsi="Arial"/>
          <w:sz w:val="18"/>
          <w:szCs w:val="18"/>
          <w:color w:val="auto"/>
        </w:rPr>
        <w:t>you have been given an opportunity to consult legal counsel with respect to all matters relating to this Performance-based RSU prior to signing this Notice of Grant and that you have either consulted such counsel or voluntarily declined to consult such counsel.</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color w:val="auto"/>
        </w:rPr>
        <w:t>The Stock Unit Agreement, the Appendix and the Plan are available on the Company’s website at</w:t>
      </w:r>
    </w:p>
    <w:p>
      <w:pPr>
        <w:spacing w:after="0" w:line="9" w:lineRule="exact"/>
        <w:rPr>
          <w:sz w:val="20"/>
          <w:szCs w:val="20"/>
          <w:color w:val="auto"/>
        </w:rPr>
      </w:pPr>
    </w:p>
    <w:p>
      <w:pPr>
        <w:ind w:right="220"/>
        <w:spacing w:after="0" w:line="262" w:lineRule="auto"/>
        <w:rPr>
          <w:sz w:val="20"/>
          <w:szCs w:val="20"/>
          <w:color w:val="auto"/>
        </w:rPr>
      </w:pPr>
      <w:r>
        <w:rPr>
          <w:rFonts w:ascii="Arial" w:cs="Arial" w:eastAsia="Arial" w:hAnsi="Arial"/>
          <w:sz w:val="18"/>
          <w:szCs w:val="18"/>
          <w:color w:val="auto"/>
        </w:rPr>
        <w:t>https://intranet/stockselfservice or by request from the Company’s Stock Administration Department. You hereby agree that these documents are deemed to be delivered to you.</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____________________________________________________________________________________</w:t>
      </w:r>
    </w:p>
    <w:p>
      <w:pPr>
        <w:spacing w:after="0" w:line="200" w:lineRule="exact"/>
        <w:rPr>
          <w:sz w:val="20"/>
          <w:szCs w:val="20"/>
          <w:color w:val="auto"/>
        </w:rPr>
      </w:pPr>
    </w:p>
    <w:p>
      <w:pPr>
        <w:spacing w:after="0" w:line="263"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920" w:type="dxa"/>
            <w:vAlign w:val="bottom"/>
            <w:gridSpan w:val="2"/>
          </w:tcPr>
          <w:p>
            <w:pPr>
              <w:spacing w:after="0"/>
              <w:rPr>
                <w:sz w:val="20"/>
                <w:szCs w:val="20"/>
                <w:color w:val="auto"/>
              </w:rPr>
            </w:pPr>
            <w:r>
              <w:rPr>
                <w:rFonts w:ascii="Arial" w:cs="Arial" w:eastAsia="Arial" w:hAnsi="Arial"/>
                <w:sz w:val="18"/>
                <w:szCs w:val="18"/>
                <w:color w:val="auto"/>
              </w:rPr>
              <w:t>_____________________________________</w:t>
            </w:r>
          </w:p>
        </w:tc>
        <w:tc>
          <w:tcPr>
            <w:tcW w:w="3900" w:type="dxa"/>
            <w:vAlign w:val="bottom"/>
          </w:tcPr>
          <w:p>
            <w:pPr>
              <w:jc w:val="right"/>
              <w:spacing w:after="0"/>
              <w:rPr>
                <w:sz w:val="20"/>
                <w:szCs w:val="20"/>
                <w:color w:val="auto"/>
              </w:rPr>
            </w:pPr>
            <w:r>
              <w:rPr>
                <w:rFonts w:ascii="Arial" w:cs="Arial" w:eastAsia="Arial" w:hAnsi="Arial"/>
                <w:sz w:val="18"/>
                <w:szCs w:val="18"/>
                <w:color w:val="auto"/>
              </w:rPr>
              <w:t>_____________________________________</w:t>
            </w:r>
          </w:p>
        </w:tc>
      </w:tr>
      <w:tr>
        <w:trPr>
          <w:trHeight w:val="211"/>
        </w:trPr>
        <w:tc>
          <w:tcPr>
            <w:tcW w:w="3320" w:type="dxa"/>
            <w:vAlign w:val="bottom"/>
          </w:tcPr>
          <w:p>
            <w:pPr>
              <w:spacing w:after="0"/>
              <w:rPr>
                <w:sz w:val="20"/>
                <w:szCs w:val="20"/>
                <w:color w:val="auto"/>
              </w:rPr>
            </w:pPr>
            <w:r>
              <w:rPr>
                <w:rFonts w:ascii="Arial" w:cs="Arial" w:eastAsia="Arial" w:hAnsi="Arial"/>
                <w:sz w:val="17"/>
                <w:szCs w:val="17"/>
                <w:color w:val="auto"/>
              </w:rPr>
              <w:t>Mitchell Gaynor</w:t>
            </w:r>
          </w:p>
        </w:tc>
        <w:tc>
          <w:tcPr>
            <w:tcW w:w="600" w:type="dxa"/>
            <w:vAlign w:val="bottom"/>
          </w:tcPr>
          <w:p>
            <w:pPr>
              <w:ind w:left="20"/>
              <w:spacing w:after="0"/>
              <w:rPr>
                <w:sz w:val="20"/>
                <w:szCs w:val="20"/>
                <w:color w:val="auto"/>
              </w:rPr>
            </w:pPr>
            <w:r>
              <w:rPr>
                <w:rFonts w:ascii="Arial" w:cs="Arial" w:eastAsia="Arial" w:hAnsi="Arial"/>
                <w:sz w:val="18"/>
                <w:szCs w:val="18"/>
                <w:color w:val="auto"/>
              </w:rPr>
              <w:t>Date</w:t>
            </w:r>
          </w:p>
        </w:tc>
        <w:tc>
          <w:tcPr>
            <w:tcW w:w="3900" w:type="dxa"/>
            <w:vAlign w:val="bottom"/>
          </w:tcPr>
          <w:p>
            <w:pPr>
              <w:spacing w:after="0"/>
              <w:rPr>
                <w:sz w:val="18"/>
                <w:szCs w:val="18"/>
                <w:color w:val="auto"/>
              </w:rPr>
            </w:pPr>
          </w:p>
        </w:tc>
      </w:tr>
      <w:tr>
        <w:trPr>
          <w:trHeight w:val="203"/>
        </w:trPr>
        <w:tc>
          <w:tcPr>
            <w:tcW w:w="3320" w:type="dxa"/>
            <w:vAlign w:val="bottom"/>
          </w:tcPr>
          <w:p>
            <w:pPr>
              <w:spacing w:after="0"/>
              <w:rPr>
                <w:sz w:val="20"/>
                <w:szCs w:val="20"/>
                <w:color w:val="auto"/>
              </w:rPr>
            </w:pPr>
            <w:r>
              <w:rPr>
                <w:rFonts w:ascii="Arial" w:cs="Arial" w:eastAsia="Arial" w:hAnsi="Arial"/>
                <w:sz w:val="17"/>
                <w:szCs w:val="17"/>
                <w:color w:val="auto"/>
              </w:rPr>
              <w:t>EVP, Chief Administration and Legal Officer</w:t>
            </w:r>
          </w:p>
        </w:tc>
        <w:tc>
          <w:tcPr>
            <w:tcW w:w="600" w:type="dxa"/>
            <w:vAlign w:val="bottom"/>
          </w:tcPr>
          <w:p>
            <w:pPr>
              <w:spacing w:after="0"/>
              <w:rPr>
                <w:sz w:val="17"/>
                <w:szCs w:val="17"/>
                <w:color w:val="auto"/>
              </w:rPr>
            </w:pPr>
          </w:p>
        </w:tc>
        <w:tc>
          <w:tcPr>
            <w:tcW w:w="3900" w:type="dxa"/>
            <w:vAlign w:val="bottom"/>
          </w:tcPr>
          <w:p>
            <w:pPr>
              <w:spacing w:after="0"/>
              <w:rPr>
                <w:sz w:val="17"/>
                <w:szCs w:val="17"/>
                <w:color w:val="auto"/>
              </w:rPr>
            </w:pPr>
          </w:p>
        </w:tc>
      </w:tr>
      <w:tr>
        <w:trPr>
          <w:trHeight w:val="205"/>
        </w:trPr>
        <w:tc>
          <w:tcPr>
            <w:tcW w:w="3320" w:type="dxa"/>
            <w:vAlign w:val="bottom"/>
          </w:tcPr>
          <w:p>
            <w:pPr>
              <w:spacing w:after="0"/>
              <w:rPr>
                <w:sz w:val="20"/>
                <w:szCs w:val="20"/>
                <w:color w:val="auto"/>
              </w:rPr>
            </w:pPr>
            <w:r>
              <w:rPr>
                <w:rFonts w:ascii="Arial" w:cs="Arial" w:eastAsia="Arial" w:hAnsi="Arial"/>
                <w:sz w:val="17"/>
                <w:szCs w:val="17"/>
                <w:color w:val="auto"/>
              </w:rPr>
              <w:t>Marvell Technology Group Ltd.</w:t>
            </w:r>
          </w:p>
        </w:tc>
        <w:tc>
          <w:tcPr>
            <w:tcW w:w="600" w:type="dxa"/>
            <w:vAlign w:val="bottom"/>
          </w:tcPr>
          <w:p>
            <w:pPr>
              <w:spacing w:after="0"/>
              <w:rPr>
                <w:sz w:val="17"/>
                <w:szCs w:val="17"/>
                <w:color w:val="auto"/>
              </w:rPr>
            </w:pPr>
          </w:p>
        </w:tc>
        <w:tc>
          <w:tcPr>
            <w:tcW w:w="3900" w:type="dxa"/>
            <w:vAlign w:val="bottom"/>
          </w:tcPr>
          <w:p>
            <w:pPr>
              <w:spacing w:after="0"/>
              <w:rPr>
                <w:sz w:val="17"/>
                <w:szCs w:val="17"/>
                <w:color w:val="auto"/>
              </w:rPr>
            </w:pPr>
          </w:p>
        </w:tc>
      </w:tr>
      <w:tr>
        <w:trPr>
          <w:trHeight w:val="652"/>
        </w:trPr>
        <w:tc>
          <w:tcPr>
            <w:tcW w:w="3920" w:type="dxa"/>
            <w:vAlign w:val="bottom"/>
            <w:gridSpan w:val="2"/>
          </w:tcPr>
          <w:p>
            <w:pPr>
              <w:spacing w:after="0"/>
              <w:rPr>
                <w:sz w:val="20"/>
                <w:szCs w:val="20"/>
                <w:color w:val="auto"/>
              </w:rPr>
            </w:pPr>
            <w:r>
              <w:rPr>
                <w:rFonts w:ascii="Arial" w:cs="Arial" w:eastAsia="Arial" w:hAnsi="Arial"/>
                <w:sz w:val="18"/>
                <w:szCs w:val="18"/>
                <w:color w:val="auto"/>
              </w:rPr>
              <w:t>_____________________________________</w:t>
            </w:r>
          </w:p>
        </w:tc>
        <w:tc>
          <w:tcPr>
            <w:tcW w:w="3900" w:type="dxa"/>
            <w:vAlign w:val="bottom"/>
          </w:tcPr>
          <w:p>
            <w:pPr>
              <w:jc w:val="right"/>
              <w:spacing w:after="0"/>
              <w:rPr>
                <w:sz w:val="20"/>
                <w:szCs w:val="20"/>
                <w:color w:val="auto"/>
              </w:rPr>
            </w:pPr>
            <w:r>
              <w:rPr>
                <w:rFonts w:ascii="Arial" w:cs="Arial" w:eastAsia="Arial" w:hAnsi="Arial"/>
                <w:sz w:val="18"/>
                <w:szCs w:val="18"/>
                <w:color w:val="auto"/>
              </w:rPr>
              <w:t>_____________________________________</w:t>
            </w:r>
          </w:p>
        </w:tc>
      </w:tr>
    </w:tbl>
    <w:p>
      <w:pPr>
        <w:sectPr>
          <w:pgSz w:w="11900" w:h="16838" w:orient="portrait"/>
          <w:cols w:equalWidth="0" w:num="1">
            <w:col w:w="11420"/>
          </w:cols>
          <w:pgMar w:left="240" w:top="620" w:right="239" w:bottom="1440" w:gutter="0" w:footer="0" w:header="0"/>
          <w:type w:val="continuous"/>
        </w:sectPr>
      </w:pPr>
    </w:p>
    <w:bookmarkStart w:id="63" w:name="page64"/>
    <w:bookmarkEnd w:id="63"/>
    <w:p>
      <w:pPr>
        <w:spacing w:after="0"/>
        <w:tabs>
          <w:tab w:leader="none" w:pos="2960" w:val="left"/>
        </w:tabs>
        <w:rPr>
          <w:sz w:val="20"/>
          <w:szCs w:val="20"/>
          <w:color w:val="auto"/>
        </w:rPr>
      </w:pPr>
      <w:r>
        <w:rPr>
          <w:rFonts w:ascii="Arial" w:cs="Arial" w:eastAsia="Arial" w:hAnsi="Arial"/>
          <w:sz w:val="16"/>
          <w:szCs w:val="16"/>
          <w:color w:val="auto"/>
        </w:rPr>
        <w:t>Name</w:t>
      </w:r>
      <w:r>
        <w:rPr>
          <w:sz w:val="20"/>
          <w:szCs w:val="20"/>
          <w:color w:val="auto"/>
        </w:rPr>
        <w:tab/>
      </w:r>
      <w:r>
        <w:rPr>
          <w:rFonts w:ascii="Arial" w:cs="Arial" w:eastAsia="Arial" w:hAnsi="Arial"/>
          <w:sz w:val="17"/>
          <w:szCs w:val="17"/>
          <w:color w:val="auto"/>
        </w:rPr>
        <w:t>Date</w:t>
      </w:r>
    </w:p>
    <w:p>
      <w:pPr>
        <w:sectPr>
          <w:pgSz w:w="11900" w:h="16838" w:orient="portrait"/>
          <w:cols w:equalWidth="0" w:num="1">
            <w:col w:w="10219"/>
          </w:cols>
          <w:pgMar w:left="240" w:top="638" w:right="1440" w:bottom="1440" w:gutter="0" w:footer="0" w:header="0"/>
        </w:sectPr>
      </w:pPr>
    </w:p>
    <w:bookmarkStart w:id="64" w:name="page65"/>
    <w:bookmarkEnd w:id="64"/>
    <w:p>
      <w:pPr>
        <w:jc w:val="right"/>
        <w:ind w:right="1220"/>
        <w:spacing w:after="0"/>
        <w:rPr>
          <w:sz w:val="20"/>
          <w:szCs w:val="20"/>
          <w:color w:val="auto"/>
        </w:rPr>
      </w:pPr>
      <w:r>
        <w:rPr>
          <w:rFonts w:ascii="Arial" w:cs="Arial" w:eastAsia="Arial" w:hAnsi="Arial"/>
          <w:sz w:val="18"/>
          <w:szCs w:val="18"/>
          <w:b w:val="1"/>
          <w:bCs w:val="1"/>
          <w:u w:val="single" w:color="auto"/>
          <w:color w:val="auto"/>
        </w:rPr>
        <w:t>Exhibit A</w:t>
      </w: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Grant Number:</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Grant date:</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Grant date Fair Market Value per share:</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Grant Price:</w:t>
      </w:r>
    </w:p>
    <w:p>
      <w:pPr>
        <w:spacing w:after="0" w:line="63" w:lineRule="exact"/>
        <w:rPr>
          <w:sz w:val="20"/>
          <w:szCs w:val="20"/>
          <w:color w:val="auto"/>
        </w:rPr>
      </w:pPr>
    </w:p>
    <w:p>
      <w:pPr>
        <w:spacing w:after="0"/>
        <w:rPr>
          <w:sz w:val="20"/>
          <w:szCs w:val="20"/>
          <w:color w:val="auto"/>
        </w:rPr>
      </w:pPr>
      <w:r>
        <w:rPr>
          <w:rFonts w:ascii="Arial" w:cs="Arial" w:eastAsia="Arial" w:hAnsi="Arial"/>
          <w:sz w:val="18"/>
          <w:szCs w:val="18"/>
          <w:color w:val="auto"/>
        </w:rPr>
        <w:t>Number of shares in range:</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Number of shares at Target (payable at 100%):</w:t>
      </w:r>
    </w:p>
    <w:p>
      <w:pPr>
        <w:spacing w:after="0" w:line="266" w:lineRule="exact"/>
        <w:rPr>
          <w:sz w:val="20"/>
          <w:szCs w:val="20"/>
          <w:color w:val="auto"/>
        </w:rPr>
      </w:pPr>
    </w:p>
    <w:p>
      <w:pPr>
        <w:ind w:left="60"/>
        <w:spacing w:after="0"/>
        <w:rPr>
          <w:sz w:val="20"/>
          <w:szCs w:val="20"/>
          <w:color w:val="auto"/>
        </w:rPr>
      </w:pPr>
      <w:r>
        <w:rPr>
          <w:rFonts w:ascii="Arial" w:cs="Arial" w:eastAsia="Arial" w:hAnsi="Arial"/>
          <w:sz w:val="18"/>
          <w:szCs w:val="18"/>
          <w:color w:val="auto"/>
        </w:rPr>
        <w:t>Number of shares at Maximum (payable at 200% of Target):</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Grant Type:</w:t>
      </w:r>
    </w:p>
    <w:p>
      <w:pPr>
        <w:spacing w:after="0" w:line="144" w:lineRule="exact"/>
        <w:rPr>
          <w:sz w:val="20"/>
          <w:szCs w:val="20"/>
          <w:color w:val="auto"/>
        </w:rPr>
      </w:pPr>
    </w:p>
    <w:p>
      <w:pPr>
        <w:spacing w:after="0"/>
        <w:rPr>
          <w:sz w:val="20"/>
          <w:szCs w:val="20"/>
          <w:color w:val="auto"/>
        </w:rPr>
      </w:pPr>
      <w:r>
        <w:rPr>
          <w:rFonts w:ascii="Arial" w:cs="Arial" w:eastAsia="Arial" w:hAnsi="Arial"/>
          <w:sz w:val="18"/>
          <w:szCs w:val="18"/>
          <w:color w:val="auto"/>
        </w:rPr>
        <w:t>Vesting schedule:</w:t>
      </w:r>
    </w:p>
    <w:p>
      <w:pPr>
        <w:spacing w:after="0" w:line="158" w:lineRule="exact"/>
        <w:rPr>
          <w:sz w:val="20"/>
          <w:szCs w:val="20"/>
          <w:color w:val="auto"/>
        </w:rPr>
      </w:pPr>
    </w:p>
    <w:p>
      <w:pPr>
        <w:spacing w:after="0"/>
        <w:rPr>
          <w:sz w:val="20"/>
          <w:szCs w:val="20"/>
          <w:color w:val="auto"/>
        </w:rPr>
      </w:pPr>
      <w:r>
        <w:rPr>
          <w:rFonts w:ascii="Arial" w:cs="Arial" w:eastAsia="Arial" w:hAnsi="Arial"/>
          <w:sz w:val="18"/>
          <w:szCs w:val="18"/>
          <w:color w:val="auto"/>
        </w:rPr>
        <w:t>Vesting commencement date:</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Vesting date:</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Performance metrics:</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Performance measurement start date:</w:t>
      </w:r>
    </w:p>
    <w:p>
      <w:pPr>
        <w:spacing w:after="0" w:line="252" w:lineRule="exact"/>
        <w:rPr>
          <w:sz w:val="20"/>
          <w:szCs w:val="20"/>
          <w:color w:val="auto"/>
        </w:rPr>
      </w:pPr>
    </w:p>
    <w:p>
      <w:pPr>
        <w:ind w:left="60"/>
        <w:spacing w:after="0"/>
        <w:rPr>
          <w:sz w:val="20"/>
          <w:szCs w:val="20"/>
          <w:color w:val="auto"/>
        </w:rPr>
      </w:pPr>
      <w:r>
        <w:rPr>
          <w:rFonts w:ascii="Arial" w:cs="Arial" w:eastAsia="Arial" w:hAnsi="Arial"/>
          <w:sz w:val="18"/>
          <w:szCs w:val="18"/>
          <w:color w:val="auto"/>
        </w:rPr>
        <w:t>Performance measurement end date: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4/15/2019</w:t>
      </w:r>
    </w:p>
    <w:p>
      <w:pPr>
        <w:spacing w:after="0" w:line="33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$0.00</w:t>
      </w:r>
    </w:p>
    <w:p>
      <w:pPr>
        <w:spacing w:after="0" w:line="2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0% to 200% of Target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color w:val="auto"/>
        </w:rPr>
        <w:t>Total Shareholder Return (TSR)</w:t>
      </w:r>
    </w:p>
    <w:p>
      <w:pPr>
        <w:spacing w:after="0" w:line="50" w:lineRule="exact"/>
        <w:rPr>
          <w:sz w:val="20"/>
          <w:szCs w:val="20"/>
          <w:color w:val="auto"/>
        </w:rPr>
      </w:pPr>
    </w:p>
    <w:p>
      <w:pPr>
        <w:jc w:val="right"/>
        <w:ind w:left="60"/>
        <w:spacing w:after="0" w:line="246" w:lineRule="auto"/>
        <w:rPr>
          <w:sz w:val="20"/>
          <w:szCs w:val="20"/>
          <w:color w:val="auto"/>
        </w:rPr>
      </w:pPr>
      <w:r>
        <w:rPr>
          <w:rFonts w:ascii="Arial" w:cs="Arial" w:eastAsia="Arial" w:hAnsi="Arial"/>
          <w:sz w:val="18"/>
          <w:szCs w:val="18"/>
          <w:color w:val="auto"/>
        </w:rPr>
        <w:t>Cliff vest at end of 3 years from the date of grant</w:t>
      </w:r>
    </w:p>
    <w:p>
      <w:pPr>
        <w:spacing w:after="0" w:line="3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4/15/2019</w:t>
      </w:r>
    </w:p>
    <w:p>
      <w:pPr>
        <w:spacing w:after="0" w:line="5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4/15/2022</w:t>
      </w:r>
    </w:p>
    <w:p>
      <w:pPr>
        <w:spacing w:after="0" w:line="2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See Exhibit B</w:t>
      </w:r>
    </w:p>
    <w:p>
      <w:pPr>
        <w:spacing w:after="0" w:line="72" w:lineRule="exact"/>
        <w:rPr>
          <w:sz w:val="20"/>
          <w:szCs w:val="20"/>
          <w:color w:val="auto"/>
        </w:rPr>
      </w:pPr>
    </w:p>
    <w:p>
      <w:pPr>
        <w:jc w:val="right"/>
        <w:spacing w:after="0"/>
        <w:rPr>
          <w:sz w:val="20"/>
          <w:szCs w:val="20"/>
          <w:color w:val="auto"/>
        </w:rPr>
      </w:pPr>
      <w:r>
        <w:rPr>
          <w:rFonts w:ascii="Arial" w:cs="Arial" w:eastAsia="Arial" w:hAnsi="Arial"/>
          <w:sz w:val="18"/>
          <w:szCs w:val="18"/>
          <w:color w:val="auto"/>
        </w:rPr>
        <w:t>4/15/2019</w:t>
      </w:r>
    </w:p>
    <w:p>
      <w:pPr>
        <w:spacing w:after="0" w:line="252" w:lineRule="exact"/>
        <w:rPr>
          <w:sz w:val="20"/>
          <w:szCs w:val="20"/>
          <w:color w:val="auto"/>
        </w:rPr>
      </w:pPr>
    </w:p>
    <w:p>
      <w:pPr>
        <w:ind w:left="2140"/>
        <w:spacing w:after="0"/>
        <w:rPr>
          <w:sz w:val="20"/>
          <w:szCs w:val="20"/>
          <w:color w:val="auto"/>
        </w:rPr>
      </w:pPr>
      <w:r>
        <w:rPr>
          <w:rFonts w:ascii="Arial" w:cs="Arial" w:eastAsia="Arial" w:hAnsi="Arial"/>
          <w:sz w:val="17"/>
          <w:szCs w:val="17"/>
          <w:color w:val="auto"/>
        </w:rPr>
        <w:t>4/5/2022</w:t>
      </w:r>
    </w:p>
    <w:p>
      <w:pPr>
        <w:sectPr>
          <w:pgSz w:w="11900" w:h="16838" w:orient="portrait"/>
          <w:cols w:equalWidth="0" w:num="2">
            <w:col w:w="7200" w:space="720"/>
            <w:col w:w="2840"/>
          </w:cols>
          <w:pgMar w:left="360" w:top="616" w:right="779" w:bottom="1440" w:gutter="0" w:footer="0" w:header="0"/>
        </w:sectPr>
      </w:pPr>
    </w:p>
    <w:bookmarkStart w:id="65" w:name="page66"/>
    <w:bookmarkEnd w:id="65"/>
    <w:p>
      <w:pPr>
        <w:jc w:val="center"/>
        <w:ind w:right="-19"/>
        <w:spacing w:after="0"/>
        <w:rPr>
          <w:sz w:val="20"/>
          <w:szCs w:val="20"/>
          <w:color w:val="auto"/>
        </w:rPr>
      </w:pPr>
      <w:r>
        <w:rPr>
          <w:rFonts w:ascii="Arial" w:cs="Arial" w:eastAsia="Arial" w:hAnsi="Arial"/>
          <w:sz w:val="22"/>
          <w:szCs w:val="22"/>
          <w:b w:val="1"/>
          <w:bCs w:val="1"/>
          <w:u w:val="single" w:color="auto"/>
          <w:color w:val="auto"/>
        </w:rPr>
        <w:t>Exhibit B</w:t>
      </w:r>
    </w:p>
    <w:p>
      <w:pPr>
        <w:spacing w:after="0" w:line="260" w:lineRule="exact"/>
        <w:rPr>
          <w:sz w:val="20"/>
          <w:szCs w:val="20"/>
          <w:color w:val="auto"/>
        </w:rPr>
      </w:pPr>
    </w:p>
    <w:p>
      <w:pPr>
        <w:ind w:right="100"/>
        <w:spacing w:after="0" w:line="256" w:lineRule="auto"/>
        <w:rPr>
          <w:sz w:val="20"/>
          <w:szCs w:val="20"/>
          <w:color w:val="auto"/>
        </w:rPr>
      </w:pPr>
      <w:r>
        <w:rPr>
          <w:rFonts w:ascii="Arial" w:cs="Arial" w:eastAsia="Arial" w:hAnsi="Arial"/>
          <w:sz w:val="22"/>
          <w:szCs w:val="22"/>
          <w:b w:val="1"/>
          <w:bCs w:val="1"/>
          <w:u w:val="single" w:color="auto"/>
          <w:color w:val="auto"/>
        </w:rPr>
        <w:t>TSR Objectives</w:t>
      </w:r>
      <w:r>
        <w:rPr>
          <w:rFonts w:ascii="Arial" w:cs="Arial" w:eastAsia="Arial" w:hAnsi="Arial"/>
          <w:sz w:val="19"/>
          <w:szCs w:val="19"/>
          <w:b w:val="1"/>
          <w:bCs w:val="1"/>
          <w:color w:val="auto"/>
        </w:rPr>
        <w:t>–</w:t>
      </w:r>
      <w:r>
        <w:rPr>
          <w:rFonts w:ascii="Arial" w:cs="Arial" w:eastAsia="Arial" w:hAnsi="Arial"/>
          <w:sz w:val="22"/>
          <w:szCs w:val="22"/>
          <w:b w:val="1"/>
          <w:bCs w:val="1"/>
          <w:color w:val="auto"/>
        </w:rPr>
        <w:t xml:space="preserve"> </w:t>
      </w:r>
      <w:r>
        <w:rPr>
          <w:rFonts w:ascii="Arial" w:cs="Arial" w:eastAsia="Arial" w:hAnsi="Arial"/>
          <w:sz w:val="22"/>
          <w:szCs w:val="22"/>
          <w:color w:val="auto"/>
        </w:rPr>
        <w:t>Based on achievement relating to the relative total shareholder return of the Company’s Common Shares as</w:t>
      </w:r>
      <w:r>
        <w:rPr>
          <w:rFonts w:ascii="Arial" w:cs="Arial" w:eastAsia="Arial" w:hAnsi="Arial"/>
          <w:sz w:val="22"/>
          <w:szCs w:val="22"/>
          <w:b w:val="1"/>
          <w:bCs w:val="1"/>
          <w:color w:val="auto"/>
        </w:rPr>
        <w:t xml:space="preserve"> </w:t>
      </w:r>
      <w:r>
        <w:rPr>
          <w:rFonts w:ascii="Arial" w:cs="Arial" w:eastAsia="Arial" w:hAnsi="Arial"/>
          <w:sz w:val="22"/>
          <w:szCs w:val="22"/>
          <w:color w:val="auto"/>
        </w:rPr>
        <w:t>compared to the total shareholder return of the S&amp;P 500 Index over the performance period, provided that you continue to serve as a service provider through the third anniversary of the vesting start date. The ECC will determine the amount of achievement (or non-achievement) of the TSR Objectives prior to the vesting date.</w:t>
      </w:r>
    </w:p>
    <w:p>
      <w:pPr>
        <w:spacing w:after="0" w:line="217" w:lineRule="exact"/>
        <w:rPr>
          <w:sz w:val="20"/>
          <w:szCs w:val="20"/>
          <w:color w:val="auto"/>
        </w:rPr>
      </w:pPr>
    </w:p>
    <w:p>
      <w:pPr>
        <w:spacing w:after="0" w:line="269" w:lineRule="auto"/>
        <w:rPr>
          <w:sz w:val="20"/>
          <w:szCs w:val="20"/>
          <w:color w:val="auto"/>
        </w:rPr>
      </w:pPr>
      <w:r>
        <w:rPr>
          <w:rFonts w:ascii="Arial" w:cs="Arial" w:eastAsia="Arial" w:hAnsi="Arial"/>
          <w:sz w:val="22"/>
          <w:szCs w:val="22"/>
          <w:b w:val="1"/>
          <w:bCs w:val="1"/>
          <w:u w:val="single" w:color="auto"/>
          <w:color w:val="auto"/>
        </w:rPr>
        <w:t>Calculation Methodology</w:t>
      </w:r>
      <w:r>
        <w:rPr>
          <w:rFonts w:ascii="Arial" w:cs="Arial" w:eastAsia="Arial" w:hAnsi="Arial"/>
          <w:sz w:val="22"/>
          <w:szCs w:val="22"/>
          <w:b w:val="1"/>
          <w:bCs w:val="1"/>
          <w:color w:val="auto"/>
        </w:rPr>
        <w:t xml:space="preserve"> </w:t>
      </w:r>
      <w:r>
        <w:rPr>
          <w:rFonts w:ascii="Arial" w:cs="Arial" w:eastAsia="Arial" w:hAnsi="Arial"/>
          <w:sz w:val="22"/>
          <w:szCs w:val="22"/>
          <w:color w:val="auto"/>
        </w:rPr>
        <w:t>– Stock price growth adjusted for reinvested dividends during the performance period. The start and end</w:t>
      </w:r>
      <w:r>
        <w:rPr>
          <w:rFonts w:ascii="Arial" w:cs="Arial" w:eastAsia="Arial" w:hAnsi="Arial"/>
          <w:sz w:val="22"/>
          <w:szCs w:val="22"/>
          <w:b w:val="1"/>
          <w:bCs w:val="1"/>
          <w:color w:val="auto"/>
        </w:rPr>
        <w:t xml:space="preserve"> </w:t>
      </w:r>
      <w:r>
        <w:rPr>
          <w:rFonts w:ascii="Arial" w:cs="Arial" w:eastAsia="Arial" w:hAnsi="Arial"/>
          <w:sz w:val="22"/>
          <w:szCs w:val="22"/>
          <w:color w:val="auto"/>
        </w:rPr>
        <w:t>stock prices shall be based on the average stock price over the preceding 120-trading days.</w:t>
      </w:r>
    </w:p>
    <w:p>
      <w:pPr>
        <w:spacing w:after="0" w:line="162" w:lineRule="exact"/>
        <w:rPr>
          <w:sz w:val="20"/>
          <w:szCs w:val="20"/>
          <w:color w:val="auto"/>
        </w:rPr>
      </w:pPr>
    </w:p>
    <w:p>
      <w:pPr>
        <w:spacing w:after="0"/>
        <w:rPr>
          <w:sz w:val="20"/>
          <w:szCs w:val="20"/>
          <w:color w:val="auto"/>
        </w:rPr>
      </w:pPr>
      <w:r>
        <w:rPr>
          <w:rFonts w:ascii="Arial" w:cs="Arial" w:eastAsia="Arial" w:hAnsi="Arial"/>
          <w:sz w:val="22"/>
          <w:szCs w:val="22"/>
          <w:b w:val="1"/>
          <w:bCs w:val="1"/>
          <w:u w:val="single" w:color="auto"/>
          <w:color w:val="auto"/>
        </w:rPr>
        <w:t>Performance-Payout Schedule</w:t>
      </w:r>
      <w:r>
        <w:rPr>
          <w:rFonts w:ascii="Arial" w:cs="Arial" w:eastAsia="Arial" w:hAnsi="Arial"/>
          <w:sz w:val="22"/>
          <w:szCs w:val="22"/>
          <w:b w:val="1"/>
          <w:bCs w:val="1"/>
          <w:color w:val="auto"/>
        </w:rPr>
        <w:t xml:space="preserve"> </w:t>
      </w:r>
      <w:r>
        <w:rPr>
          <w:rFonts w:ascii="Arial" w:cs="Arial" w:eastAsia="Arial" w:hAnsi="Arial"/>
          <w:sz w:val="22"/>
          <w:szCs w:val="22"/>
          <w:color w:val="auto"/>
        </w:rPr>
        <w:t>–</w:t>
      </w:r>
    </w:p>
    <w:p>
      <w:pPr>
        <w:spacing w:after="0" w:line="200" w:lineRule="exact"/>
        <w:rPr>
          <w:sz w:val="20"/>
          <w:szCs w:val="20"/>
          <w:color w:val="auto"/>
        </w:rPr>
      </w:pPr>
    </w:p>
    <w:p>
      <w:pPr>
        <w:spacing w:after="0" w:line="204" w:lineRule="exact"/>
        <w:rPr>
          <w:sz w:val="20"/>
          <w:szCs w:val="20"/>
          <w:color w:val="auto"/>
        </w:rPr>
      </w:pPr>
    </w:p>
    <w:tbl>
      <w:tblPr>
        <w:tblLayout w:type="fixed"/>
        <w:tblInd w:w="40" w:type="dxa"/>
        <w:tblCellMar>
          <w:top w:w="0" w:type="dxa"/>
          <w:left w:w="0" w:type="dxa"/>
          <w:bottom w:w="0" w:type="dxa"/>
          <w:right w:w="0" w:type="dxa"/>
        </w:tblCellMar>
      </w:tblPr>
      <w:tr>
        <w:trPr>
          <w:trHeight w:val="286"/>
        </w:trPr>
        <w:tc>
          <w:tcPr>
            <w:tcW w:w="2400" w:type="dxa"/>
            <w:vAlign w:val="bottom"/>
          </w:tcPr>
          <w:p>
            <w:pPr>
              <w:spacing w:after="0"/>
              <w:rPr>
                <w:sz w:val="20"/>
                <w:szCs w:val="20"/>
                <w:color w:val="auto"/>
              </w:rPr>
            </w:pPr>
            <w:r>
              <w:rPr>
                <w:rFonts w:ascii="Arial" w:cs="Arial" w:eastAsia="Arial" w:hAnsi="Arial"/>
                <w:sz w:val="22"/>
                <w:szCs w:val="22"/>
                <w:b w:val="1"/>
                <w:bCs w:val="1"/>
                <w:color w:val="auto"/>
              </w:rPr>
              <w:t>Performance Level</w:t>
            </w:r>
          </w:p>
        </w:tc>
        <w:tc>
          <w:tcPr>
            <w:tcW w:w="3700" w:type="dxa"/>
            <w:vAlign w:val="bottom"/>
          </w:tcPr>
          <w:p>
            <w:pPr>
              <w:ind w:left="480"/>
              <w:spacing w:after="0"/>
              <w:rPr>
                <w:sz w:val="20"/>
                <w:szCs w:val="20"/>
                <w:color w:val="auto"/>
              </w:rPr>
            </w:pPr>
            <w:r>
              <w:rPr>
                <w:rFonts w:ascii="Arial" w:cs="Arial" w:eastAsia="Arial" w:hAnsi="Arial"/>
                <w:sz w:val="22"/>
                <w:szCs w:val="22"/>
                <w:b w:val="1"/>
                <w:bCs w:val="1"/>
                <w:color w:val="auto"/>
              </w:rPr>
              <w:t>Versus the S&amp;P 500 Index</w:t>
            </w:r>
          </w:p>
        </w:tc>
        <w:tc>
          <w:tcPr>
            <w:tcW w:w="2000" w:type="dxa"/>
            <w:vAlign w:val="bottom"/>
          </w:tcPr>
          <w:p>
            <w:pPr>
              <w:ind w:left="560"/>
              <w:spacing w:after="0"/>
              <w:rPr>
                <w:sz w:val="20"/>
                <w:szCs w:val="20"/>
                <w:color w:val="auto"/>
              </w:rPr>
            </w:pPr>
            <w:r>
              <w:rPr>
                <w:rFonts w:ascii="Arial" w:cs="Arial" w:eastAsia="Arial" w:hAnsi="Arial"/>
                <w:sz w:val="22"/>
                <w:szCs w:val="22"/>
                <w:b w:val="1"/>
                <w:bCs w:val="1"/>
                <w:color w:val="auto"/>
              </w:rPr>
              <w:t>Payout</w:t>
            </w:r>
          </w:p>
        </w:tc>
      </w:tr>
      <w:tr>
        <w:trPr>
          <w:trHeight w:val="297"/>
        </w:trPr>
        <w:tc>
          <w:tcPr>
            <w:tcW w:w="2400" w:type="dxa"/>
            <w:vAlign w:val="bottom"/>
          </w:tcPr>
          <w:p>
            <w:pPr>
              <w:spacing w:after="0"/>
              <w:rPr>
                <w:sz w:val="20"/>
                <w:szCs w:val="20"/>
                <w:color w:val="auto"/>
              </w:rPr>
            </w:pPr>
            <w:r>
              <w:rPr>
                <w:rFonts w:ascii="Arial" w:cs="Arial" w:eastAsia="Arial" w:hAnsi="Arial"/>
                <w:sz w:val="22"/>
                <w:szCs w:val="22"/>
                <w:b w:val="1"/>
                <w:bCs w:val="1"/>
                <w:color w:val="auto"/>
              </w:rPr>
              <w:t>Maximum</w:t>
            </w:r>
          </w:p>
        </w:tc>
        <w:tc>
          <w:tcPr>
            <w:tcW w:w="3700" w:type="dxa"/>
            <w:vAlign w:val="bottom"/>
          </w:tcPr>
          <w:p>
            <w:pPr>
              <w:ind w:left="480"/>
              <w:spacing w:after="0"/>
              <w:rPr>
                <w:sz w:val="20"/>
                <w:szCs w:val="20"/>
                <w:color w:val="auto"/>
              </w:rPr>
            </w:pPr>
            <w:r>
              <w:rPr>
                <w:rFonts w:ascii="Arial" w:cs="Arial" w:eastAsia="Arial" w:hAnsi="Arial"/>
                <w:sz w:val="22"/>
                <w:szCs w:val="22"/>
                <w:b w:val="1"/>
                <w:bCs w:val="1"/>
                <w:color w:val="auto"/>
              </w:rPr>
              <w:t>+33% over</w:t>
            </w:r>
          </w:p>
        </w:tc>
        <w:tc>
          <w:tcPr>
            <w:tcW w:w="2000" w:type="dxa"/>
            <w:vAlign w:val="bottom"/>
          </w:tcPr>
          <w:p>
            <w:pPr>
              <w:ind w:left="560"/>
              <w:spacing w:after="0"/>
              <w:rPr>
                <w:sz w:val="20"/>
                <w:szCs w:val="20"/>
                <w:color w:val="auto"/>
              </w:rPr>
            </w:pPr>
            <w:r>
              <w:rPr>
                <w:rFonts w:ascii="Arial" w:cs="Arial" w:eastAsia="Arial" w:hAnsi="Arial"/>
                <w:sz w:val="22"/>
                <w:szCs w:val="22"/>
                <w:b w:val="1"/>
                <w:bCs w:val="1"/>
                <w:color w:val="auto"/>
                <w:w w:val="90"/>
              </w:rPr>
              <w:t>200% of Target</w:t>
            </w:r>
          </w:p>
        </w:tc>
      </w:tr>
      <w:tr>
        <w:trPr>
          <w:trHeight w:val="297"/>
        </w:trPr>
        <w:tc>
          <w:tcPr>
            <w:tcW w:w="2400" w:type="dxa"/>
            <w:vAlign w:val="bottom"/>
          </w:tcPr>
          <w:p>
            <w:pPr>
              <w:spacing w:after="0"/>
              <w:rPr>
                <w:sz w:val="20"/>
                <w:szCs w:val="20"/>
                <w:color w:val="auto"/>
              </w:rPr>
            </w:pPr>
            <w:r>
              <w:rPr>
                <w:rFonts w:ascii="Arial" w:cs="Arial" w:eastAsia="Arial" w:hAnsi="Arial"/>
                <w:sz w:val="22"/>
                <w:szCs w:val="22"/>
                <w:b w:val="1"/>
                <w:bCs w:val="1"/>
                <w:color w:val="auto"/>
              </w:rPr>
              <w:t>Target</w:t>
            </w:r>
          </w:p>
        </w:tc>
        <w:tc>
          <w:tcPr>
            <w:tcW w:w="3700" w:type="dxa"/>
            <w:vAlign w:val="bottom"/>
          </w:tcPr>
          <w:p>
            <w:pPr>
              <w:ind w:left="480"/>
              <w:spacing w:after="0"/>
              <w:rPr>
                <w:sz w:val="20"/>
                <w:szCs w:val="20"/>
                <w:color w:val="auto"/>
              </w:rPr>
            </w:pPr>
            <w:r>
              <w:rPr>
                <w:rFonts w:ascii="Arial" w:cs="Arial" w:eastAsia="Arial" w:hAnsi="Arial"/>
                <w:sz w:val="22"/>
                <w:szCs w:val="22"/>
                <w:b w:val="1"/>
                <w:bCs w:val="1"/>
                <w:color w:val="auto"/>
              </w:rPr>
              <w:t>Equal to S&amp;P 500</w:t>
            </w:r>
          </w:p>
        </w:tc>
        <w:tc>
          <w:tcPr>
            <w:tcW w:w="2000" w:type="dxa"/>
            <w:vAlign w:val="bottom"/>
          </w:tcPr>
          <w:p>
            <w:pPr>
              <w:ind w:left="560"/>
              <w:spacing w:after="0"/>
              <w:rPr>
                <w:sz w:val="20"/>
                <w:szCs w:val="20"/>
                <w:color w:val="auto"/>
              </w:rPr>
            </w:pPr>
            <w:r>
              <w:rPr>
                <w:rFonts w:ascii="Arial" w:cs="Arial" w:eastAsia="Arial" w:hAnsi="Arial"/>
                <w:sz w:val="22"/>
                <w:szCs w:val="22"/>
                <w:b w:val="1"/>
                <w:bCs w:val="1"/>
                <w:color w:val="auto"/>
                <w:w w:val="90"/>
              </w:rPr>
              <w:t>100% of Target</w:t>
            </w:r>
          </w:p>
        </w:tc>
      </w:tr>
      <w:tr>
        <w:trPr>
          <w:trHeight w:val="297"/>
        </w:trPr>
        <w:tc>
          <w:tcPr>
            <w:tcW w:w="2400" w:type="dxa"/>
            <w:vAlign w:val="bottom"/>
          </w:tcPr>
          <w:p>
            <w:pPr>
              <w:spacing w:after="0"/>
              <w:rPr>
                <w:sz w:val="20"/>
                <w:szCs w:val="20"/>
                <w:color w:val="auto"/>
              </w:rPr>
            </w:pPr>
            <w:r>
              <w:rPr>
                <w:rFonts w:ascii="Arial" w:cs="Arial" w:eastAsia="Arial" w:hAnsi="Arial"/>
                <w:sz w:val="22"/>
                <w:szCs w:val="22"/>
                <w:b w:val="1"/>
                <w:bCs w:val="1"/>
                <w:color w:val="auto"/>
              </w:rPr>
              <w:t>Minimum</w:t>
            </w:r>
          </w:p>
        </w:tc>
        <w:tc>
          <w:tcPr>
            <w:tcW w:w="3700" w:type="dxa"/>
            <w:vAlign w:val="bottom"/>
          </w:tcPr>
          <w:p>
            <w:pPr>
              <w:ind w:left="480"/>
              <w:spacing w:after="0"/>
              <w:rPr>
                <w:sz w:val="20"/>
                <w:szCs w:val="20"/>
                <w:color w:val="auto"/>
              </w:rPr>
            </w:pPr>
            <w:r>
              <w:rPr>
                <w:rFonts w:ascii="Arial" w:cs="Arial" w:eastAsia="Arial" w:hAnsi="Arial"/>
                <w:sz w:val="22"/>
                <w:szCs w:val="22"/>
                <w:b w:val="1"/>
                <w:bCs w:val="1"/>
                <w:color w:val="auto"/>
              </w:rPr>
              <w:t>-33% under</w:t>
            </w:r>
          </w:p>
        </w:tc>
        <w:tc>
          <w:tcPr>
            <w:tcW w:w="2000" w:type="dxa"/>
            <w:vAlign w:val="bottom"/>
          </w:tcPr>
          <w:p>
            <w:pPr>
              <w:ind w:left="560"/>
              <w:spacing w:after="0"/>
              <w:rPr>
                <w:sz w:val="20"/>
                <w:szCs w:val="20"/>
                <w:color w:val="auto"/>
              </w:rPr>
            </w:pPr>
            <w:r>
              <w:rPr>
                <w:rFonts w:ascii="Arial" w:cs="Arial" w:eastAsia="Arial" w:hAnsi="Arial"/>
                <w:sz w:val="22"/>
                <w:szCs w:val="22"/>
                <w:b w:val="1"/>
                <w:bCs w:val="1"/>
                <w:color w:val="auto"/>
              </w:rPr>
              <w:t>0% of Target</w:t>
            </w:r>
          </w:p>
        </w:tc>
      </w:tr>
    </w:tbl>
    <w:p>
      <w:pPr>
        <w:spacing w:after="0" w:line="266" w:lineRule="exact"/>
        <w:rPr>
          <w:sz w:val="20"/>
          <w:szCs w:val="20"/>
          <w:color w:val="auto"/>
        </w:rPr>
      </w:pPr>
    </w:p>
    <w:p>
      <w:pPr>
        <w:ind w:right="420"/>
        <w:spacing w:after="0" w:line="263" w:lineRule="auto"/>
        <w:rPr>
          <w:sz w:val="20"/>
          <w:szCs w:val="20"/>
          <w:color w:val="auto"/>
        </w:rPr>
      </w:pPr>
      <w:r>
        <w:rPr>
          <w:rFonts w:ascii="Arial" w:cs="Arial" w:eastAsia="Arial" w:hAnsi="Arial"/>
          <w:sz w:val="22"/>
          <w:szCs w:val="22"/>
          <w:color w:val="auto"/>
        </w:rPr>
        <w:t>Actual performance will be calculated using a straight-line interpolation between the above performance levels. The number of shares awarded will be rounded up to nearest whole share.</w:t>
      </w:r>
    </w:p>
    <w:p>
      <w:pPr>
        <w:sectPr>
          <w:pgSz w:w="11900" w:h="16838" w:orient="portrait"/>
          <w:cols w:equalWidth="0" w:num="1">
            <w:col w:w="11420"/>
          </w:cols>
          <w:pgMar w:left="240" w:top="882" w:right="239" w:bottom="1440" w:gutter="0" w:footer="0" w:header="0"/>
        </w:sectPr>
      </w:pPr>
    </w:p>
    <w:bookmarkStart w:id="66" w:name="page67"/>
    <w:bookmarkEnd w:id="66"/>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25" w:lineRule="exact"/>
        <w:rPr>
          <w:sz w:val="20"/>
          <w:szCs w:val="20"/>
          <w:color w:val="auto"/>
        </w:rPr>
      </w:pPr>
    </w:p>
    <w:p>
      <w:pPr>
        <w:ind w:left="340" w:hanging="332"/>
        <w:spacing w:after="0"/>
        <w:tabs>
          <w:tab w:leader="none" w:pos="3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ind w:left="340" w:right="120" w:hanging="332"/>
        <w:spacing w:after="0" w:line="342" w:lineRule="auto"/>
        <w:tabs>
          <w:tab w:leader="none" w:pos="340" w:val="left"/>
        </w:tabs>
        <w:numPr>
          <w:ilvl w:val="0"/>
          <w:numId w:val="26"/>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580" w:hanging="332"/>
        <w:spacing w:after="0" w:line="308" w:lineRule="auto"/>
        <w:tabs>
          <w:tab w:leader="none" w:pos="340" w:val="left"/>
        </w:tabs>
        <w:numPr>
          <w:ilvl w:val="0"/>
          <w:numId w:val="26"/>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60" w:hanging="332"/>
        <w:spacing w:after="0" w:line="264" w:lineRule="auto"/>
        <w:tabs>
          <w:tab w:leader="none" w:pos="3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220" w:hanging="324"/>
        <w:spacing w:after="0" w:line="264" w:lineRule="auto"/>
        <w:tabs>
          <w:tab w:leader="none" w:pos="980" w:val="left"/>
        </w:tabs>
        <w:numPr>
          <w:ilvl w:val="1"/>
          <w:numId w:val="26"/>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540" w:hanging="324"/>
        <w:spacing w:after="0" w:line="264" w:lineRule="auto"/>
        <w:tabs>
          <w:tab w:leader="none" w:pos="980" w:val="left"/>
        </w:tabs>
        <w:numPr>
          <w:ilvl w:val="1"/>
          <w:numId w:val="26"/>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720" w:hanging="324"/>
        <w:spacing w:after="0" w:line="342" w:lineRule="auto"/>
        <w:tabs>
          <w:tab w:leader="none" w:pos="980" w:val="left"/>
        </w:tabs>
        <w:numPr>
          <w:ilvl w:val="1"/>
          <w:numId w:val="26"/>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220" w:hanging="324"/>
        <w:spacing w:after="0" w:line="264" w:lineRule="auto"/>
        <w:tabs>
          <w:tab w:leader="none" w:pos="980" w:val="left"/>
        </w:tabs>
        <w:numPr>
          <w:ilvl w:val="1"/>
          <w:numId w:val="26"/>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00" w:hanging="332"/>
        <w:spacing w:after="0" w:line="308" w:lineRule="auto"/>
        <w:tabs>
          <w:tab w:leader="none" w:pos="340" w:val="left"/>
        </w:tabs>
        <w:numPr>
          <w:ilvl w:val="0"/>
          <w:numId w:val="26"/>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120" w:hanging="324"/>
        <w:spacing w:after="0" w:line="277" w:lineRule="auto"/>
        <w:tabs>
          <w:tab w:leader="none" w:pos="980" w:val="left"/>
        </w:tabs>
        <w:numPr>
          <w:ilvl w:val="1"/>
          <w:numId w:val="26"/>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980" w:right="80" w:hanging="324"/>
        <w:spacing w:after="0" w:line="277" w:lineRule="auto"/>
        <w:tabs>
          <w:tab w:leader="none" w:pos="980" w:val="left"/>
        </w:tabs>
        <w:numPr>
          <w:ilvl w:val="1"/>
          <w:numId w:val="26"/>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6"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June 6,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580" w:right="239" w:bottom="1440" w:gutter="0" w:footer="0" w:header="0"/>
        </w:sectPr>
      </w:pPr>
    </w:p>
    <w:bookmarkStart w:id="67" w:name="page68"/>
    <w:bookmarkEnd w:id="67"/>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347" w:lineRule="exact"/>
        <w:rPr>
          <w:sz w:val="20"/>
          <w:szCs w:val="20"/>
          <w:color w:val="auto"/>
        </w:rPr>
      </w:pPr>
    </w:p>
    <w:p>
      <w:pPr>
        <w:ind w:left="340" w:hanging="332"/>
        <w:spacing w:after="0"/>
        <w:tabs>
          <w:tab w:leader="none" w:pos="3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ind w:left="340" w:right="120" w:hanging="332"/>
        <w:spacing w:after="0" w:line="342" w:lineRule="auto"/>
        <w:tabs>
          <w:tab w:leader="none" w:pos="340" w:val="left"/>
        </w:tabs>
        <w:numPr>
          <w:ilvl w:val="0"/>
          <w:numId w:val="27"/>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580" w:hanging="332"/>
        <w:spacing w:after="0" w:line="308" w:lineRule="auto"/>
        <w:tabs>
          <w:tab w:leader="none" w:pos="340" w:val="left"/>
        </w:tabs>
        <w:numPr>
          <w:ilvl w:val="0"/>
          <w:numId w:val="27"/>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60" w:hanging="332"/>
        <w:spacing w:after="0" w:line="264" w:lineRule="auto"/>
        <w:tabs>
          <w:tab w:leader="none" w:pos="3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220" w:hanging="324"/>
        <w:spacing w:after="0" w:line="264" w:lineRule="auto"/>
        <w:tabs>
          <w:tab w:leader="none" w:pos="980" w:val="left"/>
        </w:tabs>
        <w:numPr>
          <w:ilvl w:val="1"/>
          <w:numId w:val="27"/>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540" w:hanging="324"/>
        <w:spacing w:after="0" w:line="264" w:lineRule="auto"/>
        <w:tabs>
          <w:tab w:leader="none" w:pos="980" w:val="left"/>
        </w:tabs>
        <w:numPr>
          <w:ilvl w:val="1"/>
          <w:numId w:val="27"/>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720" w:hanging="324"/>
        <w:spacing w:after="0" w:line="342" w:lineRule="auto"/>
        <w:tabs>
          <w:tab w:leader="none" w:pos="980" w:val="left"/>
        </w:tabs>
        <w:numPr>
          <w:ilvl w:val="1"/>
          <w:numId w:val="27"/>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220" w:hanging="324"/>
        <w:spacing w:after="0" w:line="264" w:lineRule="auto"/>
        <w:tabs>
          <w:tab w:leader="none" w:pos="980" w:val="left"/>
        </w:tabs>
        <w:numPr>
          <w:ilvl w:val="1"/>
          <w:numId w:val="27"/>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00" w:hanging="332"/>
        <w:spacing w:after="0" w:line="308" w:lineRule="auto"/>
        <w:tabs>
          <w:tab w:leader="none" w:pos="340" w:val="left"/>
        </w:tabs>
        <w:numPr>
          <w:ilvl w:val="0"/>
          <w:numId w:val="27"/>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120" w:hanging="324"/>
        <w:spacing w:after="0" w:line="277" w:lineRule="auto"/>
        <w:tabs>
          <w:tab w:leader="none" w:pos="980" w:val="left"/>
        </w:tabs>
        <w:numPr>
          <w:ilvl w:val="1"/>
          <w:numId w:val="27"/>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980" w:right="80" w:hanging="324"/>
        <w:spacing w:after="0" w:line="277" w:lineRule="auto"/>
        <w:tabs>
          <w:tab w:leader="none" w:pos="980" w:val="left"/>
        </w:tabs>
        <w:numPr>
          <w:ilvl w:val="1"/>
          <w:numId w:val="2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6"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June 6,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580" w:right="239" w:bottom="1440" w:gutter="0" w:footer="0" w:header="0"/>
        </w:sectPr>
      </w:pPr>
    </w:p>
    <w:bookmarkStart w:id="68" w:name="page69"/>
    <w:bookmarkEnd w:id="68"/>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920"/>
        <w:spacing w:after="0" w:line="277" w:lineRule="auto"/>
        <w:rPr>
          <w:sz w:val="20"/>
          <w:szCs w:val="20"/>
          <w:color w:val="auto"/>
        </w:rPr>
      </w:pPr>
      <w:r>
        <w:rPr>
          <w:rFonts w:ascii="Arial" w:cs="Arial" w:eastAsia="Arial" w:hAnsi="Arial"/>
          <w:sz w:val="18"/>
          <w:szCs w:val="18"/>
          <w:color w:val="auto"/>
        </w:rPr>
        <w:t>I, Matthew J. Murphy, the Principal Executive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540" w:right="100" w:hanging="316"/>
        <w:spacing w:after="0" w:line="277" w:lineRule="auto"/>
        <w:tabs>
          <w:tab w:leader="none" w:pos="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May 4, 2019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16"/>
        <w:spacing w:after="0"/>
        <w:tabs>
          <w:tab w:leader="none" w:pos="540" w:val="left"/>
        </w:tabs>
        <w:numPr>
          <w:ilvl w:val="0"/>
          <w:numId w:val="28"/>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Registrant.</w:t>
      </w:r>
    </w:p>
    <w:p>
      <w:pPr>
        <w:spacing w:after="0" w:line="183"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June 6,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580" w:right="239" w:bottom="1440" w:gutter="0" w:footer="0" w:header="0"/>
        </w:sectPr>
      </w:pPr>
    </w:p>
    <w:bookmarkStart w:id="69" w:name="page70"/>
    <w:bookmarkEnd w:id="69"/>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color w:val="auto"/>
        </w:rPr>
        <w:t>I, Jean Hu, the Principal Financial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540" w:right="100" w:hanging="316"/>
        <w:spacing w:after="0" w:line="277" w:lineRule="auto"/>
        <w:tabs>
          <w:tab w:leader="none" w:pos="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May 4, 2019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16"/>
        <w:spacing w:after="0"/>
        <w:tabs>
          <w:tab w:leader="none" w:pos="540" w:val="left"/>
        </w:tabs>
        <w:numPr>
          <w:ilvl w:val="0"/>
          <w:numId w:val="29"/>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Registrant.</w:t>
      </w:r>
    </w:p>
    <w:p>
      <w:pPr>
        <w:spacing w:after="0" w:line="183"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June 6,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5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BEFD79F"/>
    <w:multiLevelType w:val="hybridMultilevel"/>
    <w:lvl w:ilvl="0">
      <w:lvlJc w:val="left"/>
      <w:lvlText w:val="☒"/>
      <w:numFmt w:val="bullet"/>
      <w:start w:val="1"/>
    </w:lvl>
  </w:abstractNum>
  <w:abstractNum w:abstractNumId="1">
    <w:nsid w:val="41A7C4C9"/>
    <w:multiLevelType w:val="hybridMultilevel"/>
    <w:lvl w:ilvl="0">
      <w:lvlJc w:val="left"/>
      <w:lvlText w:val="☐"/>
      <w:numFmt w:val="bullet"/>
      <w:start w:val="1"/>
    </w:lvl>
  </w:abstractNum>
  <w:abstractNum w:abstractNumId="2">
    <w:nsid w:val="6B68079A"/>
    <w:multiLevelType w:val="hybridMultilevel"/>
    <w:lvl w:ilvl="0">
      <w:lvlJc w:val="left"/>
      <w:lvlText w:val="$"/>
      <w:numFmt w:val="bullet"/>
      <w:start w:val="1"/>
    </w:lvl>
  </w:abstractNum>
  <w:abstractNum w:abstractNumId="3">
    <w:nsid w:val="4E6AFB66"/>
    <w:multiLevelType w:val="hybridMultilevel"/>
    <w:lvl w:ilvl="0">
      <w:lvlJc w:val="left"/>
      <w:lvlText w:val="$"/>
      <w:numFmt w:val="bullet"/>
      <w:start w:val="1"/>
    </w:lvl>
  </w:abstractNum>
  <w:abstractNum w:abstractNumId="4">
    <w:nsid w:val="25E45D32"/>
    <w:multiLevelType w:val="hybridMultilevel"/>
    <w:lvl w:ilvl="0">
      <w:lvlJc w:val="left"/>
      <w:lvlText w:val="(%1)"/>
      <w:numFmt w:val="decimal"/>
      <w:start w:val="1"/>
    </w:lvl>
  </w:abstractNum>
  <w:abstractNum w:abstractNumId="5">
    <w:nsid w:val="519B500D"/>
    <w:multiLevelType w:val="hybridMultilevel"/>
    <w:lvl w:ilvl="0">
      <w:lvlJc w:val="left"/>
      <w:lvlText w:val="%1)"/>
      <w:numFmt w:val="decimal"/>
      <w:start w:val="1"/>
    </w:lvl>
  </w:abstractNum>
  <w:abstractNum w:abstractNumId="6">
    <w:nsid w:val="431BD7B7"/>
    <w:multiLevelType w:val="hybridMultilevel"/>
    <w:lvl w:ilvl="0">
      <w:lvlJc w:val="left"/>
      <w:lvlText w:val="•"/>
      <w:numFmt w:val="bullet"/>
      <w:start w:val="1"/>
    </w:lvl>
  </w:abstractNum>
  <w:abstractNum w:abstractNumId="7">
    <w:nsid w:val="3F2DBA31"/>
    <w:multiLevelType w:val="hybridMultilevel"/>
    <w:lvl w:ilvl="0">
      <w:lvlJc w:val="left"/>
      <w:lvlText w:val="*"/>
      <w:numFmt w:val="bullet"/>
      <w:start w:val="1"/>
    </w:lvl>
  </w:abstractNum>
  <w:abstractNum w:abstractNumId="8">
    <w:nsid w:val="7C83E458"/>
    <w:multiLevelType w:val="hybridMultilevel"/>
    <w:lvl w:ilvl="0">
      <w:lvlJc w:val="left"/>
      <w:lvlText w:val="•"/>
      <w:numFmt w:val="bullet"/>
      <w:start w:val="1"/>
    </w:lvl>
  </w:abstractNum>
  <w:abstractNum w:abstractNumId="9">
    <w:nsid w:val="257130A3"/>
    <w:multiLevelType w:val="hybridMultilevel"/>
    <w:lvl w:ilvl="0">
      <w:lvlJc w:val="left"/>
      <w:lvlText w:val="•"/>
      <w:numFmt w:val="bullet"/>
      <w:start w:val="1"/>
    </w:lvl>
  </w:abstractNum>
  <w:abstractNum w:abstractNumId="10">
    <w:nsid w:val="62BBD95A"/>
    <w:multiLevelType w:val="hybridMultilevel"/>
    <w:lvl w:ilvl="0">
      <w:lvlJc w:val="left"/>
      <w:lvlText w:val="•"/>
      <w:numFmt w:val="bullet"/>
      <w:start w:val="1"/>
    </w:lvl>
  </w:abstractNum>
  <w:abstractNum w:abstractNumId="11">
    <w:nsid w:val="436C6125"/>
    <w:multiLevelType w:val="hybridMultilevel"/>
    <w:lvl w:ilvl="0">
      <w:lvlJc w:val="left"/>
      <w:lvlText w:val="•"/>
      <w:numFmt w:val="bullet"/>
      <w:start w:val="1"/>
    </w:lvl>
  </w:abstractNum>
  <w:abstractNum w:abstractNumId="12">
    <w:nsid w:val="628C895D"/>
    <w:multiLevelType w:val="hybridMultilevel"/>
    <w:lvl w:ilvl="0">
      <w:lvlJc w:val="left"/>
      <w:lvlText w:val="•"/>
      <w:numFmt w:val="bullet"/>
      <w:start w:val="1"/>
    </w:lvl>
  </w:abstractNum>
  <w:abstractNum w:abstractNumId="13">
    <w:nsid w:val="333AB105"/>
    <w:multiLevelType w:val="hybridMultilevel"/>
    <w:lvl w:ilvl="0">
      <w:lvlJc w:val="left"/>
      <w:lvlText w:val="•"/>
      <w:numFmt w:val="bullet"/>
      <w:start w:val="1"/>
    </w:lvl>
  </w:abstractNum>
  <w:abstractNum w:abstractNumId="14">
    <w:nsid w:val="721DA317"/>
    <w:multiLevelType w:val="hybridMultilevel"/>
    <w:lvl w:ilvl="0">
      <w:lvlJc w:val="left"/>
      <w:lvlText w:val="•"/>
      <w:numFmt w:val="bullet"/>
      <w:start w:val="1"/>
    </w:lvl>
  </w:abstractNum>
  <w:abstractNum w:abstractNumId="15">
    <w:nsid w:val="2443A858"/>
    <w:multiLevelType w:val="hybridMultilevel"/>
    <w:lvl w:ilvl="0">
      <w:lvlJc w:val="left"/>
      <w:lvlText w:val="•"/>
      <w:numFmt w:val="bullet"/>
      <w:start w:val="1"/>
    </w:lvl>
  </w:abstractNum>
  <w:abstractNum w:abstractNumId="16">
    <w:nsid w:val="2D1D5AE9"/>
    <w:multiLevelType w:val="hybridMultilevel"/>
    <w:lvl w:ilvl="0">
      <w:lvlJc w:val="left"/>
      <w:lvlText w:val="•"/>
      <w:numFmt w:val="bullet"/>
      <w:start w:val="1"/>
    </w:lvl>
  </w:abstractNum>
  <w:abstractNum w:abstractNumId="17">
    <w:nsid w:val="6763845E"/>
    <w:multiLevelType w:val="hybridMultilevel"/>
    <w:lvl w:ilvl="0">
      <w:lvlJc w:val="left"/>
      <w:lvlText w:val="•"/>
      <w:numFmt w:val="bullet"/>
      <w:start w:val="1"/>
    </w:lvl>
  </w:abstractNum>
  <w:abstractNum w:abstractNumId="18">
    <w:nsid w:val="75A2A8D4"/>
    <w:multiLevelType w:val="hybridMultilevel"/>
    <w:lvl w:ilvl="0">
      <w:lvlJc w:val="left"/>
      <w:lvlText w:val="•"/>
      <w:numFmt w:val="bullet"/>
      <w:start w:val="1"/>
    </w:lvl>
  </w:abstractNum>
  <w:abstractNum w:abstractNumId="19">
    <w:nsid w:val="8EDBDAB"/>
    <w:multiLevelType w:val="hybridMultilevel"/>
    <w:lvl w:ilvl="0">
      <w:lvlJc w:val="left"/>
      <w:lvlText w:val="(%1)"/>
      <w:numFmt w:val="decimal"/>
      <w:start w:val="1"/>
    </w:lvl>
  </w:abstractNum>
  <w:abstractNum w:abstractNumId="20">
    <w:nsid w:val="79838CB2"/>
    <w:multiLevelType w:val="hybridMultilevel"/>
    <w:lvl w:ilvl="0">
      <w:lvlJc w:val="left"/>
      <w:lvlText w:val="#"/>
      <w:numFmt w:val="bullet"/>
      <w:start w:val="1"/>
    </w:lvl>
  </w:abstractNum>
  <w:abstractNum w:abstractNumId="21">
    <w:nsid w:val="4353D0CD"/>
    <w:multiLevelType w:val="hybridMultilevel"/>
    <w:lvl w:ilvl="0">
      <w:lvlJc w:val="left"/>
      <w:lvlText w:val="*"/>
      <w:numFmt w:val="bullet"/>
      <w:start w:val="1"/>
    </w:lvl>
  </w:abstractNum>
  <w:abstractNum w:abstractNumId="22">
    <w:nsid w:val="B03E0C6"/>
    <w:multiLevelType w:val="hybridMultilevel"/>
    <w:lvl w:ilvl="0">
      <w:lvlJc w:val="left"/>
      <w:lvlText w:val="(%1)"/>
      <w:numFmt w:val="lowerLetter"/>
      <w:start w:val="1"/>
    </w:lvl>
  </w:abstractNum>
  <w:abstractNum w:abstractNumId="23">
    <w:nsid w:val="189A769B"/>
    <w:multiLevelType w:val="hybridMultilevel"/>
    <w:lvl w:ilvl="0">
      <w:lvlJc w:val="left"/>
      <w:lvlText w:val="•"/>
      <w:numFmt w:val="bullet"/>
      <w:start w:val="1"/>
    </w:lvl>
  </w:abstractNum>
  <w:abstractNum w:abstractNumId="24">
    <w:nsid w:val="54E49EB4"/>
    <w:multiLevelType w:val="hybridMultilevel"/>
    <w:lvl w:ilvl="0">
      <w:lvlJc w:val="left"/>
      <w:lvlText w:val="(%1)"/>
      <w:numFmt w:val="lowerLetter"/>
      <w:start w:val="1"/>
    </w:lvl>
  </w:abstractNum>
  <w:abstractNum w:abstractNumId="25">
    <w:nsid w:val="71F32454"/>
    <w:multiLevelType w:val="hybridMultilevel"/>
    <w:lvl w:ilvl="0">
      <w:lvlJc w:val="left"/>
      <w:lvlText w:val="%1."/>
      <w:numFmt w:val="decimal"/>
      <w:start w:val="1"/>
    </w:lvl>
    <w:lvl w:ilvl="1">
      <w:lvlJc w:val="left"/>
      <w:lvlText w:val="%2)"/>
      <w:numFmt w:val="lowerLetter"/>
      <w:start w:val="1"/>
    </w:lvl>
  </w:abstractNum>
  <w:abstractNum w:abstractNumId="26">
    <w:nsid w:val="2CA88611"/>
    <w:multiLevelType w:val="hybridMultilevel"/>
    <w:lvl w:ilvl="0">
      <w:lvlJc w:val="left"/>
      <w:lvlText w:val="%1."/>
      <w:numFmt w:val="decimal"/>
      <w:start w:val="1"/>
    </w:lvl>
    <w:lvl w:ilvl="1">
      <w:lvlJc w:val="left"/>
      <w:lvlText w:val="%2)"/>
      <w:numFmt w:val="lowerLetter"/>
      <w:start w:val="1"/>
    </w:lvl>
  </w:abstractNum>
  <w:abstractNum w:abstractNumId="27">
    <w:nsid w:val="836C40E"/>
    <w:multiLevelType w:val="hybridMultilevel"/>
    <w:lvl w:ilvl="0">
      <w:lvlJc w:val="left"/>
      <w:lvlText w:val="(%1)"/>
      <w:numFmt w:val="lowerRoman"/>
      <w:start w:val="1"/>
    </w:lvl>
  </w:abstractNum>
  <w:abstractNum w:abstractNumId="28">
    <w:nsid w:val="2901D82"/>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2019-12-28T11:30:06Z</dcterms:created>
  <dcterms:modified xsi:type="dcterms:W3CDTF">2019-12-28T11:30:06Z</dcterms:modified>
</cp:coreProperties>
</file>