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75107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51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>GAYNOR MITCHELL</w:t>
              </w:r>
            </w:hyperlink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6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CALO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1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06/15/2019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76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76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800" w:type="dxa"/>
            <w:vAlign w:val="bottom"/>
            <w:gridSpan w:val="3"/>
            <w:vMerge w:val="restart"/>
          </w:tcPr>
          <w:p>
            <w:pPr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96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000" w:type="dxa"/>
            <w:vAlign w:val="bottom"/>
            <w:gridSpan w:val="6"/>
          </w:tcPr>
          <w:p>
            <w:pPr>
              <w:ind w:left="1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4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5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9,528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5"/>
              </w:rPr>
              <w:t>48,933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5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4,724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44,209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8,932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53,141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4,429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48,712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42,030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90,742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20,839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69,903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27,529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97,432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Shares</w:t>
            </w: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jc w:val="center"/>
              <w:ind w:left="6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06/15/2019</w:t>
            </w: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83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(2)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13,649</w:t>
            </w: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jc w:val="right"/>
              <w:ind w:righ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23.83</w:t>
            </w: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83,783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7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22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if any</w:t>
            </w:r>
          </w:p>
        </w:tc>
        <w:tc>
          <w:tcPr>
            <w:tcW w:w="80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jc w:val="center"/>
              <w:ind w:lef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9,528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9,528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>
              <w:jc w:val="center"/>
              <w:ind w:lef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8,932</w:t>
            </w: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8,932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42,030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42,030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1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 Units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9"/>
              </w:rPr>
              <w:t>Performance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Based</w:t>
            </w:r>
          </w:p>
        </w:tc>
        <w:tc>
          <w:tcPr>
            <w:tcW w:w="82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06/15/2019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jc w:val="center"/>
              <w:ind w:lef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27,529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Commn</w:t>
            </w:r>
          </w:p>
        </w:tc>
        <w:tc>
          <w:tcPr>
            <w:tcW w:w="56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27,529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60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Restricted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jc w:val="right"/>
              <w:ind w:right="131"/>
              <w:spacing w:after="0" w:line="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Stock Units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1,629 shares acquired under the Marvell 2000 Employee Stock Purchase Plan on June 7, 2019, in an exempt transaction under Rule 16b-3(c) of the Securities Exchange Act of 1934.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restricted stock unit represents a contingent right to receive one Marvell Technology Group Ltd. ("Marvell") common share upon vesting.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RSUs vested as to 100% of the shares on June 15, 2019.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restricted stock units ("RSUs") were subject to performance criteria that have been satisfied. These RSUs vest on June 15, 2019.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Mitchell Gaynor by Blair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06/18/2019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  <w:vMerge w:val="restart"/>
          </w:tcPr>
          <w:p>
            <w:pPr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Walters as Attorney-in-Fact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91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91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91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** Intentional misstatements or omissions of facts constitute Federal Criminal Violations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18 U.S.C. 1001 and 15 U.S.C. 78ff(a).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2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93486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2019-12-24T04:39:39Z</dcterms:created>
  <dcterms:modified xsi:type="dcterms:W3CDTF">2019-12-24T04:39:39Z</dcterms:modified>
</cp:coreProperties>
</file>