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210185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5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233680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June 28,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219710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2" w:right="41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2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080"/>
        <w:spacing w:after="0"/>
        <w:rPr>
          <w:sz w:val="20"/>
          <w:szCs w:val="20"/>
          <w:color w:val="auto"/>
        </w:rPr>
      </w:pPr>
      <w:r>
        <w:rPr>
          <w:rFonts w:ascii="Times New Roman" w:cs="Times New Roman" w:eastAsia="Times New Roman" w:hAnsi="Times New Roman"/>
          <w:sz w:val="17"/>
          <w:szCs w:val="17"/>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12" w:lineRule="exact"/>
        <w:rPr>
          <w:sz w:val="24"/>
          <w:szCs w:val="24"/>
          <w:color w:val="auto"/>
        </w:rPr>
      </w:pPr>
    </w:p>
    <w:p>
      <w:pPr>
        <w:sectPr>
          <w:pgSz w:w="11900" w:h="16838" w:orient="portrait"/>
          <w:cols w:equalWidth="0" w:num="3">
            <w:col w:w="4520" w:space="720"/>
            <w:col w:w="2860" w:space="720"/>
            <w:col w:w="2220"/>
          </w:cols>
          <w:pgMar w:left="440" w:top="362" w:right="419" w:bottom="1440" w:gutter="0" w:footer="0" w:header="0"/>
          <w:type w:val="continuous"/>
        </w:sectPr>
      </w:pPr>
    </w:p>
    <w:p>
      <w:pPr>
        <w:jc w:val="center"/>
        <w:ind w:right="74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4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61" w:lineRule="exact"/>
        <w:rPr>
          <w:sz w:val="24"/>
          <w:szCs w:val="24"/>
          <w:color w:val="auto"/>
        </w:rPr>
      </w:pPr>
    </w:p>
    <w:p>
      <w:pPr>
        <w:sectPr>
          <w:pgSz w:w="11900" w:h="16838" w:orient="portrait"/>
          <w:cols w:equalWidth="0" w:num="3">
            <w:col w:w="4500" w:space="720"/>
            <w:col w:w="2760" w:space="720"/>
            <w:col w:w="2340"/>
          </w:cols>
          <w:pgMar w:left="440" w:top="362" w:right="41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14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16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2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201930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2" w:right="419" w:bottom="1440" w:gutter="0" w:footer="0" w:header="0"/>
          <w:type w:val="continuous"/>
        </w:sectPr>
      </w:pPr>
    </w:p>
    <w:p>
      <w:pPr>
        <w:spacing w:after="0" w:line="200" w:lineRule="exact"/>
        <w:rPr>
          <w:sz w:val="24"/>
          <w:szCs w:val="24"/>
          <w:color w:val="auto"/>
        </w:rPr>
      </w:pPr>
    </w:p>
    <w:p>
      <w:pPr>
        <w:spacing w:after="0" w:line="289" w:lineRule="exact"/>
        <w:rPr>
          <w:sz w:val="24"/>
          <w:szCs w:val="24"/>
          <w:color w:val="auto"/>
        </w:rPr>
      </w:pPr>
    </w:p>
    <w:p>
      <w:pPr>
        <w:ind w:right="42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67"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The Nasdaq Stock Market, LLC</w:t>
            </w:r>
          </w:p>
        </w:tc>
        <w:tc>
          <w:tcPr>
            <w:tcW w:w="0" w:type="dxa"/>
            <w:vAlign w:val="bottom"/>
          </w:tcPr>
          <w:p>
            <w:pPr>
              <w:spacing w:after="0"/>
              <w:rPr>
                <w:sz w:val="1"/>
                <w:szCs w:val="1"/>
                <w:color w:val="auto"/>
              </w:rPr>
            </w:pPr>
          </w:p>
        </w:tc>
      </w:tr>
    </w:tbl>
    <w:p>
      <w:pPr>
        <w:spacing w:after="0" w:line="135" w:lineRule="exact"/>
        <w:rPr>
          <w:sz w:val="24"/>
          <w:szCs w:val="24"/>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3"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27"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133985</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176530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62" w:right="419" w:bottom="1440" w:gutter="0" w:footer="0" w:header="0"/>
          <w:type w:val="continuous"/>
        </w:sectPr>
      </w:pPr>
    </w:p>
    <w:bookmarkStart w:id="1" w:name="page2"/>
    <w:bookmarkEnd w:id="1"/>
    <w:p>
      <w:pPr>
        <w:spacing w:after="0"/>
        <w:tabs>
          <w:tab w:leader="none" w:pos="96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5.07</w:t>
      </w:r>
      <w:r>
        <w:rPr>
          <w:sz w:val="20"/>
          <w:szCs w:val="20"/>
          <w:color w:val="auto"/>
        </w:rPr>
        <w:tab/>
      </w:r>
      <w:r>
        <w:rPr>
          <w:rFonts w:ascii="Times New Roman" w:cs="Times New Roman" w:eastAsia="Times New Roman" w:hAnsi="Times New Roman"/>
          <w:sz w:val="17"/>
          <w:szCs w:val="17"/>
          <w:b w:val="1"/>
          <w:bCs w:val="1"/>
          <w:color w:val="auto"/>
        </w:rPr>
        <w:t>Submission of Matters to a Vote of Security Holders.</w:t>
      </w:r>
    </w:p>
    <w:p>
      <w:pPr>
        <w:spacing w:after="0" w:line="121" w:lineRule="exact"/>
        <w:rPr>
          <w:sz w:val="20"/>
          <w:szCs w:val="20"/>
          <w:color w:val="auto"/>
        </w:rPr>
      </w:pPr>
    </w:p>
    <w:p>
      <w:pPr>
        <w:ind w:right="460"/>
        <w:spacing w:after="0" w:line="282" w:lineRule="auto"/>
        <w:rPr>
          <w:sz w:val="20"/>
          <w:szCs w:val="20"/>
          <w:color w:val="auto"/>
        </w:rPr>
      </w:pPr>
      <w:r>
        <w:rPr>
          <w:rFonts w:ascii="Times New Roman" w:cs="Times New Roman" w:eastAsia="Times New Roman" w:hAnsi="Times New Roman"/>
          <w:sz w:val="18"/>
          <w:szCs w:val="18"/>
          <w:color w:val="auto"/>
        </w:rPr>
        <w:t>At the Company’s Annual General Meeting of Shareholders held on June 28, 2019, shareholders voted on the matters set forth below. Each issued common share was entitled to one vote on each of the proposals voted on at the meeting.</w:t>
      </w:r>
    </w:p>
    <w:p>
      <w:pPr>
        <w:spacing w:after="0" w:line="185" w:lineRule="exact"/>
        <w:rPr>
          <w:sz w:val="20"/>
          <w:szCs w:val="20"/>
          <w:color w:val="auto"/>
        </w:rPr>
      </w:pPr>
    </w:p>
    <w:p>
      <w:pPr>
        <w:ind w:left="440" w:right="380" w:hanging="436"/>
        <w:spacing w:after="0" w:line="286" w:lineRule="auto"/>
        <w:tabs>
          <w:tab w:leader="none" w:pos="440" w:val="left"/>
        </w:tabs>
        <w:numPr>
          <w:ilvl w:val="0"/>
          <w:numId w:val="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The nominees for election to the Board were elected, each for a one-year term until the 2020 annual general meeting of shareholders, based upon the following votes:</w:t>
      </w:r>
    </w:p>
    <w:p>
      <w:pPr>
        <w:spacing w:after="0" w:line="169" w:lineRule="exact"/>
        <w:rPr>
          <w:sz w:val="20"/>
          <w:szCs w:val="20"/>
          <w:color w:val="auto"/>
        </w:rPr>
      </w:pPr>
    </w:p>
    <w:tbl>
      <w:tblPr>
        <w:tblLayout w:type="fixed"/>
        <w:tblInd w:w="44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740" w:type="dxa"/>
            <w:vAlign w:val="bottom"/>
          </w:tcPr>
          <w:p>
            <w:pPr>
              <w:spacing w:after="0"/>
              <w:rPr>
                <w:sz w:val="13"/>
                <w:szCs w:val="13"/>
                <w:color w:val="auto"/>
              </w:rPr>
            </w:pPr>
          </w:p>
        </w:tc>
        <w:tc>
          <w:tcPr>
            <w:tcW w:w="1220" w:type="dxa"/>
            <w:vAlign w:val="bottom"/>
            <w:gridSpan w:val="2"/>
            <w:vMerge w:val="restart"/>
          </w:tcPr>
          <w:p>
            <w:pPr>
              <w:ind w:left="360"/>
              <w:spacing w:after="0"/>
              <w:rPr>
                <w:sz w:val="20"/>
                <w:szCs w:val="20"/>
                <w:color w:val="auto"/>
              </w:rPr>
            </w:pPr>
            <w:r>
              <w:rPr>
                <w:rFonts w:ascii="Times New Roman" w:cs="Times New Roman" w:eastAsia="Times New Roman" w:hAnsi="Times New Roman"/>
                <w:sz w:val="14"/>
                <w:szCs w:val="14"/>
                <w:color w:val="auto"/>
              </w:rPr>
              <w:t>For</w:t>
            </w:r>
          </w:p>
        </w:tc>
        <w:tc>
          <w:tcPr>
            <w:tcW w:w="1200" w:type="dxa"/>
            <w:vAlign w:val="bottom"/>
            <w:gridSpan w:val="2"/>
            <w:vMerge w:val="restart"/>
          </w:tcPr>
          <w:p>
            <w:pPr>
              <w:ind w:left="240"/>
              <w:spacing w:after="0"/>
              <w:rPr>
                <w:sz w:val="20"/>
                <w:szCs w:val="20"/>
                <w:color w:val="auto"/>
              </w:rPr>
            </w:pPr>
            <w:r>
              <w:rPr>
                <w:rFonts w:ascii="Times New Roman" w:cs="Times New Roman" w:eastAsia="Times New Roman" w:hAnsi="Times New Roman"/>
                <w:sz w:val="14"/>
                <w:szCs w:val="14"/>
                <w:color w:val="auto"/>
              </w:rPr>
              <w:t>Against</w:t>
            </w:r>
          </w:p>
        </w:tc>
        <w:tc>
          <w:tcPr>
            <w:tcW w:w="1040" w:type="dxa"/>
            <w:vAlign w:val="bottom"/>
            <w:gridSpan w:val="2"/>
            <w:vMerge w:val="restart"/>
          </w:tcPr>
          <w:p>
            <w:pPr>
              <w:ind w:left="160"/>
              <w:spacing w:after="0"/>
              <w:rPr>
                <w:sz w:val="20"/>
                <w:szCs w:val="20"/>
                <w:color w:val="auto"/>
              </w:rPr>
            </w:pPr>
            <w:r>
              <w:rPr>
                <w:rFonts w:ascii="Times New Roman" w:cs="Times New Roman" w:eastAsia="Times New Roman" w:hAnsi="Times New Roman"/>
                <w:sz w:val="14"/>
                <w:szCs w:val="14"/>
                <w:color w:val="auto"/>
              </w:rPr>
              <w:t>Abstain</w:t>
            </w:r>
          </w:p>
        </w:tc>
        <w:tc>
          <w:tcPr>
            <w:tcW w:w="920" w:type="dxa"/>
            <w:vAlign w:val="bottom"/>
            <w:gridSpan w:val="2"/>
          </w:tcPr>
          <w:p>
            <w:pPr>
              <w:ind w:left="60"/>
              <w:spacing w:after="0"/>
              <w:rPr>
                <w:sz w:val="20"/>
                <w:szCs w:val="20"/>
                <w:color w:val="auto"/>
              </w:rPr>
            </w:pPr>
            <w:r>
              <w:rPr>
                <w:rFonts w:ascii="Times New Roman" w:cs="Times New Roman" w:eastAsia="Times New Roman" w:hAnsi="Times New Roman"/>
                <w:sz w:val="14"/>
                <w:szCs w:val="14"/>
                <w:color w:val="auto"/>
              </w:rPr>
              <w:t>Broker Non-</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1040" w:type="dxa"/>
            <w:vAlign w:val="bottom"/>
            <w:gridSpan w:val="2"/>
            <w:vMerge w:val="continue"/>
          </w:tcPr>
          <w:p>
            <w:pPr>
              <w:spacing w:after="0"/>
              <w:rPr>
                <w:sz w:val="14"/>
                <w:szCs w:val="14"/>
                <w:color w:val="auto"/>
              </w:rPr>
            </w:pPr>
          </w:p>
        </w:tc>
        <w:tc>
          <w:tcPr>
            <w:tcW w:w="920" w:type="dxa"/>
            <w:vAlign w:val="bottom"/>
            <w:gridSpan w:val="2"/>
          </w:tcPr>
          <w:p>
            <w:pPr>
              <w:ind w:left="280"/>
              <w:spacing w:after="0"/>
              <w:rPr>
                <w:sz w:val="20"/>
                <w:szCs w:val="20"/>
                <w:color w:val="auto"/>
              </w:rPr>
            </w:pPr>
            <w:r>
              <w:rPr>
                <w:rFonts w:ascii="Times New Roman" w:cs="Times New Roman" w:eastAsia="Times New Roman" w:hAnsi="Times New Roman"/>
                <w:sz w:val="14"/>
                <w:szCs w:val="14"/>
                <w:color w:val="auto"/>
              </w:rPr>
              <w:t>Votes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William Tudor Brown</w:t>
            </w:r>
          </w:p>
        </w:tc>
        <w:tc>
          <w:tcPr>
            <w:tcW w:w="9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570,531,874</w:t>
            </w:r>
          </w:p>
        </w:tc>
        <w:tc>
          <w:tcPr>
            <w:tcW w:w="26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1,845,162</w:t>
            </w:r>
          </w:p>
        </w:tc>
        <w:tc>
          <w:tcPr>
            <w:tcW w:w="24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652,711</w:t>
            </w:r>
          </w:p>
        </w:tc>
        <w:tc>
          <w:tcPr>
            <w:tcW w:w="24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Times New Roman" w:cs="Times New Roman" w:eastAsia="Times New Roman" w:hAnsi="Times New Roman"/>
                <w:sz w:val="18"/>
                <w:szCs w:val="18"/>
                <w:color w:val="auto"/>
              </w:rPr>
              <w:t>Brad Buss</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570,661,865</w:t>
            </w:r>
          </w:p>
        </w:tc>
        <w:tc>
          <w:tcPr>
            <w:tcW w:w="2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1,716,498</w:t>
            </w: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651,384</w:t>
            </w:r>
          </w:p>
        </w:tc>
        <w:tc>
          <w:tcPr>
            <w:tcW w:w="240" w:type="dxa"/>
            <w:vAlign w:val="bottom"/>
          </w:tcPr>
          <w:p>
            <w:pPr>
              <w:spacing w:after="0"/>
              <w:rPr>
                <w:sz w:val="18"/>
                <w:szCs w:val="18"/>
                <w:color w:val="auto"/>
              </w:rPr>
            </w:pPr>
          </w:p>
        </w:tc>
        <w:tc>
          <w:tcPr>
            <w:tcW w:w="880" w:type="dxa"/>
            <w:vAlign w:val="bottom"/>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Edward Frank</w:t>
            </w: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570,596,049</w:t>
            </w:r>
          </w:p>
        </w:tc>
        <w:tc>
          <w:tcPr>
            <w:tcW w:w="2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1,696,067</w:t>
            </w: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737,692</w:t>
            </w: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Times New Roman" w:cs="Times New Roman" w:eastAsia="Times New Roman" w:hAnsi="Times New Roman"/>
                <w:sz w:val="18"/>
                <w:szCs w:val="18"/>
                <w:color w:val="auto"/>
              </w:rPr>
              <w:t>Richard S. Hill</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441,849,736</w:t>
            </w:r>
          </w:p>
        </w:tc>
        <w:tc>
          <w:tcPr>
            <w:tcW w:w="2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129,256,489</w:t>
            </w: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1,923,522</w:t>
            </w:r>
          </w:p>
        </w:tc>
        <w:tc>
          <w:tcPr>
            <w:tcW w:w="240" w:type="dxa"/>
            <w:vAlign w:val="bottom"/>
          </w:tcPr>
          <w:p>
            <w:pPr>
              <w:spacing w:after="0"/>
              <w:rPr>
                <w:sz w:val="18"/>
                <w:szCs w:val="18"/>
                <w:color w:val="auto"/>
              </w:rPr>
            </w:pPr>
          </w:p>
        </w:tc>
        <w:tc>
          <w:tcPr>
            <w:tcW w:w="880" w:type="dxa"/>
            <w:vAlign w:val="bottom"/>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Oleg Khaykin</w:t>
            </w: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388,289,857</w:t>
            </w:r>
          </w:p>
        </w:tc>
        <w:tc>
          <w:tcPr>
            <w:tcW w:w="2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184,089,513</w:t>
            </w: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650,377</w:t>
            </w: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Times New Roman" w:cs="Times New Roman" w:eastAsia="Times New Roman" w:hAnsi="Times New Roman"/>
                <w:sz w:val="18"/>
                <w:szCs w:val="18"/>
                <w:color w:val="auto"/>
              </w:rPr>
              <w:t>Bethany Mayer</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570,595,531</w:t>
            </w:r>
          </w:p>
        </w:tc>
        <w:tc>
          <w:tcPr>
            <w:tcW w:w="2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1,789,996</w:t>
            </w: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644,221</w:t>
            </w:r>
          </w:p>
        </w:tc>
        <w:tc>
          <w:tcPr>
            <w:tcW w:w="240" w:type="dxa"/>
            <w:vAlign w:val="bottom"/>
          </w:tcPr>
          <w:p>
            <w:pPr>
              <w:spacing w:after="0"/>
              <w:rPr>
                <w:sz w:val="18"/>
                <w:szCs w:val="18"/>
                <w:color w:val="auto"/>
              </w:rPr>
            </w:pPr>
          </w:p>
        </w:tc>
        <w:tc>
          <w:tcPr>
            <w:tcW w:w="880" w:type="dxa"/>
            <w:vAlign w:val="bottom"/>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Donna Morris</w:t>
            </w: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566,466,492</w:t>
            </w:r>
          </w:p>
        </w:tc>
        <w:tc>
          <w:tcPr>
            <w:tcW w:w="2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5,918,516</w:t>
            </w: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644,739</w:t>
            </w: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Times New Roman" w:cs="Times New Roman" w:eastAsia="Times New Roman" w:hAnsi="Times New Roman"/>
                <w:sz w:val="18"/>
                <w:szCs w:val="18"/>
                <w:color w:val="auto"/>
              </w:rPr>
              <w:t>Matthew J. Murphy</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570,576,573</w:t>
            </w:r>
          </w:p>
        </w:tc>
        <w:tc>
          <w:tcPr>
            <w:tcW w:w="2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1,813,721</w:t>
            </w:r>
          </w:p>
        </w:tc>
        <w:tc>
          <w:tcPr>
            <w:tcW w:w="2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639,453</w:t>
            </w:r>
          </w:p>
        </w:tc>
        <w:tc>
          <w:tcPr>
            <w:tcW w:w="240" w:type="dxa"/>
            <w:vAlign w:val="bottom"/>
          </w:tcPr>
          <w:p>
            <w:pPr>
              <w:spacing w:after="0"/>
              <w:rPr>
                <w:sz w:val="18"/>
                <w:szCs w:val="18"/>
                <w:color w:val="auto"/>
              </w:rPr>
            </w:pPr>
          </w:p>
        </w:tc>
        <w:tc>
          <w:tcPr>
            <w:tcW w:w="880" w:type="dxa"/>
            <w:vAlign w:val="bottom"/>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Michael Strachan</w:t>
            </w: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570,511,108</w:t>
            </w:r>
          </w:p>
        </w:tc>
        <w:tc>
          <w:tcPr>
            <w:tcW w:w="2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1,869,851</w:t>
            </w: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648,788</w:t>
            </w: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5740" w:type="dxa"/>
            <w:vAlign w:val="bottom"/>
          </w:tcPr>
          <w:p>
            <w:pPr>
              <w:spacing w:after="0"/>
              <w:rPr>
                <w:sz w:val="20"/>
                <w:szCs w:val="20"/>
                <w:color w:val="auto"/>
              </w:rPr>
            </w:pPr>
            <w:r>
              <w:rPr>
                <w:rFonts w:ascii="Times New Roman" w:cs="Times New Roman" w:eastAsia="Times New Roman" w:hAnsi="Times New Roman"/>
                <w:sz w:val="18"/>
                <w:szCs w:val="18"/>
                <w:color w:val="auto"/>
              </w:rPr>
              <w:t>Robert E. Switz</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570,061,489</w:t>
            </w:r>
          </w:p>
        </w:tc>
        <w:tc>
          <w:tcPr>
            <w:tcW w:w="26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2,315,721</w:t>
            </w:r>
          </w:p>
        </w:tc>
        <w:tc>
          <w:tcPr>
            <w:tcW w:w="24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652,537</w:t>
            </w:r>
          </w:p>
        </w:tc>
        <w:tc>
          <w:tcPr>
            <w:tcW w:w="240" w:type="dxa"/>
            <w:vAlign w:val="bottom"/>
          </w:tcPr>
          <w:p>
            <w:pPr>
              <w:spacing w:after="0"/>
              <w:rPr>
                <w:sz w:val="20"/>
                <w:szCs w:val="20"/>
                <w:color w:val="auto"/>
              </w:rPr>
            </w:pPr>
          </w:p>
        </w:tc>
        <w:tc>
          <w:tcPr>
            <w:tcW w:w="880" w:type="dxa"/>
            <w:vAlign w:val="bottom"/>
          </w:tcPr>
          <w:p>
            <w:pPr>
              <w:ind w:left="60"/>
              <w:spacing w:after="0"/>
              <w:rPr>
                <w:sz w:val="20"/>
                <w:szCs w:val="20"/>
                <w:color w:val="auto"/>
              </w:rPr>
            </w:pPr>
            <w:r>
              <w:rPr>
                <w:rFonts w:ascii="Times New Roman" w:cs="Times New Roman" w:eastAsia="Times New Roman" w:hAnsi="Times New Roman"/>
                <w:sz w:val="18"/>
                <w:szCs w:val="18"/>
                <w:color w:val="auto"/>
                <w:w w:val="98"/>
              </w:rPr>
              <w:t>48,650,723</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7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With respect to the election of each director, an “abstain” vote had the same effect as an “against” vote.</w:t>
      </w:r>
    </w:p>
    <w:p>
      <w:pPr>
        <w:spacing w:after="0" w:line="248" w:lineRule="exact"/>
        <w:rPr>
          <w:sz w:val="20"/>
          <w:szCs w:val="20"/>
          <w:color w:val="auto"/>
        </w:rPr>
      </w:pPr>
    </w:p>
    <w:p>
      <w:pPr>
        <w:ind w:left="440" w:right="560" w:hanging="436"/>
        <w:spacing w:after="0" w:line="286" w:lineRule="auto"/>
        <w:tabs>
          <w:tab w:leader="none" w:pos="440" w:val="left"/>
        </w:tabs>
        <w:numPr>
          <w:ilvl w:val="0"/>
          <w:numId w:val="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The proposal to approve, on an advisory and non-binding basis, the compensation of the Company’s named executive officers, was approved based upon the following votes:</w:t>
      </w:r>
    </w:p>
    <w:p>
      <w:pPr>
        <w:spacing w:after="0" w:line="180" w:lineRule="exact"/>
        <w:rPr>
          <w:sz w:val="20"/>
          <w:szCs w:val="20"/>
          <w:color w:val="auto"/>
        </w:rPr>
      </w:pPr>
    </w:p>
    <w:tbl>
      <w:tblPr>
        <w:tblLayout w:type="fixed"/>
        <w:tblInd w:w="440" w:type="dxa"/>
        <w:tblCellMar>
          <w:top w:w="0" w:type="dxa"/>
          <w:left w:w="0" w:type="dxa"/>
          <w:bottom w:w="0" w:type="dxa"/>
          <w:right w:w="0" w:type="dxa"/>
        </w:tblCellMar>
      </w:tblPr>
      <w:tr>
        <w:trPr>
          <w:trHeight w:val="173"/>
        </w:trPr>
        <w:tc>
          <w:tcPr>
            <w:tcW w:w="428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For</w:t>
            </w:r>
          </w:p>
        </w:tc>
        <w:tc>
          <w:tcPr>
            <w:tcW w:w="246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Against</w:t>
            </w:r>
          </w:p>
        </w:tc>
        <w:tc>
          <w:tcPr>
            <w:tcW w:w="660" w:type="dxa"/>
            <w:vAlign w:val="bottom"/>
          </w:tcPr>
          <w:p>
            <w:pPr>
              <w:jc w:val="right"/>
              <w:ind w:right="19"/>
              <w:spacing w:after="0"/>
              <w:rPr>
                <w:sz w:val="20"/>
                <w:szCs w:val="20"/>
                <w:color w:val="auto"/>
              </w:rPr>
            </w:pPr>
            <w:r>
              <w:rPr>
                <w:rFonts w:ascii="Times New Roman" w:cs="Times New Roman" w:eastAsia="Times New Roman" w:hAnsi="Times New Roman"/>
                <w:sz w:val="14"/>
                <w:szCs w:val="14"/>
                <w:b w:val="1"/>
                <w:bCs w:val="1"/>
                <w:color w:val="auto"/>
              </w:rPr>
              <w:t>Abstain</w:t>
            </w:r>
          </w:p>
        </w:tc>
        <w:tc>
          <w:tcPr>
            <w:tcW w:w="2740" w:type="dxa"/>
            <w:vAlign w:val="bottom"/>
            <w:gridSpan w:val="3"/>
          </w:tcPr>
          <w:p>
            <w:pPr>
              <w:jc w:val="right"/>
              <w:ind w:right="60"/>
              <w:spacing w:after="0"/>
              <w:rPr>
                <w:sz w:val="20"/>
                <w:szCs w:val="20"/>
                <w:color w:val="auto"/>
              </w:rPr>
            </w:pPr>
            <w:r>
              <w:rPr>
                <w:rFonts w:ascii="Times New Roman" w:cs="Times New Roman" w:eastAsia="Times New Roman" w:hAnsi="Times New Roman"/>
                <w:sz w:val="14"/>
                <w:szCs w:val="14"/>
                <w:b w:val="1"/>
                <w:bCs w:val="1"/>
                <w:color w:val="auto"/>
              </w:rPr>
              <w:t>Broker Non-Votes</w:t>
            </w:r>
          </w:p>
        </w:tc>
      </w:tr>
      <w:tr>
        <w:trPr>
          <w:trHeight w:val="20"/>
        </w:trPr>
        <w:tc>
          <w:tcPr>
            <w:tcW w:w="20" w:type="dxa"/>
            <w:vAlign w:val="bottom"/>
          </w:tcPr>
          <w:p>
            <w:pPr>
              <w:spacing w:after="0" w:line="20" w:lineRule="exact"/>
              <w:rPr>
                <w:sz w:val="1"/>
                <w:szCs w:val="1"/>
                <w:color w:val="auto"/>
              </w:rPr>
            </w:pPr>
          </w:p>
        </w:tc>
        <w:tc>
          <w:tcPr>
            <w:tcW w:w="220" w:type="dxa"/>
            <w:vAlign w:val="bottom"/>
            <w:tcBorders>
              <w:bottom w:val="single" w:sz="8" w:color="CCEEFF"/>
            </w:tcBorders>
            <w:shd w:val="clear" w:color="auto" w:fill="000000"/>
          </w:tcPr>
          <w:p>
            <w:pPr>
              <w:spacing w:after="0" w:line="20" w:lineRule="exact"/>
              <w:rPr>
                <w:sz w:val="1"/>
                <w:szCs w:val="1"/>
                <w:color w:val="auto"/>
              </w:rPr>
            </w:pPr>
          </w:p>
        </w:tc>
        <w:tc>
          <w:tcPr>
            <w:tcW w:w="404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580" w:type="dxa"/>
            <w:vAlign w:val="bottom"/>
            <w:tcBorders>
              <w:bottom w:val="single" w:sz="8" w:color="CCEEFF"/>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4260" w:type="dxa"/>
            <w:vAlign w:val="bottom"/>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547,560,057</w:t>
            </w:r>
          </w:p>
        </w:tc>
        <w:tc>
          <w:tcPr>
            <w:tcW w:w="860" w:type="dxa"/>
            <w:vAlign w:val="bottom"/>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24,643,051</w:t>
            </w:r>
          </w:p>
        </w:tc>
        <w:tc>
          <w:tcPr>
            <w:tcW w:w="160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826,640</w:t>
            </w:r>
          </w:p>
        </w:tc>
        <w:tc>
          <w:tcPr>
            <w:tcW w:w="1580" w:type="dxa"/>
            <w:vAlign w:val="bottom"/>
            <w:shd w:val="clear" w:color="auto" w:fill="CCEEFF"/>
          </w:tcPr>
          <w:p>
            <w:pPr>
              <w:spacing w:after="0"/>
              <w:rPr>
                <w:sz w:val="17"/>
                <w:szCs w:val="17"/>
                <w:color w:val="auto"/>
              </w:rPr>
            </w:pPr>
          </w:p>
        </w:tc>
        <w:tc>
          <w:tcPr>
            <w:tcW w:w="1120" w:type="dxa"/>
            <w:vAlign w:val="bottom"/>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48,650,723</w:t>
            </w:r>
          </w:p>
        </w:tc>
        <w:tc>
          <w:tcPr>
            <w:tcW w:w="40" w:type="dxa"/>
            <w:vAlign w:val="bottom"/>
            <w:shd w:val="clear" w:color="auto" w:fill="CCEEFF"/>
          </w:tcPr>
          <w:p>
            <w:pPr>
              <w:spacing w:after="0"/>
              <w:rPr>
                <w:sz w:val="17"/>
                <w:szCs w:val="17"/>
                <w:color w:val="auto"/>
              </w:rPr>
            </w:pPr>
          </w:p>
        </w:tc>
      </w:tr>
    </w:tbl>
    <w:p>
      <w:pPr>
        <w:spacing w:after="0" w:line="221" w:lineRule="exact"/>
        <w:rPr>
          <w:sz w:val="20"/>
          <w:szCs w:val="20"/>
          <w:color w:val="auto"/>
        </w:rPr>
      </w:pPr>
    </w:p>
    <w:p>
      <w:pPr>
        <w:ind w:left="440" w:right="220" w:hanging="436"/>
        <w:spacing w:after="0" w:line="262" w:lineRule="auto"/>
        <w:tabs>
          <w:tab w:leader="none" w:pos="440" w:val="left"/>
        </w:tabs>
        <w:numPr>
          <w:ilvl w:val="0"/>
          <w:numId w:val="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The proposal to appoint Deloitte &amp; Touche LLP as the Company’s auditors and independent registered public accounting firm, and authorization of the audit committee, acting on behalf of the Company’s board of directors, to fix the remuneration of the auditors and independent registered public accounting firm, in both cases for the fiscal year ending February 1, 2020, was approved based upon the following votes:</w:t>
      </w:r>
    </w:p>
    <w:p>
      <w:pPr>
        <w:spacing w:after="0" w:line="201" w:lineRule="exact"/>
        <w:rPr>
          <w:sz w:val="20"/>
          <w:szCs w:val="20"/>
          <w:color w:val="auto"/>
        </w:rPr>
      </w:pPr>
    </w:p>
    <w:tbl>
      <w:tblPr>
        <w:tblLayout w:type="fixed"/>
        <w:tblInd w:w="880" w:type="dxa"/>
        <w:tblCellMar>
          <w:top w:w="0" w:type="dxa"/>
          <w:left w:w="0" w:type="dxa"/>
          <w:bottom w:w="0" w:type="dxa"/>
          <w:right w:w="0" w:type="dxa"/>
        </w:tblCellMar>
      </w:tblPr>
      <w:tr>
        <w:trPr>
          <w:trHeight w:val="193"/>
        </w:trPr>
        <w:tc>
          <w:tcPr>
            <w:tcW w:w="2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For</w:t>
            </w:r>
          </w:p>
        </w:tc>
        <w:tc>
          <w:tcPr>
            <w:tcW w:w="5220" w:type="dxa"/>
            <w:vAlign w:val="bottom"/>
          </w:tcPr>
          <w:p>
            <w:pPr>
              <w:spacing w:after="0"/>
              <w:rPr>
                <w:sz w:val="16"/>
                <w:szCs w:val="16"/>
                <w:color w:val="auto"/>
              </w:rPr>
            </w:pPr>
          </w:p>
        </w:tc>
        <w:tc>
          <w:tcPr>
            <w:tcW w:w="3100" w:type="dxa"/>
            <w:vAlign w:val="bottom"/>
            <w:gridSpan w:val="2"/>
          </w:tcPr>
          <w:p>
            <w:pPr>
              <w:ind w:left="140"/>
              <w:spacing w:after="0"/>
              <w:rPr>
                <w:sz w:val="20"/>
                <w:szCs w:val="20"/>
                <w:color w:val="auto"/>
              </w:rPr>
            </w:pPr>
            <w:r>
              <w:rPr>
                <w:rFonts w:ascii="Times New Roman" w:cs="Times New Roman" w:eastAsia="Times New Roman" w:hAnsi="Times New Roman"/>
                <w:sz w:val="14"/>
                <w:szCs w:val="14"/>
                <w:b w:val="1"/>
                <w:bCs w:val="1"/>
                <w:color w:val="auto"/>
              </w:rPr>
              <w:t>Against</w:t>
            </w:r>
          </w:p>
        </w:tc>
        <w:tc>
          <w:tcPr>
            <w:tcW w:w="700" w:type="dxa"/>
            <w:vAlign w:val="bottom"/>
            <w:gridSpan w:val="2"/>
          </w:tcPr>
          <w:p>
            <w:pPr>
              <w:ind w:left="80"/>
              <w:spacing w:after="0"/>
              <w:rPr>
                <w:sz w:val="20"/>
                <w:szCs w:val="20"/>
                <w:color w:val="auto"/>
              </w:rPr>
            </w:pPr>
            <w:r>
              <w:rPr>
                <w:rFonts w:ascii="Times New Roman" w:cs="Times New Roman" w:eastAsia="Times New Roman" w:hAnsi="Times New Roman"/>
                <w:sz w:val="14"/>
                <w:szCs w:val="14"/>
                <w:b w:val="1"/>
                <w:bCs w:val="1"/>
                <w:color w:val="auto"/>
              </w:rPr>
              <w:t>Abstain</w:t>
            </w:r>
          </w:p>
        </w:tc>
      </w:tr>
      <w:tr>
        <w:trPr>
          <w:trHeight w:val="203"/>
        </w:trPr>
        <w:tc>
          <w:tcPr>
            <w:tcW w:w="546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619,549,669</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1,407,374</w:t>
            </w:r>
          </w:p>
        </w:tc>
        <w:tc>
          <w:tcPr>
            <w:tcW w:w="232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ind w:left="60"/>
              <w:spacing w:after="0" w:line="203" w:lineRule="exact"/>
              <w:rPr>
                <w:sz w:val="20"/>
                <w:szCs w:val="20"/>
                <w:color w:val="auto"/>
              </w:rPr>
            </w:pPr>
            <w:r>
              <w:rPr>
                <w:rFonts w:ascii="Times New Roman" w:cs="Times New Roman" w:eastAsia="Times New Roman" w:hAnsi="Times New Roman"/>
                <w:sz w:val="18"/>
                <w:szCs w:val="18"/>
                <w:color w:val="auto"/>
                <w:w w:val="95"/>
              </w:rPr>
              <w:t>723,427</w:t>
            </w:r>
          </w:p>
        </w:tc>
        <w:tc>
          <w:tcPr>
            <w:tcW w:w="60" w:type="dxa"/>
            <w:vAlign w:val="bottom"/>
            <w:tcBorders>
              <w:top w:val="single" w:sz="8" w:color="CCEEFF"/>
            </w:tcBorders>
            <w:shd w:val="clear" w:color="auto" w:fill="CCEEFF"/>
          </w:tcPr>
          <w:p>
            <w:pPr>
              <w:spacing w:after="0"/>
              <w:rPr>
                <w:sz w:val="17"/>
                <w:szCs w:val="17"/>
                <w:color w:val="auto"/>
              </w:rPr>
            </w:pPr>
          </w:p>
        </w:tc>
      </w:tr>
    </w:tbl>
    <w:p>
      <w:pPr>
        <w:spacing w:after="0" w:line="342" w:lineRule="exact"/>
        <w:rPr>
          <w:sz w:val="20"/>
          <w:szCs w:val="20"/>
          <w:color w:val="auto"/>
        </w:rPr>
      </w:pPr>
    </w:p>
    <w:p>
      <w:pPr>
        <w:spacing w:after="0"/>
        <w:tabs>
          <w:tab w:leader="none" w:pos="960" w:val="left"/>
        </w:tabs>
        <w:rPr>
          <w:sz w:val="20"/>
          <w:szCs w:val="20"/>
          <w:color w:val="auto"/>
        </w:rPr>
      </w:pPr>
      <w:r>
        <w:rPr>
          <w:rFonts w:ascii="Times New Roman" w:cs="Times New Roman" w:eastAsia="Times New Roman" w:hAnsi="Times New Roman"/>
          <w:sz w:val="18"/>
          <w:szCs w:val="18"/>
          <w:b w:val="1"/>
          <w:bCs w:val="1"/>
          <w:color w:val="auto"/>
        </w:rPr>
        <w:t>Item 8.01</w:t>
        <w:tab/>
        <w:t>Other Events.</w:t>
      </w:r>
    </w:p>
    <w:p>
      <w:pPr>
        <w:spacing w:after="0" w:line="12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On July 1, 2019, the Company announced that its Board of Directors had declared the payment of its quarterly dividend of $0.06 per share to be paid on July 31, 2019 to all shareholders of record as of July 12, 2019.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28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 Exhibits.</w:t>
      </w:r>
    </w:p>
    <w:p>
      <w:pPr>
        <w:spacing w:after="0" w:line="360" w:lineRule="exact"/>
        <w:rPr>
          <w:sz w:val="20"/>
          <w:szCs w:val="20"/>
          <w:color w:val="auto"/>
        </w:rPr>
      </w:pPr>
    </w:p>
    <w:p>
      <w:pPr>
        <w:spacing w:after="0"/>
        <w:tabs>
          <w:tab w:leader="none" w:pos="640" w:val="left"/>
        </w:tabs>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8"/>
          <w:szCs w:val="18"/>
          <w:color w:val="auto"/>
        </w:rPr>
        <w:t>99.1</w:t>
      </w:r>
      <w:r>
        <w:rPr>
          <w:sz w:val="20"/>
          <w:szCs w:val="20"/>
          <w:color w:val="auto"/>
        </w:rPr>
        <w:tab/>
      </w:r>
      <w:hyperlink w:anchor="page4">
        <w:r>
          <w:rPr>
            <w:rFonts w:ascii="Times New Roman" w:cs="Times New Roman" w:eastAsia="Times New Roman" w:hAnsi="Times New Roman"/>
            <w:sz w:val="17"/>
            <w:szCs w:val="17"/>
            <w:u w:val="single" w:color="auto"/>
            <w:color w:val="0000EE"/>
          </w:rPr>
          <w:t>Press Release dated July 1, 2019, titled “Marvell Technology Group Ltd. Declares Quarterly Dividend Payment”</w:t>
        </w:r>
      </w:hyperlink>
    </w:p>
    <w:p>
      <w:pPr>
        <w:sectPr>
          <w:pgSz w:w="11900" w:h="16838" w:orient="portrait"/>
          <w:cols w:equalWidth="0" w:num="1">
            <w:col w:w="10980"/>
          </w:cols>
          <w:pgMar w:left="440" w:top="266" w:right="479" w:bottom="1440" w:gutter="0" w:footer="0" w:header="0"/>
        </w:sectPr>
      </w:pPr>
    </w:p>
    <w:bookmarkStart w:id="2" w:name="page3"/>
    <w:bookmarkEnd w:id="2"/>
    <w:p>
      <w:pPr>
        <w:jc w:val="center"/>
        <w:ind w:right="-35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Dated: July 1, 2019</w:t>
      </w:r>
    </w:p>
    <w:p>
      <w:pPr>
        <w:spacing w:after="0" w:line="252"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 /s/ Mitch Gaynor</w:t>
      </w:r>
    </w:p>
    <w:p>
      <w:pPr>
        <w:spacing w:after="0" w:line="27"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4389120</wp:posOffset>
            </wp:positionH>
            <wp:positionV relativeFrom="paragraph">
              <wp:posOffset>-130810</wp:posOffset>
            </wp:positionV>
            <wp:extent cx="261556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15565" cy="8890"/>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i w:val="1"/>
          <w:iCs w:val="1"/>
          <w:color w:val="auto"/>
        </w:rPr>
        <w:t>Chief Administration and Legal Officer</w:t>
      </w:r>
    </w:p>
    <w:p>
      <w:pPr>
        <w:sectPr>
          <w:pgSz w:w="11900" w:h="16838" w:orient="portrait"/>
          <w:cols w:equalWidth="0" w:num="1">
            <w:col w:w="10680"/>
          </w:cols>
          <w:pgMar w:left="440" w:top="266" w:right="77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174625</wp:posOffset>
            </wp:positionV>
            <wp:extent cx="1697990" cy="1974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97990" cy="1974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Declares Quarterly Dividend Payment</w:t>
      </w:r>
    </w:p>
    <w:p>
      <w:pPr>
        <w:spacing w:after="0" w:line="225" w:lineRule="exact"/>
        <w:rPr>
          <w:sz w:val="20"/>
          <w:szCs w:val="20"/>
          <w:color w:val="auto"/>
        </w:rPr>
      </w:pPr>
    </w:p>
    <w:p>
      <w:pPr>
        <w:ind w:right="26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 (July 1, 2019) </w:t>
      </w:r>
      <w:r>
        <w:rPr>
          <w:rFonts w:ascii="Times New Roman" w:cs="Times New Roman" w:eastAsia="Times New Roman" w:hAnsi="Times New Roman"/>
          <w:sz w:val="18"/>
          <w:szCs w:val="18"/>
          <w:color w:val="auto"/>
        </w:rPr>
        <w:t>— Marvell Technology Group Ltd. (NASDAQ: MRVL), a leader in infrastructure semiconductor solutions, today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announced a quarterly dividend of $0.06 per share of common stock payable on July 31, 2019 to shareholders of record as of July 12, 2019.</w:t>
      </w:r>
    </w:p>
    <w:p>
      <w:pPr>
        <w:spacing w:after="0" w:line="26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Times New Roman" w:cs="Times New Roman" w:eastAsia="Times New Roman" w:hAnsi="Times New Roman"/>
          <w:sz w:val="18"/>
          <w:szCs w:val="18"/>
          <w:u w:val="single" w:color="auto"/>
          <w:color w:val="auto"/>
        </w:rPr>
        <w:t>www.marvell.com</w:t>
      </w:r>
      <w:r>
        <w:rPr>
          <w:rFonts w:ascii="Times New Roman" w:cs="Times New Roman" w:eastAsia="Times New Roman" w:hAnsi="Times New Roman"/>
          <w:sz w:val="18"/>
          <w:szCs w:val="18"/>
          <w:color w:val="auto"/>
        </w:rPr>
        <w:t>.</w:t>
      </w:r>
    </w:p>
    <w:p>
      <w:pPr>
        <w:spacing w:after="0" w:line="17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15"/>
          <w:szCs w:val="15"/>
          <w:i w:val="1"/>
          <w:iCs w:val="1"/>
          <w:color w:val="auto"/>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pacing w:after="0" w:line="22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sectPr>
      <w:pgSz w:w="11900" w:h="16838" w:orient="portrait"/>
      <w:cols w:equalWidth="0" w:num="1">
        <w:col w:w="11020"/>
      </w:cols>
      <w:pgMar w:left="440" w:top="11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2019-12-28T10:29:23Z</dcterms:created>
  <dcterms:modified xsi:type="dcterms:W3CDTF">2019-12-28T10:29:23Z</dcterms:modified>
</cp:coreProperties>
</file>