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ind w:left="4240"/>
        <w:spacing w:after="0"/>
        <w:rPr>
          <w:sz w:val="20"/>
          <w:szCs w:val="20"/>
          <w:color w:val="auto"/>
        </w:rPr>
      </w:pPr>
      <w:r>
        <w:rPr>
          <w:rFonts w:ascii="Arial" w:cs="Arial" w:eastAsia="Arial" w:hAnsi="Arial"/>
          <w:sz w:val="22"/>
          <w:szCs w:val="22"/>
          <w:b w:val="1"/>
          <w:bCs w:val="1"/>
          <w:color w:val="auto"/>
        </w:rPr>
        <w:t>Date of Report: August 29, 2019</w:t>
      </w:r>
    </w:p>
    <w:p>
      <w:pPr>
        <w:spacing w:after="0" w:line="58" w:lineRule="exact"/>
        <w:rPr>
          <w:sz w:val="24"/>
          <w:szCs w:val="24"/>
          <w:color w:val="auto"/>
        </w:rPr>
      </w:pPr>
    </w:p>
    <w:p>
      <w:pPr>
        <w:ind w:left="4240"/>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bl>
    <w:p>
      <w:pPr>
        <w:spacing w:after="0" w:line="25"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right="1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42"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72"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8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7"/>
              </w:rPr>
              <w:t>Trading</w:t>
            </w:r>
          </w:p>
        </w:tc>
        <w:tc>
          <w:tcPr>
            <w:tcW w:w="376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r>
      <w:tr>
        <w:trPr>
          <w:trHeight w:val="206"/>
        </w:trPr>
        <w:tc>
          <w:tcPr>
            <w:tcW w:w="3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120" w:type="dxa"/>
            <w:vAlign w:val="bottom"/>
          </w:tcPr>
          <w:p>
            <w:pPr>
              <w:spacing w:after="0"/>
              <w:rPr>
                <w:sz w:val="17"/>
                <w:szCs w:val="17"/>
                <w:color w:val="auto"/>
              </w:rPr>
            </w:pPr>
          </w:p>
        </w:tc>
        <w:tc>
          <w:tcPr>
            <w:tcW w:w="37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00" w:type="dxa"/>
            <w:vAlign w:val="bottom"/>
          </w:tcPr>
          <w:p>
            <w:pPr>
              <w:spacing w:after="0"/>
              <w:rPr>
                <w:sz w:val="17"/>
                <w:szCs w:val="17"/>
                <w:color w:val="auto"/>
              </w:rPr>
            </w:pPr>
          </w:p>
        </w:tc>
        <w:tc>
          <w:tcPr>
            <w:tcW w:w="3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r>
      <w:tr>
        <w:trPr>
          <w:trHeight w:val="243"/>
        </w:trPr>
        <w:tc>
          <w:tcPr>
            <w:tcW w:w="3780" w:type="dxa"/>
            <w:vAlign w:val="bottom"/>
            <w:gridSpan w:val="2"/>
          </w:tcPr>
          <w:p>
            <w:pPr>
              <w:jc w:val="center"/>
              <w:ind w:right="100"/>
              <w:spacing w:after="0"/>
              <w:rPr>
                <w:sz w:val="20"/>
                <w:szCs w:val="20"/>
                <w:color w:val="auto"/>
              </w:rPr>
            </w:pPr>
            <w:r>
              <w:rPr>
                <w:rFonts w:ascii="Arial" w:cs="Arial" w:eastAsia="Arial" w:hAnsi="Arial"/>
                <w:sz w:val="18"/>
                <w:szCs w:val="18"/>
                <w:b w:val="1"/>
                <w:bCs w:val="1"/>
                <w:color w:val="auto"/>
                <w:w w:val="89"/>
              </w:rPr>
              <w:t>Common Shares</w:t>
            </w:r>
          </w:p>
        </w:tc>
        <w:tc>
          <w:tcPr>
            <w:tcW w:w="3880" w:type="dxa"/>
            <w:vAlign w:val="bottom"/>
            <w:gridSpan w:val="2"/>
          </w:tcPr>
          <w:p>
            <w:pPr>
              <w:jc w:val="center"/>
              <w:ind w:right="100"/>
              <w:spacing w:after="0"/>
              <w:rPr>
                <w:sz w:val="20"/>
                <w:szCs w:val="20"/>
                <w:color w:val="auto"/>
              </w:rPr>
            </w:pPr>
            <w:r>
              <w:rPr>
                <w:rFonts w:ascii="Arial" w:cs="Arial" w:eastAsia="Arial" w:hAnsi="Arial"/>
                <w:sz w:val="18"/>
                <w:szCs w:val="18"/>
                <w:b w:val="1"/>
                <w:bCs w:val="1"/>
                <w:color w:val="auto"/>
              </w:rPr>
              <w:t>MRVL</w:t>
            </w:r>
          </w:p>
        </w:tc>
        <w:tc>
          <w:tcPr>
            <w:tcW w:w="3760" w:type="dxa"/>
            <w:vAlign w:val="bottom"/>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r>
      <w:tr>
        <w:trPr>
          <w:trHeight w:val="378"/>
        </w:trPr>
        <w:tc>
          <w:tcPr>
            <w:tcW w:w="36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7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760" w:type="dxa"/>
            <w:vAlign w:val="bottom"/>
            <w:tcBorders>
              <w:bottom w:val="single" w:sz="8" w:color="auto"/>
            </w:tcBorders>
          </w:tcPr>
          <w:p>
            <w:pPr>
              <w:spacing w:after="0"/>
              <w:rPr>
                <w:sz w:val="24"/>
                <w:szCs w:val="24"/>
                <w:color w:val="auto"/>
              </w:rPr>
            </w:pPr>
          </w:p>
        </w:tc>
      </w:tr>
      <w:tr>
        <w:trPr>
          <w:trHeight w:val="115"/>
        </w:trPr>
        <w:tc>
          <w:tcPr>
            <w:tcW w:w="366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37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3760" w:type="dxa"/>
            <w:vAlign w:val="bottom"/>
            <w:tcBorders>
              <w:bottom w:val="single" w:sz="8" w:color="auto"/>
            </w:tcBorders>
          </w:tcPr>
          <w:p>
            <w:pPr>
              <w:spacing w:after="0"/>
              <w:rPr>
                <w:sz w:val="10"/>
                <w:szCs w:val="10"/>
                <w:color w:val="auto"/>
              </w:rPr>
            </w:pPr>
          </w:p>
        </w:tc>
      </w:tr>
    </w:tbl>
    <w:p>
      <w:pPr>
        <w:spacing w:after="0" w:line="200" w:lineRule="exact"/>
        <w:rPr>
          <w:sz w:val="24"/>
          <w:szCs w:val="24"/>
          <w:color w:val="auto"/>
        </w:rPr>
      </w:pPr>
    </w:p>
    <w:p>
      <w:pPr>
        <w:sectPr>
          <w:pgSz w:w="11900" w:h="16838" w:orient="portrait"/>
          <w:cols w:equalWidth="0" w:num="1">
            <w:col w:w="11420"/>
          </w:cols>
          <w:pgMar w:left="240" w:top="702" w:right="239" w:bottom="0" w:gutter="0" w:footer="0" w:header="0"/>
        </w:sectPr>
      </w:pPr>
    </w:p>
    <w:p>
      <w:pPr>
        <w:spacing w:after="0" w:line="200" w:lineRule="exact"/>
        <w:rPr>
          <w:sz w:val="24"/>
          <w:szCs w:val="24"/>
          <w:color w:val="auto"/>
        </w:rPr>
      </w:pPr>
    </w:p>
    <w:p>
      <w:pPr>
        <w:spacing w:after="0" w:line="216"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Item 2.02 Results of Operations and Financial Condition.</w:t>
      </w:r>
    </w:p>
    <w:p>
      <w:pPr>
        <w:sectPr>
          <w:pgSz w:w="11900" w:h="16838" w:orient="portrait"/>
          <w:cols w:equalWidth="0" w:num="1">
            <w:col w:w="11420"/>
          </w:cols>
          <w:pgMar w:left="240" w:top="702" w:right="239" w:bottom="0" w:gutter="0" w:footer="0" w:header="0"/>
          <w:type w:val="continuous"/>
        </w:sectPr>
      </w:pPr>
    </w:p>
    <w:bookmarkStart w:id="1" w:name="page2"/>
    <w:bookmarkEnd w:id="1"/>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80" w:firstLine="648"/>
        <w:spacing w:after="0" w:line="308" w:lineRule="auto"/>
        <w:rPr>
          <w:sz w:val="20"/>
          <w:szCs w:val="20"/>
          <w:color w:val="auto"/>
        </w:rPr>
      </w:pPr>
      <w:r>
        <w:rPr>
          <w:rFonts w:ascii="Arial" w:cs="Arial" w:eastAsia="Arial" w:hAnsi="Arial"/>
          <w:sz w:val="17"/>
          <w:szCs w:val="17"/>
          <w:color w:val="auto"/>
        </w:rPr>
        <w:t>On August 29, 2019, Marvell Technology Group Ltd. (“Marvell”) issued a press release reporting its financial results for the second quarter of fiscal 2020 ended August 3, 2019. A copy of the press release is furnished herewith as Exhibit 99.1 and is incorporated by reference herein.</w:t>
      </w:r>
    </w:p>
    <w:p>
      <w:pPr>
        <w:spacing w:after="0" w:line="147"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Thursday, August 29, 2019 at 1:45 p.m. Pacific Time to discuss results for the second quarter of fiscal 2020. Interested parties may join the conference call by dialing 1-844-647-5488 or 1-615-247-0258, pass-code </w:t>
      </w:r>
      <w:r>
        <w:rPr>
          <w:rFonts w:ascii="Arial" w:cs="Arial" w:eastAsia="Arial" w:hAnsi="Arial"/>
          <w:sz w:val="18"/>
          <w:szCs w:val="18"/>
          <w:b w:val="1"/>
          <w:bCs w:val="1"/>
          <w:color w:val="auto"/>
        </w:rPr>
        <w:t>1183687</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Thursday, September 5, 2019.</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680" w:hanging="647"/>
        <w:spacing w:after="0" w:line="277" w:lineRule="auto"/>
        <w:tabs>
          <w:tab w:leader="none" w:pos="194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FF"/>
          </w:rPr>
          <w:t>Press Release dated August 29, 2019, titled “Marvell Technology Group Ltd. Reports Second Quarter of Fiscal Year 2020</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Financial Results”</w:t>
        </w:r>
      </w:hyperlink>
    </w:p>
    <w:p>
      <w:pPr>
        <w:sectPr>
          <w:pgSz w:w="11900" w:h="16838" w:orient="portrait"/>
          <w:cols w:equalWidth="0" w:num="1">
            <w:col w:w="11420"/>
          </w:cols>
          <w:pgMar w:left="240" w:top="341" w:right="239" w:bottom="1440" w:gutter="0" w:footer="0" w:header="0"/>
        </w:sectPr>
      </w:pPr>
    </w:p>
    <w:bookmarkStart w:id="2" w:name="page3"/>
    <w:bookmarkEnd w:id="2"/>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840"/>
        <w:spacing w:after="0"/>
        <w:tabs>
          <w:tab w:leader="none" w:pos="6520" w:val="left"/>
          <w:tab w:leader="none" w:pos="7020" w:val="left"/>
        </w:tabs>
        <w:rPr>
          <w:sz w:val="20"/>
          <w:szCs w:val="20"/>
          <w:color w:val="auto"/>
        </w:rPr>
      </w:pPr>
      <w:r>
        <w:rPr>
          <w:rFonts w:ascii="Arial" w:cs="Arial" w:eastAsia="Arial" w:hAnsi="Arial"/>
          <w:sz w:val="18"/>
          <w:szCs w:val="18"/>
          <w:color w:val="auto"/>
        </w:rPr>
        <w:t>Date: August 29,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31750</wp:posOffset>
            </wp:positionV>
            <wp:extent cx="229806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580" w:right="2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5467985</wp:posOffset>
            </wp:positionH>
            <wp:positionV relativeFrom="paragraph">
              <wp:posOffset>180340</wp:posOffset>
            </wp:positionV>
            <wp:extent cx="1783715" cy="137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78371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Second Quarter of Fiscal Year 2020</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16" w:lineRule="exact"/>
        <w:rPr>
          <w:sz w:val="20"/>
          <w:szCs w:val="20"/>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Q2 Revenue: $657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Q2 Gross Margin: 53.4% GAAP gross margin; 63.3% non-GAAP gross margin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Q2 Diluted income (loss) per share: $(0.09) GAAP diluted loss per share; $0.16 non-GAAP diluted income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Cash and short-term investments: $573 million</w:t>
      </w:r>
    </w:p>
    <w:p>
      <w:pPr>
        <w:spacing w:after="0" w:line="207" w:lineRule="exact"/>
        <w:rPr>
          <w:sz w:val="20"/>
          <w:szCs w:val="20"/>
          <w:color w:val="auto"/>
        </w:rPr>
      </w:pPr>
    </w:p>
    <w:p>
      <w:pPr>
        <w:jc w:val="both"/>
        <w:ind w:right="440"/>
        <w:spacing w:after="0" w:line="266" w:lineRule="auto"/>
        <w:rPr>
          <w:sz w:val="20"/>
          <w:szCs w:val="20"/>
          <w:color w:val="auto"/>
        </w:rPr>
      </w:pPr>
      <w:r>
        <w:rPr>
          <w:rFonts w:ascii="Arial" w:cs="Arial" w:eastAsia="Arial" w:hAnsi="Arial"/>
          <w:sz w:val="18"/>
          <w:szCs w:val="18"/>
          <w:b w:val="1"/>
          <w:bCs w:val="1"/>
          <w:color w:val="auto"/>
        </w:rPr>
        <w:t xml:space="preserve">Santa Clara, Calif. (August 29, 2019)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second quarter of fiscal year 2020. Revenue for the second quarter of fiscal 2020 was $657 million, which exceeded the midpoint of the Company's guidance provided on May 30, 2019.</w:t>
      </w:r>
    </w:p>
    <w:p>
      <w:pPr>
        <w:spacing w:after="0" w:line="72"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GAAP net loss for the second quarter of fiscal 2020 was $(57) million, or $(0.09) per diluted share. Non-GAAP net income for the second quarter of fiscal 2020 was $110 million, or $0.16 per diluted share. Cash flow from operations for the second quarter was $73 million.</w:t>
      </w:r>
    </w:p>
    <w:p>
      <w:pPr>
        <w:spacing w:after="0" w:line="279"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“Marvell delivered solid second quarter results with revenue above the mid-point of our guidance and we fully achieved the operating expense reductions we had outlined last year, two quarters ahead of schedule,” said Matt Murphy, Marvell’s President and CEO. “In our third quarter, we face a worsening macro environment along with the ongoing impact from the current restrictions on shipments to Huawei, offset by a stabilizing storage business and the earlier than expected first production shipments of our 5G solutions.”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Marvell's third quarter guidance takes into account the U.S. Government's export restriction on Huawei.</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Third Quarter of Fiscal 2020 Financial Outlook</w:t>
      </w:r>
    </w:p>
    <w:p>
      <w:pPr>
        <w:spacing w:after="0" w:line="135"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is expected to be $660 million +/- 3%.</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53.5% to 54.5%.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63% to 64%.</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$380 million to $390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$280 million +/- $2.5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loss per share is expected to be $(0.09) to $(0.05)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$0.15 to $0.19 per share.</w:t>
      </w:r>
    </w:p>
    <w:p>
      <w:pPr>
        <w:sectPr>
          <w:pgSz w:w="11900" w:h="16838" w:orient="portrait"/>
          <w:cols w:equalWidth="0" w:num="1">
            <w:col w:w="11420"/>
          </w:cols>
          <w:pgMar w:left="240" w:top="121"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27" w:lineRule="exact"/>
        <w:rPr>
          <w:sz w:val="20"/>
          <w:szCs w:val="20"/>
          <w:color w:val="auto"/>
        </w:rPr>
      </w:pPr>
    </w:p>
    <w:p>
      <w:pPr>
        <w:ind w:right="420"/>
        <w:spacing w:after="0" w:line="254" w:lineRule="auto"/>
        <w:rPr>
          <w:sz w:val="20"/>
          <w:szCs w:val="20"/>
          <w:color w:val="auto"/>
        </w:rPr>
      </w:pPr>
      <w:r>
        <w:rPr>
          <w:rFonts w:ascii="Arial" w:cs="Arial" w:eastAsia="Arial" w:hAnsi="Arial"/>
          <w:sz w:val="18"/>
          <w:szCs w:val="18"/>
          <w:color w:val="auto"/>
        </w:rPr>
        <w:t>Marvell will conduct a conference call on Thursday, August 29, 2019 at 1:45 p.m. Pacific Time to discuss results for the second quarter of fiscal 2020. Interested parties may join the conference call by dialing 1-844-647-5488 or 1-615-247-0258, pass-code 1183687. The call will be webcast and can be accessed at the Marvell Investor Relations website at http://investor.marvell.com/ with a replay available following the call until Thursday, September 5, 2019.</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jc w:val="both"/>
        <w:ind w:right="340"/>
        <w:spacing w:after="0" w:line="312"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step up, amortization of acquired intangible assets, acquisition and divestiture-related costs, restructuring and other related charges, litigation settlement, and certain expenses and benefits that are driven primarily by discrete events that management does not consider to be directly related to Marvell’s core business.</w:t>
      </w:r>
    </w:p>
    <w:p>
      <w:pPr>
        <w:spacing w:after="0" w:line="39"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second quarter of fiscal 2020, a non-GAAP tax rate of 4.5% has been applied to the non-GAAP financial results.</w:t>
      </w:r>
    </w:p>
    <w:p>
      <w:pPr>
        <w:spacing w:after="0" w:line="85"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70"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364" w:right="25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proposed acquisitions of Aquantia, Corp. and the Application Specific Integrated Circuit (ASIC) business of GLOBALFOUNDRIES and the divestiture of Marvell's Wi-Fi Connectivity business to NXP (collectively, the “Transactions”) will not be completed; the risk that the company may not realize the anticipated benefits of the Transactions; the effect of the consummation of the Transactions on the company's business relationships, operating results, and business generally; potential difficulties in employee retention as a result of the Transactions; the ability of Marvell to successfully integrate operations and product lines related to the acquisitions; the ability of Marvell to implement its plans, forecasts, and other expectations with respect to the Transactions and realize the anticipated synergies and cost savings in the time frame anticipated or at all; the impact of international conflict and economic volatility in either domestic or foreign markets including risks related to trade conflicts, bans and tariffs; the risks associated with manufacturing and selling products and customers’ products outside of the United States; Marvell's ability to define, design and develop products for the 5G market; Marvell's ability to market its 5G products to Tier 1 infrastructure customers; the effects of transitioning to smaller geometry process technologies; the impact of any change in the income tax laws in jurisdictions where Marvell operates and the loss of any beneficial tax treatment that Marvell currently enjoys;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the impact and costs associated with changes in international financial and regulatory conditions;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risks associated with acquisition and consolidation activity in the semiconductor industry; the effects of any other potential acquisitions, divestitures or investments; Marvell’s ability to protect its intellectual property; Marvell’s maintenance of an effective system of internal controls; severe financial hardship or bankruptcy of one or more of Marvell’s major customers; and other risks detailed in Marvell’s SEC filings from time to time. For other factors that could cause Marvell’s results to vary from expectations, please see the risk factors identified in Marvell’s Quarterly Report on Form 10-Q for the fiscal quarter ended May 4, 2019 as filed with the SEC on June 6, 2019, and other factors detailed from time to time in Marvell’s filings with the SEC. Marvell undertakes no obligation to revise or publicly update any forward-looking statements.</w:t>
      </w:r>
    </w:p>
    <w:p>
      <w:pPr>
        <w:sectPr>
          <w:pgSz w:w="11900" w:h="16838" w:orient="portrait"/>
          <w:cols w:equalWidth="0" w:num="1">
            <w:col w:w="11400"/>
          </w:cols>
          <w:pgMar w:left="240" w:top="364" w:right="2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240" w:top="580" w:right="47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7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ind w:left="100"/>
              <w:spacing w:after="0"/>
              <w:rPr>
                <w:sz w:val="20"/>
                <w:szCs w:val="20"/>
                <w:color w:val="auto"/>
              </w:rPr>
            </w:pPr>
            <w:r>
              <w:rPr>
                <w:rFonts w:ascii="Arial" w:cs="Arial" w:eastAsia="Arial" w:hAnsi="Arial"/>
                <w:sz w:val="14"/>
                <w:szCs w:val="14"/>
                <w:b w:val="1"/>
                <w:bCs w:val="1"/>
                <w:color w:val="auto"/>
                <w:w w:val="98"/>
              </w:rPr>
              <w:t>Three Months Ended</w:t>
            </w: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4"/>
          </w:tcPr>
          <w:p>
            <w:pPr>
              <w:jc w:val="right"/>
              <w:ind w:right="632"/>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4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40" w:type="dxa"/>
            <w:vAlign w:val="bottom"/>
          </w:tcPr>
          <w:p>
            <w:pPr>
              <w:jc w:val="right"/>
              <w:ind w:right="272"/>
              <w:spacing w:after="0" w:line="153" w:lineRule="exact"/>
              <w:rPr>
                <w:sz w:val="20"/>
                <w:szCs w:val="20"/>
                <w:color w:val="auto"/>
              </w:rPr>
            </w:pPr>
            <w:r>
              <w:rPr>
                <w:rFonts w:ascii="Arial" w:cs="Arial" w:eastAsia="Arial" w:hAnsi="Arial"/>
                <w:sz w:val="14"/>
                <w:szCs w:val="14"/>
                <w:b w:val="1"/>
                <w:bCs w:val="1"/>
                <w:color w:val="auto"/>
              </w:rPr>
              <w:t>August 3,</w:t>
            </w:r>
          </w:p>
        </w:tc>
        <w:tc>
          <w:tcPr>
            <w:tcW w:w="1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12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May 4,</w:t>
            </w:r>
          </w:p>
        </w:tc>
        <w:tc>
          <w:tcPr>
            <w:tcW w:w="220" w:type="dxa"/>
            <w:vAlign w:val="bottom"/>
          </w:tcPr>
          <w:p>
            <w:pPr>
              <w:spacing w:after="0"/>
              <w:rPr>
                <w:sz w:val="13"/>
                <w:szCs w:val="13"/>
                <w:color w:val="auto"/>
              </w:rPr>
            </w:pPr>
          </w:p>
        </w:tc>
        <w:tc>
          <w:tcPr>
            <w:tcW w:w="11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August 4,</w:t>
            </w:r>
          </w:p>
        </w:tc>
        <w:tc>
          <w:tcPr>
            <w:tcW w:w="220" w:type="dxa"/>
            <w:vAlign w:val="bottom"/>
          </w:tcPr>
          <w:p>
            <w:pPr>
              <w:spacing w:after="0"/>
              <w:rPr>
                <w:sz w:val="13"/>
                <w:szCs w:val="13"/>
                <w:color w:val="auto"/>
              </w:rPr>
            </w:pPr>
          </w:p>
        </w:tc>
        <w:tc>
          <w:tcPr>
            <w:tcW w:w="11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August 3,</w:t>
            </w:r>
          </w:p>
        </w:tc>
        <w:tc>
          <w:tcPr>
            <w:tcW w:w="220" w:type="dxa"/>
            <w:vAlign w:val="bottom"/>
          </w:tcPr>
          <w:p>
            <w:pPr>
              <w:spacing w:after="0"/>
              <w:rPr>
                <w:sz w:val="13"/>
                <w:szCs w:val="13"/>
                <w:color w:val="auto"/>
              </w:rPr>
            </w:pPr>
          </w:p>
        </w:tc>
        <w:tc>
          <w:tcPr>
            <w:tcW w:w="1040" w:type="dxa"/>
            <w:vAlign w:val="bottom"/>
          </w:tcPr>
          <w:p>
            <w:pPr>
              <w:jc w:val="right"/>
              <w:ind w:right="272"/>
              <w:spacing w:after="0" w:line="153" w:lineRule="exact"/>
              <w:rPr>
                <w:sz w:val="20"/>
                <w:szCs w:val="20"/>
                <w:color w:val="auto"/>
              </w:rPr>
            </w:pPr>
            <w:r>
              <w:rPr>
                <w:rFonts w:ascii="Arial" w:cs="Arial" w:eastAsia="Arial" w:hAnsi="Arial"/>
                <w:sz w:val="14"/>
                <w:szCs w:val="14"/>
                <w:b w:val="1"/>
                <w:bCs w:val="1"/>
                <w:color w:val="auto"/>
              </w:rPr>
              <w:t>August 4,</w:t>
            </w:r>
          </w:p>
        </w:tc>
      </w:tr>
      <w:tr>
        <w:trPr>
          <w:trHeight w:val="192"/>
        </w:trPr>
        <w:tc>
          <w:tcPr>
            <w:tcW w:w="47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2018</w:t>
            </w: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656,568</w:t>
            </w:r>
          </w:p>
        </w:tc>
        <w:tc>
          <w:tcPr>
            <w:tcW w:w="36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662,452</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665,310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1,319,020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1,269,941</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305,866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0" w:type="dxa"/>
            <w:vAlign w:val="bottom"/>
          </w:tcPr>
          <w:p>
            <w:pPr>
              <w:jc w:val="right"/>
              <w:ind w:right="12"/>
              <w:spacing w:after="0"/>
              <w:rPr>
                <w:sz w:val="20"/>
                <w:szCs w:val="20"/>
                <w:color w:val="auto"/>
              </w:rPr>
            </w:pPr>
            <w:r>
              <w:rPr>
                <w:rFonts w:ascii="Arial" w:cs="Arial" w:eastAsia="Arial" w:hAnsi="Arial"/>
                <w:sz w:val="18"/>
                <w:szCs w:val="18"/>
                <w:color w:val="auto"/>
              </w:rPr>
              <w:t>301,024</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288,200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606,890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517,138</w:t>
            </w:r>
          </w:p>
        </w:tc>
      </w:tr>
      <w:tr>
        <w:trPr>
          <w:trHeight w:val="27"/>
        </w:trPr>
        <w:tc>
          <w:tcPr>
            <w:tcW w:w="47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350,702</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361,428</w:t>
            </w: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377,110</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712,130</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752,803</w:t>
            </w:r>
          </w:p>
        </w:tc>
      </w:tr>
      <w:tr>
        <w:trPr>
          <w:trHeight w:val="318"/>
        </w:trPr>
        <w:tc>
          <w:tcPr>
            <w:tcW w:w="470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Borders>
              <w:top w:val="single" w:sz="8" w:color="auto"/>
            </w:tcBorders>
          </w:tcPr>
          <w:p>
            <w:pPr>
              <w:spacing w:after="0"/>
              <w:rPr>
                <w:sz w:val="24"/>
                <w:szCs w:val="24"/>
                <w:color w:val="auto"/>
              </w:rPr>
            </w:pPr>
          </w:p>
        </w:tc>
        <w:tc>
          <w:tcPr>
            <w:tcW w:w="100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266,354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0" w:type="dxa"/>
            <w:vAlign w:val="bottom"/>
          </w:tcPr>
          <w:p>
            <w:pPr>
              <w:jc w:val="right"/>
              <w:ind w:right="12"/>
              <w:spacing w:after="0"/>
              <w:rPr>
                <w:sz w:val="20"/>
                <w:szCs w:val="20"/>
                <w:color w:val="auto"/>
              </w:rPr>
            </w:pPr>
            <w:r>
              <w:rPr>
                <w:rFonts w:ascii="Arial" w:cs="Arial" w:eastAsia="Arial" w:hAnsi="Arial"/>
                <w:sz w:val="18"/>
                <w:szCs w:val="18"/>
                <w:color w:val="auto"/>
              </w:rPr>
              <w:t>266,867</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216,285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533,221</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393,019</w:t>
            </w:r>
          </w:p>
        </w:tc>
      </w:tr>
      <w:tr>
        <w:trPr>
          <w:trHeight w:val="27"/>
        </w:trPr>
        <w:tc>
          <w:tcPr>
            <w:tcW w:w="4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113,990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110,005</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133,701</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223,995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206,014</w:t>
            </w:r>
          </w:p>
        </w:tc>
      </w:tr>
      <w:tr>
        <w:trPr>
          <w:trHeight w:val="243"/>
        </w:trPr>
        <w:tc>
          <w:tcPr>
            <w:tcW w:w="4700" w:type="dxa"/>
            <w:vAlign w:val="bottom"/>
          </w:tcPr>
          <w:p>
            <w:pPr>
              <w:ind w:left="460"/>
              <w:spacing w:after="0"/>
              <w:rPr>
                <w:sz w:val="20"/>
                <w:szCs w:val="20"/>
                <w:color w:val="auto"/>
              </w:rPr>
            </w:pPr>
            <w:r>
              <w:rPr>
                <w:rFonts w:ascii="Arial" w:cs="Arial" w:eastAsia="Arial" w:hAnsi="Arial"/>
                <w:sz w:val="18"/>
                <w:szCs w:val="18"/>
                <w:color w:val="auto"/>
              </w:rPr>
              <w:t>Restructuring related charges</w:t>
            </w: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16,586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0" w:type="dxa"/>
            <w:vAlign w:val="bottom"/>
          </w:tcPr>
          <w:p>
            <w:pPr>
              <w:jc w:val="right"/>
              <w:ind w:right="12"/>
              <w:spacing w:after="0"/>
              <w:rPr>
                <w:sz w:val="20"/>
                <w:szCs w:val="20"/>
                <w:color w:val="auto"/>
              </w:rPr>
            </w:pPr>
            <w:r>
              <w:rPr>
                <w:rFonts w:ascii="Arial" w:cs="Arial" w:eastAsia="Arial" w:hAnsi="Arial"/>
                <w:sz w:val="18"/>
                <w:szCs w:val="18"/>
                <w:color w:val="auto"/>
              </w:rPr>
              <w:t>5,682</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35,415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22,268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36,982</w:t>
            </w:r>
          </w:p>
        </w:tc>
      </w:tr>
      <w:tr>
        <w:trPr>
          <w:trHeight w:val="27"/>
        </w:trPr>
        <w:tc>
          <w:tcPr>
            <w:tcW w:w="47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7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operating expenses</w:t>
            </w: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396,930</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382,554</w:t>
            </w: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385,401</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779,484</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636,015</w:t>
            </w:r>
          </w:p>
        </w:tc>
      </w:tr>
      <w:tr>
        <w:trPr>
          <w:trHeight w:val="237"/>
        </w:trPr>
        <w:tc>
          <w:tcPr>
            <w:tcW w:w="4700" w:type="dxa"/>
            <w:vAlign w:val="bottom"/>
          </w:tcPr>
          <w:p>
            <w:pPr>
              <w:ind w:left="40"/>
              <w:spacing w:after="0"/>
              <w:rPr>
                <w:sz w:val="20"/>
                <w:szCs w:val="20"/>
                <w:color w:val="auto"/>
              </w:rPr>
            </w:pPr>
            <w:r>
              <w:rPr>
                <w:rFonts w:ascii="Arial" w:cs="Arial" w:eastAsia="Arial" w:hAnsi="Arial"/>
                <w:sz w:val="18"/>
                <w:szCs w:val="18"/>
                <w:color w:val="auto"/>
              </w:rPr>
              <w:t>Operating income (loss)</w:t>
            </w: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(46,228)</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(21,126)</w:t>
            </w:r>
          </w:p>
        </w:tc>
        <w:tc>
          <w:tcPr>
            <w:tcW w:w="1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(8,291)</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(67,354)</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116,788</w:t>
            </w:r>
          </w:p>
        </w:tc>
      </w:tr>
      <w:tr>
        <w:trPr>
          <w:trHeight w:val="27"/>
        </w:trPr>
        <w:tc>
          <w:tcPr>
            <w:tcW w:w="4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Interest income</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1,077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1,268</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3,575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2,345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9,644</w:t>
            </w:r>
          </w:p>
        </w:tc>
      </w:tr>
      <w:tr>
        <w:trPr>
          <w:trHeight w:val="243"/>
        </w:trPr>
        <w:tc>
          <w:tcPr>
            <w:tcW w:w="4700" w:type="dxa"/>
            <w:vAlign w:val="bottom"/>
          </w:tcPr>
          <w:p>
            <w:pPr>
              <w:ind w:left="460"/>
              <w:spacing w:after="0"/>
              <w:rPr>
                <w:sz w:val="20"/>
                <w:szCs w:val="20"/>
                <w:color w:val="auto"/>
              </w:rPr>
            </w:pPr>
            <w:r>
              <w:rPr>
                <w:rFonts w:ascii="Arial" w:cs="Arial" w:eastAsia="Arial" w:hAnsi="Arial"/>
                <w:sz w:val="18"/>
                <w:szCs w:val="18"/>
                <w:color w:val="auto"/>
              </w:rPr>
              <w:t>Interest expense</w:t>
            </w: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(20,531)</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(21,203)</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(15,795)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(41,734)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(16,039)</w:t>
            </w:r>
          </w:p>
        </w:tc>
      </w:tr>
      <w:tr>
        <w:trPr>
          <w:trHeight w:val="27"/>
        </w:trPr>
        <w:tc>
          <w:tcPr>
            <w:tcW w:w="4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47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income (loss), net</w:t>
            </w: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(2,197)</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(116)</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(2,701)</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(2,313)</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(1,230)</w:t>
            </w:r>
          </w:p>
        </w:tc>
      </w:tr>
      <w:tr>
        <w:trPr>
          <w:trHeight w:val="237"/>
        </w:trPr>
        <w:tc>
          <w:tcPr>
            <w:tcW w:w="4700" w:type="dxa"/>
            <w:vAlign w:val="bottom"/>
          </w:tcPr>
          <w:p>
            <w:pPr>
              <w:ind w:left="900"/>
              <w:spacing w:after="0"/>
              <w:rPr>
                <w:sz w:val="20"/>
                <w:szCs w:val="20"/>
                <w:color w:val="auto"/>
              </w:rPr>
            </w:pPr>
            <w:r>
              <w:rPr>
                <w:rFonts w:ascii="Arial" w:cs="Arial" w:eastAsia="Arial" w:hAnsi="Arial"/>
                <w:sz w:val="18"/>
                <w:szCs w:val="18"/>
                <w:color w:val="auto"/>
              </w:rPr>
              <w:t>Interest and other income (loss), net</w:t>
            </w: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(21,651)</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(20,051)</w:t>
            </w:r>
          </w:p>
        </w:tc>
        <w:tc>
          <w:tcPr>
            <w:tcW w:w="1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(14,921)</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(41,702)</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(7,625)</w:t>
            </w:r>
          </w:p>
        </w:tc>
      </w:tr>
      <w:tr>
        <w:trPr>
          <w:trHeight w:val="27"/>
        </w:trPr>
        <w:tc>
          <w:tcPr>
            <w:tcW w:w="47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44"/>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before income taxes</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(67,879)</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(41,177)</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(23,212)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(109,056)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109,163</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(10,548)</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0" w:type="dxa"/>
            <w:vAlign w:val="bottom"/>
          </w:tcPr>
          <w:p>
            <w:pPr>
              <w:jc w:val="right"/>
              <w:ind w:right="12"/>
              <w:spacing w:after="0"/>
              <w:rPr>
                <w:sz w:val="20"/>
                <w:szCs w:val="20"/>
                <w:color w:val="auto"/>
              </w:rPr>
            </w:pPr>
            <w:r>
              <w:rPr>
                <w:rFonts w:ascii="Arial" w:cs="Arial" w:eastAsia="Arial" w:hAnsi="Arial"/>
                <w:sz w:val="18"/>
                <w:szCs w:val="18"/>
                <w:color w:val="auto"/>
              </w:rPr>
              <w:t>7,273</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(29,971)</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(3,275)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(26,208)</w:t>
            </w:r>
          </w:p>
        </w:tc>
      </w:tr>
      <w:tr>
        <w:trPr>
          <w:trHeight w:val="27"/>
        </w:trPr>
        <w:tc>
          <w:tcPr>
            <w:tcW w:w="47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6,759</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(105,781)</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135,371</w:t>
            </w:r>
          </w:p>
        </w:tc>
      </w:tr>
      <w:tr>
        <w:trPr>
          <w:trHeight w:val="291"/>
        </w:trPr>
        <w:tc>
          <w:tcPr>
            <w:tcW w:w="470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Borders>
              <w:top w:val="single" w:sz="8" w:color="auto"/>
            </w:tcBorders>
          </w:tcPr>
          <w:p>
            <w:pPr>
              <w:spacing w:after="0"/>
              <w:rPr>
                <w:sz w:val="24"/>
                <w:szCs w:val="24"/>
                <w:color w:val="auto"/>
              </w:rPr>
            </w:pPr>
          </w:p>
        </w:tc>
        <w:tc>
          <w:tcPr>
            <w:tcW w:w="100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r>
      <w:tr>
        <w:trPr>
          <w:trHeight w:val="275"/>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Basic:</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36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0.26</w:t>
            </w:r>
          </w:p>
        </w:tc>
      </w:tr>
      <w:tr>
        <w:trPr>
          <w:trHeight w:val="20"/>
        </w:trPr>
        <w:tc>
          <w:tcPr>
            <w:tcW w:w="47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278"/>
        </w:trPr>
        <w:tc>
          <w:tcPr>
            <w:tcW w:w="4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275"/>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Diluted:</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36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0.25</w:t>
            </w:r>
          </w:p>
        </w:tc>
      </w:tr>
      <w:tr>
        <w:trPr>
          <w:trHeight w:val="20"/>
        </w:trPr>
        <w:tc>
          <w:tcPr>
            <w:tcW w:w="47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278"/>
        </w:trPr>
        <w:tc>
          <w:tcPr>
            <w:tcW w:w="4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460"/>
              <w:spacing w:after="0"/>
              <w:rPr>
                <w:sz w:val="20"/>
                <w:szCs w:val="20"/>
                <w:color w:val="auto"/>
              </w:rPr>
            </w:pPr>
            <w:r>
              <w:rPr>
                <w:rFonts w:ascii="Arial" w:cs="Arial" w:eastAsia="Arial" w:hAnsi="Arial"/>
                <w:sz w:val="18"/>
                <w:szCs w:val="18"/>
                <w:color w:val="auto"/>
              </w:rPr>
              <w:t>Basic</w:t>
            </w: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663,603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0" w:type="dxa"/>
            <w:vAlign w:val="bottom"/>
          </w:tcPr>
          <w:p>
            <w:pPr>
              <w:jc w:val="right"/>
              <w:ind w:right="12"/>
              <w:spacing w:after="0"/>
              <w:rPr>
                <w:sz w:val="20"/>
                <w:szCs w:val="20"/>
                <w:color w:val="auto"/>
              </w:rPr>
            </w:pPr>
            <w:r>
              <w:rPr>
                <w:rFonts w:ascii="Arial" w:cs="Arial" w:eastAsia="Arial" w:hAnsi="Arial"/>
                <w:sz w:val="18"/>
                <w:szCs w:val="18"/>
                <w:color w:val="auto"/>
              </w:rPr>
              <w:t>658,963</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552,238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661,280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12"/>
              <w:spacing w:after="0"/>
              <w:rPr>
                <w:sz w:val="20"/>
                <w:szCs w:val="20"/>
                <w:color w:val="auto"/>
              </w:rPr>
            </w:pPr>
            <w:r>
              <w:rPr>
                <w:rFonts w:ascii="Arial" w:cs="Arial" w:eastAsia="Arial" w:hAnsi="Arial"/>
                <w:sz w:val="18"/>
                <w:szCs w:val="18"/>
                <w:color w:val="auto"/>
              </w:rPr>
              <w:t>524,787</w:t>
            </w:r>
          </w:p>
        </w:tc>
      </w:tr>
      <w:tr>
        <w:trPr>
          <w:trHeight w:val="27"/>
        </w:trPr>
        <w:tc>
          <w:tcPr>
            <w:tcW w:w="47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43"/>
        </w:trPr>
        <w:tc>
          <w:tcPr>
            <w:tcW w:w="4700" w:type="dxa"/>
            <w:vAlign w:val="bottom"/>
            <w:shd w:val="clear" w:color="auto" w:fill="CCEEFF"/>
          </w:tcPr>
          <w:p>
            <w:pPr>
              <w:ind w:left="460"/>
              <w:spacing w:after="0"/>
              <w:rPr>
                <w:sz w:val="20"/>
                <w:szCs w:val="20"/>
                <w:color w:val="auto"/>
              </w:rPr>
            </w:pPr>
            <w:r>
              <w:rPr>
                <w:rFonts w:ascii="Arial" w:cs="Arial" w:eastAsia="Arial" w:hAnsi="Arial"/>
                <w:sz w:val="18"/>
                <w:szCs w:val="18"/>
                <w:color w:val="auto"/>
              </w:rPr>
              <w:t>Diluted</w:t>
            </w:r>
          </w:p>
        </w:tc>
        <w:tc>
          <w:tcPr>
            <w:tcW w:w="22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663,603</w:t>
            </w:r>
          </w:p>
        </w:tc>
        <w:tc>
          <w:tcPr>
            <w:tcW w:w="120" w:type="dxa"/>
            <w:vAlign w:val="bottom"/>
            <w:shd w:val="clear" w:color="auto" w:fill="CCEEFF"/>
          </w:tcPr>
          <w:p>
            <w:pPr>
              <w:spacing w:after="0"/>
              <w:rPr>
                <w:sz w:val="21"/>
                <w:szCs w:val="21"/>
                <w:color w:val="auto"/>
              </w:rPr>
            </w:pPr>
          </w:p>
        </w:tc>
        <w:tc>
          <w:tcPr>
            <w:tcW w:w="240" w:type="dxa"/>
            <w:vAlign w:val="bottom"/>
            <w:shd w:val="clear" w:color="auto" w:fill="CCEEFF"/>
          </w:tcPr>
          <w:p>
            <w:pPr>
              <w:spacing w:after="0"/>
              <w:rPr>
                <w:sz w:val="21"/>
                <w:szCs w:val="21"/>
                <w:color w:val="auto"/>
              </w:rPr>
            </w:pPr>
          </w:p>
        </w:tc>
        <w:tc>
          <w:tcPr>
            <w:tcW w:w="10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658,963</w:t>
            </w:r>
          </w:p>
        </w:tc>
        <w:tc>
          <w:tcPr>
            <w:tcW w:w="1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562,149</w:t>
            </w:r>
          </w:p>
        </w:tc>
        <w:tc>
          <w:tcPr>
            <w:tcW w:w="1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661,280</w:t>
            </w:r>
          </w:p>
        </w:tc>
        <w:tc>
          <w:tcPr>
            <w:tcW w:w="1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0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535,433</w:t>
            </w:r>
          </w:p>
        </w:tc>
      </w:tr>
      <w:tr>
        <w:trPr>
          <w:trHeight w:val="27"/>
        </w:trPr>
        <w:tc>
          <w:tcPr>
            <w:tcW w:w="470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00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40" w:type="dxa"/>
            <w:vAlign w:val="bottom"/>
            <w:shd w:val="clear" w:color="auto" w:fill="CCEEFF"/>
          </w:tcPr>
          <w:p>
            <w:pPr>
              <w:spacing w:after="0"/>
              <w:rPr>
                <w:sz w:val="2"/>
                <w:szCs w:val="2"/>
                <w:color w:val="auto"/>
              </w:rPr>
            </w:pPr>
          </w:p>
        </w:tc>
      </w:tr>
    </w:tbl>
    <w:p>
      <w:pPr>
        <w:sectPr>
          <w:pgSz w:w="11900" w:h="16838" w:orient="portrait"/>
          <w:cols w:equalWidth="0" w:num="1">
            <w:col w:w="11420"/>
          </w:cols>
          <w:pgMar w:left="240" w:top="364" w:right="23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57" w:lineRule="exact"/>
        <w:rPr>
          <w:sz w:val="20"/>
          <w:szCs w:val="20"/>
          <w:color w:val="auto"/>
        </w:rPr>
      </w:pPr>
    </w:p>
    <w:tbl>
      <w:tblPr>
        <w:tblLayout w:type="fixed"/>
        <w:tblInd w:w="0" w:type="dxa"/>
        <w:tblCellMar>
          <w:top w:w="0" w:type="dxa"/>
          <w:left w:w="0" w:type="dxa"/>
          <w:bottom w:w="0" w:type="dxa"/>
          <w:right w:w="0" w:type="dxa"/>
        </w:tblCellMar>
      </w:tblPr>
      <w:tr>
        <w:trPr>
          <w:trHeight w:val="203"/>
        </w:trPr>
        <w:tc>
          <w:tcPr>
            <w:tcW w:w="79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540" w:type="dxa"/>
            <w:vAlign w:val="bottom"/>
            <w:gridSpan w:val="2"/>
          </w:tcPr>
          <w:p>
            <w:pPr>
              <w:ind w:left="180"/>
              <w:spacing w:after="0"/>
              <w:rPr>
                <w:sz w:val="20"/>
                <w:szCs w:val="20"/>
                <w:color w:val="auto"/>
              </w:rPr>
            </w:pPr>
            <w:r>
              <w:rPr>
                <w:rFonts w:ascii="Arial" w:cs="Arial" w:eastAsia="Arial" w:hAnsi="Arial"/>
                <w:sz w:val="16"/>
                <w:szCs w:val="16"/>
                <w:b w:val="1"/>
                <w:bCs w:val="1"/>
                <w:color w:val="auto"/>
              </w:rPr>
              <w:t>August 3,</w:t>
            </w:r>
          </w:p>
        </w:tc>
        <w:tc>
          <w:tcPr>
            <w:tcW w:w="240" w:type="dxa"/>
            <w:vAlign w:val="bottom"/>
          </w:tcPr>
          <w:p>
            <w:pPr>
              <w:spacing w:after="0"/>
              <w:rPr>
                <w:sz w:val="17"/>
                <w:szCs w:val="17"/>
                <w:color w:val="auto"/>
              </w:rPr>
            </w:pPr>
          </w:p>
        </w:tc>
        <w:tc>
          <w:tcPr>
            <w:tcW w:w="1340" w:type="dxa"/>
            <w:vAlign w:val="bottom"/>
          </w:tcPr>
          <w:p>
            <w:pPr>
              <w:jc w:val="right"/>
              <w:ind w:right="311"/>
              <w:spacing w:after="0"/>
              <w:rPr>
                <w:sz w:val="20"/>
                <w:szCs w:val="20"/>
                <w:color w:val="auto"/>
              </w:rPr>
            </w:pPr>
            <w:r>
              <w:rPr>
                <w:rFonts w:ascii="Arial" w:cs="Arial" w:eastAsia="Arial" w:hAnsi="Arial"/>
                <w:sz w:val="16"/>
                <w:szCs w:val="16"/>
                <w:b w:val="1"/>
                <w:bCs w:val="1"/>
                <w:color w:val="auto"/>
              </w:rPr>
              <w:t>February 2,</w:t>
            </w:r>
          </w:p>
        </w:tc>
      </w:tr>
      <w:tr>
        <w:trPr>
          <w:trHeight w:val="210"/>
        </w:trPr>
        <w:tc>
          <w:tcPr>
            <w:tcW w:w="7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jc w:val="right"/>
              <w:ind w:right="551"/>
              <w:spacing w:after="0"/>
              <w:rPr>
                <w:sz w:val="20"/>
                <w:szCs w:val="20"/>
                <w:color w:val="auto"/>
              </w:rPr>
            </w:pPr>
            <w:r>
              <w:rPr>
                <w:rFonts w:ascii="Arial" w:cs="Arial" w:eastAsia="Arial" w:hAnsi="Arial"/>
                <w:sz w:val="16"/>
                <w:szCs w:val="16"/>
                <w:b w:val="1"/>
                <w:bCs w:val="1"/>
                <w:color w:val="auto"/>
              </w:rPr>
              <w:t>2019</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jc w:val="right"/>
              <w:ind w:right="531"/>
              <w:spacing w:after="0"/>
              <w:rPr>
                <w:sz w:val="20"/>
                <w:szCs w:val="20"/>
                <w:color w:val="auto"/>
              </w:rPr>
            </w:pPr>
            <w:r>
              <w:rPr>
                <w:rFonts w:ascii="Arial" w:cs="Arial" w:eastAsia="Arial" w:hAnsi="Arial"/>
                <w:sz w:val="16"/>
                <w:szCs w:val="16"/>
                <w:b w:val="1"/>
                <w:bCs w:val="1"/>
                <w:color w:val="auto"/>
              </w:rPr>
              <w:t>2019</w:t>
            </w:r>
          </w:p>
        </w:tc>
      </w:tr>
      <w:tr>
        <w:trPr>
          <w:trHeight w:val="33"/>
        </w:trPr>
        <w:tc>
          <w:tcPr>
            <w:tcW w:w="79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7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Assets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798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573,496</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r>
      <w:tr>
        <w:trPr>
          <w:trHeight w:val="243"/>
        </w:trPr>
        <w:tc>
          <w:tcPr>
            <w:tcW w:w="7980" w:type="dxa"/>
            <w:vAlign w:val="bottom"/>
          </w:tcPr>
          <w:p>
            <w:pPr>
              <w:ind w:left="460"/>
              <w:spacing w:after="0"/>
              <w:rPr>
                <w:sz w:val="20"/>
                <w:szCs w:val="20"/>
                <w:color w:val="auto"/>
              </w:rPr>
            </w:pPr>
            <w:r>
              <w:rPr>
                <w:rFonts w:ascii="Arial" w:cs="Arial" w:eastAsia="Arial" w:hAnsi="Arial"/>
                <w:sz w:val="18"/>
                <w:szCs w:val="18"/>
                <w:color w:val="auto"/>
              </w:rPr>
              <w:t>Accounts receivable, net</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452,746</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493,122</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Inventories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240,421</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276,005</w:t>
            </w:r>
          </w:p>
        </w:tc>
      </w:tr>
      <w:tr>
        <w:trPr>
          <w:trHeight w:val="243"/>
        </w:trPr>
        <w:tc>
          <w:tcPr>
            <w:tcW w:w="7980" w:type="dxa"/>
            <w:vAlign w:val="bottom"/>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37,069</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43,721</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Assets held for sale</w:t>
            </w:r>
          </w:p>
        </w:tc>
        <w:tc>
          <w:tcPr>
            <w:tcW w:w="28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597,675</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37"/>
        </w:trPr>
        <w:tc>
          <w:tcPr>
            <w:tcW w:w="7980" w:type="dxa"/>
            <w:vAlign w:val="bottom"/>
          </w:tcPr>
          <w:p>
            <w:pPr>
              <w:ind w:left="900"/>
              <w:spacing w:after="0"/>
              <w:rPr>
                <w:sz w:val="20"/>
                <w:szCs w:val="20"/>
                <w:color w:val="auto"/>
              </w:rPr>
            </w:pPr>
            <w:r>
              <w:rPr>
                <w:rFonts w:ascii="Arial" w:cs="Arial" w:eastAsia="Arial" w:hAnsi="Arial"/>
                <w:sz w:val="18"/>
                <w:szCs w:val="18"/>
                <w:color w:val="auto"/>
              </w:rPr>
              <w:t>Total current assets</w:t>
            </w:r>
          </w:p>
        </w:tc>
        <w:tc>
          <w:tcPr>
            <w:tcW w:w="28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1,901,407</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1,395,258</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319,761</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318,978</w:t>
            </w:r>
          </w:p>
        </w:tc>
      </w:tr>
      <w:tr>
        <w:trPr>
          <w:trHeight w:val="243"/>
        </w:trPr>
        <w:tc>
          <w:tcPr>
            <w:tcW w:w="7980" w:type="dxa"/>
            <w:vAlign w:val="bottom"/>
          </w:tcPr>
          <w:p>
            <w:pPr>
              <w:ind w:left="20"/>
              <w:spacing w:after="0"/>
              <w:rPr>
                <w:sz w:val="20"/>
                <w:szCs w:val="20"/>
                <w:color w:val="auto"/>
              </w:rPr>
            </w:pPr>
            <w:r>
              <w:rPr>
                <w:rFonts w:ascii="Arial" w:cs="Arial" w:eastAsia="Arial" w:hAnsi="Arial"/>
                <w:sz w:val="18"/>
                <w:szCs w:val="18"/>
                <w:color w:val="auto"/>
              </w:rPr>
              <w:t>Goodwill</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4,933,719</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5,494,505</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Acquired intangible assets, net</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2,399,975</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2,560,682</w:t>
            </w:r>
          </w:p>
        </w:tc>
      </w:tr>
      <w:tr>
        <w:trPr>
          <w:trHeight w:val="243"/>
        </w:trPr>
        <w:tc>
          <w:tcPr>
            <w:tcW w:w="798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426,278</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247,329</w:t>
            </w:r>
          </w:p>
        </w:tc>
      </w:tr>
      <w:tr>
        <w:trPr>
          <w:trHeight w:val="27"/>
        </w:trPr>
        <w:tc>
          <w:tcPr>
            <w:tcW w:w="79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9"/>
        </w:trPr>
        <w:tc>
          <w:tcPr>
            <w:tcW w:w="79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assets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9,981,140</w:t>
            </w:r>
          </w:p>
        </w:tc>
        <w:tc>
          <w:tcPr>
            <w:tcW w:w="2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10,016,752</w:t>
            </w:r>
          </w:p>
        </w:tc>
      </w:tr>
      <w:tr>
        <w:trPr>
          <w:trHeight w:val="20"/>
        </w:trPr>
        <w:tc>
          <w:tcPr>
            <w:tcW w:w="79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r>
      <w:tr>
        <w:trPr>
          <w:trHeight w:val="264"/>
        </w:trPr>
        <w:tc>
          <w:tcPr>
            <w:tcW w:w="79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340" w:type="dxa"/>
            <w:vAlign w:val="bottom"/>
          </w:tcPr>
          <w:p>
            <w:pPr>
              <w:spacing w:after="0"/>
              <w:rPr>
                <w:sz w:val="22"/>
                <w:szCs w:val="2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798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28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payable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211,422</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185,362</w:t>
            </w:r>
          </w:p>
        </w:tc>
      </w:tr>
      <w:tr>
        <w:trPr>
          <w:trHeight w:val="243"/>
        </w:trPr>
        <w:tc>
          <w:tcPr>
            <w:tcW w:w="7980" w:type="dxa"/>
            <w:vAlign w:val="bottom"/>
          </w:tcPr>
          <w:p>
            <w:pPr>
              <w:ind w:left="46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312,987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335,509</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employee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90,659</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115,925</w:t>
            </w:r>
          </w:p>
        </w:tc>
      </w:tr>
      <w:tr>
        <w:trPr>
          <w:trHeight w:val="243"/>
        </w:trPr>
        <w:tc>
          <w:tcPr>
            <w:tcW w:w="7980" w:type="dxa"/>
            <w:vAlign w:val="bottom"/>
          </w:tcPr>
          <w:p>
            <w:pPr>
              <w:ind w:left="460"/>
              <w:spacing w:after="0"/>
              <w:rPr>
                <w:sz w:val="20"/>
                <w:szCs w:val="20"/>
                <w:color w:val="auto"/>
              </w:rPr>
            </w:pPr>
            <w:r>
              <w:rPr>
                <w:rFonts w:ascii="Arial" w:cs="Arial" w:eastAsia="Arial" w:hAnsi="Arial"/>
                <w:sz w:val="18"/>
                <w:szCs w:val="18"/>
                <w:color w:val="auto"/>
              </w:rPr>
              <w:t>Liabilities held for sale</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5,604</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79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79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620,672</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636,796</w:t>
            </w:r>
          </w:p>
        </w:tc>
      </w:tr>
      <w:tr>
        <w:trPr>
          <w:trHeight w:val="243"/>
        </w:trPr>
        <w:tc>
          <w:tcPr>
            <w:tcW w:w="798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1,685,359</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1,732,699</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income taxes payable</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49,881</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59,221</w:t>
            </w:r>
          </w:p>
        </w:tc>
      </w:tr>
      <w:tr>
        <w:trPr>
          <w:trHeight w:val="243"/>
        </w:trPr>
        <w:tc>
          <w:tcPr>
            <w:tcW w:w="798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242,957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246,252</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28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178,459</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35,374</w:t>
            </w:r>
          </w:p>
        </w:tc>
      </w:tr>
      <w:tr>
        <w:trPr>
          <w:trHeight w:val="237"/>
        </w:trPr>
        <w:tc>
          <w:tcPr>
            <w:tcW w:w="7980" w:type="dxa"/>
            <w:vAlign w:val="bottom"/>
          </w:tcPr>
          <w:p>
            <w:pPr>
              <w:ind w:left="900"/>
              <w:spacing w:after="0"/>
              <w:rPr>
                <w:sz w:val="20"/>
                <w:szCs w:val="20"/>
                <w:color w:val="auto"/>
              </w:rPr>
            </w:pPr>
            <w:r>
              <w:rPr>
                <w:rFonts w:ascii="Arial" w:cs="Arial" w:eastAsia="Arial" w:hAnsi="Arial"/>
                <w:sz w:val="18"/>
                <w:szCs w:val="18"/>
                <w:color w:val="auto"/>
              </w:rPr>
              <w:t>Total liabilities</w:t>
            </w:r>
          </w:p>
        </w:tc>
        <w:tc>
          <w:tcPr>
            <w:tcW w:w="28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2,777,328</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2,710,342</w:t>
            </w:r>
          </w:p>
        </w:tc>
      </w:tr>
      <w:tr>
        <w:trPr>
          <w:trHeight w:val="27"/>
        </w:trPr>
        <w:tc>
          <w:tcPr>
            <w:tcW w:w="79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77"/>
        </w:trPr>
        <w:tc>
          <w:tcPr>
            <w:tcW w:w="798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3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340" w:type="dxa"/>
            <w:vAlign w:val="bottom"/>
            <w:shd w:val="clear" w:color="auto" w:fill="CCEEFF"/>
          </w:tcPr>
          <w:p>
            <w:pPr>
              <w:spacing w:after="0"/>
              <w:rPr>
                <w:sz w:val="24"/>
                <w:szCs w:val="24"/>
                <w:color w:val="auto"/>
              </w:rPr>
            </w:pPr>
          </w:p>
        </w:tc>
      </w:tr>
      <w:tr>
        <w:trPr>
          <w:trHeight w:val="243"/>
        </w:trPr>
        <w:tc>
          <w:tcPr>
            <w:tcW w:w="7980" w:type="dxa"/>
            <w:vAlign w:val="bottom"/>
          </w:tcPr>
          <w:p>
            <w:pPr>
              <w:ind w:left="20"/>
              <w:spacing w:after="0"/>
              <w:rPr>
                <w:sz w:val="20"/>
                <w:szCs w:val="20"/>
                <w:color w:val="auto"/>
              </w:rPr>
            </w:pPr>
            <w:r>
              <w:rPr>
                <w:rFonts w:ascii="Arial" w:cs="Arial" w:eastAsia="Arial" w:hAnsi="Arial"/>
                <w:sz w:val="18"/>
                <w:szCs w:val="18"/>
                <w:color w:val="auto"/>
              </w:rPr>
              <w:t>Shareholders’ equity:</w:t>
            </w:r>
          </w:p>
        </w:tc>
        <w:tc>
          <w:tcPr>
            <w:tcW w:w="28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Common shares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1,334</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1,317</w:t>
            </w:r>
          </w:p>
        </w:tc>
      </w:tr>
      <w:tr>
        <w:trPr>
          <w:trHeight w:val="243"/>
        </w:trPr>
        <w:tc>
          <w:tcPr>
            <w:tcW w:w="7980" w:type="dxa"/>
            <w:vAlign w:val="bottom"/>
          </w:tcPr>
          <w:p>
            <w:pPr>
              <w:ind w:left="460"/>
              <w:spacing w:after="0"/>
              <w:rPr>
                <w:sz w:val="20"/>
                <w:szCs w:val="20"/>
                <w:color w:val="auto"/>
              </w:rPr>
            </w:pPr>
            <w:r>
              <w:rPr>
                <w:rFonts w:ascii="Arial" w:cs="Arial" w:eastAsia="Arial" w:hAnsi="Arial"/>
                <w:sz w:val="18"/>
                <w:szCs w:val="18"/>
                <w:color w:val="auto"/>
              </w:rPr>
              <w:t>Additional paid-in capital</w:t>
            </w:r>
          </w:p>
        </w:tc>
        <w:tc>
          <w:tcPr>
            <w:tcW w:w="280" w:type="dxa"/>
            <w:vAlign w:val="bottom"/>
          </w:tcPr>
          <w:p>
            <w:pPr>
              <w:spacing w:after="0"/>
              <w:rPr>
                <w:sz w:val="21"/>
                <w:szCs w:val="21"/>
                <w:color w:val="auto"/>
              </w:rPr>
            </w:pPr>
          </w:p>
        </w:tc>
        <w:tc>
          <w:tcPr>
            <w:tcW w:w="1320" w:type="dxa"/>
            <w:vAlign w:val="bottom"/>
          </w:tcPr>
          <w:p>
            <w:pPr>
              <w:jc w:val="right"/>
              <w:ind w:right="31"/>
              <w:spacing w:after="0"/>
              <w:rPr>
                <w:sz w:val="20"/>
                <w:szCs w:val="20"/>
                <w:color w:val="auto"/>
              </w:rPr>
            </w:pPr>
            <w:r>
              <w:rPr>
                <w:rFonts w:ascii="Arial" w:cs="Arial" w:eastAsia="Arial" w:hAnsi="Arial"/>
                <w:sz w:val="18"/>
                <w:szCs w:val="18"/>
                <w:color w:val="auto"/>
              </w:rPr>
              <w:t>6,271,120</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Arial" w:cs="Arial" w:eastAsia="Arial" w:hAnsi="Arial"/>
                <w:sz w:val="18"/>
                <w:szCs w:val="18"/>
                <w:color w:val="auto"/>
              </w:rPr>
              <w:t>6,188,598</w:t>
            </w:r>
          </w:p>
        </w:tc>
      </w:tr>
      <w:tr>
        <w:trPr>
          <w:trHeight w:val="27"/>
        </w:trPr>
        <w:tc>
          <w:tcPr>
            <w:tcW w:w="79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28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931,358</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1,116,495</w:t>
            </w:r>
          </w:p>
        </w:tc>
      </w:tr>
      <w:tr>
        <w:trPr>
          <w:trHeight w:val="237"/>
        </w:trPr>
        <w:tc>
          <w:tcPr>
            <w:tcW w:w="7980" w:type="dxa"/>
            <w:vAlign w:val="bottom"/>
          </w:tcPr>
          <w:p>
            <w:pPr>
              <w:ind w:left="900"/>
              <w:spacing w:after="0"/>
              <w:rPr>
                <w:sz w:val="20"/>
                <w:szCs w:val="20"/>
                <w:color w:val="auto"/>
              </w:rPr>
            </w:pPr>
            <w:r>
              <w:rPr>
                <w:rFonts w:ascii="Arial" w:cs="Arial" w:eastAsia="Arial" w:hAnsi="Arial"/>
                <w:sz w:val="18"/>
                <w:szCs w:val="18"/>
                <w:color w:val="auto"/>
              </w:rPr>
              <w:t>Total shareholders’ equity</w:t>
            </w:r>
          </w:p>
        </w:tc>
        <w:tc>
          <w:tcPr>
            <w:tcW w:w="28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7,203,812</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7,306,410</w:t>
            </w:r>
          </w:p>
        </w:tc>
      </w:tr>
      <w:tr>
        <w:trPr>
          <w:trHeight w:val="27"/>
        </w:trPr>
        <w:tc>
          <w:tcPr>
            <w:tcW w:w="79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9"/>
        </w:trPr>
        <w:tc>
          <w:tcPr>
            <w:tcW w:w="79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9,981,140</w:t>
            </w:r>
          </w:p>
        </w:tc>
        <w:tc>
          <w:tcPr>
            <w:tcW w:w="2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10,016,752</w:t>
            </w:r>
          </w:p>
        </w:tc>
      </w:tr>
      <w:tr>
        <w:trPr>
          <w:trHeight w:val="20"/>
        </w:trPr>
        <w:tc>
          <w:tcPr>
            <w:tcW w:w="79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380"/>
          </w:cols>
          <w:pgMar w:left="260" w:top="364" w:right="2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0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4"/>
          </w:tcPr>
          <w:p>
            <w:pPr>
              <w:jc w:val="right"/>
              <w:ind w:right="57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380" w:type="dxa"/>
            <w:vAlign w:val="bottom"/>
            <w:tcBorders>
              <w:bottom w:val="single" w:sz="8" w:color="auto"/>
            </w:tcBorders>
            <w:gridSpan w:val="4"/>
          </w:tcPr>
          <w:p>
            <w:pPr>
              <w:jc w:val="right"/>
              <w:ind w:right="63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60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18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3,</w:t>
            </w:r>
          </w:p>
        </w:tc>
        <w:tc>
          <w:tcPr>
            <w:tcW w:w="220" w:type="dxa"/>
            <w:vAlign w:val="bottom"/>
          </w:tcPr>
          <w:p>
            <w:pPr>
              <w:spacing w:after="0"/>
              <w:rPr>
                <w:sz w:val="13"/>
                <w:szCs w:val="13"/>
                <w:color w:val="auto"/>
              </w:rPr>
            </w:pPr>
          </w:p>
        </w:tc>
        <w:tc>
          <w:tcPr>
            <w:tcW w:w="11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August 4,</w:t>
            </w:r>
          </w:p>
        </w:tc>
        <w:tc>
          <w:tcPr>
            <w:tcW w:w="220" w:type="dxa"/>
            <w:vAlign w:val="bottom"/>
          </w:tcPr>
          <w:p>
            <w:pPr>
              <w:spacing w:after="0"/>
              <w:rPr>
                <w:sz w:val="13"/>
                <w:szCs w:val="13"/>
                <w:color w:val="auto"/>
              </w:rPr>
            </w:pPr>
          </w:p>
        </w:tc>
        <w:tc>
          <w:tcPr>
            <w:tcW w:w="11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August 3,</w:t>
            </w:r>
          </w:p>
        </w:tc>
        <w:tc>
          <w:tcPr>
            <w:tcW w:w="200" w:type="dxa"/>
            <w:vAlign w:val="bottom"/>
          </w:tcPr>
          <w:p>
            <w:pPr>
              <w:spacing w:after="0"/>
              <w:rPr>
                <w:sz w:val="13"/>
                <w:szCs w:val="13"/>
                <w:color w:val="auto"/>
              </w:rPr>
            </w:pPr>
          </w:p>
        </w:tc>
        <w:tc>
          <w:tcPr>
            <w:tcW w:w="1040" w:type="dxa"/>
            <w:vAlign w:val="bottom"/>
          </w:tcPr>
          <w:p>
            <w:pPr>
              <w:jc w:val="right"/>
              <w:ind w:right="271"/>
              <w:spacing w:after="0" w:line="153" w:lineRule="exact"/>
              <w:rPr>
                <w:sz w:val="20"/>
                <w:szCs w:val="20"/>
                <w:color w:val="auto"/>
              </w:rPr>
            </w:pPr>
            <w:r>
              <w:rPr>
                <w:rFonts w:ascii="Arial" w:cs="Arial" w:eastAsia="Arial" w:hAnsi="Arial"/>
                <w:sz w:val="14"/>
                <w:szCs w:val="14"/>
                <w:b w:val="1"/>
                <w:bCs w:val="1"/>
                <w:color w:val="auto"/>
              </w:rPr>
              <w:t>August 4,</w:t>
            </w:r>
          </w:p>
        </w:tc>
      </w:tr>
      <w:tr>
        <w:trPr>
          <w:trHeight w:val="192"/>
        </w:trPr>
        <w:tc>
          <w:tcPr>
            <w:tcW w:w="60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2018</w:t>
            </w:r>
          </w:p>
        </w:tc>
      </w:tr>
      <w:tr>
        <w:trPr>
          <w:trHeight w:val="263"/>
        </w:trPr>
        <w:tc>
          <w:tcPr>
            <w:tcW w:w="6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2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spacing w:after="0"/>
              <w:rPr>
                <w:sz w:val="22"/>
                <w:szCs w:val="22"/>
                <w:color w:val="auto"/>
              </w:rPr>
            </w:pPr>
          </w:p>
        </w:tc>
      </w:tr>
      <w:tr>
        <w:trPr>
          <w:trHeight w:val="243"/>
        </w:trPr>
        <w:tc>
          <w:tcPr>
            <w:tcW w:w="604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(57,331)</w:t>
            </w:r>
          </w:p>
        </w:tc>
        <w:tc>
          <w:tcPr>
            <w:tcW w:w="12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(105,781)</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135,371</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29"/>
        </w:trPr>
        <w:tc>
          <w:tcPr>
            <w:tcW w:w="6040" w:type="dxa"/>
            <w:vAlign w:val="bottom"/>
            <w:shd w:val="clear" w:color="auto" w:fill="CCEEFF"/>
          </w:tcPr>
          <w:p>
            <w:pPr>
              <w:ind w:left="40"/>
              <w:spacing w:after="0"/>
              <w:rPr>
                <w:sz w:val="20"/>
                <w:szCs w:val="20"/>
                <w:color w:val="auto"/>
              </w:rPr>
            </w:pPr>
            <w:r>
              <w:rPr>
                <w:rFonts w:ascii="Arial" w:cs="Arial" w:eastAsia="Arial" w:hAnsi="Arial"/>
                <w:sz w:val="18"/>
                <w:szCs w:val="18"/>
                <w:color w:val="auto"/>
                <w:w w:val="98"/>
              </w:rPr>
              <w:t>Adjustments to reconcile net income (loss) to net cash provided by operating</w:t>
            </w: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7"/>
        </w:trPr>
        <w:tc>
          <w:tcPr>
            <w:tcW w:w="60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activities:</w:t>
            </w:r>
          </w:p>
        </w:tc>
        <w:tc>
          <w:tcPr>
            <w:tcW w:w="22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Depreciation and amortization</w:t>
            </w:r>
          </w:p>
        </w:tc>
        <w:tc>
          <w:tcPr>
            <w:tcW w:w="22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41,941</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26,754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86,239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47,097</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63,676</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59,392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122,274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83,244</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22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80,967</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25,939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160,707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25,939</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29"/>
        </w:trPr>
        <w:tc>
          <w:tcPr>
            <w:tcW w:w="60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of inventory fair value adjustment associated with</w:t>
            </w: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7"/>
        </w:trPr>
        <w:tc>
          <w:tcPr>
            <w:tcW w:w="604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acquisition of Cavium</w:t>
            </w:r>
          </w:p>
        </w:tc>
        <w:tc>
          <w:tcPr>
            <w:tcW w:w="2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22,933</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22,933</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Amortization of deferred debt issuance costs and debt discounts</w:t>
            </w:r>
          </w:p>
        </w:tc>
        <w:tc>
          <w:tcPr>
            <w:tcW w:w="22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1,178</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7,073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2,859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7,073</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impairment charges (gain)</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6,281</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1,993</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1,993</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Other expense, net</w:t>
            </w:r>
          </w:p>
        </w:tc>
        <w:tc>
          <w:tcPr>
            <w:tcW w:w="22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580</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2,740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2,016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3,631</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 taxes</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(1,982)</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2,374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(21,414)</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Changes in assets and liabilities:</w:t>
            </w:r>
          </w:p>
        </w:tc>
        <w:tc>
          <w:tcPr>
            <w:tcW w:w="2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receivable</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17,601</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(1,356)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40,376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(48,749)</w:t>
            </w:r>
          </w:p>
        </w:tc>
      </w:tr>
      <w:tr>
        <w:trPr>
          <w:trHeight w:val="243"/>
        </w:trPr>
        <w:tc>
          <w:tcPr>
            <w:tcW w:w="6040" w:type="dxa"/>
            <w:vAlign w:val="bottom"/>
          </w:tcPr>
          <w:p>
            <w:pPr>
              <w:ind w:left="900"/>
              <w:spacing w:after="0"/>
              <w:rPr>
                <w:sz w:val="20"/>
                <w:szCs w:val="20"/>
                <w:color w:val="auto"/>
              </w:rPr>
            </w:pPr>
            <w:r>
              <w:rPr>
                <w:rFonts w:ascii="Arial" w:cs="Arial" w:eastAsia="Arial" w:hAnsi="Arial"/>
                <w:sz w:val="18"/>
                <w:szCs w:val="18"/>
                <w:color w:val="auto"/>
              </w:rPr>
              <w:t>Inventories</w:t>
            </w:r>
          </w:p>
        </w:tc>
        <w:tc>
          <w:tcPr>
            <w:tcW w:w="22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(7,174)</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4,186</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8,674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6,866</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Prepaid expenses and other assets</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(15,997)</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(5,396)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(7,993)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(19,504)</w:t>
            </w:r>
          </w:p>
        </w:tc>
      </w:tr>
      <w:tr>
        <w:trPr>
          <w:trHeight w:val="243"/>
        </w:trPr>
        <w:tc>
          <w:tcPr>
            <w:tcW w:w="6040" w:type="dxa"/>
            <w:vAlign w:val="bottom"/>
          </w:tcPr>
          <w:p>
            <w:pPr>
              <w:ind w:left="900"/>
              <w:spacing w:after="0"/>
              <w:rPr>
                <w:sz w:val="20"/>
                <w:szCs w:val="20"/>
                <w:color w:val="auto"/>
              </w:rPr>
            </w:pPr>
            <w:r>
              <w:rPr>
                <w:rFonts w:ascii="Arial" w:cs="Arial" w:eastAsia="Arial" w:hAnsi="Arial"/>
                <w:sz w:val="18"/>
                <w:szCs w:val="18"/>
                <w:color w:val="auto"/>
              </w:rPr>
              <w:t>Accounts payable</w:t>
            </w:r>
          </w:p>
        </w:tc>
        <w:tc>
          <w:tcPr>
            <w:tcW w:w="22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24,370</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(15,015)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22,497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(271)</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(49,188)</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(32,400)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(80,117)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(11,961)</w:t>
            </w:r>
          </w:p>
        </w:tc>
      </w:tr>
      <w:tr>
        <w:trPr>
          <w:trHeight w:val="243"/>
        </w:trPr>
        <w:tc>
          <w:tcPr>
            <w:tcW w:w="6040" w:type="dxa"/>
            <w:vAlign w:val="bottom"/>
          </w:tcPr>
          <w:p>
            <w:pPr>
              <w:ind w:left="900"/>
              <w:spacing w:after="0"/>
              <w:rPr>
                <w:sz w:val="20"/>
                <w:szCs w:val="20"/>
                <w:color w:val="auto"/>
              </w:rPr>
            </w:pPr>
            <w:r>
              <w:rPr>
                <w:rFonts w:ascii="Arial" w:cs="Arial" w:eastAsia="Arial" w:hAnsi="Arial"/>
                <w:sz w:val="18"/>
                <w:szCs w:val="18"/>
                <w:color w:val="auto"/>
              </w:rPr>
              <w:t>Accrued employee compensation</w:t>
            </w:r>
          </w:p>
        </w:tc>
        <w:tc>
          <w:tcPr>
            <w:tcW w:w="22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(31,782)</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(19,429)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(25,266)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(41,539)</w:t>
            </w:r>
          </w:p>
        </w:tc>
      </w:tr>
      <w:tr>
        <w:trPr>
          <w:trHeight w:val="27"/>
        </w:trPr>
        <w:tc>
          <w:tcPr>
            <w:tcW w:w="60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604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73,140</w:t>
            </w: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61,935</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238,956</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190,709</w:t>
            </w:r>
          </w:p>
        </w:tc>
      </w:tr>
      <w:tr>
        <w:trPr>
          <w:trHeight w:val="223"/>
        </w:trPr>
        <w:tc>
          <w:tcPr>
            <w:tcW w:w="604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02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spacing w:after="0"/>
              <w:rPr>
                <w:sz w:val="19"/>
                <w:szCs w:val="19"/>
                <w:color w:val="auto"/>
              </w:rPr>
            </w:pPr>
          </w:p>
        </w:tc>
      </w:tr>
      <w:tr>
        <w:trPr>
          <w:trHeight w:val="41"/>
        </w:trPr>
        <w:tc>
          <w:tcPr>
            <w:tcW w:w="60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2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40" w:type="dxa"/>
            <w:vAlign w:val="bottom"/>
          </w:tcPr>
          <w:p>
            <w:pPr>
              <w:spacing w:after="0"/>
              <w:rPr>
                <w:sz w:val="3"/>
                <w:szCs w:val="3"/>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(14,956)</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Sales of available-for-sale securities</w:t>
            </w:r>
          </w:p>
        </w:tc>
        <w:tc>
          <w:tcPr>
            <w:tcW w:w="220" w:type="dxa"/>
            <w:vAlign w:val="bottom"/>
          </w:tcPr>
          <w:p>
            <w:pPr>
              <w:spacing w:after="0"/>
              <w:rPr>
                <w:sz w:val="21"/>
                <w:szCs w:val="21"/>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553,623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623,896</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59,165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187,985</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Purchases of time deposits</w:t>
            </w:r>
          </w:p>
        </w:tc>
        <w:tc>
          <w:tcPr>
            <w:tcW w:w="220" w:type="dxa"/>
            <w:vAlign w:val="bottom"/>
          </w:tcPr>
          <w:p>
            <w:pPr>
              <w:spacing w:after="0"/>
              <w:rPr>
                <w:sz w:val="21"/>
                <w:szCs w:val="21"/>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(25,000)</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time deposits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75,000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150,000</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Purchases of technology licenses</w:t>
            </w:r>
          </w:p>
        </w:tc>
        <w:tc>
          <w:tcPr>
            <w:tcW w:w="22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(38)</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(903)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(1,522)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(1,263)</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(23,010)</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(20,801)</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(42,193)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(34,389)</w:t>
            </w:r>
          </w:p>
        </w:tc>
      </w:tr>
      <w:tr>
        <w:trPr>
          <w:trHeight w:val="229"/>
        </w:trPr>
        <w:tc>
          <w:tcPr>
            <w:tcW w:w="6040" w:type="dxa"/>
            <w:vAlign w:val="bottom"/>
          </w:tcPr>
          <w:p>
            <w:pPr>
              <w:ind w:left="460"/>
              <w:spacing w:after="0"/>
              <w:rPr>
                <w:sz w:val="20"/>
                <w:szCs w:val="20"/>
                <w:color w:val="auto"/>
              </w:rPr>
            </w:pPr>
            <w:r>
              <w:rPr>
                <w:rFonts w:ascii="Arial" w:cs="Arial" w:eastAsia="Arial" w:hAnsi="Arial"/>
                <w:sz w:val="18"/>
                <w:szCs w:val="18"/>
                <w:color w:val="auto"/>
              </w:rPr>
              <w:t>Cash payment for acquisition of Cavium, net of cash and cash</w:t>
            </w:r>
          </w:p>
        </w:tc>
        <w:tc>
          <w:tcPr>
            <w:tcW w:w="22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r>
      <w:tr>
        <w:trPr>
          <w:trHeight w:val="230"/>
        </w:trPr>
        <w:tc>
          <w:tcPr>
            <w:tcW w:w="6040" w:type="dxa"/>
            <w:vAlign w:val="bottom"/>
          </w:tcPr>
          <w:p>
            <w:pPr>
              <w:ind w:left="680"/>
              <w:spacing w:after="0"/>
              <w:rPr>
                <w:sz w:val="20"/>
                <w:szCs w:val="20"/>
                <w:color w:val="auto"/>
              </w:rPr>
            </w:pPr>
            <w:r>
              <w:rPr>
                <w:rFonts w:ascii="Arial" w:cs="Arial" w:eastAsia="Arial" w:hAnsi="Arial"/>
                <w:sz w:val="18"/>
                <w:szCs w:val="18"/>
                <w:color w:val="auto"/>
              </w:rPr>
              <w:t>equivalents acquired</w:t>
            </w:r>
          </w:p>
        </w:tc>
        <w:tc>
          <w:tcPr>
            <w:tcW w:w="220" w:type="dxa"/>
            <w:vAlign w:val="bottom"/>
          </w:tcPr>
          <w:p>
            <w:pPr>
              <w:spacing w:after="0"/>
              <w:rPr>
                <w:sz w:val="20"/>
                <w:szCs w:val="20"/>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(2,649,465)</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(2,649,465)</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net</w:t>
            </w:r>
          </w:p>
        </w:tc>
        <w:tc>
          <w:tcPr>
            <w:tcW w:w="2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1,462</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(389)</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(3,527)</w:t>
            </w:r>
          </w:p>
        </w:tc>
      </w:tr>
      <w:tr>
        <w:trPr>
          <w:trHeight w:val="237"/>
        </w:trPr>
        <w:tc>
          <w:tcPr>
            <w:tcW w:w="6040" w:type="dxa"/>
            <w:vAlign w:val="bottom"/>
          </w:tcPr>
          <w:p>
            <w:pPr>
              <w:ind w:left="1340"/>
              <w:spacing w:after="0"/>
              <w:rPr>
                <w:sz w:val="20"/>
                <w:szCs w:val="20"/>
                <w:color w:val="auto"/>
              </w:rPr>
            </w:pPr>
            <w:r>
              <w:rPr>
                <w:rFonts w:ascii="Arial" w:cs="Arial" w:eastAsia="Arial" w:hAnsi="Arial"/>
                <w:sz w:val="18"/>
                <w:szCs w:val="18"/>
                <w:color w:val="auto"/>
              </w:rPr>
              <w:t>Net cash used in investing activities</w:t>
            </w:r>
          </w:p>
        </w:tc>
        <w:tc>
          <w:tcPr>
            <w:tcW w:w="22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(23,095)</w:t>
            </w:r>
          </w:p>
        </w:tc>
        <w:tc>
          <w:tcPr>
            <w:tcW w:w="1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(1,983,418)</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(44,104)</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(1,766,719)</w:t>
            </w:r>
          </w:p>
        </w:tc>
      </w:tr>
      <w:tr>
        <w:trPr>
          <w:trHeight w:val="27"/>
        </w:trPr>
        <w:tc>
          <w:tcPr>
            <w:tcW w:w="60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44"/>
        </w:trPr>
        <w:tc>
          <w:tcPr>
            <w:tcW w:w="6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Repurchases of common stock</w:t>
            </w:r>
          </w:p>
        </w:tc>
        <w:tc>
          <w:tcPr>
            <w:tcW w:w="22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(16,250)</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(64,272)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employee stock plans</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50,230</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33,525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81,314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44,580</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2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(32,884)</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(12,883)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(61,642)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(36,776)</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Dividend payments to shareholders</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(39,889)</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(39,383)</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(79,356)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(69,181)</w:t>
            </w:r>
          </w:p>
        </w:tc>
      </w:tr>
      <w:tr>
        <w:trPr>
          <w:trHeight w:val="243"/>
        </w:trPr>
        <w:tc>
          <w:tcPr>
            <w:tcW w:w="6040" w:type="dxa"/>
            <w:vAlign w:val="bottom"/>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22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(13,056)</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(9,017)</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(28,324)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(29,478)</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Proceeds from issuance of debt</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1,892,605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1,892,605</w:t>
            </w:r>
          </w:p>
        </w:tc>
      </w:tr>
      <w:tr>
        <w:trPr>
          <w:trHeight w:val="243"/>
        </w:trPr>
        <w:tc>
          <w:tcPr>
            <w:tcW w:w="6040" w:type="dxa"/>
            <w:vAlign w:val="bottom"/>
          </w:tcPr>
          <w:p>
            <w:pPr>
              <w:ind w:left="500"/>
              <w:spacing w:after="0"/>
              <w:rPr>
                <w:sz w:val="20"/>
                <w:szCs w:val="20"/>
                <w:color w:val="auto"/>
              </w:rPr>
            </w:pPr>
            <w:r>
              <w:rPr>
                <w:rFonts w:ascii="Arial" w:cs="Arial" w:eastAsia="Arial" w:hAnsi="Arial"/>
                <w:sz w:val="18"/>
                <w:szCs w:val="18"/>
                <w:color w:val="auto"/>
              </w:rPr>
              <w:t>Principal payments of debt</w:t>
            </w:r>
          </w:p>
        </w:tc>
        <w:tc>
          <w:tcPr>
            <w:tcW w:w="220" w:type="dxa"/>
            <w:vAlign w:val="bottom"/>
          </w:tcPr>
          <w:p>
            <w:pPr>
              <w:spacing w:after="0"/>
              <w:rPr>
                <w:sz w:val="21"/>
                <w:szCs w:val="21"/>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(606,128)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(50,000)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(606,128)</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604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Payment of equity and debt financing costs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(5,835)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(9,435)</w:t>
            </w:r>
          </w:p>
        </w:tc>
      </w:tr>
      <w:tr>
        <w:trPr>
          <w:trHeight w:val="243"/>
        </w:trPr>
        <w:tc>
          <w:tcPr>
            <w:tcW w:w="6040" w:type="dxa"/>
            <w:vAlign w:val="bottom"/>
          </w:tcPr>
          <w:p>
            <w:pPr>
              <w:ind w:left="500"/>
              <w:spacing w:after="0"/>
              <w:rPr>
                <w:sz w:val="20"/>
                <w:szCs w:val="20"/>
                <w:color w:val="auto"/>
              </w:rPr>
            </w:pPr>
            <w:r>
              <w:rPr>
                <w:rFonts w:ascii="Arial" w:cs="Arial" w:eastAsia="Arial" w:hAnsi="Arial"/>
                <w:sz w:val="18"/>
                <w:szCs w:val="18"/>
                <w:color w:val="auto"/>
              </w:rPr>
              <w:t>Other, net</w:t>
            </w:r>
          </w:p>
        </w:tc>
        <w:tc>
          <w:tcPr>
            <w:tcW w:w="22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3,407</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(1,486)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w:t>
            </w:r>
          </w:p>
        </w:tc>
      </w:tr>
      <w:tr>
        <w:trPr>
          <w:trHeight w:val="27"/>
        </w:trPr>
        <w:tc>
          <w:tcPr>
            <w:tcW w:w="60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604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(used in) in financing activities</w:t>
            </w:r>
          </w:p>
        </w:tc>
        <w:tc>
          <w:tcPr>
            <w:tcW w:w="22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(48,442)</w:t>
            </w: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1,252,884</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(203,766)</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1,186,187</w:t>
            </w:r>
          </w:p>
        </w:tc>
      </w:tr>
      <w:tr>
        <w:trPr>
          <w:trHeight w:val="237"/>
        </w:trPr>
        <w:tc>
          <w:tcPr>
            <w:tcW w:w="6040" w:type="dxa"/>
            <w:vAlign w:val="bottom"/>
          </w:tcPr>
          <w:p>
            <w:pPr>
              <w:ind w:left="40"/>
              <w:spacing w:after="0"/>
              <w:rPr>
                <w:sz w:val="20"/>
                <w:szCs w:val="20"/>
                <w:color w:val="auto"/>
              </w:rPr>
            </w:pPr>
            <w:r>
              <w:rPr>
                <w:rFonts w:ascii="Arial" w:cs="Arial" w:eastAsia="Arial" w:hAnsi="Arial"/>
                <w:sz w:val="18"/>
                <w:szCs w:val="18"/>
                <w:color w:val="auto"/>
              </w:rPr>
              <w:t>Net increase (decrease) in cash and cash equivalents</w:t>
            </w:r>
          </w:p>
        </w:tc>
        <w:tc>
          <w:tcPr>
            <w:tcW w:w="22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1,603</w:t>
            </w:r>
          </w:p>
        </w:tc>
        <w:tc>
          <w:tcPr>
            <w:tcW w:w="1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(668,599)</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(8,914)</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(389,823)</w:t>
            </w:r>
          </w:p>
        </w:tc>
      </w:tr>
      <w:tr>
        <w:trPr>
          <w:trHeight w:val="27"/>
        </w:trPr>
        <w:tc>
          <w:tcPr>
            <w:tcW w:w="6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6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571,893</w:t>
            </w:r>
          </w:p>
        </w:tc>
        <w:tc>
          <w:tcPr>
            <w:tcW w:w="1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1,167,258</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888,482</w:t>
            </w:r>
          </w:p>
        </w:tc>
      </w:tr>
      <w:tr>
        <w:trPr>
          <w:trHeight w:val="237"/>
        </w:trPr>
        <w:tc>
          <w:tcPr>
            <w:tcW w:w="604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573,496</w:t>
            </w:r>
          </w:p>
        </w:tc>
        <w:tc>
          <w:tcPr>
            <w:tcW w:w="12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498,659</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573,496</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498,659</w:t>
            </w:r>
          </w:p>
        </w:tc>
      </w:tr>
      <w:tr>
        <w:trPr>
          <w:trHeight w:val="27"/>
        </w:trPr>
        <w:tc>
          <w:tcPr>
            <w:tcW w:w="60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0"/>
        </w:trPr>
        <w:tc>
          <w:tcPr>
            <w:tcW w:w="60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00"/>
          </w:cols>
          <w:pgMar w:left="240" w:top="715" w:right="25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4"/>
          </w:tcPr>
          <w:p>
            <w:pPr>
              <w:jc w:val="right"/>
              <w:ind w:right="754"/>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42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18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May 4,</w:t>
            </w:r>
          </w:p>
        </w:tc>
        <w:tc>
          <w:tcPr>
            <w:tcW w:w="240" w:type="dxa"/>
            <w:vAlign w:val="bottom"/>
          </w:tcPr>
          <w:p>
            <w:pPr>
              <w:spacing w:after="0"/>
              <w:rPr>
                <w:sz w:val="13"/>
                <w:szCs w:val="13"/>
                <w:color w:val="auto"/>
              </w:rPr>
            </w:pPr>
          </w:p>
        </w:tc>
        <w:tc>
          <w:tcPr>
            <w:tcW w:w="12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4,</w:t>
            </w:r>
          </w:p>
        </w:tc>
        <w:tc>
          <w:tcPr>
            <w:tcW w:w="260" w:type="dxa"/>
            <w:vAlign w:val="bottom"/>
          </w:tcPr>
          <w:p>
            <w:pPr>
              <w:spacing w:after="0"/>
              <w:rPr>
                <w:sz w:val="13"/>
                <w:szCs w:val="13"/>
                <w:color w:val="auto"/>
              </w:rPr>
            </w:pPr>
          </w:p>
        </w:tc>
        <w:tc>
          <w:tcPr>
            <w:tcW w:w="128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3,</w:t>
            </w:r>
          </w:p>
        </w:tc>
        <w:tc>
          <w:tcPr>
            <w:tcW w:w="240" w:type="dxa"/>
            <w:vAlign w:val="bottom"/>
          </w:tcPr>
          <w:p>
            <w:pPr>
              <w:spacing w:after="0"/>
              <w:rPr>
                <w:sz w:val="13"/>
                <w:szCs w:val="13"/>
                <w:color w:val="auto"/>
              </w:rPr>
            </w:pPr>
          </w:p>
        </w:tc>
        <w:tc>
          <w:tcPr>
            <w:tcW w:w="1060" w:type="dxa"/>
            <w:vAlign w:val="bottom"/>
          </w:tcPr>
          <w:p>
            <w:pPr>
              <w:jc w:val="right"/>
              <w:ind w:right="294"/>
              <w:spacing w:after="0" w:line="153" w:lineRule="exact"/>
              <w:rPr>
                <w:sz w:val="20"/>
                <w:szCs w:val="20"/>
                <w:color w:val="auto"/>
              </w:rPr>
            </w:pPr>
            <w:r>
              <w:rPr>
                <w:rFonts w:ascii="Arial" w:cs="Arial" w:eastAsia="Arial" w:hAnsi="Arial"/>
                <w:sz w:val="14"/>
                <w:szCs w:val="14"/>
                <w:b w:val="1"/>
                <w:bCs w:val="1"/>
                <w:color w:val="auto"/>
              </w:rPr>
              <w:t>August 4,</w:t>
            </w:r>
          </w:p>
        </w:tc>
        <w:tc>
          <w:tcPr>
            <w:tcW w:w="0" w:type="dxa"/>
            <w:vAlign w:val="bottom"/>
          </w:tcPr>
          <w:p>
            <w:pPr>
              <w:spacing w:after="0"/>
              <w:rPr>
                <w:sz w:val="1"/>
                <w:szCs w:val="1"/>
                <w:color w:val="auto"/>
              </w:rPr>
            </w:pPr>
          </w:p>
        </w:tc>
      </w:tr>
      <w:tr>
        <w:trPr>
          <w:trHeight w:val="192"/>
        </w:trPr>
        <w:tc>
          <w:tcPr>
            <w:tcW w:w="4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4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350,702</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361,428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377,110</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55"/>
              <w:spacing w:after="0"/>
              <w:rPr>
                <w:sz w:val="20"/>
                <w:szCs w:val="20"/>
                <w:color w:val="auto"/>
              </w:rPr>
            </w:pPr>
            <w:r>
              <w:rPr>
                <w:rFonts w:ascii="Arial" w:cs="Arial" w:eastAsia="Arial" w:hAnsi="Arial"/>
                <w:sz w:val="18"/>
                <w:szCs w:val="18"/>
                <w:color w:val="auto"/>
              </w:rPr>
              <w:t>712,130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752,803</w:t>
            </w:r>
          </w:p>
        </w:tc>
        <w:tc>
          <w:tcPr>
            <w:tcW w:w="0" w:type="dxa"/>
            <w:vAlign w:val="bottom"/>
          </w:tcPr>
          <w:p>
            <w:pPr>
              <w:spacing w:after="0"/>
              <w:rPr>
                <w:sz w:val="1"/>
                <w:szCs w:val="1"/>
                <w:color w:val="auto"/>
              </w:rPr>
            </w:pPr>
          </w:p>
        </w:tc>
      </w:tr>
      <w:tr>
        <w:trPr>
          <w:trHeight w:val="243"/>
        </w:trPr>
        <w:tc>
          <w:tcPr>
            <w:tcW w:w="420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2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3,662</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2,926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4,748</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55"/>
              <w:spacing w:after="0"/>
              <w:rPr>
                <w:sz w:val="20"/>
                <w:szCs w:val="20"/>
                <w:color w:val="auto"/>
              </w:rPr>
            </w:pPr>
            <w:r>
              <w:rPr>
                <w:rFonts w:ascii="Arial" w:cs="Arial" w:eastAsia="Arial" w:hAnsi="Arial"/>
                <w:sz w:val="18"/>
                <w:szCs w:val="18"/>
                <w:color w:val="auto"/>
              </w:rPr>
              <w:t>6,588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6,653</w:t>
            </w:r>
          </w:p>
        </w:tc>
        <w:tc>
          <w:tcPr>
            <w:tcW w:w="0" w:type="dxa"/>
            <w:vAlign w:val="bottom"/>
          </w:tcPr>
          <w:p>
            <w:pPr>
              <w:spacing w:after="0"/>
              <w:rPr>
                <w:sz w:val="1"/>
                <w:szCs w:val="1"/>
                <w:color w:val="auto"/>
              </w:rPr>
            </w:pPr>
          </w:p>
        </w:tc>
      </w:tr>
      <w:tr>
        <w:trPr>
          <w:trHeight w:val="243"/>
        </w:trPr>
        <w:tc>
          <w:tcPr>
            <w:tcW w:w="420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240" w:type="dxa"/>
            <w:vAlign w:val="bottom"/>
          </w:tcPr>
          <w:p>
            <w:pPr>
              <w:spacing w:after="0"/>
              <w:rPr>
                <w:sz w:val="21"/>
                <w:szCs w:val="21"/>
                <w:color w:val="auto"/>
              </w:rPr>
            </w:pPr>
          </w:p>
        </w:tc>
        <w:tc>
          <w:tcPr>
            <w:tcW w:w="1100" w:type="dxa"/>
            <w:vAlign w:val="bottom"/>
          </w:tcPr>
          <w:p>
            <w:pPr>
              <w:jc w:val="right"/>
              <w:ind w:right="154"/>
              <w:spacing w:after="0"/>
              <w:rPr>
                <w:sz w:val="20"/>
                <w:szCs w:val="20"/>
                <w:color w:val="auto"/>
              </w:rPr>
            </w:pPr>
            <w:r>
              <w:rPr>
                <w:rFonts w:ascii="Arial" w:cs="Arial" w:eastAsia="Arial" w:hAnsi="Arial"/>
                <w:sz w:val="18"/>
                <w:szCs w:val="18"/>
                <w:color w:val="auto"/>
              </w:rPr>
              <w:t>61,132</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154"/>
              <w:spacing w:after="0"/>
              <w:rPr>
                <w:sz w:val="20"/>
                <w:szCs w:val="20"/>
                <w:color w:val="auto"/>
              </w:rPr>
            </w:pPr>
            <w:r>
              <w:rPr>
                <w:rFonts w:ascii="Arial" w:cs="Arial" w:eastAsia="Arial" w:hAnsi="Arial"/>
                <w:sz w:val="18"/>
                <w:szCs w:val="18"/>
                <w:color w:val="auto"/>
              </w:rPr>
              <w:t>59,906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jc w:val="right"/>
              <w:ind w:right="154"/>
              <w:spacing w:after="0"/>
              <w:rPr>
                <w:sz w:val="20"/>
                <w:szCs w:val="20"/>
                <w:color w:val="auto"/>
              </w:rPr>
            </w:pPr>
            <w:r>
              <w:rPr>
                <w:rFonts w:ascii="Arial" w:cs="Arial" w:eastAsia="Arial" w:hAnsi="Arial"/>
                <w:sz w:val="18"/>
                <w:szCs w:val="18"/>
                <w:color w:val="auto"/>
              </w:rPr>
              <w:t>18,984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jc w:val="right"/>
              <w:ind w:right="155"/>
              <w:spacing w:after="0"/>
              <w:rPr>
                <w:sz w:val="20"/>
                <w:szCs w:val="20"/>
                <w:color w:val="auto"/>
              </w:rPr>
            </w:pPr>
            <w:r>
              <w:rPr>
                <w:rFonts w:ascii="Arial" w:cs="Arial" w:eastAsia="Arial" w:hAnsi="Arial"/>
                <w:sz w:val="18"/>
                <w:szCs w:val="18"/>
                <w:color w:val="auto"/>
              </w:rPr>
              <w:t>121,038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jc w:val="right"/>
              <w:ind w:right="94"/>
              <w:spacing w:after="0"/>
              <w:rPr>
                <w:sz w:val="20"/>
                <w:szCs w:val="20"/>
                <w:color w:val="auto"/>
              </w:rPr>
            </w:pPr>
            <w:r>
              <w:rPr>
                <w:rFonts w:ascii="Arial" w:cs="Arial" w:eastAsia="Arial" w:hAnsi="Arial"/>
                <w:sz w:val="18"/>
                <w:szCs w:val="18"/>
                <w:color w:val="auto"/>
              </w:rPr>
              <w:t>18,984</w:t>
            </w:r>
          </w:p>
        </w:tc>
        <w:tc>
          <w:tcPr>
            <w:tcW w:w="0" w:type="dxa"/>
            <w:vAlign w:val="bottom"/>
          </w:tcPr>
          <w:p>
            <w:pPr>
              <w:spacing w:after="0"/>
              <w:rPr>
                <w:sz w:val="1"/>
                <w:szCs w:val="1"/>
                <w:color w:val="auto"/>
              </w:rPr>
            </w:pPr>
          </w:p>
        </w:tc>
      </w:tr>
      <w:tr>
        <w:trPr>
          <w:trHeight w:val="27"/>
        </w:trPr>
        <w:tc>
          <w:tcPr>
            <w:tcW w:w="4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2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(a)</w:t>
            </w: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450</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22,933</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55"/>
              <w:spacing w:after="0"/>
              <w:rPr>
                <w:sz w:val="20"/>
                <w:szCs w:val="20"/>
                <w:color w:val="auto"/>
              </w:rPr>
            </w:pPr>
            <w:r>
              <w:rPr>
                <w:rFonts w:ascii="Arial" w:cs="Arial" w:eastAsia="Arial" w:hAnsi="Arial"/>
                <w:sz w:val="18"/>
                <w:szCs w:val="18"/>
                <w:color w:val="auto"/>
              </w:rPr>
              <w:t>450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22,933</w:t>
            </w:r>
          </w:p>
        </w:tc>
        <w:tc>
          <w:tcPr>
            <w:tcW w:w="0" w:type="dxa"/>
            <w:vAlign w:val="bottom"/>
          </w:tcPr>
          <w:p>
            <w:pPr>
              <w:spacing w:after="0"/>
              <w:rPr>
                <w:sz w:val="1"/>
                <w:szCs w:val="1"/>
                <w:color w:val="auto"/>
              </w:rPr>
            </w:pPr>
          </w:p>
        </w:tc>
      </w:tr>
      <w:tr>
        <w:trPr>
          <w:trHeight w:val="237"/>
        </w:trPr>
        <w:tc>
          <w:tcPr>
            <w:tcW w:w="420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2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64,794</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63,282</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46,665</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55"/>
              <w:spacing w:after="0"/>
              <w:rPr>
                <w:sz w:val="20"/>
                <w:szCs w:val="20"/>
                <w:color w:val="auto"/>
              </w:rPr>
            </w:pPr>
            <w:r>
              <w:rPr>
                <w:rFonts w:ascii="Arial" w:cs="Arial" w:eastAsia="Arial" w:hAnsi="Arial"/>
                <w:sz w:val="18"/>
                <w:szCs w:val="18"/>
                <w:color w:val="auto"/>
              </w:rPr>
              <w:t>128,076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94"/>
              <w:spacing w:after="0"/>
              <w:rPr>
                <w:sz w:val="20"/>
                <w:szCs w:val="20"/>
                <w:color w:val="auto"/>
              </w:rPr>
            </w:pPr>
            <w:r>
              <w:rPr>
                <w:rFonts w:ascii="Arial" w:cs="Arial" w:eastAsia="Arial" w:hAnsi="Arial"/>
                <w:sz w:val="18"/>
                <w:szCs w:val="18"/>
                <w:color w:val="auto"/>
              </w:rPr>
              <w:t>48,570</w:t>
            </w:r>
          </w:p>
        </w:tc>
        <w:tc>
          <w:tcPr>
            <w:tcW w:w="0" w:type="dxa"/>
            <w:vAlign w:val="bottom"/>
          </w:tcPr>
          <w:p>
            <w:pPr>
              <w:spacing w:after="0"/>
              <w:rPr>
                <w:sz w:val="1"/>
                <w:szCs w:val="1"/>
                <w:color w:val="auto"/>
              </w:rPr>
            </w:pPr>
          </w:p>
        </w:tc>
      </w:tr>
      <w:tr>
        <w:trPr>
          <w:trHeight w:val="27"/>
        </w:trPr>
        <w:tc>
          <w:tcPr>
            <w:tcW w:w="42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gross profit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415,496</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424,710</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423,775</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55"/>
              <w:spacing w:after="0"/>
              <w:rPr>
                <w:sz w:val="20"/>
                <w:szCs w:val="20"/>
                <w:color w:val="auto"/>
              </w:rPr>
            </w:pPr>
            <w:r>
              <w:rPr>
                <w:rFonts w:ascii="Arial" w:cs="Arial" w:eastAsia="Arial" w:hAnsi="Arial"/>
                <w:sz w:val="18"/>
                <w:szCs w:val="18"/>
                <w:color w:val="auto"/>
              </w:rPr>
              <w:t>840,206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801,373</w:t>
            </w:r>
          </w:p>
        </w:tc>
        <w:tc>
          <w:tcPr>
            <w:tcW w:w="0" w:type="dxa"/>
            <w:vAlign w:val="bottom"/>
          </w:tcPr>
          <w:p>
            <w:pPr>
              <w:spacing w:after="0"/>
              <w:rPr>
                <w:sz w:val="1"/>
                <w:szCs w:val="1"/>
                <w:color w:val="auto"/>
              </w:rPr>
            </w:pPr>
          </w:p>
        </w:tc>
      </w:tr>
      <w:tr>
        <w:trPr>
          <w:trHeight w:val="20"/>
        </w:trPr>
        <w:tc>
          <w:tcPr>
            <w:tcW w:w="4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2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5"/>
        </w:trPr>
        <w:tc>
          <w:tcPr>
            <w:tcW w:w="4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margin</w:t>
            </w:r>
          </w:p>
        </w:tc>
        <w:tc>
          <w:tcPr>
            <w:tcW w:w="2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53.4 %</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54.6 %</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56.7 %</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54.0 %</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59.3%</w:t>
            </w:r>
          </w:p>
        </w:tc>
        <w:tc>
          <w:tcPr>
            <w:tcW w:w="0" w:type="dxa"/>
            <w:vAlign w:val="bottom"/>
          </w:tcPr>
          <w:p>
            <w:pPr>
              <w:spacing w:after="0"/>
              <w:rPr>
                <w:sz w:val="1"/>
                <w:szCs w:val="1"/>
                <w:color w:val="auto"/>
              </w:rPr>
            </w:pPr>
          </w:p>
        </w:tc>
      </w:tr>
      <w:tr>
        <w:trPr>
          <w:trHeight w:val="20"/>
        </w:trPr>
        <w:tc>
          <w:tcPr>
            <w:tcW w:w="420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gross margin</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20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63.3 %</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64.1 %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63.7 %</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63.7 %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63.1%</w:t>
            </w:r>
          </w:p>
        </w:tc>
        <w:tc>
          <w:tcPr>
            <w:tcW w:w="0" w:type="dxa"/>
            <w:vAlign w:val="bottom"/>
          </w:tcPr>
          <w:p>
            <w:pPr>
              <w:spacing w:after="0"/>
              <w:rPr>
                <w:sz w:val="1"/>
                <w:szCs w:val="1"/>
                <w:color w:val="auto"/>
              </w:rPr>
            </w:pPr>
          </w:p>
        </w:tc>
      </w:tr>
      <w:tr>
        <w:trPr>
          <w:trHeight w:val="67"/>
        </w:trPr>
        <w:tc>
          <w:tcPr>
            <w:tcW w:w="42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42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420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6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118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0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200" w:type="dxa"/>
            <w:vAlign w:val="bottom"/>
          </w:tcPr>
          <w:p>
            <w:pPr>
              <w:ind w:left="40"/>
              <w:spacing w:after="0"/>
              <w:rPr>
                <w:sz w:val="20"/>
                <w:szCs w:val="20"/>
                <w:color w:val="auto"/>
              </w:rPr>
            </w:pPr>
            <w:r>
              <w:rPr>
                <w:rFonts w:ascii="Arial" w:cs="Arial" w:eastAsia="Arial" w:hAnsi="Arial"/>
                <w:sz w:val="18"/>
                <w:szCs w:val="18"/>
                <w:color w:val="auto"/>
              </w:rPr>
              <w:t>Total GAAP operating expenses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150"/>
              <w:spacing w:after="0"/>
              <w:rPr>
                <w:sz w:val="20"/>
                <w:szCs w:val="20"/>
                <w:color w:val="auto"/>
              </w:rPr>
            </w:pPr>
            <w:r>
              <w:rPr>
                <w:rFonts w:ascii="Arial" w:cs="Arial" w:eastAsia="Arial" w:hAnsi="Arial"/>
                <w:sz w:val="18"/>
                <w:szCs w:val="18"/>
                <w:color w:val="auto"/>
              </w:rPr>
              <w:t>396,930</w:t>
            </w:r>
          </w:p>
        </w:tc>
        <w:tc>
          <w:tcPr>
            <w:tcW w:w="120" w:type="dxa"/>
            <w:vAlign w:val="bottom"/>
          </w:tcPr>
          <w:p>
            <w:pPr>
              <w:spacing w:after="0"/>
              <w:rPr>
                <w:sz w:val="20"/>
                <w:szCs w:val="20"/>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ind w:right="150"/>
              <w:spacing w:after="0"/>
              <w:rPr>
                <w:sz w:val="20"/>
                <w:szCs w:val="20"/>
                <w:color w:val="auto"/>
              </w:rPr>
            </w:pPr>
            <w:r>
              <w:rPr>
                <w:rFonts w:ascii="Arial" w:cs="Arial" w:eastAsia="Arial" w:hAnsi="Arial"/>
                <w:sz w:val="18"/>
                <w:szCs w:val="18"/>
                <w:color w:val="auto"/>
              </w:rPr>
              <w:t>382,554</w:t>
            </w:r>
          </w:p>
        </w:tc>
        <w:tc>
          <w:tcPr>
            <w:tcW w:w="120" w:type="dxa"/>
            <w:vAlign w:val="bottom"/>
          </w:tcPr>
          <w:p>
            <w:pPr>
              <w:spacing w:after="0"/>
              <w:rPr>
                <w:sz w:val="20"/>
                <w:szCs w:val="20"/>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ind w:right="150"/>
              <w:spacing w:after="0"/>
              <w:rPr>
                <w:sz w:val="20"/>
                <w:szCs w:val="20"/>
                <w:color w:val="auto"/>
              </w:rPr>
            </w:pPr>
            <w:r>
              <w:rPr>
                <w:rFonts w:ascii="Arial" w:cs="Arial" w:eastAsia="Arial" w:hAnsi="Arial"/>
                <w:sz w:val="18"/>
                <w:szCs w:val="18"/>
                <w:color w:val="auto"/>
              </w:rPr>
              <w:t>385,401</w:t>
            </w:r>
          </w:p>
        </w:tc>
        <w:tc>
          <w:tcPr>
            <w:tcW w:w="120" w:type="dxa"/>
            <w:vAlign w:val="bottom"/>
          </w:tcPr>
          <w:p>
            <w:pPr>
              <w:spacing w:after="0"/>
              <w:rPr>
                <w:sz w:val="20"/>
                <w:szCs w:val="20"/>
                <w:color w:val="auto"/>
              </w:rPr>
            </w:pP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150"/>
              <w:spacing w:after="0"/>
              <w:rPr>
                <w:sz w:val="20"/>
                <w:szCs w:val="20"/>
                <w:color w:val="auto"/>
              </w:rPr>
            </w:pPr>
            <w:r>
              <w:rPr>
                <w:rFonts w:ascii="Arial" w:cs="Arial" w:eastAsia="Arial" w:hAnsi="Arial"/>
                <w:sz w:val="18"/>
                <w:szCs w:val="18"/>
                <w:color w:val="auto"/>
              </w:rPr>
              <w:t>779,484</w:t>
            </w:r>
          </w:p>
        </w:tc>
        <w:tc>
          <w:tcPr>
            <w:tcW w:w="100" w:type="dxa"/>
            <w:vAlign w:val="bottom"/>
          </w:tcPr>
          <w:p>
            <w:pPr>
              <w:spacing w:after="0"/>
              <w:rPr>
                <w:sz w:val="20"/>
                <w:szCs w:val="20"/>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636,015</w:t>
            </w:r>
          </w:p>
        </w:tc>
      </w:tr>
      <w:tr>
        <w:trPr>
          <w:trHeight w:val="27"/>
        </w:trPr>
        <w:tc>
          <w:tcPr>
            <w:tcW w:w="4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4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3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r>
      <w:tr>
        <w:trPr>
          <w:trHeight w:val="243"/>
        </w:trPr>
        <w:tc>
          <w:tcPr>
            <w:tcW w:w="420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300" w:type="dxa"/>
            <w:vAlign w:val="bottom"/>
          </w:tcPr>
          <w:p>
            <w:pPr>
              <w:spacing w:after="0"/>
              <w:rPr>
                <w:sz w:val="21"/>
                <w:szCs w:val="21"/>
                <w:color w:val="auto"/>
              </w:rPr>
            </w:pPr>
          </w:p>
        </w:tc>
        <w:tc>
          <w:tcPr>
            <w:tcW w:w="1040" w:type="dxa"/>
            <w:vAlign w:val="bottom"/>
          </w:tcPr>
          <w:p>
            <w:pPr>
              <w:jc w:val="right"/>
              <w:ind w:right="90"/>
              <w:spacing w:after="0"/>
              <w:rPr>
                <w:sz w:val="20"/>
                <w:szCs w:val="20"/>
                <w:color w:val="auto"/>
              </w:rPr>
            </w:pPr>
            <w:r>
              <w:rPr>
                <w:rFonts w:ascii="Arial" w:cs="Arial" w:eastAsia="Arial" w:hAnsi="Arial"/>
                <w:sz w:val="18"/>
                <w:szCs w:val="18"/>
                <w:color w:val="auto"/>
              </w:rPr>
              <w:t>(60,014)</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20" w:type="dxa"/>
            <w:vAlign w:val="bottom"/>
          </w:tcPr>
          <w:p>
            <w:pPr>
              <w:jc w:val="right"/>
              <w:ind w:right="90"/>
              <w:spacing w:after="0"/>
              <w:rPr>
                <w:sz w:val="20"/>
                <w:szCs w:val="20"/>
                <w:color w:val="auto"/>
              </w:rPr>
            </w:pPr>
            <w:r>
              <w:rPr>
                <w:rFonts w:ascii="Arial" w:cs="Arial" w:eastAsia="Arial" w:hAnsi="Arial"/>
                <w:sz w:val="18"/>
                <w:szCs w:val="18"/>
                <w:color w:val="auto"/>
              </w:rPr>
              <w:t>(55,672)</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Arial" w:cs="Arial" w:eastAsia="Arial" w:hAnsi="Arial"/>
                <w:sz w:val="18"/>
                <w:szCs w:val="18"/>
                <w:color w:val="auto"/>
              </w:rPr>
              <w:t>(68,675)</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jc w:val="right"/>
              <w:ind w:right="90"/>
              <w:spacing w:after="0"/>
              <w:rPr>
                <w:sz w:val="20"/>
                <w:szCs w:val="20"/>
                <w:color w:val="auto"/>
              </w:rPr>
            </w:pPr>
            <w:r>
              <w:rPr>
                <w:rFonts w:ascii="Arial" w:cs="Arial" w:eastAsia="Arial" w:hAnsi="Arial"/>
                <w:sz w:val="18"/>
                <w:szCs w:val="18"/>
                <w:color w:val="auto"/>
              </w:rPr>
              <w:t>(115,686)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(90,622)</w:t>
            </w:r>
          </w:p>
        </w:tc>
      </w:tr>
      <w:tr>
        <w:trPr>
          <w:trHeight w:val="27"/>
        </w:trPr>
        <w:tc>
          <w:tcPr>
            <w:tcW w:w="4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42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(b)</w:t>
            </w:r>
          </w:p>
        </w:tc>
        <w:tc>
          <w:tcPr>
            <w:tcW w:w="3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(16,585)</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(5,682)</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(35,415)</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(22,267)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(36,982)</w:t>
            </w:r>
          </w:p>
        </w:tc>
      </w:tr>
      <w:tr>
        <w:trPr>
          <w:trHeight w:val="243"/>
        </w:trPr>
        <w:tc>
          <w:tcPr>
            <w:tcW w:w="420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300" w:type="dxa"/>
            <w:vAlign w:val="bottom"/>
          </w:tcPr>
          <w:p>
            <w:pPr>
              <w:spacing w:after="0"/>
              <w:rPr>
                <w:sz w:val="21"/>
                <w:szCs w:val="21"/>
                <w:color w:val="auto"/>
              </w:rPr>
            </w:pPr>
          </w:p>
        </w:tc>
        <w:tc>
          <w:tcPr>
            <w:tcW w:w="1040" w:type="dxa"/>
            <w:vAlign w:val="bottom"/>
          </w:tcPr>
          <w:p>
            <w:pPr>
              <w:jc w:val="right"/>
              <w:ind w:right="90"/>
              <w:spacing w:after="0"/>
              <w:rPr>
                <w:sz w:val="20"/>
                <w:szCs w:val="20"/>
                <w:color w:val="auto"/>
              </w:rPr>
            </w:pPr>
            <w:r>
              <w:rPr>
                <w:rFonts w:ascii="Arial" w:cs="Arial" w:eastAsia="Arial" w:hAnsi="Arial"/>
                <w:sz w:val="18"/>
                <w:szCs w:val="18"/>
                <w:color w:val="auto"/>
              </w:rPr>
              <w:t>(19,835)</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20" w:type="dxa"/>
            <w:vAlign w:val="bottom"/>
          </w:tcPr>
          <w:p>
            <w:pPr>
              <w:jc w:val="right"/>
              <w:ind w:right="90"/>
              <w:spacing w:after="0"/>
              <w:rPr>
                <w:sz w:val="20"/>
                <w:szCs w:val="20"/>
                <w:color w:val="auto"/>
              </w:rPr>
            </w:pPr>
            <w:r>
              <w:rPr>
                <w:rFonts w:ascii="Arial" w:cs="Arial" w:eastAsia="Arial" w:hAnsi="Arial"/>
                <w:sz w:val="18"/>
                <w:szCs w:val="18"/>
                <w:color w:val="auto"/>
              </w:rPr>
              <w:t>(19,834)</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Arial" w:cs="Arial" w:eastAsia="Arial" w:hAnsi="Arial"/>
                <w:sz w:val="18"/>
                <w:szCs w:val="18"/>
                <w:color w:val="auto"/>
              </w:rPr>
              <w:t>(6,955)</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jc w:val="right"/>
              <w:ind w:right="90"/>
              <w:spacing w:after="0"/>
              <w:rPr>
                <w:sz w:val="20"/>
                <w:szCs w:val="20"/>
                <w:color w:val="auto"/>
              </w:rPr>
            </w:pPr>
            <w:r>
              <w:rPr>
                <w:rFonts w:ascii="Arial" w:cs="Arial" w:eastAsia="Arial" w:hAnsi="Arial"/>
                <w:sz w:val="18"/>
                <w:szCs w:val="18"/>
                <w:color w:val="auto"/>
              </w:rPr>
              <w:t>(39,669)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(6,955)</w:t>
            </w:r>
          </w:p>
        </w:tc>
      </w:tr>
      <w:tr>
        <w:trPr>
          <w:trHeight w:val="27"/>
        </w:trPr>
        <w:tc>
          <w:tcPr>
            <w:tcW w:w="4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70"/>
        </w:trPr>
        <w:tc>
          <w:tcPr>
            <w:tcW w:w="42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operating expenses (c)</w:t>
            </w:r>
          </w:p>
        </w:tc>
        <w:tc>
          <w:tcPr>
            <w:tcW w:w="30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(20,676)</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(6,569)</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(28,229)</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(27,245)</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(43,481)</w:t>
            </w:r>
          </w:p>
        </w:tc>
      </w:tr>
      <w:tr>
        <w:trPr>
          <w:trHeight w:val="237"/>
        </w:trPr>
        <w:tc>
          <w:tcPr>
            <w:tcW w:w="420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30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(117,110)</w:t>
            </w:r>
          </w:p>
        </w:tc>
        <w:tc>
          <w:tcPr>
            <w:tcW w:w="1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(87,757)</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(139,274)</w:t>
            </w:r>
          </w:p>
        </w:tc>
        <w:tc>
          <w:tcPr>
            <w:tcW w:w="1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(204,867)</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(178,040)</w:t>
            </w:r>
          </w:p>
        </w:tc>
      </w:tr>
      <w:tr>
        <w:trPr>
          <w:trHeight w:val="27"/>
        </w:trPr>
        <w:tc>
          <w:tcPr>
            <w:tcW w:w="42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69"/>
        </w:trPr>
        <w:tc>
          <w:tcPr>
            <w:tcW w:w="4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operating expenses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279,820</w:t>
            </w:r>
          </w:p>
        </w:tc>
        <w:tc>
          <w:tcPr>
            <w:tcW w:w="1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294,797</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246,127</w:t>
            </w:r>
          </w:p>
        </w:tc>
        <w:tc>
          <w:tcPr>
            <w:tcW w:w="1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574,617</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457,975</w:t>
            </w:r>
          </w:p>
        </w:tc>
      </w:tr>
      <w:tr>
        <w:trPr>
          <w:trHeight w:val="20"/>
        </w:trPr>
        <w:tc>
          <w:tcPr>
            <w:tcW w:w="4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00" w:type="dxa"/>
            <w:vAlign w:val="bottom"/>
          </w:tcPr>
          <w:p>
            <w:pPr>
              <w:spacing w:after="0"/>
              <w:rPr>
                <w:sz w:val="21"/>
                <w:szCs w:val="21"/>
                <w:color w:val="auto"/>
              </w:rPr>
            </w:pPr>
          </w:p>
        </w:tc>
      </w:tr>
      <w:tr>
        <w:trPr>
          <w:trHeight w:val="324"/>
        </w:trPr>
        <w:tc>
          <w:tcPr>
            <w:tcW w:w="42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0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20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operating margin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120" w:type="dxa"/>
            <w:vAlign w:val="bottom"/>
            <w:shd w:val="clear" w:color="auto" w:fill="CCEEFF"/>
          </w:tcPr>
          <w:p>
            <w:pPr>
              <w:spacing w:after="0"/>
              <w:rPr>
                <w:sz w:val="23"/>
                <w:szCs w:val="23"/>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20" w:type="dxa"/>
            <w:vAlign w:val="bottom"/>
            <w:shd w:val="clear" w:color="auto" w:fill="CCEEFF"/>
          </w:tcPr>
          <w:p>
            <w:pPr>
              <w:spacing w:after="0"/>
              <w:rPr>
                <w:sz w:val="23"/>
                <w:szCs w:val="23"/>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20" w:type="dxa"/>
            <w:vAlign w:val="bottom"/>
            <w:shd w:val="clear" w:color="auto" w:fill="CCEEFF"/>
          </w:tcPr>
          <w:p>
            <w:pPr>
              <w:spacing w:after="0"/>
              <w:rPr>
                <w:sz w:val="23"/>
                <w:szCs w:val="23"/>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100" w:type="dxa"/>
            <w:vAlign w:val="bottom"/>
            <w:shd w:val="clear" w:color="auto" w:fill="CCEEFF"/>
          </w:tcPr>
          <w:p>
            <w:pPr>
              <w:spacing w:after="0"/>
              <w:rPr>
                <w:sz w:val="23"/>
                <w:szCs w:val="23"/>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w:t>
            </w:r>
          </w:p>
        </w:tc>
      </w:tr>
      <w:tr>
        <w:trPr>
          <w:trHeight w:val="243"/>
        </w:trPr>
        <w:tc>
          <w:tcPr>
            <w:tcW w:w="4200" w:type="dxa"/>
            <w:vAlign w:val="bottom"/>
          </w:tcPr>
          <w:p>
            <w:pPr>
              <w:ind w:left="460"/>
              <w:spacing w:after="0"/>
              <w:rPr>
                <w:sz w:val="20"/>
                <w:szCs w:val="20"/>
                <w:color w:val="auto"/>
              </w:rPr>
            </w:pPr>
            <w:r>
              <w:rPr>
                <w:rFonts w:ascii="Arial" w:cs="Arial" w:eastAsia="Arial" w:hAnsi="Arial"/>
                <w:sz w:val="18"/>
                <w:szCs w:val="18"/>
                <w:color w:val="auto"/>
              </w:rPr>
              <w:t>Other cost of goods sold (a)</w:t>
            </w:r>
          </w:p>
        </w:tc>
        <w:tc>
          <w:tcPr>
            <w:tcW w:w="1460" w:type="dxa"/>
            <w:vAlign w:val="bottom"/>
            <w:gridSpan w:val="2"/>
          </w:tcPr>
          <w:p>
            <w:pPr>
              <w:ind w:left="920"/>
              <w:spacing w:after="0"/>
              <w:rPr>
                <w:sz w:val="20"/>
                <w:szCs w:val="20"/>
                <w:color w:val="auto"/>
              </w:rPr>
            </w:pPr>
            <w:r>
              <w:rPr>
                <w:rFonts w:ascii="Arial" w:cs="Arial" w:eastAsia="Arial" w:hAnsi="Arial"/>
                <w:sz w:val="18"/>
                <w:szCs w:val="18"/>
                <w:color w:val="auto"/>
              </w:rPr>
              <w:t>— %</w:t>
            </w:r>
          </w:p>
        </w:tc>
        <w:tc>
          <w:tcPr>
            <w:tcW w:w="1340" w:type="dxa"/>
            <w:vAlign w:val="bottom"/>
          </w:tcPr>
          <w:p>
            <w:pPr>
              <w:jc w:val="right"/>
              <w:spacing w:after="0"/>
              <w:rPr>
                <w:sz w:val="20"/>
                <w:szCs w:val="20"/>
                <w:color w:val="auto"/>
              </w:rPr>
            </w:pPr>
            <w:r>
              <w:rPr>
                <w:rFonts w:ascii="Arial" w:cs="Arial" w:eastAsia="Arial" w:hAnsi="Arial"/>
                <w:sz w:val="18"/>
                <w:szCs w:val="18"/>
                <w:color w:val="auto"/>
              </w:rPr>
              <w:t>0.1 %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3.5 %</w:t>
            </w:r>
          </w:p>
        </w:tc>
        <w:tc>
          <w:tcPr>
            <w:tcW w:w="120" w:type="dxa"/>
            <w:vAlign w:val="bottom"/>
          </w:tcPr>
          <w:p>
            <w:pPr>
              <w:spacing w:after="0"/>
              <w:rPr>
                <w:sz w:val="21"/>
                <w:szCs w:val="21"/>
                <w:color w:val="auto"/>
              </w:rPr>
            </w:pPr>
          </w:p>
        </w:tc>
        <w:tc>
          <w:tcPr>
            <w:tcW w:w="1540" w:type="dxa"/>
            <w:vAlign w:val="bottom"/>
            <w:gridSpan w:val="2"/>
          </w:tcPr>
          <w:p>
            <w:pPr>
              <w:ind w:left="1020"/>
              <w:spacing w:after="0"/>
              <w:rPr>
                <w:sz w:val="20"/>
                <w:szCs w:val="20"/>
                <w:color w:val="auto"/>
              </w:rPr>
            </w:pPr>
            <w:r>
              <w:rPr>
                <w:rFonts w:ascii="Arial" w:cs="Arial" w:eastAsia="Arial" w:hAnsi="Arial"/>
                <w:sz w:val="18"/>
                <w:szCs w:val="18"/>
                <w:color w:val="auto"/>
              </w:rPr>
              <w:t>— %</w:t>
            </w:r>
          </w:p>
        </w:tc>
        <w:tc>
          <w:tcPr>
            <w:tcW w:w="130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7"/>
        </w:trPr>
        <w:tc>
          <w:tcPr>
            <w:tcW w:w="42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42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9.7 %</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8.8 %</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11.0 %</w:t>
            </w:r>
          </w:p>
        </w:tc>
        <w:tc>
          <w:tcPr>
            <w:tcW w:w="1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9.3 %</w:t>
            </w:r>
          </w:p>
        </w:tc>
        <w:tc>
          <w:tcPr>
            <w:tcW w:w="1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w:t>
            </w:r>
          </w:p>
        </w:tc>
      </w:tr>
      <w:tr>
        <w:trPr>
          <w:trHeight w:val="243"/>
        </w:trPr>
        <w:tc>
          <w:tcPr>
            <w:tcW w:w="4200" w:type="dxa"/>
            <w:vAlign w:val="bottom"/>
          </w:tcPr>
          <w:p>
            <w:pPr>
              <w:ind w:left="460"/>
              <w:spacing w:after="0"/>
              <w:rPr>
                <w:sz w:val="20"/>
                <w:szCs w:val="20"/>
                <w:color w:val="auto"/>
              </w:rPr>
            </w:pPr>
            <w:r>
              <w:rPr>
                <w:rFonts w:ascii="Arial" w:cs="Arial" w:eastAsia="Arial" w:hAnsi="Arial"/>
                <w:sz w:val="18"/>
                <w:szCs w:val="18"/>
                <w:color w:val="auto"/>
              </w:rPr>
              <w:t>Restructuring related charges (b)</w:t>
            </w:r>
          </w:p>
        </w:tc>
        <w:tc>
          <w:tcPr>
            <w:tcW w:w="1340" w:type="dxa"/>
            <w:vAlign w:val="bottom"/>
          </w:tcPr>
          <w:p>
            <w:pPr>
              <w:jc w:val="right"/>
              <w:spacing w:after="0"/>
              <w:rPr>
                <w:sz w:val="20"/>
                <w:szCs w:val="20"/>
                <w:color w:val="auto"/>
              </w:rPr>
            </w:pPr>
            <w:r>
              <w:rPr>
                <w:rFonts w:ascii="Arial" w:cs="Arial" w:eastAsia="Arial" w:hAnsi="Arial"/>
                <w:sz w:val="18"/>
                <w:szCs w:val="18"/>
                <w:color w:val="auto"/>
              </w:rPr>
              <w:t>2.5 %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0.9 %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5.3 %</w:t>
            </w:r>
          </w:p>
        </w:tc>
        <w:tc>
          <w:tcPr>
            <w:tcW w:w="120" w:type="dxa"/>
            <w:vAlign w:val="bottom"/>
          </w:tcPr>
          <w:p>
            <w:pPr>
              <w:spacing w:after="0"/>
              <w:rPr>
                <w:sz w:val="21"/>
                <w:szCs w:val="21"/>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1.7 %</w:t>
            </w:r>
          </w:p>
        </w:tc>
        <w:tc>
          <w:tcPr>
            <w:tcW w:w="10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7"/>
        </w:trPr>
        <w:tc>
          <w:tcPr>
            <w:tcW w:w="42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42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12.3 %</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12.0 %</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3.9 %</w:t>
            </w:r>
          </w:p>
        </w:tc>
        <w:tc>
          <w:tcPr>
            <w:tcW w:w="1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12.2 %</w:t>
            </w:r>
          </w:p>
        </w:tc>
        <w:tc>
          <w:tcPr>
            <w:tcW w:w="1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w:t>
            </w:r>
          </w:p>
        </w:tc>
      </w:tr>
      <w:tr>
        <w:trPr>
          <w:trHeight w:val="243"/>
        </w:trPr>
        <w:tc>
          <w:tcPr>
            <w:tcW w:w="4200" w:type="dxa"/>
            <w:vAlign w:val="bottom"/>
          </w:tcPr>
          <w:p>
            <w:pPr>
              <w:ind w:left="460"/>
              <w:spacing w:after="0"/>
              <w:rPr>
                <w:sz w:val="20"/>
                <w:szCs w:val="20"/>
                <w:color w:val="auto"/>
              </w:rPr>
            </w:pPr>
            <w:r>
              <w:rPr>
                <w:rFonts w:ascii="Arial" w:cs="Arial" w:eastAsia="Arial" w:hAnsi="Arial"/>
                <w:sz w:val="18"/>
                <w:szCs w:val="18"/>
                <w:color w:val="auto"/>
              </w:rPr>
              <w:t>Other operating expenses (c)</w:t>
            </w:r>
          </w:p>
        </w:tc>
        <w:tc>
          <w:tcPr>
            <w:tcW w:w="1340" w:type="dxa"/>
            <w:vAlign w:val="bottom"/>
          </w:tcPr>
          <w:p>
            <w:pPr>
              <w:jc w:val="right"/>
              <w:spacing w:after="0"/>
              <w:rPr>
                <w:sz w:val="20"/>
                <w:szCs w:val="20"/>
                <w:color w:val="auto"/>
              </w:rPr>
            </w:pPr>
            <w:r>
              <w:rPr>
                <w:rFonts w:ascii="Arial" w:cs="Arial" w:eastAsia="Arial" w:hAnsi="Arial"/>
                <w:sz w:val="18"/>
                <w:szCs w:val="18"/>
                <w:color w:val="auto"/>
              </w:rPr>
              <w:t>3.2 %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1.0 %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4.2 %</w:t>
            </w:r>
          </w:p>
        </w:tc>
        <w:tc>
          <w:tcPr>
            <w:tcW w:w="120" w:type="dxa"/>
            <w:vAlign w:val="bottom"/>
          </w:tcPr>
          <w:p>
            <w:pPr>
              <w:spacing w:after="0"/>
              <w:rPr>
                <w:sz w:val="21"/>
                <w:szCs w:val="21"/>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2.0 %</w:t>
            </w:r>
          </w:p>
        </w:tc>
        <w:tc>
          <w:tcPr>
            <w:tcW w:w="10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7"/>
        </w:trPr>
        <w:tc>
          <w:tcPr>
            <w:tcW w:w="42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57"/>
        </w:trPr>
        <w:tc>
          <w:tcPr>
            <w:tcW w:w="4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operating margin</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20.7 %</w:t>
            </w:r>
          </w:p>
        </w:tc>
        <w:tc>
          <w:tcPr>
            <w:tcW w:w="12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12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26.7 %</w:t>
            </w:r>
          </w:p>
        </w:tc>
        <w:tc>
          <w:tcPr>
            <w:tcW w:w="120" w:type="dxa"/>
            <w:vAlign w:val="bottom"/>
            <w:tcBorders>
              <w:bottom w:val="single" w:sz="8" w:color="CCEEFF"/>
            </w:tcBorders>
            <w:shd w:val="clear" w:color="auto" w:fill="CCEEFF"/>
          </w:tcPr>
          <w:p>
            <w:pPr>
              <w:spacing w:after="0"/>
              <w:rPr>
                <w:sz w:val="22"/>
                <w:szCs w:val="22"/>
                <w:color w:val="auto"/>
              </w:rPr>
            </w:pPr>
          </w:p>
        </w:tc>
        <w:tc>
          <w:tcPr>
            <w:tcW w:w="1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20.1 %</w:t>
            </w:r>
          </w:p>
        </w:tc>
        <w:tc>
          <w:tcPr>
            <w:tcW w:w="1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27.0%</w:t>
            </w:r>
          </w:p>
        </w:tc>
      </w:tr>
      <w:tr>
        <w:trPr>
          <w:trHeight w:val="20"/>
        </w:trPr>
        <w:tc>
          <w:tcPr>
            <w:tcW w:w="420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810"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4"/>
          </w:tcPr>
          <w:p>
            <w:pPr>
              <w:ind w:left="80"/>
              <w:spacing w:after="0"/>
              <w:rPr>
                <w:sz w:val="20"/>
                <w:szCs w:val="20"/>
                <w:color w:val="auto"/>
              </w:rPr>
            </w:pPr>
            <w:r>
              <w:rPr>
                <w:rFonts w:ascii="Arial" w:cs="Arial" w:eastAsia="Arial" w:hAnsi="Arial"/>
                <w:sz w:val="14"/>
                <w:szCs w:val="14"/>
                <w:b w:val="1"/>
                <w:bCs w:val="1"/>
                <w:color w:val="auto"/>
                <w:w w:val="98"/>
              </w:rPr>
              <w:t>Three Months Ended</w:t>
            </w: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4"/>
          </w:tcPr>
          <w:p>
            <w:pPr>
              <w:jc w:val="right"/>
              <w:ind w:right="694"/>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45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60" w:type="dxa"/>
            <w:vAlign w:val="bottom"/>
          </w:tcPr>
          <w:p>
            <w:pPr>
              <w:jc w:val="right"/>
              <w:ind w:right="274"/>
              <w:spacing w:after="0" w:line="153" w:lineRule="exact"/>
              <w:rPr>
                <w:sz w:val="20"/>
                <w:szCs w:val="20"/>
                <w:color w:val="auto"/>
              </w:rPr>
            </w:pPr>
            <w:r>
              <w:rPr>
                <w:rFonts w:ascii="Arial" w:cs="Arial" w:eastAsia="Arial" w:hAnsi="Arial"/>
                <w:sz w:val="14"/>
                <w:szCs w:val="14"/>
                <w:b w:val="1"/>
                <w:bCs w:val="1"/>
                <w:color w:val="auto"/>
              </w:rPr>
              <w:t>August 3,</w:t>
            </w: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May 4,</w:t>
            </w:r>
          </w:p>
        </w:tc>
        <w:tc>
          <w:tcPr>
            <w:tcW w:w="220" w:type="dxa"/>
            <w:vAlign w:val="bottom"/>
          </w:tcPr>
          <w:p>
            <w:pPr>
              <w:spacing w:after="0"/>
              <w:rPr>
                <w:sz w:val="13"/>
                <w:szCs w:val="13"/>
                <w:color w:val="auto"/>
              </w:rPr>
            </w:pPr>
          </w:p>
        </w:tc>
        <w:tc>
          <w:tcPr>
            <w:tcW w:w="11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August 4,</w:t>
            </w:r>
          </w:p>
        </w:tc>
        <w:tc>
          <w:tcPr>
            <w:tcW w:w="240" w:type="dxa"/>
            <w:vAlign w:val="bottom"/>
          </w:tcPr>
          <w:p>
            <w:pPr>
              <w:spacing w:after="0"/>
              <w:rPr>
                <w:sz w:val="13"/>
                <w:szCs w:val="13"/>
                <w:color w:val="auto"/>
              </w:rPr>
            </w:pPr>
          </w:p>
        </w:tc>
        <w:tc>
          <w:tcPr>
            <w:tcW w:w="12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3,</w:t>
            </w:r>
          </w:p>
        </w:tc>
        <w:tc>
          <w:tcPr>
            <w:tcW w:w="220" w:type="dxa"/>
            <w:vAlign w:val="bottom"/>
          </w:tcPr>
          <w:p>
            <w:pPr>
              <w:spacing w:after="0"/>
              <w:rPr>
                <w:sz w:val="13"/>
                <w:szCs w:val="13"/>
                <w:color w:val="auto"/>
              </w:rPr>
            </w:pPr>
          </w:p>
        </w:tc>
        <w:tc>
          <w:tcPr>
            <w:tcW w:w="1040" w:type="dxa"/>
            <w:vAlign w:val="bottom"/>
          </w:tcPr>
          <w:p>
            <w:pPr>
              <w:jc w:val="right"/>
              <w:ind w:right="274"/>
              <w:spacing w:after="0" w:line="153" w:lineRule="exact"/>
              <w:rPr>
                <w:sz w:val="20"/>
                <w:szCs w:val="20"/>
                <w:color w:val="auto"/>
              </w:rPr>
            </w:pPr>
            <w:r>
              <w:rPr>
                <w:rFonts w:ascii="Arial" w:cs="Arial" w:eastAsia="Arial" w:hAnsi="Arial"/>
                <w:sz w:val="14"/>
                <w:szCs w:val="14"/>
                <w:b w:val="1"/>
                <w:bCs w:val="1"/>
                <w:color w:val="auto"/>
              </w:rPr>
              <w:t>August 4,</w:t>
            </w:r>
          </w:p>
        </w:tc>
      </w:tr>
      <w:tr>
        <w:trPr>
          <w:trHeight w:val="192"/>
        </w:trPr>
        <w:tc>
          <w:tcPr>
            <w:tcW w:w="45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2018</w:t>
            </w: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interest and other income (loss), net</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(21,651)</w:t>
            </w:r>
          </w:p>
        </w:tc>
        <w:tc>
          <w:tcPr>
            <w:tcW w:w="36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(20,051)</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(14,921)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(41,702)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(7,625)</w:t>
            </w: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7"/>
        </w:trPr>
        <w:tc>
          <w:tcPr>
            <w:tcW w:w="45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items (d)</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75</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(263)</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(1,633)</w:t>
            </w: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Write-off of debt issuance costs (e)</w:t>
            </w:r>
          </w:p>
        </w:tc>
        <w:tc>
          <w:tcPr>
            <w:tcW w:w="220" w:type="dxa"/>
            <w:vAlign w:val="bottom"/>
          </w:tcPr>
          <w:p>
            <w:pPr>
              <w:spacing w:after="0"/>
              <w:rPr>
                <w:sz w:val="21"/>
                <w:szCs w:val="21"/>
                <w:color w:val="auto"/>
              </w:rPr>
            </w:pPr>
          </w:p>
        </w:tc>
        <w:tc>
          <w:tcPr>
            <w:tcW w:w="1060" w:type="dxa"/>
            <w:vAlign w:val="bottom"/>
          </w:tcPr>
          <w:p>
            <w:pPr>
              <w:jc w:val="right"/>
              <w:ind w:right="3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ind w:right="14"/>
              <w:spacing w:after="0"/>
              <w:rPr>
                <w:sz w:val="20"/>
                <w:szCs w:val="20"/>
                <w:color w:val="auto"/>
              </w:rPr>
            </w:pPr>
            <w:r>
              <w:rPr>
                <w:rFonts w:ascii="Arial" w:cs="Arial" w:eastAsia="Arial" w:hAnsi="Arial"/>
                <w:sz w:val="18"/>
                <w:szCs w:val="18"/>
                <w:color w:val="auto"/>
              </w:rPr>
              <w:t>458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14"/>
              <w:spacing w:after="0"/>
              <w:rPr>
                <w:sz w:val="20"/>
                <w:szCs w:val="20"/>
                <w:color w:val="auto"/>
              </w:rPr>
            </w:pPr>
            <w:r>
              <w:rPr>
                <w:rFonts w:ascii="Arial" w:cs="Arial" w:eastAsia="Arial" w:hAnsi="Arial"/>
                <w:sz w:val="18"/>
                <w:szCs w:val="18"/>
                <w:color w:val="auto"/>
              </w:rPr>
              <w:t>6,104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20" w:type="dxa"/>
            <w:vAlign w:val="bottom"/>
          </w:tcPr>
          <w:p>
            <w:pPr>
              <w:jc w:val="right"/>
              <w:ind w:right="36"/>
              <w:spacing w:after="0"/>
              <w:rPr>
                <w:sz w:val="20"/>
                <w:szCs w:val="20"/>
                <w:color w:val="auto"/>
              </w:rPr>
            </w:pPr>
            <w:r>
              <w:rPr>
                <w:rFonts w:ascii="Arial" w:cs="Arial" w:eastAsia="Arial" w:hAnsi="Arial"/>
                <w:sz w:val="18"/>
                <w:szCs w:val="18"/>
                <w:color w:val="auto"/>
              </w:rPr>
              <w:t>458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14"/>
              <w:spacing w:after="0"/>
              <w:rPr>
                <w:sz w:val="20"/>
                <w:szCs w:val="20"/>
                <w:color w:val="auto"/>
              </w:rPr>
            </w:pPr>
            <w:r>
              <w:rPr>
                <w:rFonts w:ascii="Arial" w:cs="Arial" w:eastAsia="Arial" w:hAnsi="Arial"/>
                <w:sz w:val="18"/>
                <w:szCs w:val="18"/>
                <w:color w:val="auto"/>
              </w:rPr>
              <w:t>6,104</w:t>
            </w:r>
          </w:p>
        </w:tc>
      </w:tr>
      <w:tr>
        <w:trPr>
          <w:trHeight w:val="27"/>
        </w:trPr>
        <w:tc>
          <w:tcPr>
            <w:tcW w:w="45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Deal costs (f)</w:t>
            </w:r>
          </w:p>
        </w:tc>
        <w:tc>
          <w:tcPr>
            <w:tcW w:w="2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1,009</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1,009</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37"/>
        </w:trPr>
        <w:tc>
          <w:tcPr>
            <w:tcW w:w="458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22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1,084</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120</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5,983</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1,204</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4,471</w:t>
            </w:r>
          </w:p>
        </w:tc>
      </w:tr>
      <w:tr>
        <w:trPr>
          <w:trHeight w:val="27"/>
        </w:trPr>
        <w:tc>
          <w:tcPr>
            <w:tcW w:w="45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9"/>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interest and other income (loss), net</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(20,567)</w:t>
            </w:r>
          </w:p>
        </w:tc>
        <w:tc>
          <w:tcPr>
            <w:tcW w:w="36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(19,931)</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(8,938)</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(40,498)</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(3,154)</w:t>
            </w:r>
          </w:p>
        </w:tc>
      </w:tr>
      <w:tr>
        <w:trPr>
          <w:trHeight w:val="20"/>
        </w:trPr>
        <w:tc>
          <w:tcPr>
            <w:tcW w:w="45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4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324"/>
        </w:trPr>
        <w:tc>
          <w:tcPr>
            <w:tcW w:w="45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58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net income (loss)</w:t>
            </w:r>
          </w:p>
        </w:tc>
        <w:tc>
          <w:tcPr>
            <w:tcW w:w="36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00" w:type="dxa"/>
            <w:vAlign w:val="bottom"/>
            <w:shd w:val="clear" w:color="auto" w:fill="CCEEFF"/>
          </w:tcPr>
          <w:p>
            <w:pPr>
              <w:spacing w:after="0"/>
              <w:rPr>
                <w:sz w:val="23"/>
                <w:szCs w:val="23"/>
                <w:color w:val="auto"/>
              </w:rPr>
            </w:pP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00" w:type="dxa"/>
            <w:vAlign w:val="bottom"/>
            <w:shd w:val="clear" w:color="auto" w:fill="CCEEFF"/>
          </w:tcPr>
          <w:p>
            <w:pPr>
              <w:spacing w:after="0"/>
              <w:rPr>
                <w:sz w:val="23"/>
                <w:szCs w:val="23"/>
                <w:color w:val="auto"/>
              </w:rPr>
            </w:pP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6,759</w:t>
            </w:r>
          </w:p>
        </w:tc>
        <w:tc>
          <w:tcPr>
            <w:tcW w:w="120" w:type="dxa"/>
            <w:vAlign w:val="bottom"/>
            <w:shd w:val="clear" w:color="auto" w:fill="CCEEFF"/>
          </w:tcPr>
          <w:p>
            <w:pPr>
              <w:spacing w:after="0"/>
              <w:rPr>
                <w:sz w:val="23"/>
                <w:szCs w:val="23"/>
                <w:color w:val="auto"/>
              </w:rPr>
            </w:pPr>
          </w:p>
        </w:tc>
        <w:tc>
          <w:tcPr>
            <w:tcW w:w="3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(105,781)</w:t>
            </w:r>
          </w:p>
        </w:tc>
        <w:tc>
          <w:tcPr>
            <w:tcW w:w="100" w:type="dxa"/>
            <w:vAlign w:val="bottom"/>
            <w:shd w:val="clear" w:color="auto" w:fill="CCEEFF"/>
          </w:tcPr>
          <w:p>
            <w:pPr>
              <w:spacing w:after="0"/>
              <w:rPr>
                <w:sz w:val="23"/>
                <w:szCs w:val="23"/>
                <w:color w:val="auto"/>
              </w:rPr>
            </w:pP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135,371</w:t>
            </w: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3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(a)</w:t>
            </w:r>
          </w:p>
        </w:tc>
        <w:tc>
          <w:tcPr>
            <w:tcW w:w="36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450</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22,933</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450</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22,933</w:t>
            </w: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36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63,676</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58,598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73,423</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122,274</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97,275</w:t>
            </w: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w w:val="92"/>
              </w:rPr>
              <w:t>Restructuring related charges in operating expenses (b)</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16,585</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5,682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35,415</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22,267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36,982</w:t>
            </w:r>
          </w:p>
        </w:tc>
      </w:tr>
      <w:tr>
        <w:trPr>
          <w:trHeight w:val="229"/>
        </w:trPr>
        <w:tc>
          <w:tcPr>
            <w:tcW w:w="4580" w:type="dxa"/>
            <w:vAlign w:val="bottom"/>
          </w:tcPr>
          <w:p>
            <w:pPr>
              <w:ind w:left="460"/>
              <w:spacing w:after="0"/>
              <w:rPr>
                <w:sz w:val="20"/>
                <w:szCs w:val="20"/>
                <w:color w:val="auto"/>
              </w:rPr>
            </w:pPr>
            <w:r>
              <w:rPr>
                <w:rFonts w:ascii="Arial" w:cs="Arial" w:eastAsia="Arial" w:hAnsi="Arial"/>
                <w:sz w:val="18"/>
                <w:szCs w:val="18"/>
                <w:color w:val="auto"/>
              </w:rPr>
              <w:t>Restructuring related items in interest and other</w:t>
            </w:r>
          </w:p>
        </w:tc>
        <w:tc>
          <w:tcPr>
            <w:tcW w:w="3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20" w:type="dxa"/>
            <w:vAlign w:val="bottom"/>
          </w:tcPr>
          <w:p>
            <w:pPr>
              <w:spacing w:after="0"/>
              <w:rPr>
                <w:sz w:val="19"/>
                <w:szCs w:val="19"/>
                <w:color w:val="auto"/>
              </w:rPr>
            </w:pPr>
          </w:p>
        </w:tc>
      </w:tr>
      <w:tr>
        <w:trPr>
          <w:trHeight w:val="230"/>
        </w:trPr>
        <w:tc>
          <w:tcPr>
            <w:tcW w:w="4580" w:type="dxa"/>
            <w:vAlign w:val="bottom"/>
          </w:tcPr>
          <w:p>
            <w:pPr>
              <w:ind w:left="680"/>
              <w:spacing w:after="0"/>
              <w:rPr>
                <w:sz w:val="20"/>
                <w:szCs w:val="20"/>
                <w:color w:val="auto"/>
              </w:rPr>
            </w:pPr>
            <w:r>
              <w:rPr>
                <w:rFonts w:ascii="Arial" w:cs="Arial" w:eastAsia="Arial" w:hAnsi="Arial"/>
                <w:sz w:val="18"/>
                <w:szCs w:val="18"/>
                <w:color w:val="auto"/>
              </w:rPr>
              <w:t>income, net (d)</w:t>
            </w:r>
          </w:p>
        </w:tc>
        <w:tc>
          <w:tcPr>
            <w:tcW w:w="36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75</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(338)</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(121)</w:t>
            </w: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(263)</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(1,633)</w:t>
            </w: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80,967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79,740</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25,939</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160,707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25,939</w:t>
            </w: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Write-off of debt issuance costs (e)</w:t>
            </w:r>
          </w:p>
        </w:tc>
        <w:tc>
          <w:tcPr>
            <w:tcW w:w="360" w:type="dxa"/>
            <w:vAlign w:val="bottom"/>
          </w:tcPr>
          <w:p>
            <w:pPr>
              <w:spacing w:after="0"/>
              <w:rPr>
                <w:sz w:val="21"/>
                <w:szCs w:val="21"/>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458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6,104</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458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6,104</w:t>
            </w: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Deal costs in interest and other income, net (f)</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1,009</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1,009</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Other operating expenses (c)</w:t>
            </w:r>
          </w:p>
        </w:tc>
        <w:tc>
          <w:tcPr>
            <w:tcW w:w="36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20,676</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6,569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28,229</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27,245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43,481</w:t>
            </w:r>
          </w:p>
        </w:tc>
      </w:tr>
      <w:tr>
        <w:trPr>
          <w:trHeight w:val="27"/>
        </w:trPr>
        <w:tc>
          <w:tcPr>
            <w:tcW w:w="458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64"/>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Pre-tax total special items</w:t>
            </w:r>
          </w:p>
        </w:tc>
        <w:tc>
          <w:tcPr>
            <w:tcW w:w="36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182,988</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151,159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191,922</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334,147</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231,081</w:t>
            </w:r>
          </w:p>
        </w:tc>
      </w:tr>
      <w:tr>
        <w:trPr>
          <w:trHeight w:val="237"/>
        </w:trPr>
        <w:tc>
          <w:tcPr>
            <w:tcW w:w="4580" w:type="dxa"/>
            <w:vAlign w:val="bottom"/>
          </w:tcPr>
          <w:p>
            <w:pPr>
              <w:ind w:left="440"/>
              <w:spacing w:after="0"/>
              <w:rPr>
                <w:sz w:val="20"/>
                <w:szCs w:val="20"/>
                <w:color w:val="auto"/>
              </w:rPr>
            </w:pPr>
            <w:r>
              <w:rPr>
                <w:rFonts w:ascii="Arial" w:cs="Arial" w:eastAsia="Arial" w:hAnsi="Arial"/>
                <w:sz w:val="18"/>
                <w:szCs w:val="18"/>
                <w:color w:val="auto"/>
              </w:rPr>
              <w:t>Other income tax effects and adjustments (g)</w:t>
            </w:r>
          </w:p>
        </w:tc>
        <w:tc>
          <w:tcPr>
            <w:tcW w:w="3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(15,728)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2,324</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(36,720)</w:t>
            </w:r>
          </w:p>
        </w:tc>
        <w:tc>
          <w:tcPr>
            <w:tcW w:w="12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(13,404)</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(39,818)</w:t>
            </w:r>
          </w:p>
        </w:tc>
      </w:tr>
      <w:tr>
        <w:trPr>
          <w:trHeight w:val="27"/>
        </w:trPr>
        <w:tc>
          <w:tcPr>
            <w:tcW w:w="458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69"/>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net income</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109,929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105,033</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161,961</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214,962</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326,634</w:t>
            </w:r>
          </w:p>
        </w:tc>
      </w:tr>
      <w:tr>
        <w:trPr>
          <w:trHeight w:val="20"/>
        </w:trPr>
        <w:tc>
          <w:tcPr>
            <w:tcW w:w="458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5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r>
      <w:tr>
        <w:trPr>
          <w:trHeight w:val="324"/>
        </w:trPr>
        <w:tc>
          <w:tcPr>
            <w:tcW w:w="458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64"/>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 basic</w:t>
            </w:r>
          </w:p>
        </w:tc>
        <w:tc>
          <w:tcPr>
            <w:tcW w:w="36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rPr>
              <w:t>663,603</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658,963</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552,238</w:t>
            </w:r>
          </w:p>
        </w:tc>
        <w:tc>
          <w:tcPr>
            <w:tcW w:w="12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auto"/>
            </w:tcBorders>
            <w:shd w:val="clear" w:color="auto" w:fill="CCEEFF"/>
          </w:tcPr>
          <w:p>
            <w:pPr>
              <w:spacing w:after="0"/>
              <w:rPr>
                <w:sz w:val="22"/>
                <w:szCs w:val="22"/>
                <w:color w:val="auto"/>
              </w:rPr>
            </w:pPr>
          </w:p>
        </w:tc>
        <w:tc>
          <w:tcPr>
            <w:tcW w:w="98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rPr>
              <w:t>661,280</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524,787</w:t>
            </w:r>
          </w:p>
        </w:tc>
        <w:tc>
          <w:tcPr>
            <w:tcW w:w="0" w:type="dxa"/>
            <w:vAlign w:val="bottom"/>
          </w:tcPr>
          <w:p>
            <w:pPr>
              <w:spacing w:after="0"/>
              <w:rPr>
                <w:sz w:val="1"/>
                <w:szCs w:val="1"/>
                <w:color w:val="auto"/>
              </w:rPr>
            </w:pPr>
          </w:p>
        </w:tc>
      </w:tr>
      <w:tr>
        <w:trPr>
          <w:trHeight w:val="20"/>
        </w:trPr>
        <w:tc>
          <w:tcPr>
            <w:tcW w:w="4580" w:type="dxa"/>
            <w:vAlign w:val="bottom"/>
            <w:vMerge w:val="restart"/>
          </w:tcPr>
          <w:p>
            <w:pPr>
              <w:ind w:left="40"/>
              <w:spacing w:after="0"/>
              <w:rPr>
                <w:sz w:val="20"/>
                <w:szCs w:val="20"/>
                <w:color w:val="auto"/>
              </w:rPr>
            </w:pPr>
            <w:r>
              <w:rPr>
                <w:rFonts w:ascii="Arial" w:cs="Arial" w:eastAsia="Arial" w:hAnsi="Arial"/>
                <w:sz w:val="18"/>
                <w:szCs w:val="18"/>
                <w:color w:val="auto"/>
              </w:rPr>
              <w:t>Weighted average shares — diluted</w:t>
            </w:r>
          </w:p>
        </w:tc>
        <w:tc>
          <w:tcPr>
            <w:tcW w:w="36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4580" w:type="dxa"/>
            <w:vAlign w:val="bottom"/>
            <w:vMerge w:val="continue"/>
          </w:tcPr>
          <w:p>
            <w:pPr>
              <w:spacing w:after="0"/>
              <w:rPr>
                <w:sz w:val="20"/>
                <w:szCs w:val="20"/>
                <w:color w:val="auto"/>
              </w:rPr>
            </w:pPr>
          </w:p>
        </w:tc>
        <w:tc>
          <w:tcPr>
            <w:tcW w:w="36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663,603</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658,963</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562,149</w:t>
            </w:r>
          </w:p>
        </w:tc>
        <w:tc>
          <w:tcPr>
            <w:tcW w:w="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661,280</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535,433</w:t>
            </w:r>
          </w:p>
        </w:tc>
        <w:tc>
          <w:tcPr>
            <w:tcW w:w="0" w:type="dxa"/>
            <w:vAlign w:val="bottom"/>
          </w:tcPr>
          <w:p>
            <w:pPr>
              <w:spacing w:after="0"/>
              <w:rPr>
                <w:sz w:val="1"/>
                <w:szCs w:val="1"/>
                <w:color w:val="auto"/>
              </w:rPr>
            </w:pPr>
          </w:p>
        </w:tc>
      </w:tr>
      <w:tr>
        <w:trPr>
          <w:trHeight w:val="67"/>
        </w:trPr>
        <w:tc>
          <w:tcPr>
            <w:tcW w:w="4580" w:type="dxa"/>
            <w:vAlign w:val="bottom"/>
            <w:tcBorders>
              <w:bottom w:val="single" w:sz="8" w:color="CCEEFF"/>
            </w:tcBorders>
          </w:tcPr>
          <w:p>
            <w:pPr>
              <w:spacing w:after="0"/>
              <w:rPr>
                <w:sz w:val="5"/>
                <w:szCs w:val="5"/>
                <w:color w:val="auto"/>
              </w:rPr>
            </w:pPr>
          </w:p>
        </w:tc>
        <w:tc>
          <w:tcPr>
            <w:tcW w:w="36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580" w:type="dxa"/>
            <w:vAlign w:val="bottom"/>
            <w:shd w:val="clear" w:color="auto" w:fill="CCEEFF"/>
          </w:tcPr>
          <w:p>
            <w:pPr>
              <w:spacing w:after="0"/>
              <w:rPr>
                <w:sz w:val="21"/>
                <w:szCs w:val="21"/>
                <w:color w:val="auto"/>
              </w:rPr>
            </w:pPr>
          </w:p>
        </w:tc>
        <w:tc>
          <w:tcPr>
            <w:tcW w:w="36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380" w:type="dxa"/>
            <w:vAlign w:val="bottom"/>
            <w:shd w:val="clear" w:color="auto" w:fill="CCEEFF"/>
          </w:tcPr>
          <w:p>
            <w:pPr>
              <w:spacing w:after="0"/>
              <w:rPr>
                <w:sz w:val="21"/>
                <w:szCs w:val="21"/>
                <w:color w:val="auto"/>
              </w:rPr>
            </w:pPr>
          </w:p>
        </w:tc>
        <w:tc>
          <w:tcPr>
            <w:tcW w:w="98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GAAP diluted net income (loss) per share</w:t>
            </w: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(0.07)</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0.01</w:t>
            </w:r>
          </w:p>
        </w:tc>
        <w:tc>
          <w:tcPr>
            <w:tcW w:w="120" w:type="dxa"/>
            <w:vAlign w:val="bottom"/>
          </w:tcPr>
          <w:p>
            <w:pPr>
              <w:spacing w:after="0"/>
              <w:rPr>
                <w:sz w:val="21"/>
                <w:szCs w:val="21"/>
                <w:color w:val="auto"/>
              </w:rPr>
            </w:pPr>
          </w:p>
        </w:tc>
        <w:tc>
          <w:tcPr>
            <w:tcW w:w="380" w:type="dxa"/>
            <w:vAlign w:val="bottom"/>
          </w:tcPr>
          <w:p>
            <w:pPr>
              <w:jc w:val="right"/>
              <w:ind w:right="190"/>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0.25</w:t>
            </w:r>
          </w:p>
        </w:tc>
        <w:tc>
          <w:tcPr>
            <w:tcW w:w="0" w:type="dxa"/>
            <w:vAlign w:val="bottom"/>
          </w:tcPr>
          <w:p>
            <w:pPr>
              <w:spacing w:after="0"/>
              <w:rPr>
                <w:sz w:val="1"/>
                <w:szCs w:val="1"/>
                <w:color w:val="auto"/>
              </w:rPr>
            </w:pPr>
          </w:p>
        </w:tc>
      </w:tr>
      <w:tr>
        <w:trPr>
          <w:trHeight w:val="67"/>
        </w:trPr>
        <w:tc>
          <w:tcPr>
            <w:tcW w:w="4580" w:type="dxa"/>
            <w:vAlign w:val="bottom"/>
            <w:tcBorders>
              <w:bottom w:val="single" w:sz="8" w:color="CCEEFF"/>
            </w:tcBorders>
          </w:tcPr>
          <w:p>
            <w:pPr>
              <w:spacing w:after="0"/>
              <w:rPr>
                <w:sz w:val="5"/>
                <w:szCs w:val="5"/>
                <w:color w:val="auto"/>
              </w:rPr>
            </w:pPr>
          </w:p>
        </w:tc>
        <w:tc>
          <w:tcPr>
            <w:tcW w:w="36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5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diluted net income per share (h)</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0.28</w:t>
            </w:r>
          </w:p>
        </w:tc>
        <w:tc>
          <w:tcPr>
            <w:tcW w:w="12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0.32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0.60</w:t>
            </w:r>
          </w:p>
        </w:tc>
        <w:tc>
          <w:tcPr>
            <w:tcW w:w="0" w:type="dxa"/>
            <w:vAlign w:val="bottom"/>
          </w:tcPr>
          <w:p>
            <w:pPr>
              <w:spacing w:after="0"/>
              <w:rPr>
                <w:sz w:val="1"/>
                <w:szCs w:val="1"/>
                <w:color w:val="auto"/>
              </w:rPr>
            </w:pPr>
          </w:p>
        </w:tc>
      </w:tr>
      <w:tr>
        <w:trPr>
          <w:trHeight w:val="20"/>
        </w:trPr>
        <w:tc>
          <w:tcPr>
            <w:tcW w:w="458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553" w:right="239" w:bottom="1440" w:gutter="0" w:footer="0" w:header="0"/>
        </w:sectPr>
      </w:pPr>
    </w:p>
    <w:bookmarkStart w:id="12" w:name="page13"/>
    <w:bookmarkEnd w:id="12"/>
    <w:p>
      <w:pPr>
        <w:ind w:left="465" w:right="300" w:hanging="465"/>
        <w:spacing w:after="0" w:line="277"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amortization of the Cavium inventory fair value step up in 2018 as well as charges for past intellectual property licensing matters in 2019.</w:t>
      </w:r>
    </w:p>
    <w:p>
      <w:pPr>
        <w:spacing w:after="0" w:line="143" w:lineRule="exact"/>
        <w:rPr>
          <w:rFonts w:ascii="Arial" w:cs="Arial" w:eastAsia="Arial" w:hAnsi="Arial"/>
          <w:sz w:val="18"/>
          <w:szCs w:val="18"/>
          <w:i w:val="1"/>
          <w:iCs w:val="1"/>
          <w:color w:val="auto"/>
        </w:rPr>
      </w:pPr>
    </w:p>
    <w:p>
      <w:pPr>
        <w:ind w:left="465" w:hanging="465"/>
        <w:spacing w:after="0"/>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employee severance, facilities related costs, and impairment of equipment and other assets.</w:t>
      </w:r>
    </w:p>
    <w:p>
      <w:pPr>
        <w:spacing w:after="0" w:line="198" w:lineRule="exact"/>
        <w:rPr>
          <w:rFonts w:ascii="Arial" w:cs="Arial" w:eastAsia="Arial" w:hAnsi="Arial"/>
          <w:sz w:val="18"/>
          <w:szCs w:val="18"/>
          <w:i w:val="1"/>
          <w:iCs w:val="1"/>
          <w:color w:val="auto"/>
        </w:rPr>
      </w:pPr>
    </w:p>
    <w:p>
      <w:pPr>
        <w:ind w:left="465" w:hanging="465"/>
        <w:spacing w:after="0"/>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Cavium, Aquantia, and Avera merger costs.</w:t>
      </w:r>
    </w:p>
    <w:p>
      <w:pPr>
        <w:spacing w:after="0" w:line="198" w:lineRule="exact"/>
        <w:rPr>
          <w:rFonts w:ascii="Arial" w:cs="Arial" w:eastAsia="Arial" w:hAnsi="Arial"/>
          <w:sz w:val="18"/>
          <w:szCs w:val="18"/>
          <w:i w:val="1"/>
          <w:iCs w:val="1"/>
          <w:color w:val="auto"/>
        </w:rPr>
      </w:pPr>
    </w:p>
    <w:p>
      <w:pPr>
        <w:ind w:left="465" w:right="480" w:hanging="465"/>
        <w:spacing w:after="0" w:line="277"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Interest and other income, net, includes restructuring related items such as foreign currency remeasurement associated with restructuring related accruals.</w:t>
      </w:r>
    </w:p>
    <w:p>
      <w:pPr>
        <w:spacing w:after="0" w:line="143" w:lineRule="exact"/>
        <w:rPr>
          <w:rFonts w:ascii="Arial" w:cs="Arial" w:eastAsia="Arial" w:hAnsi="Arial"/>
          <w:sz w:val="18"/>
          <w:szCs w:val="18"/>
          <w:i w:val="1"/>
          <w:iCs w:val="1"/>
          <w:color w:val="auto"/>
        </w:rPr>
      </w:pPr>
    </w:p>
    <w:p>
      <w:pPr>
        <w:ind w:left="465" w:right="180" w:hanging="465"/>
        <w:spacing w:after="0" w:line="277"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Write-off of debt issuance costs is associated with the partial term loan repayment during the three months ended May 4, 2019, as well as during the three and six months ended August 4, 2018.</w:t>
      </w:r>
    </w:p>
    <w:p>
      <w:pPr>
        <w:spacing w:after="0" w:line="143" w:lineRule="exact"/>
        <w:rPr>
          <w:rFonts w:ascii="Arial" w:cs="Arial" w:eastAsia="Arial" w:hAnsi="Arial"/>
          <w:sz w:val="18"/>
          <w:szCs w:val="18"/>
          <w:i w:val="1"/>
          <w:iCs w:val="1"/>
          <w:color w:val="auto"/>
        </w:rPr>
      </w:pPr>
    </w:p>
    <w:p>
      <w:pPr>
        <w:ind w:left="465" w:hanging="465"/>
        <w:spacing w:after="0"/>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Deal costs include transaction costs incurred in connection with the divestiture of the Wi-Fi Connectivity business.</w:t>
      </w:r>
    </w:p>
    <w:p>
      <w:pPr>
        <w:spacing w:after="0" w:line="198" w:lineRule="exact"/>
        <w:rPr>
          <w:rFonts w:ascii="Arial" w:cs="Arial" w:eastAsia="Arial" w:hAnsi="Arial"/>
          <w:sz w:val="18"/>
          <w:szCs w:val="18"/>
          <w:i w:val="1"/>
          <w:iCs w:val="1"/>
          <w:color w:val="auto"/>
        </w:rPr>
      </w:pPr>
    </w:p>
    <w:p>
      <w:pPr>
        <w:ind w:left="465" w:hanging="465"/>
        <w:spacing w:after="0" w:line="264"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4.5% for the three months ended May 4, 2019 and the three and six months ended August 3, 2019, and based on a non-GAAP income tax rate of 4% for the three and six months ended August 4, 2018.</w:t>
      </w:r>
    </w:p>
    <w:p>
      <w:pPr>
        <w:spacing w:after="0" w:line="154" w:lineRule="exact"/>
        <w:rPr>
          <w:rFonts w:ascii="Arial" w:cs="Arial" w:eastAsia="Arial" w:hAnsi="Arial"/>
          <w:sz w:val="18"/>
          <w:szCs w:val="18"/>
          <w:i w:val="1"/>
          <w:iCs w:val="1"/>
          <w:color w:val="auto"/>
        </w:rPr>
      </w:pPr>
    </w:p>
    <w:p>
      <w:pPr>
        <w:ind w:left="465" w:right="160" w:hanging="465"/>
        <w:spacing w:after="0" w:line="302" w:lineRule="auto"/>
        <w:tabs>
          <w:tab w:leader="none" w:pos="465"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Non-GAAP diluted net income per share for the three months ended August 3, 2019 and May 4, 2019 was calculated by dividing non-GAAP net income by weighted average shares outstanding (diluted) of 675,755 shares and 671,048 shares, respectively, due to the non-GAAP net income reported in the respective period. Non-GAAP diluted net income per share for the six months ended August 3, 2019 was calculated by dividing non-GAAP net income by weighted average shares outstanding (diluted) of 673,399 shares due to the non-GAAP net income reported in the period.</w:t>
      </w:r>
    </w:p>
    <w:p>
      <w:pPr>
        <w:sectPr>
          <w:pgSz w:w="11900" w:h="16838" w:orient="portrait"/>
          <w:cols w:equalWidth="0" w:num="1">
            <w:col w:w="11305"/>
          </w:cols>
          <w:pgMar w:left="275" w:top="530" w:right="319" w:bottom="1440" w:gutter="0" w:footer="0" w:header="0"/>
        </w:sectPr>
      </w:pPr>
    </w:p>
    <w:bookmarkStart w:id="13" w:name="page14"/>
    <w:bookmarkEnd w:id="13"/>
    <w:tbl>
      <w:tblPr>
        <w:tblLayout w:type="fixed"/>
        <w:tblInd w:w="0" w:type="dxa"/>
        <w:tblCellMar>
          <w:top w:w="0" w:type="dxa"/>
          <w:left w:w="0" w:type="dxa"/>
          <w:bottom w:w="0" w:type="dxa"/>
          <w:right w:w="0" w:type="dxa"/>
        </w:tblCellMar>
      </w:tblPr>
      <w:tr>
        <w:trPr>
          <w:trHeight w:val="234"/>
        </w:trPr>
        <w:tc>
          <w:tcPr>
            <w:tcW w:w="3500" w:type="dxa"/>
            <w:vAlign w:val="bottom"/>
          </w:tcPr>
          <w:p>
            <w:pPr>
              <w:spacing w:after="0"/>
              <w:rPr>
                <w:sz w:val="20"/>
                <w:szCs w:val="20"/>
                <w:color w:val="auto"/>
              </w:rPr>
            </w:pPr>
          </w:p>
        </w:tc>
        <w:tc>
          <w:tcPr>
            <w:tcW w:w="7920" w:type="dxa"/>
            <w:vAlign w:val="bottom"/>
            <w:gridSpan w:val="2"/>
          </w:tcPr>
          <w:p>
            <w:pPr>
              <w:jc w:val="center"/>
              <w:ind w:right="3355"/>
              <w:spacing w:after="0"/>
              <w:rPr>
                <w:sz w:val="20"/>
                <w:szCs w:val="20"/>
                <w:color w:val="auto"/>
              </w:rPr>
            </w:pPr>
            <w:r>
              <w:rPr>
                <w:rFonts w:ascii="Arial" w:cs="Arial" w:eastAsia="Arial" w:hAnsi="Arial"/>
                <w:sz w:val="18"/>
                <w:szCs w:val="18"/>
                <w:b w:val="1"/>
                <w:bCs w:val="1"/>
                <w:color w:val="auto"/>
                <w:w w:val="92"/>
              </w:rPr>
              <w:t>Marvell Technology Group Ltd.</w:t>
            </w:r>
          </w:p>
        </w:tc>
      </w:tr>
      <w:tr>
        <w:trPr>
          <w:trHeight w:val="270"/>
        </w:trPr>
        <w:tc>
          <w:tcPr>
            <w:tcW w:w="3500" w:type="dxa"/>
            <w:vAlign w:val="bottom"/>
          </w:tcPr>
          <w:p>
            <w:pPr>
              <w:spacing w:after="0"/>
              <w:rPr>
                <w:sz w:val="23"/>
                <w:szCs w:val="23"/>
                <w:color w:val="auto"/>
              </w:rPr>
            </w:pPr>
          </w:p>
        </w:tc>
        <w:tc>
          <w:tcPr>
            <w:tcW w:w="7920" w:type="dxa"/>
            <w:vAlign w:val="bottom"/>
            <w:gridSpan w:val="2"/>
          </w:tcPr>
          <w:p>
            <w:pPr>
              <w:jc w:val="center"/>
              <w:ind w:right="3375"/>
              <w:spacing w:after="0"/>
              <w:rPr>
                <w:sz w:val="20"/>
                <w:szCs w:val="20"/>
                <w:color w:val="auto"/>
              </w:rPr>
            </w:pPr>
            <w:r>
              <w:rPr>
                <w:rFonts w:ascii="Arial" w:cs="Arial" w:eastAsia="Arial" w:hAnsi="Arial"/>
                <w:sz w:val="18"/>
                <w:szCs w:val="18"/>
                <w:b w:val="1"/>
                <w:bCs w:val="1"/>
                <w:color w:val="auto"/>
                <w:w w:val="92"/>
              </w:rPr>
              <w:t>Outlook for the Third Quarter of Fiscal Year 2020</w:t>
            </w:r>
          </w:p>
        </w:tc>
      </w:tr>
      <w:tr>
        <w:trPr>
          <w:trHeight w:val="270"/>
        </w:trPr>
        <w:tc>
          <w:tcPr>
            <w:tcW w:w="3500" w:type="dxa"/>
            <w:vAlign w:val="bottom"/>
          </w:tcPr>
          <w:p>
            <w:pPr>
              <w:spacing w:after="0"/>
              <w:rPr>
                <w:sz w:val="23"/>
                <w:szCs w:val="23"/>
                <w:color w:val="auto"/>
              </w:rPr>
            </w:pPr>
          </w:p>
        </w:tc>
        <w:tc>
          <w:tcPr>
            <w:tcW w:w="7920" w:type="dxa"/>
            <w:vAlign w:val="bottom"/>
            <w:gridSpan w:val="2"/>
          </w:tcPr>
          <w:p>
            <w:pPr>
              <w:jc w:val="center"/>
              <w:ind w:right="3415"/>
              <w:spacing w:after="0"/>
              <w:rPr>
                <w:sz w:val="20"/>
                <w:szCs w:val="20"/>
                <w:color w:val="auto"/>
              </w:rPr>
            </w:pPr>
            <w:r>
              <w:rPr>
                <w:rFonts w:ascii="Arial" w:cs="Arial" w:eastAsia="Arial" w:hAnsi="Arial"/>
                <w:sz w:val="18"/>
                <w:szCs w:val="18"/>
                <w:b w:val="1"/>
                <w:bCs w:val="1"/>
                <w:color w:val="auto"/>
                <w:w w:val="92"/>
              </w:rPr>
              <w:t>Reconciliations from GAAP to Non-GAAP (Unaudited)</w:t>
            </w:r>
          </w:p>
        </w:tc>
      </w:tr>
      <w:tr>
        <w:trPr>
          <w:trHeight w:val="270"/>
        </w:trPr>
        <w:tc>
          <w:tcPr>
            <w:tcW w:w="3500" w:type="dxa"/>
            <w:vAlign w:val="bottom"/>
          </w:tcPr>
          <w:p>
            <w:pPr>
              <w:spacing w:after="0"/>
              <w:rPr>
                <w:sz w:val="23"/>
                <w:szCs w:val="23"/>
                <w:color w:val="auto"/>
              </w:rPr>
            </w:pPr>
          </w:p>
        </w:tc>
        <w:tc>
          <w:tcPr>
            <w:tcW w:w="7920" w:type="dxa"/>
            <w:vAlign w:val="bottom"/>
            <w:gridSpan w:val="2"/>
          </w:tcPr>
          <w:p>
            <w:pPr>
              <w:jc w:val="center"/>
              <w:ind w:right="3355"/>
              <w:spacing w:after="0"/>
              <w:rPr>
                <w:sz w:val="20"/>
                <w:szCs w:val="20"/>
                <w:color w:val="auto"/>
              </w:rPr>
            </w:pPr>
            <w:r>
              <w:rPr>
                <w:rFonts w:ascii="Arial" w:cs="Arial" w:eastAsia="Arial" w:hAnsi="Arial"/>
                <w:sz w:val="18"/>
                <w:szCs w:val="18"/>
                <w:b w:val="1"/>
                <w:bCs w:val="1"/>
                <w:color w:val="auto"/>
                <w:w w:val="89"/>
              </w:rPr>
              <w:t>(In millions, except per share amounts)</w:t>
            </w:r>
          </w:p>
        </w:tc>
      </w:tr>
      <w:tr>
        <w:trPr>
          <w:trHeight w:val="423"/>
        </w:trPr>
        <w:tc>
          <w:tcPr>
            <w:tcW w:w="350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3640" w:type="dxa"/>
            <w:vAlign w:val="bottom"/>
          </w:tcPr>
          <w:p>
            <w:pPr>
              <w:jc w:val="center"/>
              <w:spacing w:after="0"/>
              <w:rPr>
                <w:sz w:val="20"/>
                <w:szCs w:val="20"/>
                <w:color w:val="auto"/>
              </w:rPr>
            </w:pPr>
            <w:r>
              <w:rPr>
                <w:rFonts w:ascii="Arial" w:cs="Arial" w:eastAsia="Arial" w:hAnsi="Arial"/>
                <w:sz w:val="14"/>
                <w:szCs w:val="14"/>
                <w:b w:val="1"/>
                <w:bCs w:val="1"/>
                <w:color w:val="auto"/>
                <w:w w:val="95"/>
              </w:rPr>
              <w:t>Outlook for Three Months Ended</w:t>
            </w:r>
          </w:p>
        </w:tc>
      </w:tr>
      <w:tr>
        <w:trPr>
          <w:trHeight w:val="192"/>
        </w:trPr>
        <w:tc>
          <w:tcPr>
            <w:tcW w:w="3500" w:type="dxa"/>
            <w:vAlign w:val="bottom"/>
            <w:tcBorders>
              <w:bottom w:val="single" w:sz="8" w:color="CCEEFF"/>
            </w:tcBorders>
          </w:tcPr>
          <w:p>
            <w:pPr>
              <w:spacing w:after="0"/>
              <w:rPr>
                <w:sz w:val="16"/>
                <w:szCs w:val="16"/>
                <w:color w:val="auto"/>
              </w:rPr>
            </w:pPr>
          </w:p>
        </w:tc>
        <w:tc>
          <w:tcPr>
            <w:tcW w:w="4280" w:type="dxa"/>
            <w:vAlign w:val="bottom"/>
            <w:tcBorders>
              <w:bottom w:val="single" w:sz="8" w:color="CCEEFF"/>
            </w:tcBorders>
          </w:tcPr>
          <w:p>
            <w:pPr>
              <w:spacing w:after="0"/>
              <w:rPr>
                <w:sz w:val="16"/>
                <w:szCs w:val="16"/>
                <w:color w:val="auto"/>
              </w:rPr>
            </w:pPr>
          </w:p>
        </w:tc>
        <w:tc>
          <w:tcPr>
            <w:tcW w:w="3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November 2, 2019</w:t>
            </w:r>
          </w:p>
        </w:tc>
      </w:tr>
      <w:tr>
        <w:trPr>
          <w:trHeight w:val="250"/>
        </w:trPr>
        <w:tc>
          <w:tcPr>
            <w:tcW w:w="3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GAAP revenue</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Arial" w:cs="Arial" w:eastAsia="Arial" w:hAnsi="Arial"/>
                <w:sz w:val="18"/>
                <w:szCs w:val="18"/>
                <w:color w:val="auto"/>
                <w:w w:val="92"/>
              </w:rPr>
              <w:t>$660 +/- 3%</w:t>
            </w:r>
          </w:p>
        </w:tc>
      </w:tr>
      <w:tr>
        <w:trPr>
          <w:trHeight w:val="243"/>
        </w:trPr>
        <w:tc>
          <w:tcPr>
            <w:tcW w:w="350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4280" w:type="dxa"/>
            <w:vAlign w:val="bottom"/>
          </w:tcPr>
          <w:p>
            <w:pPr>
              <w:spacing w:after="0"/>
              <w:rPr>
                <w:sz w:val="21"/>
                <w:szCs w:val="21"/>
                <w:color w:val="auto"/>
              </w:rPr>
            </w:pPr>
          </w:p>
        </w:tc>
        <w:tc>
          <w:tcPr>
            <w:tcW w:w="3640" w:type="dxa"/>
            <w:vAlign w:val="bottom"/>
          </w:tcPr>
          <w:p>
            <w:pPr>
              <w:jc w:val="center"/>
              <w:spacing w:after="0"/>
              <w:rPr>
                <w:sz w:val="20"/>
                <w:szCs w:val="20"/>
                <w:color w:val="auto"/>
              </w:rPr>
            </w:pPr>
            <w:r>
              <w:rPr>
                <w:rFonts w:ascii="Arial" w:cs="Arial" w:eastAsia="Arial" w:hAnsi="Arial"/>
                <w:sz w:val="18"/>
                <w:szCs w:val="18"/>
                <w:color w:val="auto"/>
                <w:w w:val="99"/>
              </w:rPr>
              <w:t>—</w:t>
            </w:r>
          </w:p>
        </w:tc>
      </w:tr>
      <w:tr>
        <w:trPr>
          <w:trHeight w:val="27"/>
        </w:trPr>
        <w:tc>
          <w:tcPr>
            <w:tcW w:w="3500" w:type="dxa"/>
            <w:vAlign w:val="bottom"/>
            <w:tcBorders>
              <w:bottom w:val="single" w:sz="8" w:color="CCEEFF"/>
            </w:tcBorders>
          </w:tcPr>
          <w:p>
            <w:pPr>
              <w:spacing w:after="0"/>
              <w:rPr>
                <w:sz w:val="2"/>
                <w:szCs w:val="2"/>
                <w:color w:val="auto"/>
              </w:rPr>
            </w:pPr>
          </w:p>
        </w:tc>
        <w:tc>
          <w:tcPr>
            <w:tcW w:w="4280" w:type="dxa"/>
            <w:vAlign w:val="bottom"/>
            <w:tcBorders>
              <w:bottom w:val="single" w:sz="8" w:color="CCEEFF"/>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r>
        <w:trPr>
          <w:trHeight w:val="244"/>
        </w:trPr>
        <w:tc>
          <w:tcPr>
            <w:tcW w:w="3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revenue</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Arial" w:cs="Arial" w:eastAsia="Arial" w:hAnsi="Arial"/>
                <w:sz w:val="18"/>
                <w:szCs w:val="18"/>
                <w:color w:val="auto"/>
                <w:w w:val="92"/>
              </w:rPr>
              <w:t>$660 +/- 3%</w:t>
            </w:r>
          </w:p>
        </w:tc>
      </w:tr>
      <w:tr>
        <w:trPr>
          <w:trHeight w:val="297"/>
        </w:trPr>
        <w:tc>
          <w:tcPr>
            <w:tcW w:w="350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3640" w:type="dxa"/>
            <w:vAlign w:val="bottom"/>
          </w:tcPr>
          <w:p>
            <w:pPr>
              <w:spacing w:after="0"/>
              <w:rPr>
                <w:sz w:val="24"/>
                <w:szCs w:val="24"/>
                <w:color w:val="auto"/>
              </w:rPr>
            </w:pPr>
          </w:p>
        </w:tc>
      </w:tr>
      <w:tr>
        <w:trPr>
          <w:trHeight w:val="250"/>
        </w:trPr>
        <w:tc>
          <w:tcPr>
            <w:tcW w:w="3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GAAP gross margin</w:t>
            </w:r>
          </w:p>
        </w:tc>
        <w:tc>
          <w:tcPr>
            <w:tcW w:w="4280" w:type="dxa"/>
            <w:vAlign w:val="bottom"/>
            <w:tcBorders>
              <w:bottom w:val="single" w:sz="8" w:color="CCEEFF"/>
            </w:tcBorders>
            <w:shd w:val="clear" w:color="auto" w:fill="CCEEFF"/>
          </w:tcPr>
          <w:p>
            <w:pPr>
              <w:spacing w:after="0"/>
              <w:rPr>
                <w:sz w:val="21"/>
                <w:szCs w:val="21"/>
                <w:color w:val="auto"/>
              </w:rPr>
            </w:pPr>
          </w:p>
        </w:tc>
        <w:tc>
          <w:tcPr>
            <w:tcW w:w="364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1"/>
              </w:rPr>
              <w:t>53.5% to 54.5%</w:t>
            </w:r>
          </w:p>
        </w:tc>
      </w:tr>
      <w:tr>
        <w:trPr>
          <w:trHeight w:val="243"/>
        </w:trPr>
        <w:tc>
          <w:tcPr>
            <w:tcW w:w="350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4280" w:type="dxa"/>
            <w:vAlign w:val="bottom"/>
          </w:tcPr>
          <w:p>
            <w:pPr>
              <w:spacing w:after="0"/>
              <w:rPr>
                <w:sz w:val="21"/>
                <w:szCs w:val="21"/>
                <w:color w:val="auto"/>
              </w:rPr>
            </w:pPr>
          </w:p>
        </w:tc>
        <w:tc>
          <w:tcPr>
            <w:tcW w:w="3640" w:type="dxa"/>
            <w:vAlign w:val="bottom"/>
          </w:tcPr>
          <w:p>
            <w:pPr>
              <w:spacing w:after="0"/>
              <w:rPr>
                <w:sz w:val="21"/>
                <w:szCs w:val="21"/>
                <w:color w:val="auto"/>
              </w:rPr>
            </w:pP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Share-based compensation</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Arial" w:cs="Arial" w:eastAsia="Arial" w:hAnsi="Arial"/>
                <w:sz w:val="18"/>
                <w:szCs w:val="18"/>
                <w:color w:val="auto"/>
                <w:w w:val="92"/>
              </w:rPr>
              <w:t>0.3%</w:t>
            </w:r>
          </w:p>
        </w:tc>
      </w:tr>
      <w:tr>
        <w:trPr>
          <w:trHeight w:val="243"/>
        </w:trPr>
        <w:tc>
          <w:tcPr>
            <w:tcW w:w="3500" w:type="dxa"/>
            <w:vAlign w:val="bottom"/>
          </w:tcPr>
          <w:p>
            <w:pPr>
              <w:ind w:left="360"/>
              <w:spacing w:after="0"/>
              <w:rPr>
                <w:sz w:val="20"/>
                <w:szCs w:val="20"/>
                <w:color w:val="auto"/>
              </w:rPr>
            </w:pPr>
            <w:r>
              <w:rPr>
                <w:rFonts w:ascii="Arial" w:cs="Arial" w:eastAsia="Arial" w:hAnsi="Arial"/>
                <w:sz w:val="18"/>
                <w:szCs w:val="18"/>
                <w:color w:val="auto"/>
                <w:w w:val="93"/>
              </w:rPr>
              <w:t>Amortization of acquired intangible assets</w:t>
            </w:r>
          </w:p>
        </w:tc>
        <w:tc>
          <w:tcPr>
            <w:tcW w:w="7920" w:type="dxa"/>
            <w:vAlign w:val="bottom"/>
            <w:gridSpan w:val="2"/>
          </w:tcPr>
          <w:p>
            <w:pPr>
              <w:jc w:val="center"/>
              <w:ind w:left="4170"/>
              <w:spacing w:after="0"/>
              <w:rPr>
                <w:sz w:val="20"/>
                <w:szCs w:val="20"/>
                <w:color w:val="auto"/>
              </w:rPr>
            </w:pPr>
            <w:r>
              <w:rPr>
                <w:rFonts w:ascii="Arial" w:cs="Arial" w:eastAsia="Arial" w:hAnsi="Arial"/>
                <w:sz w:val="18"/>
                <w:szCs w:val="18"/>
                <w:color w:val="auto"/>
                <w:w w:val="92"/>
              </w:rPr>
              <w:t>9.2%</w:t>
            </w:r>
          </w:p>
        </w:tc>
      </w:tr>
      <w:tr>
        <w:trPr>
          <w:trHeight w:val="27"/>
        </w:trPr>
        <w:tc>
          <w:tcPr>
            <w:tcW w:w="3500" w:type="dxa"/>
            <w:vAlign w:val="bottom"/>
            <w:tcBorders>
              <w:bottom w:val="single" w:sz="8" w:color="CCEEFF"/>
            </w:tcBorders>
          </w:tcPr>
          <w:p>
            <w:pPr>
              <w:spacing w:after="0"/>
              <w:rPr>
                <w:sz w:val="2"/>
                <w:szCs w:val="2"/>
                <w:color w:val="auto"/>
              </w:rPr>
            </w:pPr>
          </w:p>
        </w:tc>
        <w:tc>
          <w:tcPr>
            <w:tcW w:w="4280" w:type="dxa"/>
            <w:vAlign w:val="bottom"/>
            <w:tcBorders>
              <w:bottom w:val="single" w:sz="8" w:color="CCEEFF"/>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r>
        <w:trPr>
          <w:trHeight w:val="244"/>
        </w:trPr>
        <w:tc>
          <w:tcPr>
            <w:tcW w:w="3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gross margin</w:t>
            </w:r>
          </w:p>
        </w:tc>
        <w:tc>
          <w:tcPr>
            <w:tcW w:w="4280" w:type="dxa"/>
            <w:vAlign w:val="bottom"/>
            <w:tcBorders>
              <w:bottom w:val="single" w:sz="8" w:color="CCEEFF"/>
            </w:tcBorders>
            <w:shd w:val="clear" w:color="auto" w:fill="CCEEFF"/>
          </w:tcPr>
          <w:p>
            <w:pPr>
              <w:spacing w:after="0"/>
              <w:rPr>
                <w:sz w:val="21"/>
                <w:szCs w:val="21"/>
                <w:color w:val="auto"/>
              </w:rPr>
            </w:pPr>
          </w:p>
        </w:tc>
        <w:tc>
          <w:tcPr>
            <w:tcW w:w="364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0"/>
              </w:rPr>
              <w:t>63% to 64%</w:t>
            </w:r>
          </w:p>
        </w:tc>
      </w:tr>
      <w:tr>
        <w:trPr>
          <w:trHeight w:val="297"/>
        </w:trPr>
        <w:tc>
          <w:tcPr>
            <w:tcW w:w="350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3640" w:type="dxa"/>
            <w:vAlign w:val="bottom"/>
          </w:tcPr>
          <w:p>
            <w:pPr>
              <w:spacing w:after="0"/>
              <w:rPr>
                <w:sz w:val="24"/>
                <w:szCs w:val="24"/>
                <w:color w:val="auto"/>
              </w:rPr>
            </w:pPr>
          </w:p>
        </w:tc>
      </w:tr>
      <w:tr>
        <w:trPr>
          <w:trHeight w:val="250"/>
        </w:trPr>
        <w:tc>
          <w:tcPr>
            <w:tcW w:w="3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GAAP operating expenses</w:t>
            </w:r>
          </w:p>
        </w:tc>
        <w:tc>
          <w:tcPr>
            <w:tcW w:w="7920" w:type="dxa"/>
            <w:vAlign w:val="bottom"/>
            <w:tcBorders>
              <w:bottom w:val="single" w:sz="8" w:color="CCEEFF"/>
            </w:tcBorders>
            <w:gridSpan w:val="2"/>
            <w:shd w:val="clear" w:color="auto" w:fill="CCEEFF"/>
          </w:tcPr>
          <w:p>
            <w:pPr>
              <w:jc w:val="right"/>
              <w:ind w:right="1275"/>
              <w:spacing w:after="0"/>
              <w:rPr>
                <w:sz w:val="20"/>
                <w:szCs w:val="20"/>
                <w:color w:val="auto"/>
              </w:rPr>
            </w:pPr>
            <w:r>
              <w:rPr>
                <w:rFonts w:ascii="Arial" w:cs="Arial" w:eastAsia="Arial" w:hAnsi="Arial"/>
                <w:sz w:val="18"/>
                <w:szCs w:val="18"/>
                <w:color w:val="auto"/>
              </w:rPr>
              <w:t>$380 - $390</w:t>
            </w:r>
          </w:p>
        </w:tc>
      </w:tr>
      <w:tr>
        <w:trPr>
          <w:trHeight w:val="243"/>
        </w:trPr>
        <w:tc>
          <w:tcPr>
            <w:tcW w:w="350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4280" w:type="dxa"/>
            <w:vAlign w:val="bottom"/>
          </w:tcPr>
          <w:p>
            <w:pPr>
              <w:spacing w:after="0"/>
              <w:rPr>
                <w:sz w:val="21"/>
                <w:szCs w:val="21"/>
                <w:color w:val="auto"/>
              </w:rPr>
            </w:pPr>
          </w:p>
        </w:tc>
        <w:tc>
          <w:tcPr>
            <w:tcW w:w="3640" w:type="dxa"/>
            <w:vAlign w:val="bottom"/>
          </w:tcPr>
          <w:p>
            <w:pPr>
              <w:spacing w:after="0"/>
              <w:rPr>
                <w:sz w:val="21"/>
                <w:szCs w:val="21"/>
                <w:color w:val="auto"/>
              </w:rPr>
            </w:pP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Share-based compensation</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Arial" w:cs="Arial" w:eastAsia="Arial" w:hAnsi="Arial"/>
                <w:sz w:val="18"/>
                <w:szCs w:val="18"/>
                <w:color w:val="auto"/>
                <w:w w:val="89"/>
              </w:rPr>
              <w:t>65</w:t>
            </w:r>
          </w:p>
        </w:tc>
      </w:tr>
      <w:tr>
        <w:trPr>
          <w:trHeight w:val="243"/>
        </w:trPr>
        <w:tc>
          <w:tcPr>
            <w:tcW w:w="3500" w:type="dxa"/>
            <w:vAlign w:val="bottom"/>
          </w:tcPr>
          <w:p>
            <w:pPr>
              <w:ind w:left="360"/>
              <w:spacing w:after="0"/>
              <w:rPr>
                <w:sz w:val="20"/>
                <w:szCs w:val="20"/>
                <w:color w:val="auto"/>
              </w:rPr>
            </w:pPr>
            <w:r>
              <w:rPr>
                <w:rFonts w:ascii="Arial" w:cs="Arial" w:eastAsia="Arial" w:hAnsi="Arial"/>
                <w:sz w:val="18"/>
                <w:szCs w:val="18"/>
                <w:color w:val="auto"/>
              </w:rPr>
              <w:t>Restructuring related charges</w:t>
            </w:r>
          </w:p>
        </w:tc>
        <w:tc>
          <w:tcPr>
            <w:tcW w:w="7920" w:type="dxa"/>
            <w:vAlign w:val="bottom"/>
            <w:gridSpan w:val="2"/>
          </w:tcPr>
          <w:p>
            <w:pPr>
              <w:jc w:val="center"/>
              <w:ind w:left="4190"/>
              <w:spacing w:after="0"/>
              <w:rPr>
                <w:sz w:val="20"/>
                <w:szCs w:val="20"/>
                <w:color w:val="auto"/>
              </w:rPr>
            </w:pPr>
            <w:r>
              <w:rPr>
                <w:rFonts w:ascii="Arial" w:cs="Arial" w:eastAsia="Arial" w:hAnsi="Arial"/>
                <w:sz w:val="18"/>
                <w:szCs w:val="18"/>
                <w:color w:val="auto"/>
                <w:w w:val="79"/>
              </w:rPr>
              <w:t>2</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w w:val="93"/>
              </w:rPr>
              <w:t>Amortization of acquired intangible assets</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Arial" w:cs="Arial" w:eastAsia="Arial" w:hAnsi="Arial"/>
                <w:sz w:val="18"/>
                <w:szCs w:val="18"/>
                <w:color w:val="auto"/>
                <w:w w:val="89"/>
              </w:rPr>
              <w:t>20</w:t>
            </w:r>
          </w:p>
        </w:tc>
      </w:tr>
      <w:tr>
        <w:trPr>
          <w:trHeight w:val="243"/>
        </w:trPr>
        <w:tc>
          <w:tcPr>
            <w:tcW w:w="3500" w:type="dxa"/>
            <w:vAlign w:val="bottom"/>
          </w:tcPr>
          <w:p>
            <w:pPr>
              <w:ind w:left="360"/>
              <w:spacing w:after="0"/>
              <w:rPr>
                <w:sz w:val="20"/>
                <w:szCs w:val="20"/>
                <w:color w:val="auto"/>
              </w:rPr>
            </w:pPr>
            <w:r>
              <w:rPr>
                <w:rFonts w:ascii="Arial" w:cs="Arial" w:eastAsia="Arial" w:hAnsi="Arial"/>
                <w:sz w:val="18"/>
                <w:szCs w:val="18"/>
                <w:color w:val="auto"/>
              </w:rPr>
              <w:t>Other operating expenses</w:t>
            </w:r>
          </w:p>
        </w:tc>
        <w:tc>
          <w:tcPr>
            <w:tcW w:w="7920" w:type="dxa"/>
            <w:vAlign w:val="bottom"/>
            <w:gridSpan w:val="2"/>
          </w:tcPr>
          <w:p>
            <w:pPr>
              <w:jc w:val="center"/>
              <w:ind w:left="4170"/>
              <w:spacing w:after="0"/>
              <w:rPr>
                <w:sz w:val="20"/>
                <w:szCs w:val="20"/>
                <w:color w:val="auto"/>
              </w:rPr>
            </w:pPr>
            <w:r>
              <w:rPr>
                <w:rFonts w:ascii="Arial" w:cs="Arial" w:eastAsia="Arial" w:hAnsi="Arial"/>
                <w:sz w:val="18"/>
                <w:szCs w:val="18"/>
                <w:color w:val="auto"/>
                <w:w w:val="89"/>
              </w:rPr>
              <w:t>18</w:t>
            </w:r>
          </w:p>
        </w:tc>
      </w:tr>
      <w:tr>
        <w:trPr>
          <w:trHeight w:val="27"/>
        </w:trPr>
        <w:tc>
          <w:tcPr>
            <w:tcW w:w="3500" w:type="dxa"/>
            <w:vAlign w:val="bottom"/>
            <w:tcBorders>
              <w:bottom w:val="single" w:sz="8" w:color="CCEEFF"/>
            </w:tcBorders>
          </w:tcPr>
          <w:p>
            <w:pPr>
              <w:spacing w:after="0"/>
              <w:rPr>
                <w:sz w:val="2"/>
                <w:szCs w:val="2"/>
                <w:color w:val="auto"/>
              </w:rPr>
            </w:pPr>
          </w:p>
        </w:tc>
        <w:tc>
          <w:tcPr>
            <w:tcW w:w="4280" w:type="dxa"/>
            <w:vAlign w:val="bottom"/>
            <w:tcBorders>
              <w:bottom w:val="single" w:sz="8" w:color="CCEEFF"/>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r>
        <w:trPr>
          <w:trHeight w:val="244"/>
        </w:trPr>
        <w:tc>
          <w:tcPr>
            <w:tcW w:w="3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operating expenses</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Arial" w:cs="Arial" w:eastAsia="Arial" w:hAnsi="Arial"/>
                <w:sz w:val="18"/>
                <w:szCs w:val="18"/>
                <w:color w:val="auto"/>
                <w:w w:val="91"/>
              </w:rPr>
              <w:t>$280 +/- $2.5</w:t>
            </w:r>
          </w:p>
        </w:tc>
      </w:tr>
      <w:tr>
        <w:trPr>
          <w:trHeight w:val="243"/>
        </w:trPr>
        <w:tc>
          <w:tcPr>
            <w:tcW w:w="3500" w:type="dxa"/>
            <w:vAlign w:val="bottom"/>
          </w:tcPr>
          <w:p>
            <w:pPr>
              <w:spacing w:after="0"/>
              <w:rPr>
                <w:sz w:val="21"/>
                <w:szCs w:val="21"/>
                <w:color w:val="auto"/>
              </w:rPr>
            </w:pPr>
          </w:p>
        </w:tc>
        <w:tc>
          <w:tcPr>
            <w:tcW w:w="4280" w:type="dxa"/>
            <w:vAlign w:val="bottom"/>
          </w:tcPr>
          <w:p>
            <w:pPr>
              <w:spacing w:after="0"/>
              <w:rPr>
                <w:sz w:val="21"/>
                <w:szCs w:val="21"/>
                <w:color w:val="auto"/>
              </w:rPr>
            </w:pPr>
          </w:p>
        </w:tc>
        <w:tc>
          <w:tcPr>
            <w:tcW w:w="3640" w:type="dxa"/>
            <w:vAlign w:val="bottom"/>
          </w:tcPr>
          <w:p>
            <w:pPr>
              <w:spacing w:after="0"/>
              <w:rPr>
                <w:sz w:val="21"/>
                <w:szCs w:val="21"/>
                <w:color w:val="auto"/>
              </w:rPr>
            </w:pPr>
          </w:p>
        </w:tc>
      </w:tr>
      <w:tr>
        <w:trPr>
          <w:trHeight w:val="270"/>
        </w:trPr>
        <w:tc>
          <w:tcPr>
            <w:tcW w:w="3500" w:type="dxa"/>
            <w:vAlign w:val="bottom"/>
            <w:shd w:val="clear" w:color="auto" w:fill="CCEEFF"/>
          </w:tcPr>
          <w:p>
            <w:pPr>
              <w:spacing w:after="0"/>
              <w:rPr>
                <w:sz w:val="23"/>
                <w:szCs w:val="23"/>
                <w:color w:val="auto"/>
              </w:rPr>
            </w:pPr>
          </w:p>
        </w:tc>
        <w:tc>
          <w:tcPr>
            <w:tcW w:w="4280" w:type="dxa"/>
            <w:vAlign w:val="bottom"/>
            <w:shd w:val="clear" w:color="auto" w:fill="CCEEFF"/>
          </w:tcPr>
          <w:p>
            <w:pPr>
              <w:spacing w:after="0"/>
              <w:rPr>
                <w:sz w:val="23"/>
                <w:szCs w:val="23"/>
                <w:color w:val="auto"/>
              </w:rPr>
            </w:pPr>
          </w:p>
        </w:tc>
        <w:tc>
          <w:tcPr>
            <w:tcW w:w="3640" w:type="dxa"/>
            <w:vAlign w:val="bottom"/>
            <w:shd w:val="clear" w:color="auto" w:fill="CCEEFF"/>
          </w:tcPr>
          <w:p>
            <w:pPr>
              <w:spacing w:after="0"/>
              <w:rPr>
                <w:sz w:val="23"/>
                <w:szCs w:val="23"/>
                <w:color w:val="auto"/>
              </w:rPr>
            </w:pPr>
          </w:p>
        </w:tc>
      </w:tr>
      <w:tr>
        <w:trPr>
          <w:trHeight w:val="243"/>
        </w:trPr>
        <w:tc>
          <w:tcPr>
            <w:tcW w:w="3500" w:type="dxa"/>
            <w:vAlign w:val="bottom"/>
          </w:tcPr>
          <w:p>
            <w:pPr>
              <w:ind w:left="40"/>
              <w:spacing w:after="0"/>
              <w:rPr>
                <w:sz w:val="20"/>
                <w:szCs w:val="20"/>
                <w:color w:val="auto"/>
              </w:rPr>
            </w:pPr>
            <w:r>
              <w:rPr>
                <w:rFonts w:ascii="Arial" w:cs="Arial" w:eastAsia="Arial" w:hAnsi="Arial"/>
                <w:sz w:val="18"/>
                <w:szCs w:val="18"/>
                <w:b w:val="1"/>
                <w:bCs w:val="1"/>
                <w:color w:val="auto"/>
              </w:rPr>
              <w:t>GAAP diluted net loss per share</w:t>
            </w:r>
          </w:p>
        </w:tc>
        <w:tc>
          <w:tcPr>
            <w:tcW w:w="7920" w:type="dxa"/>
            <w:vAlign w:val="bottom"/>
            <w:gridSpan w:val="2"/>
          </w:tcPr>
          <w:p>
            <w:pPr>
              <w:jc w:val="right"/>
              <w:ind w:right="1115"/>
              <w:spacing w:after="0"/>
              <w:rPr>
                <w:sz w:val="20"/>
                <w:szCs w:val="20"/>
                <w:color w:val="auto"/>
              </w:rPr>
            </w:pPr>
            <w:r>
              <w:rPr>
                <w:rFonts w:ascii="Arial" w:cs="Arial" w:eastAsia="Arial" w:hAnsi="Arial"/>
                <w:sz w:val="18"/>
                <w:szCs w:val="18"/>
                <w:color w:val="auto"/>
              </w:rPr>
              <w:t>$(0.09) - $(0.05)</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4280" w:type="dxa"/>
            <w:vAlign w:val="bottom"/>
            <w:tcBorders>
              <w:bottom w:val="single" w:sz="8" w:color="CCEEFF"/>
            </w:tcBorders>
            <w:shd w:val="clear" w:color="auto" w:fill="CCEEFF"/>
          </w:tcPr>
          <w:p>
            <w:pPr>
              <w:spacing w:after="0"/>
              <w:rPr>
                <w:sz w:val="21"/>
                <w:szCs w:val="21"/>
                <w:color w:val="auto"/>
              </w:rPr>
            </w:pPr>
          </w:p>
        </w:tc>
        <w:tc>
          <w:tcPr>
            <w:tcW w:w="3640" w:type="dxa"/>
            <w:vAlign w:val="bottom"/>
            <w:tcBorders>
              <w:bottom w:val="single" w:sz="8" w:color="CCEEFF"/>
            </w:tcBorders>
            <w:shd w:val="clear" w:color="auto" w:fill="CCEEFF"/>
          </w:tcPr>
          <w:p>
            <w:pPr>
              <w:spacing w:after="0"/>
              <w:rPr>
                <w:sz w:val="21"/>
                <w:szCs w:val="21"/>
                <w:color w:val="auto"/>
              </w:rPr>
            </w:pPr>
          </w:p>
        </w:tc>
      </w:tr>
      <w:tr>
        <w:trPr>
          <w:trHeight w:val="243"/>
        </w:trPr>
        <w:tc>
          <w:tcPr>
            <w:tcW w:w="3500" w:type="dxa"/>
            <w:vAlign w:val="bottom"/>
          </w:tcPr>
          <w:p>
            <w:pPr>
              <w:ind w:left="360"/>
              <w:spacing w:after="0"/>
              <w:rPr>
                <w:sz w:val="20"/>
                <w:szCs w:val="20"/>
                <w:color w:val="auto"/>
              </w:rPr>
            </w:pPr>
            <w:r>
              <w:rPr>
                <w:rFonts w:ascii="Arial" w:cs="Arial" w:eastAsia="Arial" w:hAnsi="Arial"/>
                <w:sz w:val="18"/>
                <w:szCs w:val="18"/>
                <w:color w:val="auto"/>
              </w:rPr>
              <w:t>Share-based compensation</w:t>
            </w:r>
          </w:p>
        </w:tc>
        <w:tc>
          <w:tcPr>
            <w:tcW w:w="7920" w:type="dxa"/>
            <w:vAlign w:val="bottom"/>
            <w:gridSpan w:val="2"/>
          </w:tcPr>
          <w:p>
            <w:pPr>
              <w:jc w:val="center"/>
              <w:ind w:left="4190"/>
              <w:spacing w:after="0"/>
              <w:rPr>
                <w:sz w:val="20"/>
                <w:szCs w:val="20"/>
                <w:color w:val="auto"/>
              </w:rPr>
            </w:pPr>
            <w:r>
              <w:rPr>
                <w:rFonts w:ascii="Arial" w:cs="Arial" w:eastAsia="Arial" w:hAnsi="Arial"/>
                <w:sz w:val="18"/>
                <w:szCs w:val="18"/>
                <w:color w:val="auto"/>
                <w:w w:val="91"/>
              </w:rPr>
              <w:t>0.10</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w w:val="93"/>
              </w:rPr>
              <w:t>Amortization of acquired intangible assets</w:t>
            </w:r>
          </w:p>
        </w:tc>
        <w:tc>
          <w:tcPr>
            <w:tcW w:w="7920" w:type="dxa"/>
            <w:vAlign w:val="bottom"/>
            <w:tcBorders>
              <w:bottom w:val="single" w:sz="8" w:color="CCEEFF"/>
            </w:tcBorders>
            <w:gridSpan w:val="2"/>
            <w:shd w:val="clear" w:color="auto" w:fill="CCEEFF"/>
          </w:tcPr>
          <w:p>
            <w:pPr>
              <w:jc w:val="center"/>
              <w:ind w:left="4190"/>
              <w:spacing w:after="0"/>
              <w:rPr>
                <w:sz w:val="20"/>
                <w:szCs w:val="20"/>
                <w:color w:val="auto"/>
              </w:rPr>
            </w:pPr>
            <w:r>
              <w:rPr>
                <w:rFonts w:ascii="Arial" w:cs="Arial" w:eastAsia="Arial" w:hAnsi="Arial"/>
                <w:sz w:val="18"/>
                <w:szCs w:val="18"/>
                <w:color w:val="auto"/>
                <w:w w:val="91"/>
              </w:rPr>
              <w:t>0.12</w:t>
            </w:r>
          </w:p>
        </w:tc>
      </w:tr>
      <w:tr>
        <w:trPr>
          <w:trHeight w:val="243"/>
        </w:trPr>
        <w:tc>
          <w:tcPr>
            <w:tcW w:w="3500" w:type="dxa"/>
            <w:vAlign w:val="bottom"/>
          </w:tcPr>
          <w:p>
            <w:pPr>
              <w:ind w:left="360"/>
              <w:spacing w:after="0"/>
              <w:rPr>
                <w:sz w:val="20"/>
                <w:szCs w:val="20"/>
                <w:color w:val="auto"/>
              </w:rPr>
            </w:pPr>
            <w:r>
              <w:rPr>
                <w:rFonts w:ascii="Arial" w:cs="Arial" w:eastAsia="Arial" w:hAnsi="Arial"/>
                <w:sz w:val="18"/>
                <w:szCs w:val="18"/>
                <w:color w:val="auto"/>
              </w:rPr>
              <w:t>Other operating expenses</w:t>
            </w:r>
          </w:p>
        </w:tc>
        <w:tc>
          <w:tcPr>
            <w:tcW w:w="7920" w:type="dxa"/>
            <w:vAlign w:val="bottom"/>
            <w:gridSpan w:val="2"/>
          </w:tcPr>
          <w:p>
            <w:pPr>
              <w:jc w:val="center"/>
              <w:ind w:left="4190"/>
              <w:spacing w:after="0"/>
              <w:rPr>
                <w:sz w:val="20"/>
                <w:szCs w:val="20"/>
                <w:color w:val="auto"/>
              </w:rPr>
            </w:pPr>
            <w:r>
              <w:rPr>
                <w:rFonts w:ascii="Arial" w:cs="Arial" w:eastAsia="Arial" w:hAnsi="Arial"/>
                <w:sz w:val="18"/>
                <w:szCs w:val="18"/>
                <w:color w:val="auto"/>
                <w:w w:val="91"/>
              </w:rPr>
              <w:t>0.03</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70"/>
        </w:trPr>
        <w:tc>
          <w:tcPr>
            <w:tcW w:w="35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w w:val="93"/>
              </w:rPr>
              <w:t>Other income tax effects and adjustments</w:t>
            </w:r>
          </w:p>
        </w:tc>
        <w:tc>
          <w:tcPr>
            <w:tcW w:w="4280" w:type="dxa"/>
            <w:vAlign w:val="bottom"/>
            <w:tcBorders>
              <w:bottom w:val="single" w:sz="8" w:color="CCEEFF"/>
            </w:tcBorders>
            <w:shd w:val="clear" w:color="auto" w:fill="CCEEFF"/>
          </w:tcPr>
          <w:p>
            <w:pPr>
              <w:spacing w:after="0"/>
              <w:rPr>
                <w:sz w:val="23"/>
                <w:szCs w:val="23"/>
                <w:color w:val="auto"/>
              </w:rPr>
            </w:pPr>
          </w:p>
        </w:tc>
        <w:tc>
          <w:tcPr>
            <w:tcW w:w="364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3"/>
              </w:rPr>
              <w:t>(0.01)</w:t>
            </w:r>
          </w:p>
        </w:tc>
      </w:tr>
      <w:tr>
        <w:trPr>
          <w:trHeight w:val="237"/>
        </w:trPr>
        <w:tc>
          <w:tcPr>
            <w:tcW w:w="3500" w:type="dxa"/>
            <w:vAlign w:val="bottom"/>
          </w:tcPr>
          <w:p>
            <w:pPr>
              <w:ind w:left="40"/>
              <w:spacing w:after="0"/>
              <w:rPr>
                <w:sz w:val="20"/>
                <w:szCs w:val="20"/>
                <w:color w:val="auto"/>
              </w:rPr>
            </w:pPr>
            <w:r>
              <w:rPr>
                <w:rFonts w:ascii="Arial" w:cs="Arial" w:eastAsia="Arial" w:hAnsi="Arial"/>
                <w:sz w:val="18"/>
                <w:szCs w:val="18"/>
                <w:color w:val="auto"/>
              </w:rPr>
              <w:t>Non-GAAP diluted net income per share</w:t>
            </w:r>
          </w:p>
        </w:tc>
        <w:tc>
          <w:tcPr>
            <w:tcW w:w="4280" w:type="dxa"/>
            <w:vAlign w:val="bottom"/>
          </w:tcPr>
          <w:p>
            <w:pPr>
              <w:spacing w:after="0"/>
              <w:rPr>
                <w:sz w:val="20"/>
                <w:szCs w:val="20"/>
                <w:color w:val="auto"/>
              </w:rPr>
            </w:pPr>
          </w:p>
        </w:tc>
        <w:tc>
          <w:tcPr>
            <w:tcW w:w="36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$0.15 - $0.19</w:t>
            </w:r>
          </w:p>
        </w:tc>
      </w:tr>
    </w:tbl>
    <w:p>
      <w:pPr>
        <w:sectPr>
          <w:pgSz w:w="11900" w:h="16838" w:orient="portrait"/>
          <w:cols w:equalWidth="0" w:num="1">
            <w:col w:w="11420"/>
          </w:cols>
          <w:pgMar w:left="240" w:top="526"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gridSpan w:val="2"/>
          </w:tcPr>
          <w:p>
            <w:pPr>
              <w:ind w:left="40"/>
              <w:spacing w:after="0"/>
              <w:rPr>
                <w:sz w:val="20"/>
                <w:szCs w:val="20"/>
                <w:color w:val="auto"/>
              </w:rPr>
            </w:pPr>
            <w:r>
              <w:rPr>
                <w:rFonts w:ascii="Arial" w:cs="Arial" w:eastAsia="Arial" w:hAnsi="Arial"/>
                <w:sz w:val="16"/>
                <w:szCs w:val="16"/>
                <w:b w:val="1"/>
                <w:bCs w:val="1"/>
                <w:color w:val="auto"/>
              </w:rPr>
              <w:t>Three Months Ended</w:t>
            </w:r>
          </w:p>
        </w:tc>
        <w:tc>
          <w:tcPr>
            <w:tcW w:w="3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80" w:type="dxa"/>
            <w:vAlign w:val="bottom"/>
            <w:gridSpan w:val="3"/>
          </w:tcPr>
          <w:p>
            <w:pPr>
              <w:ind w:left="104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58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09"/>
        </w:trPr>
        <w:tc>
          <w:tcPr>
            <w:tcW w:w="29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580" w:type="dxa"/>
            <w:vAlign w:val="bottom"/>
            <w:gridSpan w:val="2"/>
          </w:tcPr>
          <w:p>
            <w:pPr>
              <w:ind w:left="220"/>
              <w:spacing w:after="0"/>
              <w:rPr>
                <w:sz w:val="20"/>
                <w:szCs w:val="20"/>
                <w:color w:val="auto"/>
              </w:rPr>
            </w:pPr>
            <w:r>
              <w:rPr>
                <w:rFonts w:ascii="Arial" w:cs="Arial" w:eastAsia="Arial" w:hAnsi="Arial"/>
                <w:sz w:val="16"/>
                <w:szCs w:val="16"/>
                <w:b w:val="1"/>
                <w:bCs w:val="1"/>
                <w:color w:val="auto"/>
              </w:rPr>
              <w:t>August 3,</w:t>
            </w:r>
          </w:p>
        </w:tc>
        <w:tc>
          <w:tcPr>
            <w:tcW w:w="140" w:type="dxa"/>
            <w:vAlign w:val="bottom"/>
          </w:tcPr>
          <w:p>
            <w:pPr>
              <w:spacing w:after="0"/>
              <w:rPr>
                <w:sz w:val="18"/>
                <w:szCs w:val="18"/>
                <w:color w:val="auto"/>
              </w:rPr>
            </w:pPr>
          </w:p>
        </w:tc>
        <w:tc>
          <w:tcPr>
            <w:tcW w:w="1760" w:type="dxa"/>
            <w:vAlign w:val="bottom"/>
            <w:gridSpan w:val="2"/>
          </w:tcPr>
          <w:p>
            <w:pPr>
              <w:ind w:left="500"/>
              <w:spacing w:after="0"/>
              <w:rPr>
                <w:sz w:val="20"/>
                <w:szCs w:val="20"/>
                <w:color w:val="auto"/>
              </w:rPr>
            </w:pPr>
            <w:r>
              <w:rPr>
                <w:rFonts w:ascii="Arial" w:cs="Arial" w:eastAsia="Arial" w:hAnsi="Arial"/>
                <w:sz w:val="16"/>
                <w:szCs w:val="16"/>
                <w:b w:val="1"/>
                <w:bCs w:val="1"/>
                <w:color w:val="auto"/>
              </w:rPr>
              <w:t>May 4,</w:t>
            </w:r>
          </w:p>
        </w:tc>
        <w:tc>
          <w:tcPr>
            <w:tcW w:w="320" w:type="dxa"/>
            <w:vAlign w:val="bottom"/>
          </w:tcPr>
          <w:p>
            <w:pPr>
              <w:spacing w:after="0"/>
              <w:rPr>
                <w:sz w:val="18"/>
                <w:szCs w:val="18"/>
                <w:color w:val="auto"/>
              </w:rPr>
            </w:pPr>
          </w:p>
        </w:tc>
        <w:tc>
          <w:tcPr>
            <w:tcW w:w="1580" w:type="dxa"/>
            <w:vAlign w:val="bottom"/>
            <w:gridSpan w:val="2"/>
          </w:tcPr>
          <w:p>
            <w:pPr>
              <w:ind w:left="220"/>
              <w:spacing w:after="0"/>
              <w:rPr>
                <w:sz w:val="20"/>
                <w:szCs w:val="20"/>
                <w:color w:val="auto"/>
              </w:rPr>
            </w:pPr>
            <w:r>
              <w:rPr>
                <w:rFonts w:ascii="Arial" w:cs="Arial" w:eastAsia="Arial" w:hAnsi="Arial"/>
                <w:sz w:val="16"/>
                <w:szCs w:val="16"/>
                <w:b w:val="1"/>
                <w:bCs w:val="1"/>
                <w:color w:val="auto"/>
              </w:rPr>
              <w:t>August 4,</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29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60" w:type="dxa"/>
            <w:vAlign w:val="bottom"/>
          </w:tcPr>
          <w:p>
            <w:pPr>
              <w:jc w:val="right"/>
              <w:ind w:right="639"/>
              <w:spacing w:after="0"/>
              <w:rPr>
                <w:sz w:val="20"/>
                <w:szCs w:val="20"/>
                <w:color w:val="auto"/>
              </w:rPr>
            </w:pPr>
            <w:r>
              <w:rPr>
                <w:rFonts w:ascii="Arial" w:cs="Arial" w:eastAsia="Arial" w:hAnsi="Arial"/>
                <w:sz w:val="16"/>
                <w:szCs w:val="16"/>
                <w:b w:val="1"/>
                <w:bCs w:val="1"/>
                <w:color w:val="auto"/>
              </w:rPr>
              <w:t>2019</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60" w:type="dxa"/>
            <w:vAlign w:val="bottom"/>
          </w:tcPr>
          <w:p>
            <w:pPr>
              <w:jc w:val="right"/>
              <w:ind w:right="659"/>
              <w:spacing w:after="0"/>
              <w:rPr>
                <w:sz w:val="20"/>
                <w:szCs w:val="20"/>
                <w:color w:val="auto"/>
              </w:rPr>
            </w:pPr>
            <w:r>
              <w:rPr>
                <w:rFonts w:ascii="Arial" w:cs="Arial" w:eastAsia="Arial" w:hAnsi="Arial"/>
                <w:sz w:val="16"/>
                <w:szCs w:val="16"/>
                <w:b w:val="1"/>
                <w:bCs w:val="1"/>
                <w:color w:val="auto"/>
              </w:rPr>
              <w:t>2019</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ind w:right="659"/>
              <w:spacing w:after="0"/>
              <w:rPr>
                <w:sz w:val="20"/>
                <w:szCs w:val="20"/>
                <w:color w:val="auto"/>
              </w:rPr>
            </w:pPr>
            <w:r>
              <w:rPr>
                <w:rFonts w:ascii="Arial" w:cs="Arial" w:eastAsia="Arial" w:hAnsi="Arial"/>
                <w:sz w:val="16"/>
                <w:szCs w:val="16"/>
                <w:b w:val="1"/>
                <w:bCs w:val="1"/>
                <w:color w:val="auto"/>
              </w:rPr>
              <w:t>2018</w:t>
            </w:r>
          </w:p>
        </w:tc>
        <w:tc>
          <w:tcPr>
            <w:tcW w:w="100" w:type="dxa"/>
            <w:vAlign w:val="bottom"/>
          </w:tcPr>
          <w:p>
            <w:pPr>
              <w:spacing w:after="0"/>
              <w:rPr>
                <w:sz w:val="18"/>
                <w:szCs w:val="18"/>
                <w:color w:val="auto"/>
              </w:rPr>
            </w:pPr>
          </w:p>
        </w:tc>
        <w:tc>
          <w:tcPr>
            <w:tcW w:w="1880" w:type="dxa"/>
            <w:vAlign w:val="bottom"/>
            <w:gridSpan w:val="3"/>
          </w:tcPr>
          <w:p>
            <w:pPr>
              <w:ind w:left="540"/>
              <w:spacing w:after="0"/>
              <w:rPr>
                <w:sz w:val="20"/>
                <w:szCs w:val="20"/>
                <w:color w:val="auto"/>
              </w:rPr>
            </w:pPr>
            <w:r>
              <w:rPr>
                <w:rFonts w:ascii="Arial" w:cs="Arial" w:eastAsia="Arial" w:hAnsi="Arial"/>
                <w:sz w:val="16"/>
                <w:szCs w:val="16"/>
                <w:b w:val="1"/>
                <w:bCs w:val="1"/>
                <w:color w:val="auto"/>
              </w:rPr>
              <w:t>YoY</w:t>
            </w:r>
          </w:p>
        </w:tc>
        <w:tc>
          <w:tcPr>
            <w:tcW w:w="920" w:type="dxa"/>
            <w:vAlign w:val="bottom"/>
          </w:tcPr>
          <w:p>
            <w:pPr>
              <w:jc w:val="right"/>
              <w:ind w:right="419"/>
              <w:spacing w:after="0"/>
              <w:rPr>
                <w:sz w:val="20"/>
                <w:szCs w:val="20"/>
                <w:color w:val="auto"/>
              </w:rPr>
            </w:pPr>
            <w:r>
              <w:rPr>
                <w:rFonts w:ascii="Arial" w:cs="Arial" w:eastAsia="Arial" w:hAnsi="Arial"/>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32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6"/>
                <w:szCs w:val="16"/>
                <w:color w:val="auto"/>
                <w:w w:val="89"/>
              </w:rPr>
              <w:t>$</w:t>
            </w:r>
          </w:p>
        </w:tc>
        <w:tc>
          <w:tcPr>
            <w:tcW w:w="14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274,905</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278,667</w:t>
            </w:r>
          </w:p>
        </w:tc>
        <w:tc>
          <w:tcPr>
            <w:tcW w:w="10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6"/>
                <w:szCs w:val="16"/>
                <w:color w:val="auto"/>
                <w:w w:val="89"/>
              </w:rPr>
              <w:t>$</w:t>
            </w:r>
          </w:p>
        </w:tc>
        <w:tc>
          <w:tcPr>
            <w:tcW w:w="148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335,764</w:t>
            </w: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(18)%</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320" w:type="dxa"/>
            <w:vAlign w:val="bottom"/>
          </w:tcPr>
          <w:p>
            <w:pPr>
              <w:spacing w:after="0"/>
              <w:rPr>
                <w:sz w:val="20"/>
                <w:szCs w:val="20"/>
                <w:color w:val="auto"/>
              </w:rPr>
            </w:pPr>
          </w:p>
        </w:tc>
        <w:tc>
          <w:tcPr>
            <w:tcW w:w="1460" w:type="dxa"/>
            <w:vAlign w:val="bottom"/>
          </w:tcPr>
          <w:p>
            <w:pPr>
              <w:jc w:val="right"/>
              <w:ind w:right="19"/>
              <w:spacing w:after="0"/>
              <w:rPr>
                <w:sz w:val="20"/>
                <w:szCs w:val="20"/>
                <w:color w:val="auto"/>
              </w:rPr>
            </w:pPr>
            <w:r>
              <w:rPr>
                <w:rFonts w:ascii="Arial" w:cs="Arial" w:eastAsia="Arial" w:hAnsi="Arial"/>
                <w:sz w:val="16"/>
                <w:szCs w:val="16"/>
                <w:color w:val="auto"/>
              </w:rPr>
              <w:t>329,605</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39"/>
              <w:spacing w:after="0"/>
              <w:rPr>
                <w:sz w:val="20"/>
                <w:szCs w:val="20"/>
                <w:color w:val="auto"/>
              </w:rPr>
            </w:pPr>
            <w:r>
              <w:rPr>
                <w:rFonts w:ascii="Arial" w:cs="Arial" w:eastAsia="Arial" w:hAnsi="Arial"/>
                <w:sz w:val="16"/>
                <w:szCs w:val="16"/>
                <w:color w:val="auto"/>
              </w:rPr>
              <w:t>341,344</w:t>
            </w:r>
          </w:p>
        </w:tc>
        <w:tc>
          <w:tcPr>
            <w:tcW w:w="1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80" w:type="dxa"/>
            <w:vAlign w:val="bottom"/>
          </w:tcPr>
          <w:p>
            <w:pPr>
              <w:jc w:val="right"/>
              <w:ind w:right="39"/>
              <w:spacing w:after="0"/>
              <w:rPr>
                <w:sz w:val="20"/>
                <w:szCs w:val="20"/>
                <w:color w:val="auto"/>
              </w:rPr>
            </w:pPr>
            <w:r>
              <w:rPr>
                <w:rFonts w:ascii="Arial" w:cs="Arial" w:eastAsia="Arial" w:hAnsi="Arial"/>
                <w:sz w:val="16"/>
                <w:szCs w:val="16"/>
                <w:color w:val="auto"/>
              </w:rPr>
              <w:t>283,330</w:t>
            </w:r>
          </w:p>
        </w:tc>
        <w:tc>
          <w:tcPr>
            <w:tcW w:w="1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6"/>
                <w:szCs w:val="16"/>
                <w:color w:val="auto"/>
              </w:rPr>
              <w:t>16 %</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(3)%</w:t>
            </w:r>
          </w:p>
        </w:tc>
      </w:tr>
      <w:tr>
        <w:trPr>
          <w:trHeight w:val="33"/>
        </w:trPr>
        <w:tc>
          <w:tcPr>
            <w:tcW w:w="29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320" w:type="dxa"/>
            <w:vAlign w:val="bottom"/>
            <w:tcBorders>
              <w:bottom w:val="single" w:sz="8" w:color="CCEEFF"/>
            </w:tcBorders>
            <w:shd w:val="clear" w:color="auto" w:fill="CCEEFF"/>
          </w:tcPr>
          <w:p>
            <w:pPr>
              <w:spacing w:after="0"/>
              <w:rPr>
                <w:sz w:val="20"/>
                <w:szCs w:val="20"/>
                <w:color w:val="auto"/>
              </w:rPr>
            </w:pPr>
          </w:p>
        </w:tc>
        <w:tc>
          <w:tcPr>
            <w:tcW w:w="14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604,510</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620,011</w:t>
            </w:r>
          </w:p>
        </w:tc>
        <w:tc>
          <w:tcPr>
            <w:tcW w:w="10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48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619,094</w:t>
            </w: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320" w:type="dxa"/>
            <w:vAlign w:val="bottom"/>
          </w:tcPr>
          <w:p>
            <w:pPr>
              <w:spacing w:after="0"/>
              <w:rPr>
                <w:sz w:val="20"/>
                <w:szCs w:val="20"/>
                <w:color w:val="auto"/>
              </w:rPr>
            </w:pPr>
          </w:p>
        </w:tc>
        <w:tc>
          <w:tcPr>
            <w:tcW w:w="1460" w:type="dxa"/>
            <w:vAlign w:val="bottom"/>
          </w:tcPr>
          <w:p>
            <w:pPr>
              <w:jc w:val="right"/>
              <w:ind w:right="19"/>
              <w:spacing w:after="0"/>
              <w:rPr>
                <w:sz w:val="20"/>
                <w:szCs w:val="20"/>
                <w:color w:val="auto"/>
              </w:rPr>
            </w:pPr>
            <w:r>
              <w:rPr>
                <w:rFonts w:ascii="Arial" w:cs="Arial" w:eastAsia="Arial" w:hAnsi="Arial"/>
                <w:sz w:val="16"/>
                <w:szCs w:val="16"/>
                <w:color w:val="auto"/>
              </w:rPr>
              <w:t>52,058</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39"/>
              <w:spacing w:after="0"/>
              <w:rPr>
                <w:sz w:val="20"/>
                <w:szCs w:val="20"/>
                <w:color w:val="auto"/>
              </w:rPr>
            </w:pPr>
            <w:r>
              <w:rPr>
                <w:rFonts w:ascii="Arial" w:cs="Arial" w:eastAsia="Arial" w:hAnsi="Arial"/>
                <w:sz w:val="16"/>
                <w:szCs w:val="16"/>
                <w:color w:val="auto"/>
              </w:rPr>
              <w:t>42,441</w:t>
            </w:r>
          </w:p>
        </w:tc>
        <w:tc>
          <w:tcPr>
            <w:tcW w:w="1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80" w:type="dxa"/>
            <w:vAlign w:val="bottom"/>
          </w:tcPr>
          <w:p>
            <w:pPr>
              <w:jc w:val="right"/>
              <w:ind w:right="39"/>
              <w:spacing w:after="0"/>
              <w:rPr>
                <w:sz w:val="20"/>
                <w:szCs w:val="20"/>
                <w:color w:val="auto"/>
              </w:rPr>
            </w:pPr>
            <w:r>
              <w:rPr>
                <w:rFonts w:ascii="Arial" w:cs="Arial" w:eastAsia="Arial" w:hAnsi="Arial"/>
                <w:sz w:val="16"/>
                <w:szCs w:val="16"/>
                <w:color w:val="auto"/>
              </w:rPr>
              <w:t>46,216</w:t>
            </w:r>
          </w:p>
        </w:tc>
        <w:tc>
          <w:tcPr>
            <w:tcW w:w="1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6"/>
                <w:szCs w:val="16"/>
                <w:color w:val="auto"/>
              </w:rPr>
              <w:t>13 %</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23 %</w:t>
            </w:r>
          </w:p>
        </w:tc>
      </w:tr>
      <w:tr>
        <w:trPr>
          <w:trHeight w:val="33"/>
        </w:trPr>
        <w:tc>
          <w:tcPr>
            <w:tcW w:w="29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44"/>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320" w:type="dxa"/>
            <w:vAlign w:val="bottom"/>
            <w:tcBorders>
              <w:bottom w:val="single" w:sz="8" w:color="auto"/>
            </w:tcBorders>
            <w:shd w:val="clear" w:color="auto" w:fill="CCEEFF"/>
          </w:tcPr>
          <w:p>
            <w:pPr>
              <w:jc w:val="right"/>
              <w:ind w:right="139"/>
              <w:spacing w:after="0"/>
              <w:rPr>
                <w:sz w:val="20"/>
                <w:szCs w:val="20"/>
                <w:color w:val="auto"/>
              </w:rPr>
            </w:pPr>
            <w:r>
              <w:rPr>
                <w:rFonts w:ascii="Arial" w:cs="Arial" w:eastAsia="Arial" w:hAnsi="Arial"/>
                <w:sz w:val="16"/>
                <w:szCs w:val="16"/>
                <w:color w:val="auto"/>
                <w:w w:val="89"/>
              </w:rPr>
              <w:t>$</w:t>
            </w:r>
          </w:p>
        </w:tc>
        <w:tc>
          <w:tcPr>
            <w:tcW w:w="1460" w:type="dxa"/>
            <w:vAlign w:val="bottom"/>
            <w:tcBorders>
              <w:bottom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rPr>
              <w:t>656,568</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rPr>
              <w:t>662,452</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39"/>
              <w:spacing w:after="0"/>
              <w:rPr>
                <w:sz w:val="20"/>
                <w:szCs w:val="20"/>
                <w:color w:val="auto"/>
              </w:rPr>
            </w:pPr>
            <w:r>
              <w:rPr>
                <w:rFonts w:ascii="Arial" w:cs="Arial" w:eastAsia="Arial" w:hAnsi="Arial"/>
                <w:sz w:val="16"/>
                <w:szCs w:val="16"/>
                <w:color w:val="auto"/>
                <w:w w:val="89"/>
              </w:rPr>
              <w:t>$</w:t>
            </w:r>
          </w:p>
        </w:tc>
        <w:tc>
          <w:tcPr>
            <w:tcW w:w="148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rPr>
              <w:t>665,310</w:t>
            </w:r>
          </w:p>
        </w:tc>
        <w:tc>
          <w:tcPr>
            <w:tcW w:w="10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w:t>
            </w:r>
          </w:p>
        </w:tc>
        <w:tc>
          <w:tcPr>
            <w:tcW w:w="10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auto"/>
            </w:tcBorders>
            <w:shd w:val="clear" w:color="auto" w:fill="CCEEFF"/>
          </w:tcPr>
          <w:p>
            <w:pPr>
              <w:spacing w:after="0"/>
              <w:rPr>
                <w:sz w:val="21"/>
                <w:szCs w:val="21"/>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w:t>
            </w:r>
          </w:p>
        </w:tc>
      </w:tr>
      <w:tr>
        <w:trPr>
          <w:trHeight w:val="20"/>
        </w:trPr>
        <w:tc>
          <w:tcPr>
            <w:tcW w:w="29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378"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8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280"/>
              <w:spacing w:after="0"/>
              <w:rPr>
                <w:sz w:val="20"/>
                <w:szCs w:val="20"/>
                <w:color w:val="auto"/>
              </w:rPr>
            </w:pPr>
            <w:r>
              <w:rPr>
                <w:rFonts w:ascii="Arial" w:cs="Arial" w:eastAsia="Arial" w:hAnsi="Arial"/>
                <w:sz w:val="16"/>
                <w:szCs w:val="16"/>
                <w:b w:val="1"/>
                <w:bCs w:val="1"/>
                <w:color w:val="auto"/>
              </w:rPr>
              <w:t>Three Months Ended</w:t>
            </w:r>
          </w:p>
        </w:tc>
        <w:tc>
          <w:tcPr>
            <w:tcW w:w="1980" w:type="dxa"/>
            <w:vAlign w:val="bottom"/>
          </w:tcPr>
          <w:p>
            <w:pPr>
              <w:spacing w:after="0"/>
              <w:rPr>
                <w:sz w:val="18"/>
                <w:szCs w:val="18"/>
                <w:color w:val="auto"/>
              </w:rPr>
            </w:pPr>
          </w:p>
        </w:tc>
      </w:tr>
      <w:tr>
        <w:trPr>
          <w:trHeight w:val="33"/>
        </w:trPr>
        <w:tc>
          <w:tcPr>
            <w:tcW w:w="5280" w:type="dxa"/>
            <w:vAlign w:val="bottom"/>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09"/>
        </w:trPr>
        <w:tc>
          <w:tcPr>
            <w:tcW w:w="5280" w:type="dxa"/>
            <w:vAlign w:val="bottom"/>
          </w:tcPr>
          <w:p>
            <w:pPr>
              <w:spacing w:after="0"/>
              <w:rPr>
                <w:sz w:val="18"/>
                <w:szCs w:val="18"/>
                <w:color w:val="auto"/>
              </w:rPr>
            </w:pPr>
          </w:p>
        </w:tc>
        <w:tc>
          <w:tcPr>
            <w:tcW w:w="1440" w:type="dxa"/>
            <w:vAlign w:val="bottom"/>
          </w:tcPr>
          <w:p>
            <w:pPr>
              <w:jc w:val="center"/>
              <w:ind w:left="419"/>
              <w:spacing w:after="0"/>
              <w:rPr>
                <w:sz w:val="20"/>
                <w:szCs w:val="20"/>
                <w:color w:val="auto"/>
              </w:rPr>
            </w:pPr>
            <w:r>
              <w:rPr>
                <w:rFonts w:ascii="Arial" w:cs="Arial" w:eastAsia="Arial" w:hAnsi="Arial"/>
                <w:sz w:val="16"/>
                <w:szCs w:val="16"/>
                <w:b w:val="1"/>
                <w:bCs w:val="1"/>
                <w:color w:val="auto"/>
                <w:w w:val="90"/>
              </w:rPr>
              <w:t>August 3,</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740"/>
              <w:spacing w:after="0"/>
              <w:rPr>
                <w:sz w:val="20"/>
                <w:szCs w:val="20"/>
                <w:color w:val="auto"/>
              </w:rPr>
            </w:pPr>
            <w:r>
              <w:rPr>
                <w:rFonts w:ascii="Arial" w:cs="Arial" w:eastAsia="Arial" w:hAnsi="Arial"/>
                <w:sz w:val="16"/>
                <w:szCs w:val="16"/>
                <w:b w:val="1"/>
                <w:bCs w:val="1"/>
                <w:color w:val="auto"/>
              </w:rPr>
              <w:t>May 4,</w:t>
            </w:r>
          </w:p>
        </w:tc>
        <w:tc>
          <w:tcPr>
            <w:tcW w:w="1980" w:type="dxa"/>
            <w:vAlign w:val="bottom"/>
          </w:tcPr>
          <w:p>
            <w:pPr>
              <w:jc w:val="right"/>
              <w:ind w:right="599"/>
              <w:spacing w:after="0"/>
              <w:rPr>
                <w:sz w:val="20"/>
                <w:szCs w:val="20"/>
                <w:color w:val="auto"/>
              </w:rPr>
            </w:pPr>
            <w:r>
              <w:rPr>
                <w:rFonts w:ascii="Arial" w:cs="Arial" w:eastAsia="Arial" w:hAnsi="Arial"/>
                <w:sz w:val="16"/>
                <w:szCs w:val="16"/>
                <w:b w:val="1"/>
                <w:bCs w:val="1"/>
                <w:color w:val="auto"/>
              </w:rPr>
              <w:t>August 4,</w:t>
            </w:r>
          </w:p>
        </w:tc>
      </w:tr>
      <w:tr>
        <w:trPr>
          <w:trHeight w:val="210"/>
        </w:trPr>
        <w:tc>
          <w:tcPr>
            <w:tcW w:w="528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1440" w:type="dxa"/>
            <w:vAlign w:val="bottom"/>
          </w:tcPr>
          <w:p>
            <w:pPr>
              <w:jc w:val="right"/>
              <w:ind w:right="199"/>
              <w:spacing w:after="0"/>
              <w:rPr>
                <w:sz w:val="20"/>
                <w:szCs w:val="20"/>
                <w:color w:val="auto"/>
              </w:rPr>
            </w:pPr>
            <w:r>
              <w:rPr>
                <w:rFonts w:ascii="Arial" w:cs="Arial" w:eastAsia="Arial" w:hAnsi="Arial"/>
                <w:sz w:val="16"/>
                <w:szCs w:val="16"/>
                <w:b w:val="1"/>
                <w:bCs w:val="1"/>
                <w:color w:val="auto"/>
              </w:rPr>
              <w:t>2019</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Arial" w:cs="Arial" w:eastAsia="Arial" w:hAnsi="Arial"/>
                <w:sz w:val="16"/>
                <w:szCs w:val="16"/>
                <w:b w:val="1"/>
                <w:bCs w:val="1"/>
                <w:color w:val="auto"/>
              </w:rPr>
              <w:t>2019</w:t>
            </w: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Arial" w:cs="Arial" w:eastAsia="Arial" w:hAnsi="Arial"/>
                <w:sz w:val="16"/>
                <w:szCs w:val="16"/>
                <w:b w:val="1"/>
                <w:bCs w:val="1"/>
                <w:color w:val="auto"/>
              </w:rPr>
              <w:t>2018</w:t>
            </w:r>
          </w:p>
        </w:tc>
      </w:tr>
      <w:tr>
        <w:trPr>
          <w:trHeight w:val="33"/>
        </w:trPr>
        <w:tc>
          <w:tcPr>
            <w:tcW w:w="5280" w:type="dxa"/>
            <w:vAlign w:val="bottom"/>
            <w:tcBorders>
              <w:bottom w:val="single" w:sz="8" w:color="CCEEFF"/>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440" w:type="dxa"/>
            <w:vAlign w:val="bottom"/>
            <w:tcBorders>
              <w:bottom w:val="single" w:sz="8" w:color="CCEEFF"/>
            </w:tcBorders>
            <w:shd w:val="clear" w:color="auto" w:fill="CCEEFF"/>
          </w:tcPr>
          <w:p>
            <w:pPr>
              <w:spacing w:after="0"/>
              <w:rPr>
                <w:sz w:val="20"/>
                <w:szCs w:val="20"/>
                <w:color w:val="auto"/>
              </w:rPr>
            </w:pPr>
          </w:p>
        </w:tc>
        <w:tc>
          <w:tcPr>
            <w:tcW w:w="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50%</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440" w:type="dxa"/>
            <w:vAlign w:val="bottom"/>
          </w:tcPr>
          <w:p>
            <w:pPr>
              <w:spacing w:after="0"/>
              <w:rPr>
                <w:sz w:val="20"/>
                <w:szCs w:val="20"/>
                <w:color w:val="auto"/>
              </w:rPr>
            </w:pPr>
          </w:p>
        </w:tc>
        <w:tc>
          <w:tcPr>
            <w:tcW w:w="540" w:type="dxa"/>
            <w:vAlign w:val="bottom"/>
          </w:tcPr>
          <w:p>
            <w:pPr>
              <w:jc w:val="right"/>
              <w:spacing w:after="0"/>
              <w:rPr>
                <w:sz w:val="20"/>
                <w:szCs w:val="20"/>
                <w:color w:val="auto"/>
              </w:rPr>
            </w:pPr>
            <w:r>
              <w:rPr>
                <w:rFonts w:ascii="Arial" w:cs="Arial" w:eastAsia="Arial" w:hAnsi="Arial"/>
                <w:sz w:val="16"/>
                <w:szCs w:val="16"/>
                <w:color w:val="auto"/>
              </w:rPr>
              <w:t>50%</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52%</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43%</w:t>
            </w:r>
          </w:p>
        </w:tc>
      </w:tr>
      <w:tr>
        <w:trPr>
          <w:trHeight w:val="33"/>
        </w:trPr>
        <w:tc>
          <w:tcPr>
            <w:tcW w:w="5280" w:type="dxa"/>
            <w:vAlign w:val="bottom"/>
            <w:tcBorders>
              <w:bottom w:val="single" w:sz="8" w:color="CCEEFF"/>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1440" w:type="dxa"/>
            <w:vAlign w:val="bottom"/>
            <w:tcBorders>
              <w:bottom w:val="single" w:sz="8" w:color="CCEEFF"/>
            </w:tcBorders>
            <w:shd w:val="clear" w:color="auto" w:fill="CCEEFF"/>
          </w:tcPr>
          <w:p>
            <w:pPr>
              <w:spacing w:after="0"/>
              <w:rPr>
                <w:sz w:val="20"/>
                <w:szCs w:val="20"/>
                <w:color w:val="auto"/>
              </w:rPr>
            </w:pPr>
          </w:p>
        </w:tc>
        <w:tc>
          <w:tcPr>
            <w:tcW w:w="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94%</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93%</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1440" w:type="dxa"/>
            <w:vAlign w:val="bottom"/>
          </w:tcPr>
          <w:p>
            <w:pPr>
              <w:spacing w:after="0"/>
              <w:rPr>
                <w:sz w:val="20"/>
                <w:szCs w:val="20"/>
                <w:color w:val="auto"/>
              </w:rPr>
            </w:pPr>
          </w:p>
        </w:tc>
        <w:tc>
          <w:tcPr>
            <w:tcW w:w="540" w:type="dxa"/>
            <w:vAlign w:val="bottom"/>
          </w:tcPr>
          <w:p>
            <w:pPr>
              <w:jc w:val="right"/>
              <w:spacing w:after="0"/>
              <w:rPr>
                <w:sz w:val="20"/>
                <w:szCs w:val="20"/>
                <w:color w:val="auto"/>
              </w:rPr>
            </w:pPr>
            <w:r>
              <w:rPr>
                <w:rFonts w:ascii="Arial" w:cs="Arial" w:eastAsia="Arial" w:hAnsi="Arial"/>
                <w:sz w:val="16"/>
                <w:szCs w:val="16"/>
                <w:color w:val="auto"/>
              </w:rPr>
              <w:t>8%</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6%</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7%</w:t>
            </w:r>
          </w:p>
        </w:tc>
      </w:tr>
      <w:tr>
        <w:trPr>
          <w:trHeight w:val="33"/>
        </w:trPr>
        <w:tc>
          <w:tcPr>
            <w:tcW w:w="5280" w:type="dxa"/>
            <w:vAlign w:val="bottom"/>
            <w:tcBorders>
              <w:bottom w:val="single" w:sz="8" w:color="CCEEFF"/>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55"/>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144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r>
      <w:tr>
        <w:trPr>
          <w:trHeight w:val="20"/>
        </w:trPr>
        <w:tc>
          <w:tcPr>
            <w:tcW w:w="5280" w:type="dxa"/>
            <w:vAlign w:val="bottom"/>
            <w:tcBorders>
              <w:top w:val="single" w:sz="8" w:color="CCEEFF"/>
            </w:tcBorders>
          </w:tcPr>
          <w:p>
            <w:pPr>
              <w:spacing w:after="0" w:line="20" w:lineRule="exact"/>
              <w:rPr>
                <w:sz w:val="1"/>
                <w:szCs w:val="1"/>
                <w:color w:val="auto"/>
              </w:rPr>
            </w:pPr>
          </w:p>
        </w:tc>
        <w:tc>
          <w:tcPr>
            <w:tcW w:w="14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and SSD Controllers, Fibre Channel Adapters and Data Center Storage Solutions.</w:t>
      </w:r>
    </w:p>
    <w:p>
      <w:pPr>
        <w:spacing w:after="0" w:line="63" w:lineRule="exact"/>
        <w:rPr>
          <w:rFonts w:ascii="Arial" w:cs="Arial" w:eastAsia="Arial" w:hAnsi="Arial"/>
          <w:sz w:val="18"/>
          <w:szCs w:val="18"/>
          <w:i w:val="1"/>
          <w:iCs w:val="1"/>
          <w:color w:val="auto"/>
        </w:rPr>
      </w:pPr>
    </w:p>
    <w:p>
      <w:pPr>
        <w:ind w:left="40" w:right="80" w:hanging="5"/>
        <w:spacing w:after="0" w:line="264" w:lineRule="auto"/>
        <w:tabs>
          <w:tab w:leader="none" w:pos="295"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Switches, Ethernet Transceivers, Ethernet NICs, Embedded Communication Processors, Automotive Ethernet, Security Adapters and Processors as well as WiFi Connectivity products. In addition, this grouping includes a few legacy product lines in which we no longer invest, but will generate revenue for several years.</w:t>
      </w:r>
    </w:p>
    <w:p>
      <w:pPr>
        <w:spacing w:after="0" w:line="19" w:lineRule="exact"/>
        <w:rPr>
          <w:rFonts w:ascii="Arial" w:cs="Arial" w:eastAsia="Arial" w:hAnsi="Arial"/>
          <w:sz w:val="18"/>
          <w:szCs w:val="18"/>
          <w:i w:val="1"/>
          <w:iCs w:val="1"/>
          <w:color w:val="auto"/>
        </w:rPr>
      </w:pPr>
    </w:p>
    <w:p>
      <w:pPr>
        <w:ind w:left="280" w:hanging="245"/>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2019-12-28T06:34:14Z</dcterms:created>
  <dcterms:modified xsi:type="dcterms:W3CDTF">2019-12-28T06:34:14Z</dcterms:modified>
</cp:coreProperties>
</file>