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203835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(Date of earliest event reported): September 19,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191135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40"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42"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100" w:type="dxa"/>
            <w:vAlign w:val="bottom"/>
          </w:tcPr>
          <w:p>
            <w:pPr>
              <w:jc w:val="center"/>
              <w:ind w:right="382"/>
              <w:spacing w:after="0"/>
              <w:rPr>
                <w:sz w:val="20"/>
                <w:szCs w:val="20"/>
                <w:color w:val="auto"/>
              </w:rPr>
            </w:pPr>
            <w:r>
              <w:rPr>
                <w:rFonts w:ascii="Arial" w:cs="Arial" w:eastAsia="Arial" w:hAnsi="Arial"/>
                <w:sz w:val="18"/>
                <w:szCs w:val="18"/>
                <w:b w:val="1"/>
                <w:bCs w:val="1"/>
                <w:color w:val="auto"/>
                <w:w w:val="92"/>
              </w:rPr>
              <w:t>Bermuda</w:t>
            </w:r>
          </w:p>
        </w:tc>
        <w:tc>
          <w:tcPr>
            <w:tcW w:w="4920" w:type="dxa"/>
            <w:vAlign w:val="bottom"/>
          </w:tcPr>
          <w:p>
            <w:pPr>
              <w:ind w:left="2060"/>
              <w:spacing w:after="0"/>
              <w:rPr>
                <w:sz w:val="20"/>
                <w:szCs w:val="20"/>
                <w:color w:val="auto"/>
              </w:rPr>
            </w:pPr>
            <w:r>
              <w:rPr>
                <w:rFonts w:ascii="Arial" w:cs="Arial" w:eastAsia="Arial" w:hAnsi="Arial"/>
                <w:sz w:val="18"/>
                <w:szCs w:val="18"/>
                <w:b w:val="1"/>
                <w:bCs w:val="1"/>
                <w:color w:val="auto"/>
              </w:rPr>
              <w:t>000-30877</w:t>
            </w:r>
          </w:p>
        </w:tc>
        <w:tc>
          <w:tcPr>
            <w:tcW w:w="1760" w:type="dxa"/>
            <w:vAlign w:val="bottom"/>
          </w:tcPr>
          <w:p>
            <w:pPr>
              <w:jc w:val="center"/>
              <w:ind w:left="56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100" w:type="dxa"/>
            <w:vAlign w:val="bottom"/>
          </w:tcPr>
          <w:p>
            <w:pPr>
              <w:jc w:val="center"/>
              <w:ind w:right="38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4920" w:type="dxa"/>
            <w:vAlign w:val="bottom"/>
          </w:tcPr>
          <w:p>
            <w:pPr>
              <w:ind w:left="2040"/>
              <w:spacing w:after="0" w:line="149" w:lineRule="exact"/>
              <w:rPr>
                <w:sz w:val="20"/>
                <w:szCs w:val="20"/>
                <w:color w:val="auto"/>
              </w:rPr>
            </w:pPr>
            <w:r>
              <w:rPr>
                <w:rFonts w:ascii="Arial" w:cs="Arial" w:eastAsia="Arial" w:hAnsi="Arial"/>
                <w:sz w:val="14"/>
                <w:szCs w:val="14"/>
                <w:b w:val="1"/>
                <w:bCs w:val="1"/>
                <w:color w:val="auto"/>
              </w:rPr>
              <w:t>(Commission</w:t>
            </w:r>
          </w:p>
        </w:tc>
        <w:tc>
          <w:tcPr>
            <w:tcW w:w="1760" w:type="dxa"/>
            <w:vAlign w:val="bottom"/>
          </w:tcPr>
          <w:p>
            <w:pPr>
              <w:jc w:val="center"/>
              <w:ind w:left="5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100" w:type="dxa"/>
            <w:vAlign w:val="bottom"/>
          </w:tcPr>
          <w:p>
            <w:pPr>
              <w:jc w:val="center"/>
              <w:ind w:right="382"/>
              <w:spacing w:after="0"/>
              <w:rPr>
                <w:sz w:val="20"/>
                <w:szCs w:val="20"/>
                <w:color w:val="auto"/>
              </w:rPr>
            </w:pPr>
            <w:r>
              <w:rPr>
                <w:rFonts w:ascii="Arial" w:cs="Arial" w:eastAsia="Arial" w:hAnsi="Arial"/>
                <w:sz w:val="14"/>
                <w:szCs w:val="14"/>
                <w:b w:val="1"/>
                <w:bCs w:val="1"/>
                <w:color w:val="auto"/>
                <w:w w:val="92"/>
              </w:rPr>
              <w:t>of incorporation)</w:t>
            </w:r>
          </w:p>
        </w:tc>
        <w:tc>
          <w:tcPr>
            <w:tcW w:w="4920" w:type="dxa"/>
            <w:vAlign w:val="bottom"/>
          </w:tcPr>
          <w:p>
            <w:pPr>
              <w:ind w:left="2020"/>
              <w:spacing w:after="0"/>
              <w:rPr>
                <w:sz w:val="20"/>
                <w:szCs w:val="20"/>
                <w:color w:val="auto"/>
              </w:rPr>
            </w:pPr>
            <w:r>
              <w:rPr>
                <w:rFonts w:ascii="Arial" w:cs="Arial" w:eastAsia="Arial" w:hAnsi="Arial"/>
                <w:sz w:val="14"/>
                <w:szCs w:val="14"/>
                <w:b w:val="1"/>
                <w:bCs w:val="1"/>
                <w:color w:val="auto"/>
              </w:rPr>
              <w:t>File Number)</w:t>
            </w:r>
          </w:p>
        </w:tc>
        <w:tc>
          <w:tcPr>
            <w:tcW w:w="1760" w:type="dxa"/>
            <w:vAlign w:val="bottom"/>
          </w:tcPr>
          <w:p>
            <w:pPr>
              <w:jc w:val="center"/>
              <w:ind w:left="562"/>
              <w:spacing w:after="0"/>
              <w:rPr>
                <w:sz w:val="20"/>
                <w:szCs w:val="20"/>
                <w:color w:val="auto"/>
              </w:rPr>
            </w:pPr>
            <w:r>
              <w:rPr>
                <w:rFonts w:ascii="Arial" w:cs="Arial" w:eastAsia="Arial" w:hAnsi="Arial"/>
                <w:sz w:val="14"/>
                <w:szCs w:val="14"/>
                <w:b w:val="1"/>
                <w:bCs w:val="1"/>
                <w:color w:val="auto"/>
                <w:w w:val="94"/>
              </w:rPr>
              <w:t>Identification No.)</w:t>
            </w:r>
          </w:p>
        </w:tc>
      </w:tr>
      <w:tr>
        <w:trPr>
          <w:trHeight w:val="372"/>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Canon’s Court</w:t>
            </w:r>
          </w:p>
        </w:tc>
        <w:tc>
          <w:tcPr>
            <w:tcW w:w="1760" w:type="dxa"/>
            <w:vAlign w:val="bottom"/>
          </w:tcPr>
          <w:p>
            <w:pPr>
              <w:spacing w:after="0"/>
              <w:rPr>
                <w:sz w:val="24"/>
                <w:szCs w:val="24"/>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22 Victoria Street</w:t>
            </w:r>
          </w:p>
        </w:tc>
        <w:tc>
          <w:tcPr>
            <w:tcW w:w="1760" w:type="dxa"/>
            <w:vAlign w:val="bottom"/>
          </w:tcPr>
          <w:p>
            <w:pPr>
              <w:spacing w:after="0"/>
              <w:rPr>
                <w:sz w:val="18"/>
                <w:szCs w:val="18"/>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Hamilton HM 12</w:t>
            </w:r>
          </w:p>
        </w:tc>
        <w:tc>
          <w:tcPr>
            <w:tcW w:w="1760" w:type="dxa"/>
            <w:vAlign w:val="bottom"/>
          </w:tcPr>
          <w:p>
            <w:pPr>
              <w:spacing w:after="0"/>
              <w:rPr>
                <w:sz w:val="18"/>
                <w:szCs w:val="18"/>
                <w:color w:val="auto"/>
              </w:rPr>
            </w:pPr>
          </w:p>
        </w:tc>
      </w:tr>
      <w:tr>
        <w:trPr>
          <w:trHeight w:val="212"/>
        </w:trPr>
        <w:tc>
          <w:tcPr>
            <w:tcW w:w="2100" w:type="dxa"/>
            <w:vAlign w:val="bottom"/>
          </w:tcPr>
          <w:p>
            <w:pPr>
              <w:spacing w:after="0"/>
              <w:rPr>
                <w:sz w:val="18"/>
                <w:szCs w:val="18"/>
                <w:color w:val="auto"/>
              </w:rPr>
            </w:pPr>
          </w:p>
        </w:tc>
        <w:tc>
          <w:tcPr>
            <w:tcW w:w="4920" w:type="dxa"/>
            <w:vAlign w:val="bottom"/>
          </w:tcPr>
          <w:p>
            <w:pPr>
              <w:jc w:val="center"/>
              <w:ind w:right="77"/>
              <w:spacing w:after="0"/>
              <w:rPr>
                <w:sz w:val="20"/>
                <w:szCs w:val="20"/>
                <w:color w:val="auto"/>
              </w:rPr>
            </w:pPr>
            <w:r>
              <w:rPr>
                <w:rFonts w:ascii="Arial" w:cs="Arial" w:eastAsia="Arial" w:hAnsi="Arial"/>
                <w:sz w:val="18"/>
                <w:szCs w:val="18"/>
                <w:b w:val="1"/>
                <w:bCs w:val="1"/>
                <w:color w:val="auto"/>
                <w:w w:val="92"/>
              </w:rPr>
              <w:t>Bermuda</w:t>
            </w:r>
          </w:p>
        </w:tc>
        <w:tc>
          <w:tcPr>
            <w:tcW w:w="1760" w:type="dxa"/>
            <w:vAlign w:val="bottom"/>
          </w:tcPr>
          <w:p>
            <w:pPr>
              <w:spacing w:after="0"/>
              <w:rPr>
                <w:sz w:val="18"/>
                <w:szCs w:val="18"/>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760" w:type="dxa"/>
            <w:vAlign w:val="bottom"/>
          </w:tcPr>
          <w:p>
            <w:pPr>
              <w:spacing w:after="0"/>
              <w:rPr>
                <w:sz w:val="16"/>
                <w:szCs w:val="16"/>
                <w:color w:val="auto"/>
              </w:rPr>
            </w:pPr>
          </w:p>
        </w:tc>
      </w:tr>
      <w:tr>
        <w:trPr>
          <w:trHeight w:val="354"/>
        </w:trPr>
        <w:tc>
          <w:tcPr>
            <w:tcW w:w="2100" w:type="dxa"/>
            <w:vAlign w:val="bottom"/>
          </w:tcPr>
          <w:p>
            <w:pPr>
              <w:spacing w:after="0"/>
              <w:rPr>
                <w:sz w:val="24"/>
                <w:szCs w:val="24"/>
                <w:color w:val="auto"/>
              </w:rPr>
            </w:pPr>
          </w:p>
        </w:tc>
        <w:tc>
          <w:tcPr>
            <w:tcW w:w="4920" w:type="dxa"/>
            <w:vAlign w:val="bottom"/>
          </w:tcPr>
          <w:p>
            <w:pPr>
              <w:jc w:val="center"/>
              <w:ind w:right="77"/>
              <w:spacing w:after="0"/>
              <w:rPr>
                <w:sz w:val="20"/>
                <w:szCs w:val="20"/>
                <w:color w:val="auto"/>
              </w:rPr>
            </w:pPr>
            <w:r>
              <w:rPr>
                <w:rFonts w:ascii="Arial" w:cs="Arial" w:eastAsia="Arial" w:hAnsi="Arial"/>
                <w:sz w:val="18"/>
                <w:szCs w:val="18"/>
                <w:b w:val="1"/>
                <w:bCs w:val="1"/>
                <w:color w:val="auto"/>
                <w:w w:val="90"/>
              </w:rPr>
              <w:t>(441) 296-6395</w:t>
            </w:r>
          </w:p>
        </w:tc>
        <w:tc>
          <w:tcPr>
            <w:tcW w:w="1760" w:type="dxa"/>
            <w:vAlign w:val="bottom"/>
          </w:tcPr>
          <w:p>
            <w:pPr>
              <w:spacing w:after="0"/>
              <w:rPr>
                <w:sz w:val="24"/>
                <w:szCs w:val="24"/>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760" w:type="dxa"/>
            <w:vAlign w:val="bottom"/>
          </w:tcPr>
          <w:p>
            <w:pPr>
              <w:spacing w:after="0"/>
              <w:rPr>
                <w:sz w:val="16"/>
                <w:szCs w:val="16"/>
                <w:color w:val="auto"/>
              </w:rPr>
            </w:pPr>
          </w:p>
        </w:tc>
      </w:tr>
      <w:tr>
        <w:trPr>
          <w:trHeight w:val="354"/>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N/A</w:t>
            </w:r>
          </w:p>
        </w:tc>
        <w:tc>
          <w:tcPr>
            <w:tcW w:w="1760" w:type="dxa"/>
            <w:vAlign w:val="bottom"/>
          </w:tcPr>
          <w:p>
            <w:pPr>
              <w:spacing w:after="0"/>
              <w:rPr>
                <w:sz w:val="24"/>
                <w:szCs w:val="24"/>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77"/>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76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179070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7"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2"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11"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42"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77"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3"/>
              </w:rPr>
              <w:t>Trading</w:t>
            </w:r>
          </w:p>
        </w:tc>
        <w:tc>
          <w:tcPr>
            <w:tcW w:w="100" w:type="dxa"/>
            <w:vAlign w:val="bottom"/>
          </w:tcPr>
          <w:p>
            <w:pPr>
              <w:spacing w:after="0"/>
              <w:rPr>
                <w:sz w:val="14"/>
                <w:szCs w:val="14"/>
                <w:color w:val="auto"/>
              </w:rPr>
            </w:pP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c>
          <w:tcPr>
            <w:tcW w:w="0" w:type="dxa"/>
            <w:vAlign w:val="bottom"/>
          </w:tcPr>
          <w:p>
            <w:pPr>
              <w:spacing w:after="0"/>
              <w:rPr>
                <w:sz w:val="1"/>
                <w:szCs w:val="1"/>
                <w:color w:val="auto"/>
              </w:rPr>
            </w:pPr>
          </w:p>
        </w:tc>
      </w:tr>
      <w:tr>
        <w:trPr>
          <w:trHeight w:val="171"/>
        </w:trPr>
        <w:tc>
          <w:tcPr>
            <w:tcW w:w="370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Symbol(s)</w:t>
            </w:r>
          </w:p>
        </w:tc>
        <w:tc>
          <w:tcPr>
            <w:tcW w:w="100" w:type="dxa"/>
            <w:vAlign w:val="bottom"/>
          </w:tcPr>
          <w:p>
            <w:pPr>
              <w:spacing w:after="0"/>
              <w:rPr>
                <w:sz w:val="14"/>
                <w:szCs w:val="14"/>
                <w:color w:val="auto"/>
              </w:rPr>
            </w:pPr>
          </w:p>
        </w:tc>
        <w:tc>
          <w:tcPr>
            <w:tcW w:w="3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00" w:type="dxa"/>
            <w:vAlign w:val="bottom"/>
          </w:tcPr>
          <w:p>
            <w:pPr>
              <w:jc w:val="center"/>
              <w:spacing w:after="0"/>
              <w:rPr>
                <w:sz w:val="20"/>
                <w:szCs w:val="20"/>
                <w:color w:val="auto"/>
              </w:rPr>
            </w:pPr>
            <w:r>
              <w:rPr>
                <w:rFonts w:ascii="Arial" w:cs="Arial" w:eastAsia="Arial" w:hAnsi="Arial"/>
                <w:sz w:val="18"/>
                <w:szCs w:val="18"/>
                <w:b w:val="1"/>
                <w:bCs w:val="1"/>
                <w:color w:val="auto"/>
                <w:w w:val="89"/>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r>
        <w:trPr>
          <w:trHeight w:val="211"/>
        </w:trPr>
        <w:tc>
          <w:tcPr>
            <w:tcW w:w="370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36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354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040"/>
          </w:cols>
          <w:pgMar w:left="440" w:top="341" w:right="419" w:bottom="1440" w:gutter="0" w:footer="0" w:header="0"/>
        </w:sectPr>
      </w:pPr>
    </w:p>
    <w:bookmarkStart w:id="1" w:name="page2"/>
    <w:bookmarkEnd w:id="1"/>
    <w:p>
      <w:pPr>
        <w:spacing w:after="0"/>
        <w:tabs>
          <w:tab w:leader="none" w:pos="10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jc w:val="both"/>
        <w:ind w:firstLine="441"/>
        <w:spacing w:after="0" w:line="312" w:lineRule="auto"/>
        <w:rPr>
          <w:sz w:val="20"/>
          <w:szCs w:val="20"/>
          <w:color w:val="auto"/>
        </w:rPr>
      </w:pPr>
      <w:r>
        <w:rPr>
          <w:rFonts w:ascii="Arial" w:cs="Arial" w:eastAsia="Arial" w:hAnsi="Arial"/>
          <w:sz w:val="16"/>
          <w:szCs w:val="16"/>
          <w:color w:val="auto"/>
        </w:rPr>
        <w:t>On May 6, 2019, Marvell Technology Group Ltd. (“Marvell”) issued a press release announcing that it entered into a definitive merger agreement to acquire all outstanding shares of Aquantia Corp. (“Aquantia”) common stock. On September 19, 2019, Marvell issued a press release announcing that it completed the acquisition of Aquantia. A copy of the press release is furnished herewith as Exhibit 99.1 and is incorporated by reference herein.</w:t>
      </w:r>
    </w:p>
    <w:p>
      <w:pPr>
        <w:spacing w:after="0" w:line="251"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60"/>
        <w:spacing w:after="0"/>
        <w:tabs>
          <w:tab w:leader="none" w:pos="76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EE"/>
          </w:rPr>
          <w:t>Press Release dated September 19, 2019</w:t>
        </w:r>
      </w:hyperlink>
    </w:p>
    <w:p>
      <w:pPr>
        <w:spacing w:after="0" w:line="117" w:lineRule="exact"/>
        <w:rPr>
          <w:sz w:val="20"/>
          <w:szCs w:val="20"/>
          <w:color w:val="auto"/>
        </w:rPr>
      </w:pPr>
    </w:p>
    <w:p>
      <w:pPr>
        <w:ind w:left="60"/>
        <w:spacing w:after="0"/>
        <w:tabs>
          <w:tab w:leader="none" w:pos="7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00"/>
          </w:cols>
          <w:pgMar w:left="440" w:top="297" w:right="45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September 19, 2019</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6"/>
          <w:szCs w:val="16"/>
          <w:i w:val="1"/>
          <w:iCs w:val="1"/>
          <w:color w:val="auto"/>
        </w:rPr>
        <w:t>Executive Vice President, Chief Administration and</w:t>
      </w:r>
    </w:p>
    <w:p>
      <w:pPr>
        <w:spacing w:after="0" w:line="32"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Legal Officer and Secretary</w:t>
      </w:r>
    </w:p>
    <w:p>
      <w:pPr>
        <w:sectPr>
          <w:pgSz w:w="11900" w:h="16838" w:orient="portrait"/>
          <w:cols w:equalWidth="0" w:num="1">
            <w:col w:w="10680"/>
          </w:cols>
          <w:pgMar w:left="440" w:top="297"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2186940" cy="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Completes Acquisition of Aquantia</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Accelerating Multi-Gig Ethernet Technology Leadership</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SANTA CLARA, Calif. (September 19, 2019</w:t>
      </w:r>
      <w:r>
        <w:rPr>
          <w:rFonts w:ascii="Arial" w:cs="Arial" w:eastAsia="Arial" w:hAnsi="Arial"/>
          <w:sz w:val="16"/>
          <w:szCs w:val="16"/>
          <w:color w:val="auto"/>
        </w:rPr>
        <w:t>) – Marvell (NASDAQ: MRVL) today announced that it has completed its acquisition of Aquantia, Corp.</w:t>
      </w:r>
    </w:p>
    <w:p>
      <w:pPr>
        <w:spacing w:after="0" w:line="50" w:lineRule="exact"/>
        <w:rPr>
          <w:sz w:val="20"/>
          <w:szCs w:val="20"/>
          <w:color w:val="auto"/>
        </w:rPr>
      </w:pPr>
    </w:p>
    <w:p>
      <w:pPr>
        <w:jc w:val="both"/>
        <w:ind w:right="380"/>
        <w:spacing w:after="0" w:line="255" w:lineRule="auto"/>
        <w:rPr>
          <w:sz w:val="20"/>
          <w:szCs w:val="20"/>
          <w:color w:val="auto"/>
        </w:rPr>
      </w:pPr>
      <w:r>
        <w:rPr>
          <w:rFonts w:ascii="Arial" w:cs="Arial" w:eastAsia="Arial" w:hAnsi="Arial"/>
          <w:sz w:val="18"/>
          <w:szCs w:val="18"/>
          <w:color w:val="auto"/>
        </w:rPr>
        <w:t>(NYSE: AQ). Aquantia pioneered Multi-Gig technology – now the basis for high speed networking in a broad range of applications from enterprise campuses to autonomous cars. Marvell’s combined portfolio of industry-leading PHYs, switches and processors creates an unparalleled networking platform and enables customers to develop systems that span megabits to terabits per second.</w:t>
      </w:r>
    </w:p>
    <w:p>
      <w:pPr>
        <w:spacing w:after="0" w:line="190"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“Our acquisition of Aquantia adds highly innovative networking solutions and tremendous engineering talent, allowing us to create an industry-leading mixed signal design team with a well-established track record of execution,” said Matt Murphy, president and CEO of Marvell. “We’re now better positioned to capitalize on market opportunities spanning our enterprise, data center and automotive customers. In particular, Marvell is poised to transform high speed in-vehicle networking and ultimately empower the future of autonomous driving.”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As part of the acquisition, Aquantia’s Chairman and CEO, Faraj Aalaei, is joining Marvell in a senior leadership position.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Media Relations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Kristin Hehir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408-222-8744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kristinh@marvell.com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Hanna Kang</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408-222-3780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hhkang@marvell.com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2019-12-28T06:06:47Z</dcterms:created>
  <dcterms:modified xsi:type="dcterms:W3CDTF">2019-12-28T06:06:47Z</dcterms:modified>
</cp:coreProperties>
</file>