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157480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191770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1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203835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September 19, 2019</w:t>
      </w:r>
    </w:p>
    <w:p>
      <w:pPr>
        <w:spacing w:after="0" w:line="1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175895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16"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3" w:lineRule="exact"/>
        <w:rPr>
          <w:sz w:val="24"/>
          <w:szCs w:val="24"/>
          <w:color w:val="auto"/>
        </w:rPr>
      </w:pPr>
    </w:p>
    <w:tbl>
      <w:tblPr>
        <w:tblLayout w:type="fixed"/>
        <w:tblInd w:w="1040" w:type="dxa"/>
        <w:tblCellMar>
          <w:top w:w="0" w:type="dxa"/>
          <w:left w:w="0" w:type="dxa"/>
          <w:bottom w:w="0" w:type="dxa"/>
          <w:right w:w="0" w:type="dxa"/>
        </w:tblCellMar>
      </w:tblPr>
      <w:tr>
        <w:trPr>
          <w:trHeight w:val="212"/>
        </w:trPr>
        <w:tc>
          <w:tcPr>
            <w:tcW w:w="2140" w:type="dxa"/>
            <w:vAlign w:val="bottom"/>
          </w:tcPr>
          <w:p>
            <w:pPr>
              <w:jc w:val="center"/>
              <w:ind w:right="422"/>
              <w:spacing w:after="0"/>
              <w:rPr>
                <w:sz w:val="20"/>
                <w:szCs w:val="20"/>
                <w:color w:val="auto"/>
              </w:rPr>
            </w:pPr>
            <w:r>
              <w:rPr>
                <w:rFonts w:ascii="Arial" w:cs="Arial" w:eastAsia="Arial" w:hAnsi="Arial"/>
                <w:sz w:val="18"/>
                <w:szCs w:val="18"/>
                <w:b w:val="1"/>
                <w:bCs w:val="1"/>
                <w:color w:val="auto"/>
                <w:w w:val="92"/>
              </w:rPr>
              <w:t>Bermuda</w:t>
            </w:r>
          </w:p>
        </w:tc>
        <w:tc>
          <w:tcPr>
            <w:tcW w:w="484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1800" w:type="dxa"/>
            <w:vAlign w:val="bottom"/>
          </w:tcPr>
          <w:p>
            <w:pPr>
              <w:jc w:val="center"/>
              <w:ind w:left="60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2140" w:type="dxa"/>
            <w:vAlign w:val="bottom"/>
          </w:tcPr>
          <w:p>
            <w:pPr>
              <w:jc w:val="center"/>
              <w:ind w:right="42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4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(Commission</w:t>
            </w:r>
          </w:p>
        </w:tc>
        <w:tc>
          <w:tcPr>
            <w:tcW w:w="1800" w:type="dxa"/>
            <w:vAlign w:val="bottom"/>
          </w:tcPr>
          <w:p>
            <w:pPr>
              <w:jc w:val="center"/>
              <w:ind w:left="60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2140" w:type="dxa"/>
            <w:vAlign w:val="bottom"/>
          </w:tcPr>
          <w:p>
            <w:pPr>
              <w:jc w:val="center"/>
              <w:ind w:right="422"/>
              <w:spacing w:after="0"/>
              <w:rPr>
                <w:sz w:val="20"/>
                <w:szCs w:val="20"/>
                <w:color w:val="auto"/>
              </w:rPr>
            </w:pPr>
            <w:r>
              <w:rPr>
                <w:rFonts w:ascii="Arial" w:cs="Arial" w:eastAsia="Arial" w:hAnsi="Arial"/>
                <w:sz w:val="14"/>
                <w:szCs w:val="14"/>
                <w:b w:val="1"/>
                <w:bCs w:val="1"/>
                <w:color w:val="auto"/>
                <w:w w:val="92"/>
              </w:rPr>
              <w:t>of incorporation)</w:t>
            </w:r>
          </w:p>
        </w:tc>
        <w:tc>
          <w:tcPr>
            <w:tcW w:w="4840" w:type="dxa"/>
            <w:vAlign w:val="bottom"/>
          </w:tcPr>
          <w:p>
            <w:pPr>
              <w:jc w:val="center"/>
              <w:spacing w:after="0"/>
              <w:rPr>
                <w:sz w:val="20"/>
                <w:szCs w:val="20"/>
                <w:color w:val="auto"/>
              </w:rPr>
            </w:pPr>
            <w:r>
              <w:rPr>
                <w:rFonts w:ascii="Arial" w:cs="Arial" w:eastAsia="Arial" w:hAnsi="Arial"/>
                <w:sz w:val="14"/>
                <w:szCs w:val="14"/>
                <w:b w:val="1"/>
                <w:bCs w:val="1"/>
                <w:color w:val="auto"/>
                <w:w w:val="98"/>
              </w:rPr>
              <w:t>File Number)</w:t>
            </w:r>
          </w:p>
        </w:tc>
        <w:tc>
          <w:tcPr>
            <w:tcW w:w="1800" w:type="dxa"/>
            <w:vAlign w:val="bottom"/>
          </w:tcPr>
          <w:p>
            <w:pPr>
              <w:jc w:val="center"/>
              <w:ind w:left="602"/>
              <w:spacing w:after="0"/>
              <w:rPr>
                <w:sz w:val="20"/>
                <w:szCs w:val="20"/>
                <w:color w:val="auto"/>
              </w:rPr>
            </w:pPr>
            <w:r>
              <w:rPr>
                <w:rFonts w:ascii="Arial" w:cs="Arial" w:eastAsia="Arial" w:hAnsi="Arial"/>
                <w:sz w:val="14"/>
                <w:szCs w:val="14"/>
                <w:b w:val="1"/>
                <w:bCs w:val="1"/>
                <w:color w:val="auto"/>
                <w:w w:val="94"/>
              </w:rPr>
              <w:t>Identification No.)</w:t>
            </w:r>
          </w:p>
        </w:tc>
      </w:tr>
      <w:tr>
        <w:trPr>
          <w:trHeight w:val="399"/>
        </w:trPr>
        <w:tc>
          <w:tcPr>
            <w:tcW w:w="2140" w:type="dxa"/>
            <w:vAlign w:val="bottom"/>
          </w:tcPr>
          <w:p>
            <w:pPr>
              <w:spacing w:after="0"/>
              <w:rPr>
                <w:sz w:val="24"/>
                <w:szCs w:val="24"/>
                <w:color w:val="auto"/>
              </w:rPr>
            </w:pPr>
          </w:p>
        </w:tc>
        <w:tc>
          <w:tcPr>
            <w:tcW w:w="484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Canon’s Court</w:t>
            </w:r>
          </w:p>
        </w:tc>
        <w:tc>
          <w:tcPr>
            <w:tcW w:w="1800" w:type="dxa"/>
            <w:vAlign w:val="bottom"/>
          </w:tcPr>
          <w:p>
            <w:pPr>
              <w:spacing w:after="0"/>
              <w:rPr>
                <w:sz w:val="24"/>
                <w:szCs w:val="24"/>
                <w:color w:val="auto"/>
              </w:rPr>
            </w:pPr>
          </w:p>
        </w:tc>
      </w:tr>
      <w:tr>
        <w:trPr>
          <w:trHeight w:val="216"/>
        </w:trPr>
        <w:tc>
          <w:tcPr>
            <w:tcW w:w="2140" w:type="dxa"/>
            <w:vAlign w:val="bottom"/>
          </w:tcPr>
          <w:p>
            <w:pPr>
              <w:spacing w:after="0"/>
              <w:rPr>
                <w:sz w:val="18"/>
                <w:szCs w:val="18"/>
                <w:color w:val="auto"/>
              </w:rPr>
            </w:pPr>
          </w:p>
        </w:tc>
        <w:tc>
          <w:tcPr>
            <w:tcW w:w="484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22 Victoria Street</w:t>
            </w:r>
          </w:p>
        </w:tc>
        <w:tc>
          <w:tcPr>
            <w:tcW w:w="1800" w:type="dxa"/>
            <w:vAlign w:val="bottom"/>
          </w:tcPr>
          <w:p>
            <w:pPr>
              <w:spacing w:after="0"/>
              <w:rPr>
                <w:sz w:val="18"/>
                <w:szCs w:val="18"/>
                <w:color w:val="auto"/>
              </w:rPr>
            </w:pPr>
          </w:p>
        </w:tc>
      </w:tr>
      <w:tr>
        <w:trPr>
          <w:trHeight w:val="216"/>
        </w:trPr>
        <w:tc>
          <w:tcPr>
            <w:tcW w:w="2140" w:type="dxa"/>
            <w:vAlign w:val="bottom"/>
          </w:tcPr>
          <w:p>
            <w:pPr>
              <w:spacing w:after="0"/>
              <w:rPr>
                <w:sz w:val="18"/>
                <w:szCs w:val="18"/>
                <w:color w:val="auto"/>
              </w:rPr>
            </w:pPr>
          </w:p>
        </w:tc>
        <w:tc>
          <w:tcPr>
            <w:tcW w:w="484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Hamilton HM 12</w:t>
            </w:r>
          </w:p>
        </w:tc>
        <w:tc>
          <w:tcPr>
            <w:tcW w:w="1800" w:type="dxa"/>
            <w:vAlign w:val="bottom"/>
          </w:tcPr>
          <w:p>
            <w:pPr>
              <w:spacing w:after="0"/>
              <w:rPr>
                <w:sz w:val="18"/>
                <w:szCs w:val="18"/>
                <w:color w:val="auto"/>
              </w:rPr>
            </w:pPr>
          </w:p>
        </w:tc>
      </w:tr>
      <w:tr>
        <w:trPr>
          <w:trHeight w:val="212"/>
        </w:trPr>
        <w:tc>
          <w:tcPr>
            <w:tcW w:w="2140" w:type="dxa"/>
            <w:vAlign w:val="bottom"/>
          </w:tcPr>
          <w:p>
            <w:pPr>
              <w:spacing w:after="0"/>
              <w:rPr>
                <w:sz w:val="18"/>
                <w:szCs w:val="18"/>
                <w:color w:val="auto"/>
              </w:rPr>
            </w:pPr>
          </w:p>
        </w:tc>
        <w:tc>
          <w:tcPr>
            <w:tcW w:w="4840" w:type="dxa"/>
            <w:vAlign w:val="bottom"/>
          </w:tcPr>
          <w:p>
            <w:pPr>
              <w:jc w:val="center"/>
              <w:ind w:right="77"/>
              <w:spacing w:after="0"/>
              <w:rPr>
                <w:sz w:val="20"/>
                <w:szCs w:val="20"/>
                <w:color w:val="auto"/>
              </w:rPr>
            </w:pPr>
            <w:r>
              <w:rPr>
                <w:rFonts w:ascii="Arial" w:cs="Arial" w:eastAsia="Arial" w:hAnsi="Arial"/>
                <w:sz w:val="18"/>
                <w:szCs w:val="18"/>
                <w:b w:val="1"/>
                <w:bCs w:val="1"/>
                <w:color w:val="auto"/>
                <w:w w:val="92"/>
              </w:rPr>
              <w:t>Bermuda</w:t>
            </w:r>
          </w:p>
        </w:tc>
        <w:tc>
          <w:tcPr>
            <w:tcW w:w="1800" w:type="dxa"/>
            <w:vAlign w:val="bottom"/>
          </w:tcPr>
          <w:p>
            <w:pPr>
              <w:spacing w:after="0"/>
              <w:rPr>
                <w:sz w:val="18"/>
                <w:szCs w:val="18"/>
                <w:color w:val="auto"/>
              </w:rPr>
            </w:pPr>
          </w:p>
        </w:tc>
      </w:tr>
      <w:tr>
        <w:trPr>
          <w:trHeight w:val="186"/>
        </w:trPr>
        <w:tc>
          <w:tcPr>
            <w:tcW w:w="2140" w:type="dxa"/>
            <w:vAlign w:val="bottom"/>
          </w:tcPr>
          <w:p>
            <w:pPr>
              <w:spacing w:after="0"/>
              <w:rPr>
                <w:sz w:val="16"/>
                <w:szCs w:val="16"/>
                <w:color w:val="auto"/>
              </w:rPr>
            </w:pPr>
          </w:p>
        </w:tc>
        <w:tc>
          <w:tcPr>
            <w:tcW w:w="4840" w:type="dxa"/>
            <w:vAlign w:val="bottom"/>
          </w:tcPr>
          <w:p>
            <w:pPr>
              <w:jc w:val="center"/>
              <w:ind w:right="77"/>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1800" w:type="dxa"/>
            <w:vAlign w:val="bottom"/>
          </w:tcPr>
          <w:p>
            <w:pPr>
              <w:spacing w:after="0"/>
              <w:rPr>
                <w:sz w:val="16"/>
                <w:szCs w:val="16"/>
                <w:color w:val="auto"/>
              </w:rPr>
            </w:pPr>
          </w:p>
        </w:tc>
      </w:tr>
      <w:tr>
        <w:trPr>
          <w:trHeight w:val="394"/>
        </w:trPr>
        <w:tc>
          <w:tcPr>
            <w:tcW w:w="2140" w:type="dxa"/>
            <w:vAlign w:val="bottom"/>
          </w:tcPr>
          <w:p>
            <w:pPr>
              <w:spacing w:after="0"/>
              <w:rPr>
                <w:sz w:val="24"/>
                <w:szCs w:val="24"/>
                <w:color w:val="auto"/>
              </w:rPr>
            </w:pPr>
          </w:p>
        </w:tc>
        <w:tc>
          <w:tcPr>
            <w:tcW w:w="4840" w:type="dxa"/>
            <w:vAlign w:val="bottom"/>
          </w:tcPr>
          <w:p>
            <w:pPr>
              <w:jc w:val="center"/>
              <w:ind w:right="77"/>
              <w:spacing w:after="0"/>
              <w:rPr>
                <w:sz w:val="20"/>
                <w:szCs w:val="20"/>
                <w:color w:val="auto"/>
              </w:rPr>
            </w:pPr>
            <w:r>
              <w:rPr>
                <w:rFonts w:ascii="Arial" w:cs="Arial" w:eastAsia="Arial" w:hAnsi="Arial"/>
                <w:sz w:val="18"/>
                <w:szCs w:val="18"/>
                <w:b w:val="1"/>
                <w:bCs w:val="1"/>
                <w:color w:val="auto"/>
                <w:w w:val="90"/>
              </w:rPr>
              <w:t>(441) 296-6395</w:t>
            </w:r>
          </w:p>
        </w:tc>
        <w:tc>
          <w:tcPr>
            <w:tcW w:w="1800" w:type="dxa"/>
            <w:vAlign w:val="bottom"/>
          </w:tcPr>
          <w:p>
            <w:pPr>
              <w:spacing w:after="0"/>
              <w:rPr>
                <w:sz w:val="24"/>
                <w:szCs w:val="24"/>
                <w:color w:val="auto"/>
              </w:rPr>
            </w:pPr>
          </w:p>
        </w:tc>
      </w:tr>
      <w:tr>
        <w:trPr>
          <w:trHeight w:val="186"/>
        </w:trPr>
        <w:tc>
          <w:tcPr>
            <w:tcW w:w="2140" w:type="dxa"/>
            <w:vAlign w:val="bottom"/>
          </w:tcPr>
          <w:p>
            <w:pPr>
              <w:spacing w:after="0"/>
              <w:rPr>
                <w:sz w:val="16"/>
                <w:szCs w:val="16"/>
                <w:color w:val="auto"/>
              </w:rPr>
            </w:pPr>
          </w:p>
        </w:tc>
        <w:tc>
          <w:tcPr>
            <w:tcW w:w="484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80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196215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0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62" w:lineRule="exact"/>
        <w:rPr>
          <w:sz w:val="24"/>
          <w:szCs w:val="24"/>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860" w:hanging="424"/>
        <w:spacing w:after="0"/>
        <w:tabs>
          <w:tab w:leader="none" w:pos="8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60" w:type="dxa"/>
            <w:vAlign w:val="bottom"/>
          </w:tcPr>
          <w:p>
            <w:pPr>
              <w:spacing w:after="0"/>
              <w:rPr>
                <w:sz w:val="14"/>
                <w:szCs w:val="14"/>
                <w:color w:val="auto"/>
              </w:rPr>
            </w:pP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97"/>
              </w:rPr>
              <w:t>Trading</w:t>
            </w:r>
          </w:p>
        </w:tc>
        <w:tc>
          <w:tcPr>
            <w:tcW w:w="100" w:type="dxa"/>
            <w:vAlign w:val="bottom"/>
          </w:tcPr>
          <w:p>
            <w:pPr>
              <w:spacing w:after="0"/>
              <w:rPr>
                <w:sz w:val="14"/>
                <w:szCs w:val="14"/>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71"/>
        </w:trPr>
        <w:tc>
          <w:tcPr>
            <w:tcW w:w="3720" w:type="dxa"/>
            <w:vAlign w:val="bottom"/>
            <w:tcBorders>
              <w:bottom w:val="single" w:sz="8" w:color="auto"/>
            </w:tcBorders>
            <w:vMerge w:val="continue"/>
          </w:tcPr>
          <w:p>
            <w:pPr>
              <w:spacing w:after="0"/>
              <w:rPr>
                <w:sz w:val="14"/>
                <w:szCs w:val="14"/>
                <w:color w:val="auto"/>
              </w:rPr>
            </w:pPr>
          </w:p>
        </w:tc>
        <w:tc>
          <w:tcPr>
            <w:tcW w:w="60" w:type="dxa"/>
            <w:vAlign w:val="bottom"/>
          </w:tcPr>
          <w:p>
            <w:pPr>
              <w:spacing w:after="0"/>
              <w:rPr>
                <w:sz w:val="14"/>
                <w:szCs w:val="14"/>
                <w:color w:val="auto"/>
              </w:rPr>
            </w:pPr>
          </w:p>
        </w:tc>
        <w:tc>
          <w:tcPr>
            <w:tcW w:w="3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00" w:type="dxa"/>
            <w:vAlign w:val="bottom"/>
          </w:tcPr>
          <w:p>
            <w:pPr>
              <w:spacing w:after="0"/>
              <w:rPr>
                <w:sz w:val="14"/>
                <w:szCs w:val="14"/>
                <w:color w:val="auto"/>
              </w:rPr>
            </w:pP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20" w:type="dxa"/>
            <w:vAlign w:val="bottom"/>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60" w:type="dxa"/>
            <w:vAlign w:val="bottom"/>
          </w:tcPr>
          <w:p>
            <w:pPr>
              <w:spacing w:after="0"/>
              <w:rPr>
                <w:sz w:val="19"/>
                <w:szCs w:val="19"/>
                <w:color w:val="auto"/>
              </w:rPr>
            </w:pPr>
          </w:p>
        </w:tc>
        <w:tc>
          <w:tcPr>
            <w:tcW w:w="3620" w:type="dxa"/>
            <w:vAlign w:val="bottom"/>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20" w:type="dxa"/>
            <w:vAlign w:val="bottom"/>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2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41" w:right="419" w:bottom="1440" w:gutter="0" w:footer="0" w:header="0"/>
        </w:sectPr>
      </w:pPr>
    </w:p>
    <w:bookmarkStart w:id="1" w:name="page2"/>
    <w:bookmarkEnd w:id="1"/>
    <w:p>
      <w:pPr>
        <w:spacing w:after="0"/>
        <w:tabs>
          <w:tab w:leader="none" w:pos="10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On September 19, 2019, Marvell Technology Group Ltd. (the “Company”) announced that its Board of Directors had declared the payment of its quarterly dividend of $0.06 per share to be paid on October 30, 2019 to all shareholders of record as of October 10, 2019.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277"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333" w:lineRule="exact"/>
        <w:rPr>
          <w:sz w:val="20"/>
          <w:szCs w:val="20"/>
          <w:color w:val="auto"/>
        </w:rPr>
      </w:pPr>
    </w:p>
    <w:p>
      <w:pPr>
        <w:ind w:left="60"/>
        <w:spacing w:after="0"/>
        <w:tabs>
          <w:tab w:leader="none" w:pos="76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September 20, 2019, titled “Marvell Technology Group Ltd. Declares Quarterly Dividend Payment”</w:t>
        </w:r>
      </w:hyperlink>
    </w:p>
    <w:p>
      <w:pPr>
        <w:spacing w:after="0" w:line="117" w:lineRule="exact"/>
        <w:rPr>
          <w:sz w:val="20"/>
          <w:szCs w:val="20"/>
          <w:color w:val="auto"/>
        </w:rPr>
      </w:pPr>
    </w:p>
    <w:p>
      <w:pPr>
        <w:ind w:left="60"/>
        <w:spacing w:after="0"/>
        <w:tabs>
          <w:tab w:leader="none" w:pos="76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900"/>
          </w:cols>
          <w:pgMar w:left="440" w:top="297" w:right="55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55880"/>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71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6400" w:val="left"/>
        </w:tabs>
        <w:rPr>
          <w:sz w:val="20"/>
          <w:szCs w:val="20"/>
          <w:color w:val="auto"/>
        </w:rPr>
      </w:pPr>
      <w:r>
        <w:rPr>
          <w:rFonts w:ascii="Arial" w:cs="Arial" w:eastAsia="Arial" w:hAnsi="Arial"/>
          <w:sz w:val="18"/>
          <w:szCs w:val="18"/>
          <w:color w:val="auto"/>
        </w:rPr>
        <w:t>Date: September 20, 2019</w:t>
      </w:r>
      <w:r>
        <w:rPr>
          <w:sz w:val="20"/>
          <w:szCs w:val="20"/>
          <w:color w:val="auto"/>
        </w:rPr>
        <w:tab/>
      </w:r>
      <w:r>
        <w:rPr>
          <w:rFonts w:ascii="Arial" w:cs="Arial" w:eastAsia="Arial" w:hAnsi="Arial"/>
          <w:sz w:val="17"/>
          <w:szCs w:val="17"/>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4320540</wp:posOffset>
            </wp:positionH>
            <wp:positionV relativeFrom="paragraph">
              <wp:posOffset>14605</wp:posOffset>
            </wp:positionV>
            <wp:extent cx="26841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684145" cy="8890"/>
                    </a:xfrm>
                    <a:prstGeom prst="rect">
                      <a:avLst/>
                    </a:prstGeom>
                    <a:noFill/>
                  </pic:spPr>
                </pic:pic>
              </a:graphicData>
            </a:graphic>
          </wp:anchor>
        </w:drawing>
      </w:r>
    </w:p>
    <w:p>
      <w:pPr>
        <w:spacing w:after="0" w:line="12" w:lineRule="exact"/>
        <w:rPr>
          <w:sz w:val="20"/>
          <w:szCs w:val="20"/>
          <w:color w:val="auto"/>
        </w:rPr>
      </w:pPr>
    </w:p>
    <w:p>
      <w:pPr>
        <w:ind w:left="680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0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80"/>
          </w:cols>
          <w:pgMar w:left="440" w:top="297" w:right="7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172085</wp:posOffset>
            </wp:positionV>
            <wp:extent cx="1792605" cy="13716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80"/>
        <w:spacing w:after="0" w:line="282" w:lineRule="auto"/>
        <w:rPr>
          <w:sz w:val="20"/>
          <w:szCs w:val="20"/>
          <w:color w:val="auto"/>
        </w:rPr>
      </w:pPr>
      <w:r>
        <w:rPr>
          <w:rFonts w:ascii="Arial" w:cs="Arial" w:eastAsia="Arial" w:hAnsi="Arial"/>
          <w:sz w:val="18"/>
          <w:szCs w:val="18"/>
          <w:b w:val="1"/>
          <w:bCs w:val="1"/>
          <w:color w:val="auto"/>
        </w:rPr>
        <w:t xml:space="preserve">Santa Clara, Calif. (September 20, 2019) </w:t>
      </w:r>
      <w:r>
        <w:rPr>
          <w:rFonts w:ascii="Arial" w:cs="Arial" w:eastAsia="Arial" w:hAnsi="Arial"/>
          <w:sz w:val="18"/>
          <w:szCs w:val="18"/>
          <w:color w:val="auto"/>
        </w:rPr>
        <w:t>— Marvell Technology Group Ltd. (NASDAQ: MRVL), today announced a quarterly dividend of $0.06 per</w:t>
      </w:r>
      <w:r>
        <w:rPr>
          <w:rFonts w:ascii="Arial" w:cs="Arial" w:eastAsia="Arial" w:hAnsi="Arial"/>
          <w:sz w:val="18"/>
          <w:szCs w:val="18"/>
          <w:b w:val="1"/>
          <w:bCs w:val="1"/>
          <w:color w:val="auto"/>
        </w:rPr>
        <w:t xml:space="preserve"> </w:t>
      </w:r>
      <w:r>
        <w:rPr>
          <w:rFonts w:ascii="Arial" w:cs="Arial" w:eastAsia="Arial" w:hAnsi="Arial"/>
          <w:sz w:val="18"/>
          <w:szCs w:val="18"/>
          <w:color w:val="auto"/>
        </w:rPr>
        <w:t>share of common stock payable on October 30, 2019 to shareholders of record as of October 10, 2019.</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https://www.marvell.com</w:t>
      </w:r>
      <w:r>
        <w:rPr>
          <w:rFonts w:ascii="Arial" w:cs="Arial" w:eastAsia="Arial" w:hAnsi="Arial"/>
          <w:sz w:val="18"/>
          <w:szCs w:val="18"/>
          <w:color w:val="auto"/>
        </w:rPr>
        <w: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2019-12-28T06:00:23Z</dcterms:created>
  <dcterms:modified xsi:type="dcterms:W3CDTF">2019-12-28T06:00:23Z</dcterms:modified>
</cp:coreProperties>
</file>