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322820" cy="60801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820" cy="608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900"/>
          </w:cols>
          <w:pgMar w:left="240" w:top="226" w:right="1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GAYNOR MITCHELL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5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5"/>
                </w:rPr>
                <w:t>MARVELL TECHNOLOGY GROUP LTD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6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2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2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4"/>
              </w:rPr>
              <w:t>EVP, CALO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8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10/15/2019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38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6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2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jc w:val="center"/>
              <w:ind w:left="548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restart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3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jc w:val="center"/>
              <w:ind w:left="5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10/15/2019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center"/>
              <w:ind w:left="1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1,969</w:t>
            </w:r>
          </w:p>
        </w:tc>
        <w:tc>
          <w:tcPr>
            <w:tcW w:w="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4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0.00</w:t>
            </w:r>
          </w:p>
        </w:tc>
        <w:tc>
          <w:tcPr>
            <w:tcW w:w="1360" w:type="dxa"/>
            <w:vAlign w:val="bottom"/>
            <w:gridSpan w:val="3"/>
          </w:tcPr>
          <w:p>
            <w:pPr>
              <w:jc w:val="right"/>
              <w:ind w:right="3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53,073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10/15/2019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9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9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977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4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24.4</w:t>
            </w: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52,096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jc w:val="center"/>
              <w:ind w:left="5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10/15/2019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center"/>
              <w:ind w:left="1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2,636</w:t>
            </w:r>
          </w:p>
        </w:tc>
        <w:tc>
          <w:tcPr>
            <w:tcW w:w="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4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0.00</w:t>
            </w:r>
          </w:p>
        </w:tc>
        <w:tc>
          <w:tcPr>
            <w:tcW w:w="1360" w:type="dxa"/>
            <w:vAlign w:val="bottom"/>
            <w:gridSpan w:val="3"/>
          </w:tcPr>
          <w:p>
            <w:pPr>
              <w:jc w:val="right"/>
              <w:ind w:right="3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54,732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10/15/2019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9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9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1,307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4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24.4</w:t>
            </w: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53,425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50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9"/>
              </w:rPr>
              <w:t>Table II - Derivative Securities Acquired, Disposed of, or Beneficially Owned</w:t>
            </w: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20" w:type="dxa"/>
            <w:vAlign w:val="bottom"/>
            <w:gridSpan w:val="10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9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 of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37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1,969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2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10/15/2019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ind w:left="5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1,969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ind w:left="2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3"/>
              </w:rPr>
              <w:t>11,813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Shares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2,636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2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10/15/2019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ind w:left="5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2,636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20" w:type="dxa"/>
            <w:vAlign w:val="bottom"/>
          </w:tcPr>
          <w:p>
            <w:pPr>
              <w:ind w:left="2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26,361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Shares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Each RSU represents a contingent right to receive one Marvell Technology Group Ltd. common share upon vesting.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remaining RSU's vest quarterly on each of 01/15/2020, 04/15/2020, 07/15/2020, 10/15/2020, 01/15/2021, and 04/15/2021.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remaining RSU's vest quarterly on each of 01/15/2020, 04/15/2020, 07/15/2020, 10/15/2020, 01/15/2021, 04/15/2021, 07/15/2021, 10/15/2021, 01/15/2022 and 04/15/2022.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20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2"/>
              </w:rPr>
              <w:t>/s/ Mitchell Gaynor by Blair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10/16/2019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1960" w:type="dxa"/>
            <w:vAlign w:val="bottom"/>
            <w:vMerge w:val="restart"/>
          </w:tcPr>
          <w:p>
            <w:pPr>
              <w:spacing w:after="0" w:line="19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Walters as Attorney-in-Fact</w:t>
            </w:r>
          </w:p>
        </w:tc>
        <w:tc>
          <w:tcPr>
            <w:tcW w:w="1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19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6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6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93486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2019-12-23T16:05:48Z</dcterms:created>
  <dcterms:modified xsi:type="dcterms:W3CDTF">2019-12-23T16:05:48Z</dcterms:modified>
</cp:coreProperties>
</file>