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29"/>
          <w:szCs w:val="29"/>
          <w:b w:val="1"/>
          <w:bCs w:val="1"/>
          <w:color w:val="auto"/>
        </w:rPr>
        <w:drawing>
          <wp:anchor simplePos="0" relativeHeight="251657728" behindDoc="1" locked="0" layoutInCell="0" allowOverlap="1">
            <wp:simplePos x="0" y="0"/>
            <wp:positionH relativeFrom="page">
              <wp:posOffset>157480</wp:posOffset>
            </wp:positionH>
            <wp:positionV relativeFrom="page">
              <wp:posOffset>328930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243205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12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9"/>
          <w:szCs w:val="29"/>
          <w:b w:val="1"/>
          <w:bCs w:val="1"/>
          <w:color w:val="auto"/>
        </w:rPr>
        <w:t>SECURITIES AND EXCHANGE COMMISSION</w:t>
      </w:r>
    </w:p>
    <w:p>
      <w:pPr>
        <w:spacing w:after="0" w:line="7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57" w:lineRule="exact"/>
        <w:rPr>
          <w:sz w:val="24"/>
          <w:szCs w:val="24"/>
          <w:color w:val="auto"/>
        </w:rPr>
      </w:pPr>
    </w:p>
    <w:p>
      <w:pPr>
        <w:ind w:left="458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0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9"/>
          <w:szCs w:val="29"/>
          <w:b w:val="1"/>
          <w:bCs w:val="1"/>
          <w:color w:val="auto"/>
        </w:rPr>
        <w:t>FORM 8-K</w:t>
      </w:r>
    </w:p>
    <w:p>
      <w:pPr>
        <w:spacing w:after="0" w:line="78" w:lineRule="exact"/>
        <w:rPr>
          <w:sz w:val="24"/>
          <w:szCs w:val="24"/>
          <w:color w:val="auto"/>
        </w:rPr>
      </w:pPr>
    </w:p>
    <w:p>
      <w:pPr>
        <w:ind w:left="458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12" w:lineRule="exact"/>
        <w:rPr>
          <w:sz w:val="24"/>
          <w:szCs w:val="24"/>
          <w:color w:val="auto"/>
        </w:rPr>
      </w:pPr>
    </w:p>
    <w:p>
      <w:pPr>
        <w:ind w:left="470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220" w:lineRule="exact"/>
        <w:rPr>
          <w:sz w:val="24"/>
          <w:szCs w:val="24"/>
          <w:color w:val="auto"/>
        </w:rPr>
      </w:pPr>
    </w:p>
    <w:p>
      <w:pPr>
        <w:ind w:left="3980"/>
        <w:spacing w:after="0"/>
        <w:rPr>
          <w:sz w:val="20"/>
          <w:szCs w:val="20"/>
          <w:color w:val="auto"/>
        </w:rPr>
      </w:pPr>
      <w:r>
        <w:rPr>
          <w:rFonts w:ascii="Times New Roman" w:cs="Times New Roman" w:eastAsia="Times New Roman" w:hAnsi="Times New Roman"/>
          <w:sz w:val="22"/>
          <w:szCs w:val="22"/>
          <w:b w:val="1"/>
          <w:bCs w:val="1"/>
          <w:color w:val="auto"/>
        </w:rPr>
        <w:t>Pursuant to Section 13 or 15(d) of the</w:t>
      </w:r>
    </w:p>
    <w:p>
      <w:pPr>
        <w:spacing w:after="0" w:line="5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Securities Exchange Act of 1934</w:t>
      </w:r>
    </w:p>
    <w:p>
      <w:pPr>
        <w:spacing w:after="0" w:line="36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Report: December 3, 2019</w:t>
      </w:r>
    </w:p>
    <w:p>
      <w:pPr>
        <w:spacing w:after="0" w:line="5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57" w:lineRule="exact"/>
        <w:rPr>
          <w:sz w:val="24"/>
          <w:szCs w:val="24"/>
          <w:color w:val="auto"/>
        </w:rPr>
      </w:pPr>
    </w:p>
    <w:p>
      <w:pPr>
        <w:ind w:left="458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1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8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54" w:lineRule="exact"/>
        <w:rPr>
          <w:sz w:val="24"/>
          <w:szCs w:val="24"/>
          <w:color w:val="auto"/>
        </w:rPr>
      </w:pPr>
    </w:p>
    <w:p>
      <w:pPr>
        <w:ind w:left="462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00" w:lineRule="exact"/>
        <w:rPr>
          <w:sz w:val="24"/>
          <w:szCs w:val="24"/>
          <w:color w:val="auto"/>
        </w:rPr>
      </w:pPr>
    </w:p>
    <w:p>
      <w:pPr>
        <w:spacing w:after="0" w:line="291" w:lineRule="exact"/>
        <w:rPr>
          <w:sz w:val="24"/>
          <w:szCs w:val="24"/>
          <w:color w:val="auto"/>
        </w:rPr>
      </w:pPr>
    </w:p>
    <w:tbl>
      <w:tblPr>
        <w:tblLayout w:type="fixed"/>
        <w:tblInd w:w="1020" w:type="dxa"/>
        <w:tblCellMar>
          <w:top w:w="0" w:type="dxa"/>
          <w:left w:w="0" w:type="dxa"/>
          <w:bottom w:w="0" w:type="dxa"/>
          <w:right w:w="0" w:type="dxa"/>
        </w:tblCellMar>
      </w:tblPr>
      <w:tr>
        <w:trPr>
          <w:trHeight w:val="238"/>
        </w:trPr>
        <w:tc>
          <w:tcPr>
            <w:tcW w:w="2340" w:type="dxa"/>
            <w:vAlign w:val="bottom"/>
          </w:tcPr>
          <w:p>
            <w:pPr>
              <w:jc w:val="center"/>
              <w:ind w:right="462"/>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46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0-30877</w:t>
            </w:r>
          </w:p>
        </w:tc>
        <w:tc>
          <w:tcPr>
            <w:tcW w:w="2580" w:type="dxa"/>
            <w:vAlign w:val="bottom"/>
          </w:tcPr>
          <w:p>
            <w:pPr>
              <w:jc w:val="right"/>
              <w:ind w:right="519"/>
              <w:spacing w:after="0"/>
              <w:rPr>
                <w:sz w:val="20"/>
                <w:szCs w:val="20"/>
                <w:color w:val="auto"/>
              </w:rPr>
            </w:pPr>
            <w:r>
              <w:rPr>
                <w:rFonts w:ascii="Times New Roman" w:cs="Times New Roman" w:eastAsia="Times New Roman" w:hAnsi="Times New Roman"/>
                <w:sz w:val="18"/>
                <w:szCs w:val="18"/>
                <w:b w:val="1"/>
                <w:bCs w:val="1"/>
                <w:color w:val="auto"/>
              </w:rPr>
              <w:t>77-0481679</w:t>
            </w:r>
          </w:p>
        </w:tc>
      </w:tr>
      <w:tr>
        <w:trPr>
          <w:trHeight w:val="232"/>
        </w:trPr>
        <w:tc>
          <w:tcPr>
            <w:tcW w:w="2340" w:type="dxa"/>
            <w:vAlign w:val="bottom"/>
          </w:tcPr>
          <w:p>
            <w:pPr>
              <w:jc w:val="center"/>
              <w:ind w:right="462"/>
              <w:spacing w:after="0"/>
              <w:rPr>
                <w:sz w:val="20"/>
                <w:szCs w:val="20"/>
                <w:color w:val="auto"/>
              </w:rPr>
            </w:pPr>
            <w:r>
              <w:rPr>
                <w:rFonts w:ascii="Times New Roman" w:cs="Times New Roman" w:eastAsia="Times New Roman" w:hAnsi="Times New Roman"/>
                <w:sz w:val="14"/>
                <w:szCs w:val="14"/>
                <w:b w:val="1"/>
                <w:bCs w:val="1"/>
                <w:color w:val="auto"/>
              </w:rPr>
              <w:t>(State or other jurisdiction of</w:t>
            </w:r>
          </w:p>
        </w:tc>
        <w:tc>
          <w:tcPr>
            <w:tcW w:w="46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(Commission File Number)</w:t>
            </w:r>
          </w:p>
        </w:tc>
        <w:tc>
          <w:tcPr>
            <w:tcW w:w="2580" w:type="dxa"/>
            <w:vAlign w:val="bottom"/>
          </w:tcPr>
          <w:p>
            <w:pPr>
              <w:jc w:val="center"/>
              <w:ind w:left="399"/>
              <w:spacing w:after="0"/>
              <w:rPr>
                <w:sz w:val="20"/>
                <w:szCs w:val="20"/>
                <w:color w:val="auto"/>
              </w:rPr>
            </w:pPr>
            <w:r>
              <w:rPr>
                <w:rFonts w:ascii="Times New Roman" w:cs="Times New Roman" w:eastAsia="Times New Roman" w:hAnsi="Times New Roman"/>
                <w:sz w:val="14"/>
                <w:szCs w:val="14"/>
                <w:b w:val="1"/>
                <w:bCs w:val="1"/>
                <w:color w:val="auto"/>
              </w:rPr>
              <w:t>(IRS Employer Identification No.)</w:t>
            </w:r>
          </w:p>
        </w:tc>
      </w:tr>
      <w:tr>
        <w:trPr>
          <w:trHeight w:val="190"/>
        </w:trPr>
        <w:tc>
          <w:tcPr>
            <w:tcW w:w="2340" w:type="dxa"/>
            <w:vAlign w:val="bottom"/>
          </w:tcPr>
          <w:p>
            <w:pPr>
              <w:jc w:val="center"/>
              <w:ind w:right="482"/>
              <w:spacing w:after="0"/>
              <w:rPr>
                <w:sz w:val="20"/>
                <w:szCs w:val="20"/>
                <w:color w:val="auto"/>
              </w:rPr>
            </w:pPr>
            <w:r>
              <w:rPr>
                <w:rFonts w:ascii="Times New Roman" w:cs="Times New Roman" w:eastAsia="Times New Roman" w:hAnsi="Times New Roman"/>
                <w:sz w:val="14"/>
                <w:szCs w:val="14"/>
                <w:b w:val="1"/>
                <w:bCs w:val="1"/>
                <w:color w:val="auto"/>
              </w:rPr>
              <w:t>incorporation)</w:t>
            </w:r>
          </w:p>
        </w:tc>
        <w:tc>
          <w:tcPr>
            <w:tcW w:w="468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447"/>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Canon’s Court</w:t>
            </w:r>
          </w:p>
        </w:tc>
        <w:tc>
          <w:tcPr>
            <w:tcW w:w="2580" w:type="dxa"/>
            <w:vAlign w:val="bottom"/>
          </w:tcPr>
          <w:p>
            <w:pPr>
              <w:spacing w:after="0"/>
              <w:rPr>
                <w:sz w:val="24"/>
                <w:szCs w:val="24"/>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22 Victoria Street</w:t>
            </w:r>
          </w:p>
        </w:tc>
        <w:tc>
          <w:tcPr>
            <w:tcW w:w="2580" w:type="dxa"/>
            <w:vAlign w:val="bottom"/>
          </w:tcPr>
          <w:p>
            <w:pPr>
              <w:spacing w:after="0"/>
              <w:rPr>
                <w:sz w:val="18"/>
                <w:szCs w:val="18"/>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Hamilton HM 12</w:t>
            </w:r>
          </w:p>
        </w:tc>
        <w:tc>
          <w:tcPr>
            <w:tcW w:w="2580" w:type="dxa"/>
            <w:vAlign w:val="bottom"/>
          </w:tcPr>
          <w:p>
            <w:pPr>
              <w:spacing w:after="0"/>
              <w:rPr>
                <w:sz w:val="18"/>
                <w:szCs w:val="18"/>
                <w:color w:val="auto"/>
              </w:rPr>
            </w:pPr>
          </w:p>
        </w:tc>
      </w:tr>
      <w:tr>
        <w:trPr>
          <w:trHeight w:val="238"/>
        </w:trPr>
        <w:tc>
          <w:tcPr>
            <w:tcW w:w="2340" w:type="dxa"/>
            <w:vAlign w:val="bottom"/>
          </w:tcPr>
          <w:p>
            <w:pPr>
              <w:spacing w:after="0"/>
              <w:rPr>
                <w:sz w:val="20"/>
                <w:szCs w:val="20"/>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2580" w:type="dxa"/>
            <w:vAlign w:val="bottom"/>
          </w:tcPr>
          <w:p>
            <w:pPr>
              <w:spacing w:after="0"/>
              <w:rPr>
                <w:sz w:val="20"/>
                <w:szCs w:val="20"/>
                <w:color w:val="auto"/>
              </w:rPr>
            </w:pPr>
          </w:p>
        </w:tc>
      </w:tr>
      <w:tr>
        <w:trPr>
          <w:trHeight w:val="193"/>
        </w:trPr>
        <w:tc>
          <w:tcPr>
            <w:tcW w:w="2340" w:type="dxa"/>
            <w:vAlign w:val="bottom"/>
          </w:tcPr>
          <w:p>
            <w:pPr>
              <w:spacing w:after="0"/>
              <w:rPr>
                <w:sz w:val="16"/>
                <w:szCs w:val="16"/>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tc>
        <w:tc>
          <w:tcPr>
            <w:tcW w:w="2580" w:type="dxa"/>
            <w:vAlign w:val="bottom"/>
          </w:tcPr>
          <w:p>
            <w:pPr>
              <w:spacing w:after="0"/>
              <w:rPr>
                <w:sz w:val="16"/>
                <w:szCs w:val="16"/>
                <w:color w:val="auto"/>
              </w:rPr>
            </w:pPr>
          </w:p>
        </w:tc>
      </w:tr>
      <w:tr>
        <w:trPr>
          <w:trHeight w:val="415"/>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(441) 296-6395</w:t>
            </w:r>
          </w:p>
        </w:tc>
        <w:tc>
          <w:tcPr>
            <w:tcW w:w="2580" w:type="dxa"/>
            <w:vAlign w:val="bottom"/>
          </w:tcPr>
          <w:p>
            <w:pPr>
              <w:spacing w:after="0"/>
              <w:rPr>
                <w:sz w:val="24"/>
                <w:szCs w:val="24"/>
                <w:color w:val="auto"/>
              </w:rPr>
            </w:pPr>
          </w:p>
        </w:tc>
      </w:tr>
      <w:tr>
        <w:trPr>
          <w:trHeight w:val="206"/>
        </w:trPr>
        <w:tc>
          <w:tcPr>
            <w:tcW w:w="2340" w:type="dxa"/>
            <w:vAlign w:val="bottom"/>
          </w:tcPr>
          <w:p>
            <w:pPr>
              <w:spacing w:after="0"/>
              <w:rPr>
                <w:sz w:val="17"/>
                <w:szCs w:val="17"/>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tc>
        <w:tc>
          <w:tcPr>
            <w:tcW w:w="2580" w:type="dxa"/>
            <w:vAlign w:val="bottom"/>
          </w:tcPr>
          <w:p>
            <w:pPr>
              <w:spacing w:after="0"/>
              <w:rPr>
                <w:sz w:val="17"/>
                <w:szCs w:val="17"/>
                <w:color w:val="auto"/>
              </w:rPr>
            </w:pPr>
          </w:p>
        </w:tc>
      </w:tr>
    </w:tbl>
    <w:p>
      <w:pPr>
        <w:spacing w:after="0" w:line="19" w:lineRule="exact"/>
        <w:rPr>
          <w:sz w:val="24"/>
          <w:szCs w:val="24"/>
          <w:color w:val="auto"/>
        </w:rPr>
      </w:pPr>
    </w:p>
    <w:p>
      <w:pPr>
        <w:ind w:left="458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12" w:lineRule="exact"/>
        <w:rPr>
          <w:sz w:val="24"/>
          <w:szCs w:val="24"/>
          <w:color w:val="auto"/>
        </w:rPr>
      </w:pPr>
    </w:p>
    <w:p>
      <w:pPr>
        <w:ind w:right="120"/>
        <w:spacing w:after="0" w:line="329"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202" w:lineRule="exact"/>
        <w:rPr>
          <w:sz w:val="24"/>
          <w:szCs w:val="24"/>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1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w:t>
      </w:r>
    </w:p>
    <w:p>
      <w:pPr>
        <w:spacing w:after="0" w:line="22" w:lineRule="exact"/>
        <w:rPr>
          <w:sz w:val="24"/>
          <w:szCs w:val="24"/>
          <w:color w:val="auto"/>
        </w:rPr>
      </w:pPr>
    </w:p>
    <w:p>
      <w:pPr>
        <w:spacing w:after="0" w:line="207" w:lineRule="exact"/>
        <w:tabs>
          <w:tab w:leader="none" w:pos="6880" w:val="left"/>
          <w:tab w:leader="none" w:pos="9020" w:val="left"/>
        </w:tabs>
        <w:rPr>
          <w:sz w:val="20"/>
          <w:szCs w:val="20"/>
          <w:color w:val="auto"/>
        </w:rPr>
      </w:pPr>
      <w:r>
        <w:rPr>
          <w:rFonts w:ascii="Times New Roman" w:cs="Times New Roman" w:eastAsia="Times New Roman" w:hAnsi="Times New Roman"/>
          <w:sz w:val="18"/>
          <w:szCs w:val="18"/>
          <w:color w:val="auto"/>
        </w:rPr>
        <w:t>or Rule 12b-2 of the Securities Exchange Act of 1934 (§240.12b-2 of this chapter).</w:t>
      </w:r>
      <w:r>
        <w:rPr>
          <w:sz w:val="20"/>
          <w:szCs w:val="20"/>
          <w:color w:val="auto"/>
        </w:rPr>
        <w:tab/>
      </w:r>
      <w:r>
        <w:rPr>
          <w:rFonts w:ascii="Times New Roman" w:cs="Times New Roman" w:eastAsia="Times New Roman" w:hAnsi="Times New Roman"/>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71" w:lineRule="exact"/>
        <w:rPr>
          <w:sz w:val="24"/>
          <w:szCs w:val="24"/>
          <w:color w:val="auto"/>
        </w:rPr>
      </w:pPr>
    </w:p>
    <w:p>
      <w:pPr>
        <w:ind w:right="14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3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74"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88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7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r>
      <w:tr>
        <w:trPr>
          <w:trHeight w:val="209"/>
        </w:trPr>
        <w:tc>
          <w:tcPr>
            <w:tcW w:w="366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120" w:type="dxa"/>
            <w:vAlign w:val="bottom"/>
          </w:tcPr>
          <w:p>
            <w:pPr>
              <w:spacing w:after="0"/>
              <w:rPr>
                <w:sz w:val="18"/>
                <w:szCs w:val="18"/>
                <w:color w:val="auto"/>
              </w:rPr>
            </w:pPr>
          </w:p>
        </w:tc>
        <w:tc>
          <w:tcPr>
            <w:tcW w:w="37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100" w:type="dxa"/>
            <w:vAlign w:val="bottom"/>
          </w:tcPr>
          <w:p>
            <w:pPr>
              <w:spacing w:after="0"/>
              <w:rPr>
                <w:sz w:val="18"/>
                <w:szCs w:val="18"/>
                <w:color w:val="auto"/>
              </w:rPr>
            </w:pPr>
          </w:p>
        </w:tc>
        <w:tc>
          <w:tcPr>
            <w:tcW w:w="376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r>
      <w:tr>
        <w:trPr>
          <w:trHeight w:val="242"/>
        </w:trPr>
        <w:tc>
          <w:tcPr>
            <w:tcW w:w="3780" w:type="dxa"/>
            <w:vAlign w:val="bottom"/>
            <w:gridSpan w:val="2"/>
          </w:tcPr>
          <w:p>
            <w:pPr>
              <w:jc w:val="center"/>
              <w:ind w:right="100"/>
              <w:spacing w:after="0"/>
              <w:rPr>
                <w:sz w:val="20"/>
                <w:szCs w:val="20"/>
                <w:color w:val="auto"/>
              </w:rPr>
            </w:pPr>
            <w:r>
              <w:rPr>
                <w:rFonts w:ascii="Times New Roman" w:cs="Times New Roman" w:eastAsia="Times New Roman" w:hAnsi="Times New Roman"/>
                <w:sz w:val="18"/>
                <w:szCs w:val="18"/>
                <w:b w:val="1"/>
                <w:bCs w:val="1"/>
                <w:color w:val="auto"/>
              </w:rPr>
              <w:t>Common Shares</w:t>
            </w:r>
          </w:p>
        </w:tc>
        <w:tc>
          <w:tcPr>
            <w:tcW w:w="3880" w:type="dxa"/>
            <w:vAlign w:val="bottom"/>
            <w:gridSpan w:val="2"/>
          </w:tcPr>
          <w:p>
            <w:pPr>
              <w:jc w:val="center"/>
              <w:ind w:right="100"/>
              <w:spacing w:after="0"/>
              <w:rPr>
                <w:sz w:val="20"/>
                <w:szCs w:val="20"/>
                <w:color w:val="auto"/>
              </w:rPr>
            </w:pPr>
            <w:r>
              <w:rPr>
                <w:rFonts w:ascii="Times New Roman" w:cs="Times New Roman" w:eastAsia="Times New Roman" w:hAnsi="Times New Roman"/>
                <w:sz w:val="18"/>
                <w:szCs w:val="18"/>
                <w:b w:val="1"/>
                <w:bCs w:val="1"/>
                <w:color w:val="auto"/>
                <w:w w:val="98"/>
              </w:rPr>
              <w:t>MRVL</w:t>
            </w:r>
          </w:p>
        </w:tc>
        <w:tc>
          <w:tcPr>
            <w:tcW w:w="376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The Nasdaq Stock Market, LLC</w:t>
            </w:r>
          </w:p>
        </w:tc>
      </w:tr>
      <w:tr>
        <w:trPr>
          <w:trHeight w:val="378"/>
        </w:trPr>
        <w:tc>
          <w:tcPr>
            <w:tcW w:w="36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37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760" w:type="dxa"/>
            <w:vAlign w:val="bottom"/>
            <w:tcBorders>
              <w:bottom w:val="single" w:sz="8" w:color="auto"/>
            </w:tcBorders>
          </w:tcPr>
          <w:p>
            <w:pPr>
              <w:spacing w:after="0"/>
              <w:rPr>
                <w:sz w:val="24"/>
                <w:szCs w:val="24"/>
                <w:color w:val="auto"/>
              </w:rPr>
            </w:pPr>
          </w:p>
        </w:tc>
      </w:tr>
      <w:tr>
        <w:trPr>
          <w:trHeight w:val="115"/>
        </w:trPr>
        <w:tc>
          <w:tcPr>
            <w:tcW w:w="3660" w:type="dxa"/>
            <w:vAlign w:val="bottom"/>
            <w:tcBorders>
              <w:bottom w:val="single" w:sz="8" w:color="auto"/>
            </w:tcBorders>
          </w:tcPr>
          <w:p>
            <w:pPr>
              <w:spacing w:after="0"/>
              <w:rPr>
                <w:sz w:val="10"/>
                <w:szCs w:val="10"/>
                <w:color w:val="auto"/>
              </w:rPr>
            </w:pPr>
          </w:p>
        </w:tc>
        <w:tc>
          <w:tcPr>
            <w:tcW w:w="120" w:type="dxa"/>
            <w:vAlign w:val="bottom"/>
            <w:tcBorders>
              <w:bottom w:val="single" w:sz="8" w:color="auto"/>
            </w:tcBorders>
          </w:tcPr>
          <w:p>
            <w:pPr>
              <w:spacing w:after="0"/>
              <w:rPr>
                <w:sz w:val="10"/>
                <w:szCs w:val="10"/>
                <w:color w:val="auto"/>
              </w:rPr>
            </w:pPr>
          </w:p>
        </w:tc>
        <w:tc>
          <w:tcPr>
            <w:tcW w:w="3780" w:type="dxa"/>
            <w:vAlign w:val="bottom"/>
            <w:tcBorders>
              <w:bottom w:val="single" w:sz="8" w:color="auto"/>
            </w:tcBorders>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3760" w:type="dxa"/>
            <w:vAlign w:val="bottom"/>
            <w:tcBorders>
              <w:bottom w:val="single" w:sz="8" w:color="auto"/>
            </w:tcBorders>
          </w:tcPr>
          <w:p>
            <w:pPr>
              <w:spacing w:after="0"/>
              <w:rPr>
                <w:sz w:val="10"/>
                <w:szCs w:val="10"/>
                <w:color w:val="auto"/>
              </w:rPr>
            </w:pPr>
          </w:p>
        </w:tc>
      </w:tr>
    </w:tbl>
    <w:p>
      <w:pPr>
        <w:spacing w:after="0" w:line="200" w:lineRule="exact"/>
        <w:rPr>
          <w:sz w:val="24"/>
          <w:szCs w:val="24"/>
          <w:color w:val="auto"/>
        </w:rPr>
      </w:pPr>
    </w:p>
    <w:p>
      <w:pPr>
        <w:sectPr>
          <w:pgSz w:w="11900" w:h="16838" w:orient="portrait"/>
          <w:cols w:equalWidth="0" w:num="1">
            <w:col w:w="11420"/>
          </w:cols>
          <w:pgMar w:left="240" w:top="696" w:right="239" w:bottom="0" w:gutter="0" w:footer="0" w:header="0"/>
        </w:sectPr>
      </w:pP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2.02 Results of Operations and Financial Condition.</w:t>
      </w:r>
    </w:p>
    <w:p>
      <w:pPr>
        <w:sectPr>
          <w:pgSz w:w="11900" w:h="16838" w:orient="portrait"/>
          <w:cols w:equalWidth="0" w:num="1">
            <w:col w:w="11420"/>
          </w:cols>
          <w:pgMar w:left="240" w:top="696" w:right="239" w:bottom="0" w:gutter="0" w:footer="0" w:header="0"/>
          <w:type w:val="continuous"/>
        </w:sectPr>
      </w:pPr>
    </w:p>
    <w:bookmarkStart w:id="1" w:name="page2"/>
    <w:bookmarkEnd w:id="1"/>
    <w:p>
      <w:pPr>
        <w:ind w:firstLine="648"/>
        <w:spacing w:after="0" w:line="261" w:lineRule="auto"/>
        <w:rPr>
          <w:sz w:val="20"/>
          <w:szCs w:val="20"/>
          <w:color w:val="auto"/>
        </w:rPr>
      </w:pPr>
      <w:r>
        <w:rPr>
          <w:rFonts w:ascii="Times New Roman" w:cs="Times New Roman" w:eastAsia="Times New Roman" w:hAnsi="Times New Roman"/>
          <w:sz w:val="18"/>
          <w:szCs w:val="18"/>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82" w:lineRule="exact"/>
        <w:rPr>
          <w:sz w:val="20"/>
          <w:szCs w:val="20"/>
          <w:color w:val="auto"/>
        </w:rPr>
      </w:pPr>
    </w:p>
    <w:p>
      <w:pPr>
        <w:ind w:right="100" w:firstLine="648"/>
        <w:spacing w:after="0" w:line="282" w:lineRule="auto"/>
        <w:rPr>
          <w:sz w:val="20"/>
          <w:szCs w:val="20"/>
          <w:color w:val="auto"/>
        </w:rPr>
      </w:pPr>
      <w:r>
        <w:rPr>
          <w:rFonts w:ascii="Times New Roman" w:cs="Times New Roman" w:eastAsia="Times New Roman" w:hAnsi="Times New Roman"/>
          <w:sz w:val="18"/>
          <w:szCs w:val="18"/>
          <w:color w:val="auto"/>
        </w:rPr>
        <w:t>On December 3, 2019, Marvell Technology Group Ltd. (“Marvell”) issued a press release reporting its financial results for the third quarter of fiscal 2020 ended November 2, 2019. A copy of the press release is furnished herewith as Exhibit 99.1.</w:t>
      </w:r>
    </w:p>
    <w:p>
      <w:pPr>
        <w:spacing w:after="0" w:line="162" w:lineRule="exact"/>
        <w:rPr>
          <w:sz w:val="20"/>
          <w:szCs w:val="20"/>
          <w:color w:val="auto"/>
        </w:rPr>
      </w:pPr>
    </w:p>
    <w:p>
      <w:pPr>
        <w:ind w:right="40" w:firstLine="648"/>
        <w:spacing w:after="0" w:line="261" w:lineRule="auto"/>
        <w:rPr>
          <w:sz w:val="20"/>
          <w:szCs w:val="20"/>
          <w:color w:val="auto"/>
        </w:rPr>
      </w:pPr>
      <w:r>
        <w:rPr>
          <w:rFonts w:ascii="Times New Roman" w:cs="Times New Roman" w:eastAsia="Times New Roman" w:hAnsi="Times New Roman"/>
          <w:sz w:val="18"/>
          <w:szCs w:val="18"/>
          <w:color w:val="auto"/>
        </w:rPr>
        <w:t xml:space="preserve">Marvell will conduct a conference call on Tuesday, December 3, 2019 at 1:45 p.m. Pacific Time to discuss results for the third quarter of fiscal 2020. Interested parties may join the conference call by dialing 1-844-647-5488 or 1-615-247-0258, pass-code </w:t>
      </w:r>
      <w:r>
        <w:rPr>
          <w:rFonts w:ascii="Times New Roman" w:cs="Times New Roman" w:eastAsia="Times New Roman" w:hAnsi="Times New Roman"/>
          <w:sz w:val="18"/>
          <w:szCs w:val="18"/>
          <w:b w:val="1"/>
          <w:bCs w:val="1"/>
          <w:color w:val="auto"/>
        </w:rPr>
        <w:t>4437138</w:t>
      </w:r>
      <w:r>
        <w:rPr>
          <w:rFonts w:ascii="Times New Roman" w:cs="Times New Roman" w:eastAsia="Times New Roman" w:hAnsi="Times New Roman"/>
          <w:sz w:val="18"/>
          <w:szCs w:val="18"/>
          <w:color w:val="auto"/>
        </w:rPr>
        <w:t>. The call will be webcast by Thomson Reuters and can be accessed at the Marvell Investor Relations website at http://investor.marvell.com/ with a replay available following the call until Tuesday, December 10, 2019.</w:t>
      </w:r>
    </w:p>
    <w:p>
      <w:pPr>
        <w:spacing w:after="0" w:line="392" w:lineRule="exact"/>
        <w:rPr>
          <w:sz w:val="20"/>
          <w:szCs w:val="20"/>
          <w:color w:val="auto"/>
        </w:rPr>
      </w:pPr>
    </w:p>
    <w:p>
      <w:pPr>
        <w:spacing w:after="0"/>
        <w:tabs>
          <w:tab w:leader="none" w:pos="88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229" w:lineRule="exact"/>
        <w:rPr>
          <w:sz w:val="20"/>
          <w:szCs w:val="20"/>
          <w:color w:val="auto"/>
        </w:rPr>
      </w:pPr>
    </w:p>
    <w:p>
      <w:pPr>
        <w:ind w:left="660"/>
        <w:spacing w:after="0"/>
        <w:tabs>
          <w:tab w:leader="none" w:pos="1020" w:val="left"/>
        </w:tabs>
        <w:rPr>
          <w:sz w:val="20"/>
          <w:szCs w:val="20"/>
          <w:color w:val="auto"/>
        </w:rPr>
      </w:pPr>
      <w:r>
        <w:rPr>
          <w:rFonts w:ascii="Times New Roman" w:cs="Times New Roman" w:eastAsia="Times New Roman" w:hAnsi="Times New Roman"/>
          <w:sz w:val="18"/>
          <w:szCs w:val="18"/>
          <w:color w:val="auto"/>
        </w:rPr>
        <w:t>(d)</w:t>
        <w:tab/>
        <w:t>Exhibits.</w:t>
      </w:r>
    </w:p>
    <w:p>
      <w:pPr>
        <w:spacing w:after="0" w:line="225" w:lineRule="exact"/>
        <w:rPr>
          <w:sz w:val="20"/>
          <w:szCs w:val="20"/>
          <w:color w:val="auto"/>
        </w:rPr>
      </w:pPr>
    </w:p>
    <w:p>
      <w:pPr>
        <w:ind w:left="1960" w:right="700" w:hanging="647"/>
        <w:spacing w:after="0" w:line="282" w:lineRule="auto"/>
        <w:tabs>
          <w:tab w:leader="none" w:pos="1940" w:val="left"/>
        </w:tabs>
        <w:rPr>
          <w:rFonts w:ascii="Times New Roman" w:cs="Times New Roman" w:eastAsia="Times New Roman" w:hAnsi="Times New Roman"/>
          <w:sz w:val="18"/>
          <w:szCs w:val="18"/>
          <w:u w:val="single" w:color="auto"/>
          <w:color w:val="0000FF"/>
        </w:rPr>
      </w:pPr>
      <w:r>
        <w:rPr>
          <w:rFonts w:ascii="Times New Roman" w:cs="Times New Roman" w:eastAsia="Times New Roman" w:hAnsi="Times New Roman"/>
          <w:sz w:val="18"/>
          <w:szCs w:val="18"/>
          <w:color w:val="auto"/>
        </w:rPr>
        <w:t>99.1</w:t>
      </w:r>
      <w:r>
        <w:rPr>
          <w:sz w:val="20"/>
          <w:szCs w:val="20"/>
          <w:color w:val="auto"/>
        </w:rPr>
        <w:tab/>
      </w:r>
      <w:hyperlink w:anchor="page4">
        <w:r>
          <w:rPr>
            <w:rFonts w:ascii="Times New Roman" w:cs="Times New Roman" w:eastAsia="Times New Roman" w:hAnsi="Times New Roman"/>
            <w:sz w:val="18"/>
            <w:szCs w:val="18"/>
            <w:u w:val="single" w:color="auto"/>
            <w:color w:val="0000FF"/>
          </w:rPr>
          <w:t>Press Release dated December 3, 2019, titled “Marvell Technology Group Ltd. Reports Third Quarter of Fiscal Year 2020</w:t>
        </w:r>
      </w:hyperlink>
      <w:r>
        <w:rPr>
          <w:rFonts w:ascii="Times New Roman" w:cs="Times New Roman" w:eastAsia="Times New Roman" w:hAnsi="Times New Roman"/>
          <w:sz w:val="18"/>
          <w:szCs w:val="18"/>
          <w:u w:val="single" w:color="auto"/>
          <w:color w:val="0000FF"/>
        </w:rPr>
        <w:t xml:space="preserve"> </w:t>
      </w:r>
      <w:hyperlink w:anchor="page4">
        <w:r>
          <w:rPr>
            <w:rFonts w:ascii="Times New Roman" w:cs="Times New Roman" w:eastAsia="Times New Roman" w:hAnsi="Times New Roman"/>
            <w:sz w:val="18"/>
            <w:szCs w:val="18"/>
            <w:u w:val="single" w:color="auto"/>
            <w:color w:val="0000FF"/>
          </w:rPr>
          <w:t>Financial Results”</w:t>
        </w:r>
      </w:hyperlink>
    </w:p>
    <w:p>
      <w:pPr>
        <w:sectPr>
          <w:pgSz w:w="11900" w:h="16838" w:orient="portrait"/>
          <w:cols w:equalWidth="0" w:num="1">
            <w:col w:w="11420"/>
          </w:cols>
          <w:pgMar w:left="240" w:top="335" w:right="239" w:bottom="1440" w:gutter="0" w:footer="0" w:header="0"/>
        </w:sectPr>
      </w:pPr>
    </w:p>
    <w:bookmarkStart w:id="2" w:name="page3"/>
    <w:bookmarkEnd w:id="2"/>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29" w:lineRule="exact"/>
        <w:rPr>
          <w:sz w:val="20"/>
          <w:szCs w:val="20"/>
          <w:color w:val="auto"/>
        </w:rPr>
      </w:pPr>
    </w:p>
    <w:p>
      <w:pPr>
        <w:ind w:firstLine="648"/>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ind w:left="654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387" w:lineRule="exact"/>
        <w:rPr>
          <w:sz w:val="20"/>
          <w:szCs w:val="20"/>
          <w:color w:val="auto"/>
        </w:rPr>
      </w:pPr>
    </w:p>
    <w:p>
      <w:pPr>
        <w:ind w:left="840"/>
        <w:spacing w:after="0"/>
        <w:tabs>
          <w:tab w:leader="none" w:pos="6520" w:val="left"/>
          <w:tab w:leader="none" w:pos="7020" w:val="left"/>
        </w:tabs>
        <w:rPr>
          <w:sz w:val="20"/>
          <w:szCs w:val="20"/>
          <w:color w:val="auto"/>
        </w:rPr>
      </w:pPr>
      <w:r>
        <w:rPr>
          <w:rFonts w:ascii="Times New Roman" w:cs="Times New Roman" w:eastAsia="Times New Roman" w:hAnsi="Times New Roman"/>
          <w:sz w:val="18"/>
          <w:szCs w:val="18"/>
          <w:color w:val="auto"/>
        </w:rPr>
        <w:t>Date: December 3, 2019</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4447540</wp:posOffset>
            </wp:positionH>
            <wp:positionV relativeFrom="paragraph">
              <wp:posOffset>34290</wp:posOffset>
            </wp:positionV>
            <wp:extent cx="229806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298065" cy="8890"/>
                    </a:xfrm>
                    <a:prstGeom prst="rect">
                      <a:avLst/>
                    </a:prstGeom>
                    <a:noFill/>
                  </pic:spPr>
                </pic:pic>
              </a:graphicData>
            </a:graphic>
          </wp:anchor>
        </w:drawing>
      </w:r>
    </w:p>
    <w:p>
      <w:pPr>
        <w:spacing w:after="0" w:line="53" w:lineRule="exact"/>
        <w:rPr>
          <w:sz w:val="20"/>
          <w:szCs w:val="20"/>
          <w:color w:val="auto"/>
        </w:rPr>
      </w:pPr>
    </w:p>
    <w:p>
      <w:pPr>
        <w:ind w:left="704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63" w:lineRule="exact"/>
        <w:rPr>
          <w:sz w:val="20"/>
          <w:szCs w:val="20"/>
          <w:color w:val="auto"/>
        </w:rPr>
      </w:pPr>
    </w:p>
    <w:p>
      <w:pPr>
        <w:ind w:left="7040"/>
        <w:spacing w:after="0"/>
        <w:rPr>
          <w:sz w:val="20"/>
          <w:szCs w:val="20"/>
          <w:color w:val="auto"/>
        </w:rPr>
      </w:pPr>
      <w:r>
        <w:rPr>
          <w:rFonts w:ascii="Times New Roman" w:cs="Times New Roman" w:eastAsia="Times New Roman" w:hAnsi="Times New Roman"/>
          <w:sz w:val="18"/>
          <w:szCs w:val="18"/>
          <w:b w:val="1"/>
          <w:bCs w:val="1"/>
          <w:i w:val="1"/>
          <w:iCs w:val="1"/>
          <w:color w:val="auto"/>
        </w:rPr>
        <w:t>Chief Financial Officer</w:t>
      </w:r>
    </w:p>
    <w:p>
      <w:pPr>
        <w:sectPr>
          <w:pgSz w:w="11900" w:h="16838" w:orient="portrait"/>
          <w:cols w:equalWidth="0" w:num="1">
            <w:col w:w="11380"/>
          </w:cols>
          <w:pgMar w:left="240" w:top="549" w:right="27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5467985</wp:posOffset>
            </wp:positionH>
            <wp:positionV relativeFrom="paragraph">
              <wp:posOffset>182880</wp:posOffset>
            </wp:positionV>
            <wp:extent cx="1783715" cy="1371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78371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 Reports Third Quarter of Fiscal Year 2020</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Financial Results</w:t>
      </w:r>
    </w:p>
    <w:p>
      <w:pPr>
        <w:spacing w:after="0" w:line="112" w:lineRule="exact"/>
        <w:rPr>
          <w:sz w:val="20"/>
          <w:szCs w:val="20"/>
          <w:color w:val="auto"/>
        </w:rPr>
      </w:pPr>
    </w:p>
    <w:p>
      <w:pPr>
        <w:ind w:left="660" w:hanging="328"/>
        <w:spacing w:after="0"/>
        <w:tabs>
          <w:tab w:leader="none" w:pos="6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Q3 Revenue: $662 million</w:t>
      </w:r>
    </w:p>
    <w:p>
      <w:pPr>
        <w:spacing w:after="0" w:line="27"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Q3 Gross Margin: 51.3% GAAP gross margin; 63.5% non-GAAP gross margin</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Q3 Diluted income (loss) per share: $(0.12) GAAP diluted loss per share; $0.17 non-GAAP diluted income per share</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Cash and short-term investments: $438 million</w:t>
      </w:r>
    </w:p>
    <w:p>
      <w:pPr>
        <w:spacing w:after="0" w:line="203" w:lineRule="exact"/>
        <w:rPr>
          <w:sz w:val="20"/>
          <w:szCs w:val="20"/>
          <w:color w:val="auto"/>
        </w:rPr>
      </w:pPr>
    </w:p>
    <w:p>
      <w:pPr>
        <w:ind w:right="32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Santa Clara, Calif. (December 3, 2019) </w:t>
      </w:r>
      <w:r>
        <w:rPr>
          <w:rFonts w:ascii="Times New Roman" w:cs="Times New Roman" w:eastAsia="Times New Roman" w:hAnsi="Times New Roman"/>
          <w:sz w:val="18"/>
          <w:szCs w:val="18"/>
          <w:color w:val="auto"/>
        </w:rPr>
        <w:t>- Marvell Technology Group Ltd. (NASDAQ: MRVL), a leader in infrastructure semiconductor solutions, today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reported financial results for the third quarter of fiscal year 2020.</w:t>
      </w:r>
    </w:p>
    <w:p>
      <w:pPr>
        <w:spacing w:after="0" w:line="159" w:lineRule="exact"/>
        <w:rPr>
          <w:sz w:val="20"/>
          <w:szCs w:val="20"/>
          <w:color w:val="auto"/>
        </w:rPr>
      </w:pPr>
    </w:p>
    <w:p>
      <w:pPr>
        <w:ind w:right="140"/>
        <w:spacing w:after="0" w:line="266" w:lineRule="auto"/>
        <w:rPr>
          <w:sz w:val="20"/>
          <w:szCs w:val="20"/>
          <w:color w:val="auto"/>
        </w:rPr>
      </w:pPr>
      <w:r>
        <w:rPr>
          <w:rFonts w:ascii="Times New Roman" w:cs="Times New Roman" w:eastAsia="Times New Roman" w:hAnsi="Times New Roman"/>
          <w:sz w:val="18"/>
          <w:szCs w:val="18"/>
          <w:color w:val="auto"/>
        </w:rPr>
        <w:t>Marvell completed the acquisition of Aquantia Corp. (“Aquantia”) on September 19, 2019 (the “acquisition date”), approximately 6 weeks before the end of the third quarter of fiscal 2020. Marvell's results for the third quarter of fiscal 2020 include the results of Aquantia from the acquisition date, while prior periods presented do not.</w:t>
      </w:r>
    </w:p>
    <w:p>
      <w:pPr>
        <w:spacing w:after="0" w:line="176" w:lineRule="exact"/>
        <w:rPr>
          <w:sz w:val="20"/>
          <w:szCs w:val="20"/>
          <w:color w:val="auto"/>
        </w:rPr>
      </w:pPr>
    </w:p>
    <w:p>
      <w:pPr>
        <w:ind w:right="460"/>
        <w:spacing w:after="0" w:line="282" w:lineRule="auto"/>
        <w:rPr>
          <w:sz w:val="20"/>
          <w:szCs w:val="20"/>
          <w:color w:val="auto"/>
        </w:rPr>
      </w:pPr>
      <w:r>
        <w:rPr>
          <w:rFonts w:ascii="Times New Roman" w:cs="Times New Roman" w:eastAsia="Times New Roman" w:hAnsi="Times New Roman"/>
          <w:sz w:val="18"/>
          <w:szCs w:val="18"/>
          <w:color w:val="auto"/>
        </w:rPr>
        <w:t>Subsequent to Marvell's third quarter end, on November 5, 2019, Marvell completed the acquisition of Avera Semiconductor (“Avera”), the Application Specific Integrated Circuit (“ASIC”) business of GlobalFoundries.</w:t>
      </w:r>
    </w:p>
    <w:p>
      <w:pPr>
        <w:spacing w:after="0" w:line="162" w:lineRule="exact"/>
        <w:rPr>
          <w:sz w:val="20"/>
          <w:szCs w:val="20"/>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Revenue for the third quarter of fiscal 2020 was $662 million, which exceeded the midpoint of the Company's guidance provided on August 29, 2019. GAAP net loss for the third quarter of fiscal 2020 was $(83) million, or $(0.12) per diluted share. Non-GAAP net income for the third quarter of fiscal 2020 was $112 million, or $0.17 per diluted share. Cash flow from operations for the third quarter was $66 million.</w:t>
      </w:r>
    </w:p>
    <w:p>
      <w:pPr>
        <w:spacing w:after="0" w:line="284" w:lineRule="exact"/>
        <w:rPr>
          <w:sz w:val="20"/>
          <w:szCs w:val="20"/>
          <w:color w:val="auto"/>
        </w:rPr>
      </w:pPr>
    </w:p>
    <w:p>
      <w:pPr>
        <w:ind w:right="120"/>
        <w:spacing w:after="0" w:line="258" w:lineRule="auto"/>
        <w:rPr>
          <w:sz w:val="20"/>
          <w:szCs w:val="20"/>
          <w:color w:val="auto"/>
        </w:rPr>
      </w:pPr>
      <w:r>
        <w:rPr>
          <w:rFonts w:ascii="Times New Roman" w:cs="Times New Roman" w:eastAsia="Times New Roman" w:hAnsi="Times New Roman"/>
          <w:sz w:val="18"/>
          <w:szCs w:val="18"/>
          <w:color w:val="auto"/>
        </w:rPr>
        <w:t>“Marvell delivered solid results for the third quarter and I am pleased that our storage business grew sequentially led by a strong performance from our enterprise and datacenter products. In addition, we ramped our first 5G product shipments in volume, successfully responding to our customer’s aggressive schedule requests, ahead of the plan we had laid out early this year,” said Matt Murphy, Marvell’s President and CEO. “We also recently completed the strategic acquisitions of Aquantia, a pioneer in multi-gig ethernet, and Avera, a leader in custom ASICs. These acquisitions broaden our technology portfolio for infrastructure customers and expand our addressable market by approximately $4 billion.”</w:t>
      </w:r>
    </w:p>
    <w:p>
      <w:pPr>
        <w:spacing w:after="0" w:line="184"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Marvell's fourth quarter guidance includes expected results from the Aquantia and Avera acquisitions for the full quarter. This guidance also includes expected results for the full quarter from the Wi-Fi Connectivity Business. Once the Wi-Fi Connectivity Business is divested to NXP, Marvell will update its revenue guidance for the fourth quarter. Marvell's fourth quarter guidance also takes into account the U.S. Government's export restriction on certain Chinese customers.</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Fourth Quarter of Fiscal 2020 Financial Outlook</w:t>
      </w:r>
    </w:p>
    <w:p>
      <w:pPr>
        <w:spacing w:after="0" w:line="135" w:lineRule="exact"/>
        <w:rPr>
          <w:sz w:val="20"/>
          <w:szCs w:val="20"/>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Revenue is expected to be $750 million +/- 3%.</w:t>
      </w:r>
    </w:p>
    <w:p>
      <w:pPr>
        <w:spacing w:after="0" w:line="27"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gross margin is expected to be approximately 45.5%.</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gross margin is expected to be approximately 62%.</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operating expenses are expected to be $445 million to $455 million.</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operating expenses are expected to be $315 million to $320 million.</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diluted loss per share is expected to be $(0.23) to $(0.17) per share.</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diluted income per share is expected to be $0.15 to $0.19 per share.</w:t>
      </w:r>
    </w:p>
    <w:p>
      <w:pPr>
        <w:sectPr>
          <w:pgSz w:w="11900" w:h="16838" w:orient="portrait"/>
          <w:cols w:equalWidth="0" w:num="1">
            <w:col w:w="11420"/>
          </w:cols>
          <w:pgMar w:left="240" w:top="117" w:right="23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8"/>
          <w:szCs w:val="18"/>
          <w:b w:val="1"/>
          <w:bCs w:val="1"/>
          <w:color w:val="auto"/>
        </w:rPr>
        <w:t>Conference Call</w:t>
      </w:r>
    </w:p>
    <w:p>
      <w:pPr>
        <w:spacing w:after="0" w:line="31" w:lineRule="exact"/>
        <w:rPr>
          <w:sz w:val="20"/>
          <w:szCs w:val="20"/>
          <w:color w:val="auto"/>
        </w:rPr>
      </w:pPr>
    </w:p>
    <w:p>
      <w:pPr>
        <w:ind w:right="420"/>
        <w:spacing w:after="0" w:line="254" w:lineRule="auto"/>
        <w:rPr>
          <w:sz w:val="20"/>
          <w:szCs w:val="20"/>
          <w:color w:val="auto"/>
        </w:rPr>
      </w:pPr>
      <w:r>
        <w:rPr>
          <w:rFonts w:ascii="Times New Roman" w:cs="Times New Roman" w:eastAsia="Times New Roman" w:hAnsi="Times New Roman"/>
          <w:sz w:val="18"/>
          <w:szCs w:val="18"/>
          <w:color w:val="auto"/>
        </w:rPr>
        <w:t>Marvell will conduct a conference call on Tuesday, December 3, 2019 at 1:45 p.m. Pacific Time to discuss results for the third quarter of fiscal 2020. Interested parties may join the conference call by dialing 1-844-647-5488 or 1-615-247-0258, pass-code 4437138. The call will be webcast and can be accessed at the Marvell Investor Relations website at http://investor.marvell.com/ with a replay available following the call until Tuesday, December 10, 2019.</w:t>
      </w:r>
    </w:p>
    <w:p>
      <w:pPr>
        <w:spacing w:after="0" w:line="18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Discussion of Non-GAAP Financial Measures</w:t>
      </w:r>
    </w:p>
    <w:p>
      <w:pPr>
        <w:spacing w:after="0" w:line="121" w:lineRule="exact"/>
        <w:rPr>
          <w:sz w:val="20"/>
          <w:szCs w:val="20"/>
          <w:color w:val="auto"/>
        </w:rPr>
      </w:pPr>
    </w:p>
    <w:p>
      <w:pPr>
        <w:ind w:right="160"/>
        <w:spacing w:after="0" w:line="261" w:lineRule="auto"/>
        <w:rPr>
          <w:sz w:val="20"/>
          <w:szCs w:val="20"/>
          <w:color w:val="auto"/>
        </w:rPr>
      </w:pPr>
      <w:r>
        <w:rPr>
          <w:rFonts w:ascii="Times New Roman" w:cs="Times New Roman" w:eastAsia="Times New Roman" w:hAnsi="Times New Roman"/>
          <w:sz w:val="18"/>
          <w:szCs w:val="18"/>
          <w:color w:val="auto"/>
        </w:rPr>
        <w:t>Non-GAAP financial measures exclude the effect of share-based compensation expense, amortization of the inventory fair value adjustment associated with the Aquantia acquisition, amortization of acquired intangible assets, acquisition and divestiture-related costs, restructuring and other related charges, resolution of legal matters, and certain expenses and benefits that are driven primarily by discrete events that management does not consider to be directly related to Marvell’s core business.</w:t>
      </w:r>
    </w:p>
    <w:p>
      <w:pPr>
        <w:spacing w:after="0" w:line="72" w:lineRule="exact"/>
        <w:rPr>
          <w:sz w:val="20"/>
          <w:szCs w:val="20"/>
          <w:color w:val="auto"/>
        </w:rPr>
      </w:pPr>
    </w:p>
    <w:p>
      <w:pPr>
        <w:ind w:right="60"/>
        <w:spacing w:after="0" w:line="256" w:lineRule="auto"/>
        <w:rPr>
          <w:sz w:val="20"/>
          <w:szCs w:val="20"/>
          <w:color w:val="auto"/>
        </w:rPr>
      </w:pPr>
      <w:r>
        <w:rPr>
          <w:rFonts w:ascii="Times New Roman" w:cs="Times New Roman" w:eastAsia="Times New Roman" w:hAnsi="Times New Roman"/>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third quarter of fiscal 2020, a non-GAAP tax rate of 4.5% has been applied to the non-GAAP financial results.</w:t>
      </w:r>
    </w:p>
    <w:p>
      <w:pPr>
        <w:spacing w:after="0" w:line="80"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80" w:lineRule="exact"/>
        <w:rPr>
          <w:sz w:val="20"/>
          <w:szCs w:val="20"/>
          <w:color w:val="auto"/>
        </w:rPr>
      </w:pPr>
    </w:p>
    <w:p>
      <w:pPr>
        <w:ind w:right="780"/>
        <w:spacing w:after="0" w:line="282" w:lineRule="auto"/>
        <w:rPr>
          <w:sz w:val="20"/>
          <w:szCs w:val="20"/>
          <w:color w:val="auto"/>
        </w:rPr>
      </w:pPr>
      <w:r>
        <w:rPr>
          <w:rFonts w:ascii="Times New Roman" w:cs="Times New Roman" w:eastAsia="Times New Roman" w:hAnsi="Times New Roman"/>
          <w:sz w:val="18"/>
          <w:szCs w:val="18"/>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67" w:lineRule="exact"/>
        <w:rPr>
          <w:sz w:val="20"/>
          <w:szCs w:val="20"/>
          <w:color w:val="auto"/>
        </w:rPr>
      </w:pPr>
    </w:p>
    <w:p>
      <w:pPr>
        <w:ind w:left="660" w:hanging="328"/>
        <w:spacing w:after="0"/>
        <w:tabs>
          <w:tab w:leader="none" w:pos="6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evaluation of Marvell’s operating performance;</w:t>
      </w:r>
    </w:p>
    <w:p>
      <w:pPr>
        <w:spacing w:after="0" w:line="27"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establishment of internal operating budgets;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performance comparisons with internal forecasts and targeted business models; and</w:t>
      </w:r>
    </w:p>
    <w:p>
      <w:pPr>
        <w:spacing w:after="0" w:line="9" w:lineRule="exact"/>
        <w:rPr>
          <w:rFonts w:ascii="Times New Roman" w:cs="Times New Roman" w:eastAsia="Times New Roman" w:hAnsi="Times New Roman"/>
          <w:sz w:val="18"/>
          <w:szCs w:val="18"/>
          <w:color w:val="auto"/>
        </w:rPr>
      </w:pPr>
    </w:p>
    <w:p>
      <w:pPr>
        <w:ind w:left="660" w:right="140" w:hanging="328"/>
        <w:spacing w:after="0" w:line="261" w:lineRule="auto"/>
        <w:tabs>
          <w:tab w:leader="none" w:pos="6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determination of the achievement and measurement of certain performance-based equity awards (adjustments may vary from award to award).</w:t>
      </w:r>
    </w:p>
    <w:p>
      <w:pPr>
        <w:spacing w:after="0" w:line="85"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ectPr>
          <w:pgSz w:w="11900" w:h="16838" w:orient="portrait"/>
          <w:cols w:equalWidth="0" w:num="1">
            <w:col w:w="11400"/>
          </w:cols>
          <w:pgMar w:left="240" w:top="333" w:right="25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51" w:lineRule="auto"/>
        <w:rPr>
          <w:sz w:val="20"/>
          <w:szCs w:val="20"/>
          <w:color w:val="auto"/>
        </w:rPr>
      </w:pPr>
      <w:r>
        <w:rPr>
          <w:rFonts w:ascii="Times New Roman" w:cs="Times New Roman" w:eastAsia="Times New Roman" w:hAnsi="Times New Roman"/>
          <w:sz w:val="18"/>
          <w:szCs w:val="18"/>
          <w:color w:val="auto"/>
        </w:rPr>
        <w:t>This press release contains forward-looking statements within the meaning of the federal securities laws that involve risks and uncertainties.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the risk that the proposed divestiture of Marvell's Wi-Fi Connectivity business to NXP will not be completed; the risk that the company may not realize the anticipated benefits of the acquisitions of Aquantia Corp. and the Application Specific Integrated Circuit (ASIC) business of GLOBALFOUNDRIES and the divestiture to NXP (collectively, the “Transactions”); the effect of the consummation of the Transactions on the company's business relationships, operating results, and business generally; potential difficulties in employee retention as a result of the Transactions; the ability of Marvell to successfully integrate operations and product lines related to the acquisitions; the ability of Marvell to implement its plans, forecasts, and other expectations with respect to the Transactions and realize the anticipated synergies and cost savings in the time frame anticipated or at all; the impact of international conflict and economic volatility in either domestic or foreign markets including risks related to trade conflicts, bans and tariffs; the risks associated with manufacturing and selling products and customers’ products outside of the United States; Marvell's ability to define, design and develop products for the 5G market; Marvell's ability to market its 5G products to Tier 1 infrastructure customers; the effects of transitioning to smaller geometry process technologies; the impact of any change in the income tax laws in jurisdictions where Marvell operates and the loss of any beneficial tax treatment that Marvell currently enjoys; the risk of downturns in the highly cyclical semiconductor industry; Marvell’s dependence upon the storage and networking markets, which are highly cyclical and intensely competitive; the outcome of pending or future litigation and legal and regulatory proceedings; Marvell’s dependence on a small number of customers; the impact and costs associated with changes in international financial and regulatory conditions;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risks associated with acquisition and consolidation activity in the semiconductor industry; the effects of any other potential acquisitions, divestitures or investments; Marvell’s ability to protect its intellectual property; Marvell’s maintenance of an effective system of internal controls; severe financial hardship or bankruptcy of one or more of Marvell’s major customers; and other risks detailed in Marvell’s SEC filings from time to time. For other factors that could cause Marvell’s results to vary from expectations, please see the risk factors identified in Marvell’s Quarterly Report on Form 10-Q for the fiscal quarter ended August 3, 2019 as filed with the SEC on September 4, 2019, and other factors detailed from time to time in Marvell’s filings with the SEC. Marvell undertakes no obligation to revise or publicly update any forward-looking statements.</w:t>
      </w:r>
    </w:p>
    <w:p>
      <w:pPr>
        <w:sectPr>
          <w:pgSz w:w="11900" w:h="16838" w:orient="portrait"/>
          <w:cols w:equalWidth="0" w:num="1">
            <w:col w:w="11400"/>
          </w:cols>
          <w:pgMar w:left="240" w:top="333" w:right="259" w:bottom="1440" w:gutter="0" w:footer="0" w:header="0"/>
        </w:sectPr>
      </w:pPr>
    </w:p>
    <w:bookmarkStart w:id="6" w:name="page7"/>
    <w:bookmarkEnd w:id="6"/>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25"/>
          <w:szCs w:val="25"/>
          <w:i w:val="1"/>
          <w:iCs w:val="1"/>
          <w:color w:val="auto"/>
          <w:vertAlign w:val="superscript"/>
        </w:rPr>
        <w:t>®</w:t>
      </w:r>
      <w:r>
        <w:rPr>
          <w:rFonts w:ascii="Times New Roman" w:cs="Times New Roman" w:eastAsia="Times New Roman" w:hAnsi="Times New Roman"/>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240" w:top="549" w:right="479" w:bottom="1440" w:gutter="0" w:footer="0" w:header="0"/>
        </w:sectPr>
      </w:pPr>
    </w:p>
    <w:bookmarkStart w:id="7" w:name="page8"/>
    <w:bookmarkEnd w:id="7"/>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Operations (Unaudited)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47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480" w:type="dxa"/>
            <w:vAlign w:val="bottom"/>
            <w:tcBorders>
              <w:bottom w:val="single" w:sz="8" w:color="auto"/>
            </w:tcBorders>
            <w:gridSpan w:val="4"/>
          </w:tcPr>
          <w:p>
            <w:pPr>
              <w:ind w:left="10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460" w:type="dxa"/>
            <w:vAlign w:val="bottom"/>
            <w:tcBorders>
              <w:bottom w:val="single" w:sz="8" w:color="auto"/>
            </w:tcBorders>
            <w:gridSpan w:val="4"/>
          </w:tcPr>
          <w:p>
            <w:pPr>
              <w:jc w:val="right"/>
              <w:ind w:right="592"/>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149"/>
        </w:trPr>
        <w:tc>
          <w:tcPr>
            <w:tcW w:w="4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80" w:type="dxa"/>
            <w:vAlign w:val="bottom"/>
          </w:tcPr>
          <w:p>
            <w:pPr>
              <w:jc w:val="right"/>
              <w:ind w:right="172"/>
              <w:spacing w:after="0" w:line="149"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60" w:type="dxa"/>
            <w:vAlign w:val="bottom"/>
            <w:gridSpan w:val="2"/>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160" w:type="dxa"/>
            <w:vAlign w:val="bottom"/>
          </w:tcPr>
          <w:p>
            <w:pPr>
              <w:spacing w:after="0"/>
              <w:rPr>
                <w:sz w:val="12"/>
                <w:szCs w:val="12"/>
                <w:color w:val="auto"/>
              </w:rPr>
            </w:pPr>
          </w:p>
        </w:tc>
        <w:tc>
          <w:tcPr>
            <w:tcW w:w="1200" w:type="dxa"/>
            <w:vAlign w:val="bottom"/>
            <w:gridSpan w:val="2"/>
          </w:tcPr>
          <w:p>
            <w:pPr>
              <w:ind w:left="60"/>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160" w:type="dxa"/>
            <w:vAlign w:val="bottom"/>
          </w:tcPr>
          <w:p>
            <w:pPr>
              <w:spacing w:after="0"/>
              <w:rPr>
                <w:sz w:val="12"/>
                <w:szCs w:val="12"/>
                <w:color w:val="auto"/>
              </w:rPr>
            </w:pPr>
          </w:p>
        </w:tc>
        <w:tc>
          <w:tcPr>
            <w:tcW w:w="1200" w:type="dxa"/>
            <w:vAlign w:val="bottom"/>
            <w:gridSpan w:val="2"/>
          </w:tcPr>
          <w:p>
            <w:pPr>
              <w:ind w:left="60"/>
              <w:spacing w:after="0" w:line="149"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180" w:type="dxa"/>
            <w:vAlign w:val="bottom"/>
          </w:tcPr>
          <w:p>
            <w:pPr>
              <w:spacing w:after="0"/>
              <w:rPr>
                <w:sz w:val="12"/>
                <w:szCs w:val="12"/>
                <w:color w:val="auto"/>
              </w:rPr>
            </w:pPr>
          </w:p>
        </w:tc>
        <w:tc>
          <w:tcPr>
            <w:tcW w:w="1080" w:type="dxa"/>
            <w:vAlign w:val="bottom"/>
          </w:tcPr>
          <w:p>
            <w:pPr>
              <w:jc w:val="right"/>
              <w:ind w:right="172"/>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r>
      <w:tr>
        <w:trPr>
          <w:trHeight w:val="195"/>
        </w:trPr>
        <w:tc>
          <w:tcPr>
            <w:tcW w:w="47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2"/>
              <w:spacing w:after="0"/>
              <w:rPr>
                <w:sz w:val="20"/>
                <w:szCs w:val="20"/>
                <w:color w:val="auto"/>
              </w:rPr>
            </w:pPr>
            <w:r>
              <w:rPr>
                <w:rFonts w:ascii="Times New Roman" w:cs="Times New Roman" w:eastAsia="Times New Roman" w:hAnsi="Times New Roman"/>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2"/>
              <w:spacing w:after="0"/>
              <w:rPr>
                <w:sz w:val="20"/>
                <w:szCs w:val="20"/>
                <w:color w:val="auto"/>
              </w:rPr>
            </w:pPr>
            <w:r>
              <w:rPr>
                <w:rFonts w:ascii="Times New Roman" w:cs="Times New Roman" w:eastAsia="Times New Roman" w:hAnsi="Times New Roman"/>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12"/>
              <w:spacing w:after="0"/>
              <w:rPr>
                <w:sz w:val="20"/>
                <w:szCs w:val="20"/>
                <w:color w:val="auto"/>
              </w:rPr>
            </w:pPr>
            <w:r>
              <w:rPr>
                <w:rFonts w:ascii="Times New Roman" w:cs="Times New Roman" w:eastAsia="Times New Roman" w:hAnsi="Times New Roman"/>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392"/>
              <w:spacing w:after="0"/>
              <w:rPr>
                <w:sz w:val="20"/>
                <w:szCs w:val="20"/>
                <w:color w:val="auto"/>
              </w:rPr>
            </w:pPr>
            <w:r>
              <w:rPr>
                <w:rFonts w:ascii="Times New Roman" w:cs="Times New Roman" w:eastAsia="Times New Roman" w:hAnsi="Times New Roman"/>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2"/>
              <w:spacing w:after="0"/>
              <w:rPr>
                <w:sz w:val="20"/>
                <w:szCs w:val="20"/>
                <w:color w:val="auto"/>
              </w:rPr>
            </w:pPr>
            <w:r>
              <w:rPr>
                <w:rFonts w:ascii="Times New Roman" w:cs="Times New Roman" w:eastAsia="Times New Roman" w:hAnsi="Times New Roman"/>
                <w:sz w:val="14"/>
                <w:szCs w:val="14"/>
                <w:b w:val="1"/>
                <w:bCs w:val="1"/>
                <w:color w:val="auto"/>
              </w:rPr>
              <w:t>2018</w:t>
            </w:r>
          </w:p>
        </w:tc>
      </w:tr>
      <w:tr>
        <w:trPr>
          <w:trHeight w:val="249"/>
        </w:trPr>
        <w:tc>
          <w:tcPr>
            <w:tcW w:w="47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revenue</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662,470</w:t>
            </w:r>
          </w:p>
        </w:tc>
        <w:tc>
          <w:tcPr>
            <w:tcW w:w="32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656,568</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851,051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1,981,490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2,120,992</w:t>
            </w:r>
          </w:p>
        </w:tc>
      </w:tr>
      <w:tr>
        <w:trPr>
          <w:trHeight w:val="243"/>
        </w:trPr>
        <w:tc>
          <w:tcPr>
            <w:tcW w:w="47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Cost of goods sold</w:t>
            </w:r>
          </w:p>
        </w:tc>
        <w:tc>
          <w:tcPr>
            <w:tcW w:w="180" w:type="dxa"/>
            <w:vAlign w:val="bottom"/>
          </w:tcPr>
          <w:p>
            <w:pPr>
              <w:spacing w:after="0"/>
              <w:rPr>
                <w:sz w:val="21"/>
                <w:szCs w:val="21"/>
                <w:color w:val="auto"/>
              </w:rPr>
            </w:pPr>
          </w:p>
        </w:tc>
        <w:tc>
          <w:tcPr>
            <w:tcW w:w="108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322,403</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305,866</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467,464</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929,293</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984,602</w:t>
            </w:r>
          </w:p>
        </w:tc>
      </w:tr>
      <w:tr>
        <w:trPr>
          <w:trHeight w:val="27"/>
        </w:trPr>
        <w:tc>
          <w:tcPr>
            <w:tcW w:w="47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r>
      <w:tr>
        <w:trPr>
          <w:trHeight w:val="264"/>
        </w:trPr>
        <w:tc>
          <w:tcPr>
            <w:tcW w:w="47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Gross profit</w:t>
            </w: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340,067</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350,702</w:t>
            </w: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383,587</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1,052,197</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1,136,390</w:t>
            </w:r>
          </w:p>
        </w:tc>
      </w:tr>
      <w:tr>
        <w:trPr>
          <w:trHeight w:val="318"/>
        </w:trPr>
        <w:tc>
          <w:tcPr>
            <w:tcW w:w="470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10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10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r>
      <w:tr>
        <w:trPr>
          <w:trHeight w:val="250"/>
        </w:trPr>
        <w:tc>
          <w:tcPr>
            <w:tcW w:w="47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Operating expenses:</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r>
      <w:tr>
        <w:trPr>
          <w:trHeight w:val="243"/>
        </w:trPr>
        <w:tc>
          <w:tcPr>
            <w:tcW w:w="47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Research and development</w:t>
            </w:r>
          </w:p>
        </w:tc>
        <w:tc>
          <w:tcPr>
            <w:tcW w:w="180" w:type="dxa"/>
            <w:vAlign w:val="bottom"/>
          </w:tcPr>
          <w:p>
            <w:pPr>
              <w:spacing w:after="0"/>
              <w:rPr>
                <w:sz w:val="21"/>
                <w:szCs w:val="21"/>
                <w:color w:val="auto"/>
              </w:rPr>
            </w:pPr>
          </w:p>
        </w:tc>
        <w:tc>
          <w:tcPr>
            <w:tcW w:w="108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267,781</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266,354</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264,888</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801,002</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657,907</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118,993</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113,990</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112,178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342,988</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318,192</w:t>
            </w:r>
          </w:p>
        </w:tc>
      </w:tr>
      <w:tr>
        <w:trPr>
          <w:trHeight w:val="243"/>
        </w:trPr>
        <w:tc>
          <w:tcPr>
            <w:tcW w:w="47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180" w:type="dxa"/>
            <w:vAlign w:val="bottom"/>
          </w:tcPr>
          <w:p>
            <w:pPr>
              <w:spacing w:after="0"/>
              <w:rPr>
                <w:sz w:val="21"/>
                <w:szCs w:val="21"/>
                <w:color w:val="auto"/>
              </w:rPr>
            </w:pPr>
          </w:p>
        </w:tc>
        <w:tc>
          <w:tcPr>
            <w:tcW w:w="108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14,802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16,586</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27,031</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37,070</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64,013</w:t>
            </w:r>
          </w:p>
        </w:tc>
      </w:tr>
      <w:tr>
        <w:trPr>
          <w:trHeight w:val="27"/>
        </w:trPr>
        <w:tc>
          <w:tcPr>
            <w:tcW w:w="47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r>
      <w:tr>
        <w:trPr>
          <w:trHeight w:val="264"/>
        </w:trPr>
        <w:tc>
          <w:tcPr>
            <w:tcW w:w="470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Total operating expenses</w:t>
            </w: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401,576</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396,930</w:t>
            </w: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404,097</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1,181,060</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1,040,112</w:t>
            </w:r>
          </w:p>
        </w:tc>
      </w:tr>
      <w:tr>
        <w:trPr>
          <w:trHeight w:val="237"/>
        </w:trPr>
        <w:tc>
          <w:tcPr>
            <w:tcW w:w="47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Operating income (loss)</w:t>
            </w: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(61,509)</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(46,228)</w:t>
            </w:r>
          </w:p>
        </w:tc>
        <w:tc>
          <w:tcPr>
            <w:tcW w:w="1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(20,510)</w:t>
            </w:r>
          </w:p>
        </w:tc>
        <w:tc>
          <w:tcPr>
            <w:tcW w:w="10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(128,863)</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96,278</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Interest income</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1,092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1,077</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1,046</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3,437</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10,690</w:t>
            </w:r>
          </w:p>
        </w:tc>
      </w:tr>
      <w:tr>
        <w:trPr>
          <w:trHeight w:val="243"/>
        </w:trPr>
        <w:tc>
          <w:tcPr>
            <w:tcW w:w="47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Interest expense</w:t>
            </w:r>
          </w:p>
        </w:tc>
        <w:tc>
          <w:tcPr>
            <w:tcW w:w="1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(21,241)</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(20,531)</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(22,370)</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(62,975)</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(38,409)</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70"/>
        </w:trPr>
        <w:tc>
          <w:tcPr>
            <w:tcW w:w="47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Other income (loss), net</w:t>
            </w: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689</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(2,197)</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(2,628)</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(1,624)</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(3,858)</w:t>
            </w:r>
          </w:p>
        </w:tc>
      </w:tr>
      <w:tr>
        <w:trPr>
          <w:trHeight w:val="237"/>
        </w:trPr>
        <w:tc>
          <w:tcPr>
            <w:tcW w:w="470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Interest and other income (loss), net</w:t>
            </w: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(19,460)</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(21,651)</w:t>
            </w:r>
          </w:p>
        </w:tc>
        <w:tc>
          <w:tcPr>
            <w:tcW w:w="1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(23,952)</w:t>
            </w:r>
          </w:p>
        </w:tc>
        <w:tc>
          <w:tcPr>
            <w:tcW w:w="10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(61,162)</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(31,577)</w:t>
            </w:r>
          </w:p>
        </w:tc>
      </w:tr>
      <w:tr>
        <w:trPr>
          <w:trHeight w:val="27"/>
        </w:trPr>
        <w:tc>
          <w:tcPr>
            <w:tcW w:w="47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r>
      <w:tr>
        <w:trPr>
          <w:trHeight w:val="244"/>
        </w:trPr>
        <w:tc>
          <w:tcPr>
            <w:tcW w:w="47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Income (loss) before income taxes</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(80,969)</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(67,879)</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(44,462)</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(190,025)</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64,701</w:t>
            </w:r>
          </w:p>
        </w:tc>
      </w:tr>
      <w:tr>
        <w:trPr>
          <w:trHeight w:val="243"/>
        </w:trPr>
        <w:tc>
          <w:tcPr>
            <w:tcW w:w="47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180" w:type="dxa"/>
            <w:vAlign w:val="bottom"/>
          </w:tcPr>
          <w:p>
            <w:pPr>
              <w:spacing w:after="0"/>
              <w:rPr>
                <w:sz w:val="21"/>
                <w:szCs w:val="21"/>
                <w:color w:val="auto"/>
              </w:rPr>
            </w:pPr>
          </w:p>
        </w:tc>
        <w:tc>
          <w:tcPr>
            <w:tcW w:w="108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1,532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(10,548)</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9,305</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(1,743)</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(16,903)</w:t>
            </w:r>
          </w:p>
        </w:tc>
      </w:tr>
      <w:tr>
        <w:trPr>
          <w:trHeight w:val="27"/>
        </w:trPr>
        <w:tc>
          <w:tcPr>
            <w:tcW w:w="47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r>
      <w:tr>
        <w:trPr>
          <w:trHeight w:val="264"/>
        </w:trPr>
        <w:tc>
          <w:tcPr>
            <w:tcW w:w="47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income (loss)</w:t>
            </w: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(82,501)</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(57,331)</w:t>
            </w: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(53,767)</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(188,282)</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81,604</w:t>
            </w:r>
          </w:p>
        </w:tc>
      </w:tr>
      <w:tr>
        <w:trPr>
          <w:trHeight w:val="291"/>
        </w:trPr>
        <w:tc>
          <w:tcPr>
            <w:tcW w:w="470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10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10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r>
      <w:tr>
        <w:trPr>
          <w:trHeight w:val="275"/>
        </w:trPr>
        <w:tc>
          <w:tcPr>
            <w:tcW w:w="47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income (loss) per share — Basic:</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(0.12)</w:t>
            </w:r>
          </w:p>
        </w:tc>
        <w:tc>
          <w:tcPr>
            <w:tcW w:w="32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(0.09)</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(0.28)</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0.14</w:t>
            </w:r>
          </w:p>
        </w:tc>
      </w:tr>
      <w:tr>
        <w:trPr>
          <w:trHeight w:val="20"/>
        </w:trPr>
        <w:tc>
          <w:tcPr>
            <w:tcW w:w="47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r>
      <w:tr>
        <w:trPr>
          <w:trHeight w:val="278"/>
        </w:trPr>
        <w:tc>
          <w:tcPr>
            <w:tcW w:w="4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275"/>
        </w:trPr>
        <w:tc>
          <w:tcPr>
            <w:tcW w:w="47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income (loss) per share — Diluted:</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(0.12)</w:t>
            </w:r>
          </w:p>
        </w:tc>
        <w:tc>
          <w:tcPr>
            <w:tcW w:w="32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(0.09)</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(0.28)</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0.14</w:t>
            </w:r>
          </w:p>
        </w:tc>
      </w:tr>
      <w:tr>
        <w:trPr>
          <w:trHeight w:val="20"/>
        </w:trPr>
        <w:tc>
          <w:tcPr>
            <w:tcW w:w="47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r>
      <w:tr>
        <w:trPr>
          <w:trHeight w:val="278"/>
        </w:trPr>
        <w:tc>
          <w:tcPr>
            <w:tcW w:w="4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250"/>
        </w:trPr>
        <w:tc>
          <w:tcPr>
            <w:tcW w:w="47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Weighted average shares:</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r>
      <w:tr>
        <w:trPr>
          <w:trHeight w:val="243"/>
        </w:trPr>
        <w:tc>
          <w:tcPr>
            <w:tcW w:w="47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Basic</w:t>
            </w:r>
          </w:p>
        </w:tc>
        <w:tc>
          <w:tcPr>
            <w:tcW w:w="180" w:type="dxa"/>
            <w:vAlign w:val="bottom"/>
          </w:tcPr>
          <w:p>
            <w:pPr>
              <w:spacing w:after="0"/>
              <w:rPr>
                <w:sz w:val="21"/>
                <w:szCs w:val="21"/>
                <w:color w:val="auto"/>
              </w:rPr>
            </w:pPr>
          </w:p>
        </w:tc>
        <w:tc>
          <w:tcPr>
            <w:tcW w:w="108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668,178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663,603</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657,519</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667,184</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569,031</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43"/>
        </w:trPr>
        <w:tc>
          <w:tcPr>
            <w:tcW w:w="4700" w:type="dxa"/>
            <w:vAlign w:val="bottom"/>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Diluted</w:t>
            </w:r>
          </w:p>
        </w:tc>
        <w:tc>
          <w:tcPr>
            <w:tcW w:w="180" w:type="dxa"/>
            <w:vAlign w:val="bottom"/>
            <w:shd w:val="clear" w:color="auto" w:fill="CCEEFF"/>
          </w:tcPr>
          <w:p>
            <w:pPr>
              <w:spacing w:after="0"/>
              <w:rPr>
                <w:sz w:val="21"/>
                <w:szCs w:val="21"/>
                <w:color w:val="auto"/>
              </w:rPr>
            </w:pPr>
          </w:p>
        </w:tc>
        <w:tc>
          <w:tcPr>
            <w:tcW w:w="108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668,178</w:t>
            </w:r>
          </w:p>
        </w:tc>
        <w:tc>
          <w:tcPr>
            <w:tcW w:w="12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04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663,603</w:t>
            </w:r>
          </w:p>
        </w:tc>
        <w:tc>
          <w:tcPr>
            <w:tcW w:w="12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10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657,519</w:t>
            </w:r>
          </w:p>
        </w:tc>
        <w:tc>
          <w:tcPr>
            <w:tcW w:w="10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10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667,184</w:t>
            </w:r>
          </w:p>
        </w:tc>
        <w:tc>
          <w:tcPr>
            <w:tcW w:w="10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08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578,872</w:t>
            </w:r>
          </w:p>
        </w:tc>
      </w:tr>
      <w:tr>
        <w:trPr>
          <w:trHeight w:val="27"/>
        </w:trPr>
        <w:tc>
          <w:tcPr>
            <w:tcW w:w="47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110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110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r>
    </w:tbl>
    <w:p>
      <w:pPr>
        <w:sectPr>
          <w:pgSz w:w="11900" w:h="16838" w:orient="portrait"/>
          <w:cols w:equalWidth="0" w:num="1">
            <w:col w:w="11420"/>
          </w:cols>
          <w:pgMar w:left="240" w:top="333" w:right="239" w:bottom="1440" w:gutter="0" w:footer="0" w:header="0"/>
        </w:sectPr>
      </w:pPr>
    </w:p>
    <w:bookmarkStart w:id="8" w:name="page9"/>
    <w:bookmarkEnd w:id="8"/>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Balance Sheets (Unaudited)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155" w:lineRule="exact"/>
        <w:rPr>
          <w:sz w:val="20"/>
          <w:szCs w:val="20"/>
          <w:color w:val="auto"/>
        </w:rPr>
      </w:pPr>
    </w:p>
    <w:tbl>
      <w:tblPr>
        <w:tblLayout w:type="fixed"/>
        <w:tblInd w:w="0" w:type="dxa"/>
        <w:tblCellMar>
          <w:top w:w="0" w:type="dxa"/>
          <w:left w:w="0" w:type="dxa"/>
          <w:bottom w:w="0" w:type="dxa"/>
          <w:right w:w="0" w:type="dxa"/>
        </w:tblCellMar>
      </w:tblPr>
      <w:tr>
        <w:trPr>
          <w:trHeight w:val="203"/>
        </w:trPr>
        <w:tc>
          <w:tcPr>
            <w:tcW w:w="79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580" w:type="dxa"/>
            <w:vAlign w:val="bottom"/>
            <w:gridSpan w:val="2"/>
          </w:tcPr>
          <w:p>
            <w:pPr>
              <w:ind w:left="100"/>
              <w:spacing w:after="0"/>
              <w:rPr>
                <w:sz w:val="20"/>
                <w:szCs w:val="20"/>
                <w:color w:val="auto"/>
              </w:rPr>
            </w:pPr>
            <w:r>
              <w:rPr>
                <w:rFonts w:ascii="Times New Roman" w:cs="Times New Roman" w:eastAsia="Times New Roman" w:hAnsi="Times New Roman"/>
                <w:sz w:val="16"/>
                <w:szCs w:val="16"/>
                <w:b w:val="1"/>
                <w:bCs w:val="1"/>
                <w:color w:val="auto"/>
              </w:rPr>
              <w:t>November 2,</w:t>
            </w:r>
          </w:p>
        </w:tc>
        <w:tc>
          <w:tcPr>
            <w:tcW w:w="240" w:type="dxa"/>
            <w:vAlign w:val="bottom"/>
          </w:tcPr>
          <w:p>
            <w:pPr>
              <w:spacing w:after="0"/>
              <w:rPr>
                <w:sz w:val="17"/>
                <w:szCs w:val="17"/>
                <w:color w:val="auto"/>
              </w:rPr>
            </w:pPr>
          </w:p>
        </w:tc>
        <w:tc>
          <w:tcPr>
            <w:tcW w:w="1340" w:type="dxa"/>
            <w:vAlign w:val="bottom"/>
          </w:tcPr>
          <w:p>
            <w:pPr>
              <w:jc w:val="right"/>
              <w:ind w:right="311"/>
              <w:spacing w:after="0"/>
              <w:rPr>
                <w:sz w:val="20"/>
                <w:szCs w:val="20"/>
                <w:color w:val="auto"/>
              </w:rPr>
            </w:pPr>
            <w:r>
              <w:rPr>
                <w:rFonts w:ascii="Times New Roman" w:cs="Times New Roman" w:eastAsia="Times New Roman" w:hAnsi="Times New Roman"/>
                <w:sz w:val="16"/>
                <w:szCs w:val="16"/>
                <w:b w:val="1"/>
                <w:bCs w:val="1"/>
                <w:color w:val="auto"/>
              </w:rPr>
              <w:t>February 2,</w:t>
            </w:r>
          </w:p>
        </w:tc>
      </w:tr>
      <w:tr>
        <w:trPr>
          <w:trHeight w:val="212"/>
        </w:trPr>
        <w:tc>
          <w:tcPr>
            <w:tcW w:w="79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60" w:type="dxa"/>
            <w:vAlign w:val="bottom"/>
          </w:tcPr>
          <w:p>
            <w:pPr>
              <w:jc w:val="right"/>
              <w:ind w:right="551"/>
              <w:spacing w:after="0"/>
              <w:rPr>
                <w:sz w:val="20"/>
                <w:szCs w:val="20"/>
                <w:color w:val="auto"/>
              </w:rPr>
            </w:pPr>
            <w:r>
              <w:rPr>
                <w:rFonts w:ascii="Times New Roman" w:cs="Times New Roman" w:eastAsia="Times New Roman" w:hAnsi="Times New Roman"/>
                <w:sz w:val="16"/>
                <w:szCs w:val="16"/>
                <w:b w:val="1"/>
                <w:bCs w:val="1"/>
                <w:color w:val="auto"/>
              </w:rPr>
              <w:t>2019</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jc w:val="right"/>
              <w:ind w:right="531"/>
              <w:spacing w:after="0"/>
              <w:rPr>
                <w:sz w:val="20"/>
                <w:szCs w:val="20"/>
                <w:color w:val="auto"/>
              </w:rPr>
            </w:pPr>
            <w:r>
              <w:rPr>
                <w:rFonts w:ascii="Times New Roman" w:cs="Times New Roman" w:eastAsia="Times New Roman" w:hAnsi="Times New Roman"/>
                <w:sz w:val="16"/>
                <w:szCs w:val="16"/>
                <w:b w:val="1"/>
                <w:bCs w:val="1"/>
                <w:color w:val="auto"/>
              </w:rPr>
              <w:t>2019</w:t>
            </w:r>
          </w:p>
        </w:tc>
      </w:tr>
      <w:tr>
        <w:trPr>
          <w:trHeight w:val="33"/>
        </w:trPr>
        <w:tc>
          <w:tcPr>
            <w:tcW w:w="79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44"/>
        </w:trPr>
        <w:tc>
          <w:tcPr>
            <w:tcW w:w="79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b w:val="1"/>
                <w:bCs w:val="1"/>
                <w:color w:val="auto"/>
              </w:rPr>
              <w:t>Assets</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Current assets:</w:t>
            </w:r>
          </w:p>
        </w:tc>
        <w:tc>
          <w:tcPr>
            <w:tcW w:w="24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27"/>
        </w:trPr>
        <w:tc>
          <w:tcPr>
            <w:tcW w:w="79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Cash and cash equivalents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438,369</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582,410</w:t>
            </w:r>
          </w:p>
        </w:tc>
      </w:tr>
      <w:tr>
        <w:trPr>
          <w:trHeight w:val="243"/>
        </w:trPr>
        <w:tc>
          <w:tcPr>
            <w:tcW w:w="79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Accounts receivable, net</w:t>
            </w:r>
          </w:p>
        </w:tc>
        <w:tc>
          <w:tcPr>
            <w:tcW w:w="240" w:type="dxa"/>
            <w:vAlign w:val="bottom"/>
          </w:tcPr>
          <w:p>
            <w:pPr>
              <w:spacing w:after="0"/>
              <w:rPr>
                <w:sz w:val="21"/>
                <w:szCs w:val="21"/>
                <w:color w:val="auto"/>
              </w:rPr>
            </w:pPr>
          </w:p>
        </w:tc>
        <w:tc>
          <w:tcPr>
            <w:tcW w:w="13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495,216</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493,122</w:t>
            </w:r>
          </w:p>
        </w:tc>
      </w:tr>
      <w:tr>
        <w:trPr>
          <w:trHeight w:val="27"/>
        </w:trPr>
        <w:tc>
          <w:tcPr>
            <w:tcW w:w="79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Inventories</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308,299</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276,005</w:t>
            </w:r>
          </w:p>
        </w:tc>
      </w:tr>
      <w:tr>
        <w:trPr>
          <w:trHeight w:val="243"/>
        </w:trPr>
        <w:tc>
          <w:tcPr>
            <w:tcW w:w="79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240" w:type="dxa"/>
            <w:vAlign w:val="bottom"/>
          </w:tcPr>
          <w:p>
            <w:pPr>
              <w:spacing w:after="0"/>
              <w:rPr>
                <w:sz w:val="21"/>
                <w:szCs w:val="21"/>
                <w:color w:val="auto"/>
              </w:rPr>
            </w:pPr>
          </w:p>
        </w:tc>
        <w:tc>
          <w:tcPr>
            <w:tcW w:w="13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43,789</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43,721</w:t>
            </w:r>
          </w:p>
        </w:tc>
      </w:tr>
      <w:tr>
        <w:trPr>
          <w:trHeight w:val="27"/>
        </w:trPr>
        <w:tc>
          <w:tcPr>
            <w:tcW w:w="79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70"/>
        </w:trPr>
        <w:tc>
          <w:tcPr>
            <w:tcW w:w="79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Assets held for sale</w:t>
            </w:r>
          </w:p>
        </w:tc>
        <w:tc>
          <w:tcPr>
            <w:tcW w:w="24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600,893</w:t>
            </w:r>
          </w:p>
        </w:tc>
        <w:tc>
          <w:tcPr>
            <w:tcW w:w="2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37"/>
        </w:trPr>
        <w:tc>
          <w:tcPr>
            <w:tcW w:w="798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Total current assets</w:t>
            </w:r>
          </w:p>
        </w:tc>
        <w:tc>
          <w:tcPr>
            <w:tcW w:w="240" w:type="dxa"/>
            <w:vAlign w:val="bottom"/>
            <w:tcBorders>
              <w:top w:val="single" w:sz="8" w:color="auto"/>
            </w:tcBorders>
          </w:tcPr>
          <w:p>
            <w:pPr>
              <w:spacing w:after="0"/>
              <w:rPr>
                <w:sz w:val="20"/>
                <w:szCs w:val="20"/>
                <w:color w:val="auto"/>
              </w:rPr>
            </w:pPr>
          </w:p>
        </w:tc>
        <w:tc>
          <w:tcPr>
            <w:tcW w:w="136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1,886,566</w:t>
            </w:r>
          </w:p>
        </w:tc>
        <w:tc>
          <w:tcPr>
            <w:tcW w:w="2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1,395,258</w:t>
            </w:r>
          </w:p>
        </w:tc>
      </w:tr>
      <w:tr>
        <w:trPr>
          <w:trHeight w:val="27"/>
        </w:trPr>
        <w:tc>
          <w:tcPr>
            <w:tcW w:w="79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316,214</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318,978</w:t>
            </w: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Goodwill</w:t>
            </w:r>
          </w:p>
        </w:tc>
        <w:tc>
          <w:tcPr>
            <w:tcW w:w="240" w:type="dxa"/>
            <w:vAlign w:val="bottom"/>
          </w:tcPr>
          <w:p>
            <w:pPr>
              <w:spacing w:after="0"/>
              <w:rPr>
                <w:sz w:val="21"/>
                <w:szCs w:val="21"/>
                <w:color w:val="auto"/>
              </w:rPr>
            </w:pPr>
          </w:p>
        </w:tc>
        <w:tc>
          <w:tcPr>
            <w:tcW w:w="13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5,161,312</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5,494,505</w:t>
            </w:r>
          </w:p>
        </w:tc>
      </w:tr>
      <w:tr>
        <w:trPr>
          <w:trHeight w:val="27"/>
        </w:trPr>
        <w:tc>
          <w:tcPr>
            <w:tcW w:w="79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Acquired intangible assets, net</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2,500,215</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2,560,682</w:t>
            </w: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Other non-current assets</w:t>
            </w:r>
          </w:p>
        </w:tc>
        <w:tc>
          <w:tcPr>
            <w:tcW w:w="240" w:type="dxa"/>
            <w:vAlign w:val="bottom"/>
          </w:tcPr>
          <w:p>
            <w:pPr>
              <w:spacing w:after="0"/>
              <w:rPr>
                <w:sz w:val="21"/>
                <w:szCs w:val="21"/>
                <w:color w:val="auto"/>
              </w:rPr>
            </w:pPr>
          </w:p>
        </w:tc>
        <w:tc>
          <w:tcPr>
            <w:tcW w:w="13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438,955</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247,329</w:t>
            </w:r>
          </w:p>
        </w:tc>
      </w:tr>
      <w:tr>
        <w:trPr>
          <w:trHeight w:val="27"/>
        </w:trPr>
        <w:tc>
          <w:tcPr>
            <w:tcW w:w="79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69"/>
        </w:trPr>
        <w:tc>
          <w:tcPr>
            <w:tcW w:w="798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Total assets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10,303,262</w:t>
            </w:r>
          </w:p>
        </w:tc>
        <w:tc>
          <w:tcPr>
            <w:tcW w:w="2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10,016,752</w:t>
            </w:r>
          </w:p>
        </w:tc>
      </w:tr>
      <w:tr>
        <w:trPr>
          <w:trHeight w:val="20"/>
        </w:trPr>
        <w:tc>
          <w:tcPr>
            <w:tcW w:w="798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3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340" w:type="dxa"/>
            <w:vAlign w:val="bottom"/>
            <w:tcBorders>
              <w:top w:val="single" w:sz="8" w:color="auto"/>
              <w:bottom w:val="single" w:sz="8" w:color="auto"/>
            </w:tcBorders>
          </w:tcPr>
          <w:p>
            <w:pPr>
              <w:spacing w:after="0" w:line="20" w:lineRule="exact"/>
              <w:rPr>
                <w:sz w:val="1"/>
                <w:szCs w:val="1"/>
                <w:color w:val="auto"/>
              </w:rPr>
            </w:pPr>
          </w:p>
        </w:tc>
      </w:tr>
      <w:tr>
        <w:trPr>
          <w:trHeight w:val="264"/>
        </w:trPr>
        <w:tc>
          <w:tcPr>
            <w:tcW w:w="79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3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340" w:type="dxa"/>
            <w:vAlign w:val="bottom"/>
          </w:tcPr>
          <w:p>
            <w:pPr>
              <w:spacing w:after="0"/>
              <w:rPr>
                <w:sz w:val="22"/>
                <w:szCs w:val="22"/>
                <w:color w:val="auto"/>
              </w:rPr>
            </w:pPr>
          </w:p>
        </w:tc>
      </w:tr>
      <w:tr>
        <w:trPr>
          <w:trHeight w:val="250"/>
        </w:trPr>
        <w:tc>
          <w:tcPr>
            <w:tcW w:w="79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b w:val="1"/>
                <w:bCs w:val="1"/>
                <w:color w:val="auto"/>
              </w:rPr>
              <w:t>Liabilities and Shareholders’ Equity</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Current liabilities:</w:t>
            </w:r>
          </w:p>
        </w:tc>
        <w:tc>
          <w:tcPr>
            <w:tcW w:w="24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27"/>
        </w:trPr>
        <w:tc>
          <w:tcPr>
            <w:tcW w:w="79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Accounts payable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212,955</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185,362</w:t>
            </w:r>
          </w:p>
        </w:tc>
      </w:tr>
      <w:tr>
        <w:trPr>
          <w:trHeight w:val="243"/>
        </w:trPr>
        <w:tc>
          <w:tcPr>
            <w:tcW w:w="79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Accrued liabilities</w:t>
            </w:r>
          </w:p>
        </w:tc>
        <w:tc>
          <w:tcPr>
            <w:tcW w:w="240" w:type="dxa"/>
            <w:vAlign w:val="bottom"/>
          </w:tcPr>
          <w:p>
            <w:pPr>
              <w:spacing w:after="0"/>
              <w:rPr>
                <w:sz w:val="21"/>
                <w:szCs w:val="21"/>
                <w:color w:val="auto"/>
              </w:rPr>
            </w:pPr>
          </w:p>
        </w:tc>
        <w:tc>
          <w:tcPr>
            <w:tcW w:w="13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305,827</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335,509</w:t>
            </w:r>
          </w:p>
        </w:tc>
      </w:tr>
      <w:tr>
        <w:trPr>
          <w:trHeight w:val="27"/>
        </w:trPr>
        <w:tc>
          <w:tcPr>
            <w:tcW w:w="79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130,062</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115,925</w:t>
            </w:r>
          </w:p>
        </w:tc>
      </w:tr>
      <w:tr>
        <w:trPr>
          <w:trHeight w:val="243"/>
        </w:trPr>
        <w:tc>
          <w:tcPr>
            <w:tcW w:w="79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Liabilities held for sale</w:t>
            </w:r>
          </w:p>
        </w:tc>
        <w:tc>
          <w:tcPr>
            <w:tcW w:w="240" w:type="dxa"/>
            <w:vAlign w:val="bottom"/>
          </w:tcPr>
          <w:p>
            <w:pPr>
              <w:spacing w:after="0"/>
              <w:rPr>
                <w:sz w:val="21"/>
                <w:szCs w:val="21"/>
                <w:color w:val="auto"/>
              </w:rPr>
            </w:pPr>
          </w:p>
        </w:tc>
        <w:tc>
          <w:tcPr>
            <w:tcW w:w="13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5,610</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79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44"/>
        </w:trPr>
        <w:tc>
          <w:tcPr>
            <w:tcW w:w="798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654,454</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636,796</w:t>
            </w: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Long-term debt</w:t>
            </w:r>
          </w:p>
        </w:tc>
        <w:tc>
          <w:tcPr>
            <w:tcW w:w="240" w:type="dxa"/>
            <w:vAlign w:val="bottom"/>
          </w:tcPr>
          <w:p>
            <w:pPr>
              <w:spacing w:after="0"/>
              <w:rPr>
                <w:sz w:val="21"/>
                <w:szCs w:val="21"/>
                <w:color w:val="auto"/>
              </w:rPr>
            </w:pPr>
          </w:p>
        </w:tc>
        <w:tc>
          <w:tcPr>
            <w:tcW w:w="13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2,036,441</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1,732,699</w:t>
            </w:r>
          </w:p>
        </w:tc>
      </w:tr>
      <w:tr>
        <w:trPr>
          <w:trHeight w:val="27"/>
        </w:trPr>
        <w:tc>
          <w:tcPr>
            <w:tcW w:w="79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Non-current income taxes payable</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48,136</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59,221</w:t>
            </w: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Deferred tax liabilities</w:t>
            </w:r>
          </w:p>
        </w:tc>
        <w:tc>
          <w:tcPr>
            <w:tcW w:w="240" w:type="dxa"/>
            <w:vAlign w:val="bottom"/>
          </w:tcPr>
          <w:p>
            <w:pPr>
              <w:spacing w:after="0"/>
              <w:rPr>
                <w:sz w:val="21"/>
                <w:szCs w:val="21"/>
                <w:color w:val="auto"/>
              </w:rPr>
            </w:pPr>
          </w:p>
        </w:tc>
        <w:tc>
          <w:tcPr>
            <w:tcW w:w="13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214,492</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246,252</w:t>
            </w:r>
          </w:p>
        </w:tc>
      </w:tr>
      <w:tr>
        <w:trPr>
          <w:trHeight w:val="27"/>
        </w:trPr>
        <w:tc>
          <w:tcPr>
            <w:tcW w:w="79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70"/>
        </w:trPr>
        <w:tc>
          <w:tcPr>
            <w:tcW w:w="79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24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183,921</w:t>
            </w:r>
          </w:p>
        </w:tc>
        <w:tc>
          <w:tcPr>
            <w:tcW w:w="2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35,374</w:t>
            </w:r>
          </w:p>
        </w:tc>
      </w:tr>
      <w:tr>
        <w:trPr>
          <w:trHeight w:val="237"/>
        </w:trPr>
        <w:tc>
          <w:tcPr>
            <w:tcW w:w="798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Total liabilities</w:t>
            </w:r>
          </w:p>
        </w:tc>
        <w:tc>
          <w:tcPr>
            <w:tcW w:w="240" w:type="dxa"/>
            <w:vAlign w:val="bottom"/>
            <w:tcBorders>
              <w:top w:val="single" w:sz="8" w:color="auto"/>
            </w:tcBorders>
          </w:tcPr>
          <w:p>
            <w:pPr>
              <w:spacing w:after="0"/>
              <w:rPr>
                <w:sz w:val="20"/>
                <w:szCs w:val="20"/>
                <w:color w:val="auto"/>
              </w:rPr>
            </w:pPr>
          </w:p>
        </w:tc>
        <w:tc>
          <w:tcPr>
            <w:tcW w:w="136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3,137,444</w:t>
            </w:r>
          </w:p>
        </w:tc>
        <w:tc>
          <w:tcPr>
            <w:tcW w:w="2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2,710,342</w:t>
            </w:r>
          </w:p>
        </w:tc>
      </w:tr>
      <w:tr>
        <w:trPr>
          <w:trHeight w:val="27"/>
        </w:trPr>
        <w:tc>
          <w:tcPr>
            <w:tcW w:w="79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77"/>
        </w:trPr>
        <w:tc>
          <w:tcPr>
            <w:tcW w:w="798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3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340" w:type="dxa"/>
            <w:vAlign w:val="bottom"/>
            <w:shd w:val="clear" w:color="auto" w:fill="CCEEFF"/>
          </w:tcPr>
          <w:p>
            <w:pPr>
              <w:spacing w:after="0"/>
              <w:rPr>
                <w:sz w:val="24"/>
                <w:szCs w:val="24"/>
                <w:color w:val="auto"/>
              </w:rPr>
            </w:pP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Shareholders’ equity:</w:t>
            </w:r>
          </w:p>
        </w:tc>
        <w:tc>
          <w:tcPr>
            <w:tcW w:w="24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27"/>
        </w:trPr>
        <w:tc>
          <w:tcPr>
            <w:tcW w:w="79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Common shares</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1,341</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1,317</w:t>
            </w:r>
          </w:p>
        </w:tc>
      </w:tr>
      <w:tr>
        <w:trPr>
          <w:trHeight w:val="243"/>
        </w:trPr>
        <w:tc>
          <w:tcPr>
            <w:tcW w:w="79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Additional paid-in capital</w:t>
            </w:r>
          </w:p>
        </w:tc>
        <w:tc>
          <w:tcPr>
            <w:tcW w:w="240" w:type="dxa"/>
            <w:vAlign w:val="bottom"/>
          </w:tcPr>
          <w:p>
            <w:pPr>
              <w:spacing w:after="0"/>
              <w:rPr>
                <w:sz w:val="21"/>
                <w:szCs w:val="21"/>
                <w:color w:val="auto"/>
              </w:rPr>
            </w:pPr>
          </w:p>
        </w:tc>
        <w:tc>
          <w:tcPr>
            <w:tcW w:w="13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6,355,723</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6,188,598</w:t>
            </w:r>
          </w:p>
        </w:tc>
      </w:tr>
      <w:tr>
        <w:trPr>
          <w:trHeight w:val="27"/>
        </w:trPr>
        <w:tc>
          <w:tcPr>
            <w:tcW w:w="79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Accumulated other comprehensive income</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37</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79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Retained earnings</w:t>
            </w:r>
          </w:p>
        </w:tc>
        <w:tc>
          <w:tcPr>
            <w:tcW w:w="240" w:type="dxa"/>
            <w:vAlign w:val="bottom"/>
          </w:tcPr>
          <w:p>
            <w:pPr>
              <w:spacing w:after="0"/>
              <w:rPr>
                <w:sz w:val="21"/>
                <w:szCs w:val="21"/>
                <w:color w:val="auto"/>
              </w:rPr>
            </w:pPr>
          </w:p>
        </w:tc>
        <w:tc>
          <w:tcPr>
            <w:tcW w:w="13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808,717</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1,116,495</w:t>
            </w:r>
          </w:p>
        </w:tc>
      </w:tr>
      <w:tr>
        <w:trPr>
          <w:trHeight w:val="27"/>
        </w:trPr>
        <w:tc>
          <w:tcPr>
            <w:tcW w:w="79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64"/>
        </w:trPr>
        <w:tc>
          <w:tcPr>
            <w:tcW w:w="798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Total shareholders’ equity</w:t>
            </w:r>
          </w:p>
        </w:tc>
        <w:tc>
          <w:tcPr>
            <w:tcW w:w="240" w:type="dxa"/>
            <w:vAlign w:val="bottom"/>
            <w:tcBorders>
              <w:bottom w:val="single" w:sz="8" w:color="CCEEFF"/>
            </w:tcBorders>
            <w:shd w:val="clear" w:color="auto" w:fill="CCEEFF"/>
          </w:tcPr>
          <w:p>
            <w:pPr>
              <w:spacing w:after="0"/>
              <w:rPr>
                <w:sz w:val="22"/>
                <w:szCs w:val="22"/>
                <w:color w:val="auto"/>
              </w:rPr>
            </w:pPr>
          </w:p>
        </w:tc>
        <w:tc>
          <w:tcPr>
            <w:tcW w:w="13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7,165,818</w:t>
            </w:r>
          </w:p>
        </w:tc>
        <w:tc>
          <w:tcPr>
            <w:tcW w:w="2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7,306,410</w:t>
            </w:r>
          </w:p>
        </w:tc>
      </w:tr>
      <w:tr>
        <w:trPr>
          <w:trHeight w:val="237"/>
        </w:trPr>
        <w:tc>
          <w:tcPr>
            <w:tcW w:w="798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Total liabilities and shareholders’ equity</w:t>
            </w: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10,303,262</w:t>
            </w:r>
          </w:p>
        </w:tc>
        <w:tc>
          <w:tcPr>
            <w:tcW w:w="220" w:type="dxa"/>
            <w:vAlign w:val="bottom"/>
          </w:tcPr>
          <w:p>
            <w:pPr>
              <w:spacing w:after="0"/>
              <w:rPr>
                <w:sz w:val="20"/>
                <w:szCs w:val="20"/>
                <w:color w:val="auto"/>
              </w:rPr>
            </w:pPr>
          </w:p>
        </w:tc>
        <w:tc>
          <w:tcPr>
            <w:tcW w:w="240" w:type="dxa"/>
            <w:vAlign w:val="bottom"/>
            <w:tcBorders>
              <w:top w:val="single" w:sz="8" w:color="auto"/>
            </w:tcBorders>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10,016,752</w:t>
            </w:r>
          </w:p>
        </w:tc>
      </w:tr>
      <w:tr>
        <w:trPr>
          <w:trHeight w:val="27"/>
        </w:trPr>
        <w:tc>
          <w:tcPr>
            <w:tcW w:w="798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0"/>
        </w:trPr>
        <w:tc>
          <w:tcPr>
            <w:tcW w:w="798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380"/>
          </w:cols>
          <w:pgMar w:left="260" w:top="333" w:right="259" w:bottom="1440" w:gutter="0" w:footer="0" w:header="0"/>
        </w:sectPr>
      </w:pPr>
    </w:p>
    <w:bookmarkStart w:id="9" w:name="page10"/>
    <w:bookmarkEnd w:id="9"/>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Cash Flows (Unaudited)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295"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60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480" w:type="dxa"/>
            <w:vAlign w:val="bottom"/>
            <w:tcBorders>
              <w:bottom w:val="single" w:sz="8" w:color="auto"/>
            </w:tcBorders>
            <w:gridSpan w:val="4"/>
          </w:tcPr>
          <w:p>
            <w:pPr>
              <w:jc w:val="right"/>
              <w:ind w:right="571"/>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4"/>
          </w:tcPr>
          <w:p>
            <w:pPr>
              <w:jc w:val="right"/>
              <w:ind w:right="591"/>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149"/>
        </w:trPr>
        <w:tc>
          <w:tcPr>
            <w:tcW w:w="60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20" w:type="dxa"/>
            <w:vAlign w:val="bottom"/>
            <w:gridSpan w:val="2"/>
          </w:tcPr>
          <w:p>
            <w:pPr>
              <w:ind w:left="60"/>
              <w:spacing w:after="0" w:line="149"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180" w:type="dxa"/>
            <w:vAlign w:val="bottom"/>
          </w:tcPr>
          <w:p>
            <w:pPr>
              <w:spacing w:after="0"/>
              <w:rPr>
                <w:sz w:val="12"/>
                <w:szCs w:val="12"/>
                <w:color w:val="auto"/>
              </w:rPr>
            </w:pPr>
          </w:p>
        </w:tc>
        <w:tc>
          <w:tcPr>
            <w:tcW w:w="1180" w:type="dxa"/>
            <w:vAlign w:val="bottom"/>
            <w:gridSpan w:val="2"/>
          </w:tcPr>
          <w:p>
            <w:pPr>
              <w:ind w:left="40"/>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160" w:type="dxa"/>
            <w:vAlign w:val="bottom"/>
          </w:tcPr>
          <w:p>
            <w:pPr>
              <w:spacing w:after="0"/>
              <w:rPr>
                <w:sz w:val="12"/>
                <w:szCs w:val="12"/>
                <w:color w:val="auto"/>
              </w:rPr>
            </w:pPr>
          </w:p>
        </w:tc>
        <w:tc>
          <w:tcPr>
            <w:tcW w:w="1200" w:type="dxa"/>
            <w:vAlign w:val="bottom"/>
            <w:gridSpan w:val="2"/>
          </w:tcPr>
          <w:p>
            <w:pPr>
              <w:ind w:left="60"/>
              <w:spacing w:after="0" w:line="149"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160" w:type="dxa"/>
            <w:vAlign w:val="bottom"/>
          </w:tcPr>
          <w:p>
            <w:pPr>
              <w:spacing w:after="0"/>
              <w:rPr>
                <w:sz w:val="12"/>
                <w:szCs w:val="12"/>
                <w:color w:val="auto"/>
              </w:rPr>
            </w:pPr>
          </w:p>
        </w:tc>
        <w:tc>
          <w:tcPr>
            <w:tcW w:w="1080" w:type="dxa"/>
            <w:vAlign w:val="bottom"/>
          </w:tcPr>
          <w:p>
            <w:pPr>
              <w:jc w:val="right"/>
              <w:ind w:right="171"/>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r>
      <w:tr>
        <w:trPr>
          <w:trHeight w:val="195"/>
        </w:trPr>
        <w:tc>
          <w:tcPr>
            <w:tcW w:w="604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391"/>
              <w:spacing w:after="0"/>
              <w:rPr>
                <w:sz w:val="20"/>
                <w:szCs w:val="20"/>
                <w:color w:val="auto"/>
              </w:rPr>
            </w:pPr>
            <w:r>
              <w:rPr>
                <w:rFonts w:ascii="Times New Roman" w:cs="Times New Roman" w:eastAsia="Times New Roman" w:hAnsi="Times New Roman"/>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1"/>
              <w:spacing w:after="0"/>
              <w:rPr>
                <w:sz w:val="20"/>
                <w:szCs w:val="20"/>
                <w:color w:val="auto"/>
              </w:rPr>
            </w:pPr>
            <w:r>
              <w:rPr>
                <w:rFonts w:ascii="Times New Roman" w:cs="Times New Roman" w:eastAsia="Times New Roman" w:hAnsi="Times New Roman"/>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1"/>
              <w:spacing w:after="0"/>
              <w:rPr>
                <w:sz w:val="20"/>
                <w:szCs w:val="20"/>
                <w:color w:val="auto"/>
              </w:rPr>
            </w:pPr>
            <w:r>
              <w:rPr>
                <w:rFonts w:ascii="Times New Roman" w:cs="Times New Roman" w:eastAsia="Times New Roman" w:hAnsi="Times New Roman"/>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1"/>
              <w:spacing w:after="0"/>
              <w:rPr>
                <w:sz w:val="20"/>
                <w:szCs w:val="20"/>
                <w:color w:val="auto"/>
              </w:rPr>
            </w:pPr>
            <w:r>
              <w:rPr>
                <w:rFonts w:ascii="Times New Roman" w:cs="Times New Roman" w:eastAsia="Times New Roman" w:hAnsi="Times New Roman"/>
                <w:sz w:val="14"/>
                <w:szCs w:val="14"/>
                <w:b w:val="1"/>
                <w:bCs w:val="1"/>
                <w:color w:val="auto"/>
              </w:rPr>
              <w:t>2018</w:t>
            </w:r>
          </w:p>
        </w:tc>
      </w:tr>
      <w:tr>
        <w:trPr>
          <w:trHeight w:val="262"/>
        </w:trPr>
        <w:tc>
          <w:tcPr>
            <w:tcW w:w="60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Cash flows from operating activities:</w:t>
            </w:r>
          </w:p>
        </w:tc>
        <w:tc>
          <w:tcPr>
            <w:tcW w:w="18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spacing w:after="0"/>
              <w:rPr>
                <w:sz w:val="22"/>
                <w:szCs w:val="22"/>
                <w:color w:val="auto"/>
              </w:rPr>
            </w:pPr>
          </w:p>
        </w:tc>
      </w:tr>
      <w:tr>
        <w:trPr>
          <w:trHeight w:val="243"/>
        </w:trPr>
        <w:tc>
          <w:tcPr>
            <w:tcW w:w="60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Net income (loss)</w:t>
            </w: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(82,501)</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(53,767)</w:t>
            </w:r>
          </w:p>
        </w:tc>
        <w:tc>
          <w:tcPr>
            <w:tcW w:w="10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(188,282)</w:t>
            </w:r>
          </w:p>
        </w:tc>
        <w:tc>
          <w:tcPr>
            <w:tcW w:w="12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81,604</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25"/>
        </w:trPr>
        <w:tc>
          <w:tcPr>
            <w:tcW w:w="6040" w:type="dxa"/>
            <w:vAlign w:val="bottom"/>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Adjustments to reconcile net income (loss) to net cash provided by operating</w:t>
            </w: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r>
      <w:tr>
        <w:trPr>
          <w:trHeight w:val="241"/>
        </w:trPr>
        <w:tc>
          <w:tcPr>
            <w:tcW w:w="6040" w:type="dxa"/>
            <w:vAlign w:val="bottom"/>
            <w:tcBorders>
              <w:bottom w:val="single" w:sz="8" w:color="CCEEFF"/>
            </w:tcBorders>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activities:</w:t>
            </w:r>
          </w:p>
        </w:tc>
        <w:tc>
          <w:tcPr>
            <w:tcW w:w="18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shd w:val="clear" w:color="auto" w:fill="CCEEFF"/>
          </w:tcPr>
          <w:p>
            <w:pPr>
              <w:spacing w:after="0"/>
              <w:rPr>
                <w:sz w:val="20"/>
                <w:szCs w:val="20"/>
                <w:color w:val="auto"/>
              </w:rPr>
            </w:pPr>
          </w:p>
        </w:tc>
      </w:tr>
      <w:tr>
        <w:trPr>
          <w:trHeight w:val="243"/>
        </w:trPr>
        <w:tc>
          <w:tcPr>
            <w:tcW w:w="604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Depreciation and amortization</w:t>
            </w:r>
          </w:p>
        </w:tc>
        <w:tc>
          <w:tcPr>
            <w:tcW w:w="180" w:type="dxa"/>
            <w:vAlign w:val="bottom"/>
          </w:tcPr>
          <w:p>
            <w:pPr>
              <w:spacing w:after="0"/>
              <w:rPr>
                <w:sz w:val="21"/>
                <w:szCs w:val="21"/>
                <w:color w:val="auto"/>
              </w:rPr>
            </w:pPr>
          </w:p>
        </w:tc>
        <w:tc>
          <w:tcPr>
            <w:tcW w:w="11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40,508</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39,259</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126,747</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86,356</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Share-based compensation</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66,762</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50,240</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189,036</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133,484</w:t>
            </w:r>
          </w:p>
        </w:tc>
      </w:tr>
      <w:tr>
        <w:trPr>
          <w:trHeight w:val="243"/>
        </w:trPr>
        <w:tc>
          <w:tcPr>
            <w:tcW w:w="604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Amortization and write off of acquired intangible assets</w:t>
            </w:r>
          </w:p>
        </w:tc>
        <w:tc>
          <w:tcPr>
            <w:tcW w:w="180" w:type="dxa"/>
            <w:vAlign w:val="bottom"/>
          </w:tcPr>
          <w:p>
            <w:pPr>
              <w:spacing w:after="0"/>
              <w:rPr>
                <w:sz w:val="21"/>
                <w:szCs w:val="21"/>
                <w:color w:val="auto"/>
              </w:rPr>
            </w:pPr>
          </w:p>
        </w:tc>
        <w:tc>
          <w:tcPr>
            <w:tcW w:w="11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92,760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78,691</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253,467</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104,630</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25"/>
        </w:trPr>
        <w:tc>
          <w:tcPr>
            <w:tcW w:w="6040" w:type="dxa"/>
            <w:vAlign w:val="bottom"/>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Amortization of inventory fair value adjustment associated with</w:t>
            </w: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r>
      <w:tr>
        <w:trPr>
          <w:trHeight w:val="241"/>
        </w:trPr>
        <w:tc>
          <w:tcPr>
            <w:tcW w:w="6040" w:type="dxa"/>
            <w:vAlign w:val="bottom"/>
            <w:tcBorders>
              <w:bottom w:val="single" w:sz="8" w:color="CCEEFF"/>
            </w:tcBorders>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acquisition</w:t>
            </w:r>
          </w:p>
        </w:tc>
        <w:tc>
          <w:tcPr>
            <w:tcW w:w="18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3,316</w:t>
            </w:r>
          </w:p>
        </w:tc>
        <w:tc>
          <w:tcPr>
            <w:tcW w:w="12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102,842</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3,316</w:t>
            </w:r>
          </w:p>
        </w:tc>
        <w:tc>
          <w:tcPr>
            <w:tcW w:w="1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125,775</w:t>
            </w:r>
          </w:p>
        </w:tc>
      </w:tr>
      <w:tr>
        <w:trPr>
          <w:trHeight w:val="243"/>
        </w:trPr>
        <w:tc>
          <w:tcPr>
            <w:tcW w:w="604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Amortization of deferred debt issuance costs and debt discounts</w:t>
            </w:r>
          </w:p>
        </w:tc>
        <w:tc>
          <w:tcPr>
            <w:tcW w:w="180" w:type="dxa"/>
            <w:vAlign w:val="bottom"/>
          </w:tcPr>
          <w:p>
            <w:pPr>
              <w:spacing w:after="0"/>
              <w:rPr>
                <w:sz w:val="21"/>
                <w:szCs w:val="21"/>
                <w:color w:val="auto"/>
              </w:rPr>
            </w:pPr>
          </w:p>
        </w:tc>
        <w:tc>
          <w:tcPr>
            <w:tcW w:w="11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1,181</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2,217</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4,040</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9,290</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Restructuring related impairment charges</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6,146</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9,888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16,243</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11,881</w:t>
            </w:r>
          </w:p>
        </w:tc>
      </w:tr>
      <w:tr>
        <w:trPr>
          <w:trHeight w:val="243"/>
        </w:trPr>
        <w:tc>
          <w:tcPr>
            <w:tcW w:w="604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Other expense, net</w:t>
            </w:r>
          </w:p>
        </w:tc>
        <w:tc>
          <w:tcPr>
            <w:tcW w:w="180" w:type="dxa"/>
            <w:vAlign w:val="bottom"/>
          </w:tcPr>
          <w:p>
            <w:pPr>
              <w:spacing w:after="0"/>
              <w:rPr>
                <w:sz w:val="21"/>
                <w:szCs w:val="21"/>
                <w:color w:val="auto"/>
              </w:rPr>
            </w:pPr>
          </w:p>
        </w:tc>
        <w:tc>
          <w:tcPr>
            <w:tcW w:w="11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2,574</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1,771</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4,590</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5,402</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Deferred income taxes</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(10,275)</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(6,261)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(7,901)</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(27,675)</w:t>
            </w:r>
          </w:p>
        </w:tc>
      </w:tr>
      <w:tr>
        <w:trPr>
          <w:trHeight w:val="243"/>
        </w:trPr>
        <w:tc>
          <w:tcPr>
            <w:tcW w:w="604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Changes in assets and liabilities:</w:t>
            </w:r>
          </w:p>
        </w:tc>
        <w:tc>
          <w:tcPr>
            <w:tcW w:w="1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spacing w:after="0"/>
              <w:rPr>
                <w:sz w:val="21"/>
                <w:szCs w:val="21"/>
                <w:color w:val="auto"/>
              </w:rPr>
            </w:pP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Accounts receivable</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(32,002)</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(10,948)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8,374</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(59,697)</w:t>
            </w:r>
          </w:p>
        </w:tc>
      </w:tr>
      <w:tr>
        <w:trPr>
          <w:trHeight w:val="243"/>
        </w:trPr>
        <w:tc>
          <w:tcPr>
            <w:tcW w:w="604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Inventories</w:t>
            </w:r>
          </w:p>
        </w:tc>
        <w:tc>
          <w:tcPr>
            <w:tcW w:w="1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(39,276)</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(5,007)</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(30,602)</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1,859</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Prepaid expenses and other assets</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(3,046)</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7,630</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(11,039)</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(11,874)</w:t>
            </w:r>
          </w:p>
        </w:tc>
      </w:tr>
      <w:tr>
        <w:trPr>
          <w:trHeight w:val="243"/>
        </w:trPr>
        <w:tc>
          <w:tcPr>
            <w:tcW w:w="604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Accounts payable</w:t>
            </w:r>
          </w:p>
        </w:tc>
        <w:tc>
          <w:tcPr>
            <w:tcW w:w="180" w:type="dxa"/>
            <w:vAlign w:val="bottom"/>
          </w:tcPr>
          <w:p>
            <w:pPr>
              <w:spacing w:after="0"/>
              <w:rPr>
                <w:sz w:val="21"/>
                <w:szCs w:val="21"/>
                <w:color w:val="auto"/>
              </w:rPr>
            </w:pPr>
          </w:p>
        </w:tc>
        <w:tc>
          <w:tcPr>
            <w:tcW w:w="11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8,304</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22,531</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30,801</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22,260</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Accrued liabilities and other non-current liabilities</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(26,141)</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39,691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(106,258)</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27,730</w:t>
            </w:r>
          </w:p>
        </w:tc>
      </w:tr>
      <w:tr>
        <w:trPr>
          <w:trHeight w:val="243"/>
        </w:trPr>
        <w:tc>
          <w:tcPr>
            <w:tcW w:w="604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180" w:type="dxa"/>
            <w:vAlign w:val="bottom"/>
          </w:tcPr>
          <w:p>
            <w:pPr>
              <w:spacing w:after="0"/>
              <w:rPr>
                <w:sz w:val="21"/>
                <w:szCs w:val="21"/>
                <w:color w:val="auto"/>
              </w:rPr>
            </w:pPr>
          </w:p>
        </w:tc>
        <w:tc>
          <w:tcPr>
            <w:tcW w:w="11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37,193</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20,617</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11,927</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(20,922)</w:t>
            </w:r>
          </w:p>
        </w:tc>
      </w:tr>
      <w:tr>
        <w:trPr>
          <w:trHeight w:val="27"/>
        </w:trPr>
        <w:tc>
          <w:tcPr>
            <w:tcW w:w="604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r>
      <w:tr>
        <w:trPr>
          <w:trHeight w:val="264"/>
        </w:trPr>
        <w:tc>
          <w:tcPr>
            <w:tcW w:w="6040" w:type="dxa"/>
            <w:vAlign w:val="bottom"/>
            <w:tcBorders>
              <w:bottom w:val="single" w:sz="8" w:color="CCEEFF"/>
            </w:tcBorders>
            <w:shd w:val="clear" w:color="auto" w:fill="CCEEFF"/>
          </w:tcPr>
          <w:p>
            <w:pPr>
              <w:ind w:left="1340"/>
              <w:spacing w:after="0"/>
              <w:rPr>
                <w:sz w:val="20"/>
                <w:szCs w:val="20"/>
                <w:color w:val="auto"/>
              </w:rPr>
            </w:pPr>
            <w:r>
              <w:rPr>
                <w:rFonts w:ascii="Times New Roman" w:cs="Times New Roman" w:eastAsia="Times New Roman" w:hAnsi="Times New Roman"/>
                <w:sz w:val="18"/>
                <w:szCs w:val="18"/>
                <w:color w:val="auto"/>
              </w:rPr>
              <w:t>Net cash provided by operating activities</w:t>
            </w:r>
          </w:p>
        </w:tc>
        <w:tc>
          <w:tcPr>
            <w:tcW w:w="18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65,503</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299,394</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304,459</w:t>
            </w: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490,103</w:t>
            </w:r>
          </w:p>
        </w:tc>
      </w:tr>
      <w:tr>
        <w:trPr>
          <w:trHeight w:val="223"/>
        </w:trPr>
        <w:tc>
          <w:tcPr>
            <w:tcW w:w="6040" w:type="dxa"/>
            <w:vAlign w:val="bottom"/>
          </w:tcPr>
          <w:p>
            <w:pPr>
              <w:ind w:left="40"/>
              <w:spacing w:after="0"/>
              <w:rPr>
                <w:sz w:val="20"/>
                <w:szCs w:val="20"/>
                <w:color w:val="auto"/>
              </w:rPr>
            </w:pPr>
            <w:r>
              <w:rPr>
                <w:rFonts w:ascii="Times New Roman" w:cs="Times New Roman" w:eastAsia="Times New Roman" w:hAnsi="Times New Roman"/>
                <w:sz w:val="18"/>
                <w:szCs w:val="18"/>
                <w:b w:val="1"/>
                <w:bCs w:val="1"/>
                <w:color w:val="auto"/>
              </w:rPr>
              <w:t>Cash flows from investing activities:</w:t>
            </w:r>
          </w:p>
        </w:tc>
        <w:tc>
          <w:tcPr>
            <w:tcW w:w="180" w:type="dxa"/>
            <w:vAlign w:val="bottom"/>
            <w:tcBorders>
              <w:top w:val="single" w:sz="8" w:color="auto"/>
            </w:tcBorders>
          </w:tcPr>
          <w:p>
            <w:pPr>
              <w:spacing w:after="0"/>
              <w:rPr>
                <w:sz w:val="19"/>
                <w:szCs w:val="19"/>
                <w:color w:val="auto"/>
              </w:rPr>
            </w:pPr>
          </w:p>
        </w:tc>
        <w:tc>
          <w:tcPr>
            <w:tcW w:w="110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10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108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1080" w:type="dxa"/>
            <w:vAlign w:val="bottom"/>
            <w:tcBorders>
              <w:top w:val="single" w:sz="8" w:color="auto"/>
            </w:tcBorders>
          </w:tcPr>
          <w:p>
            <w:pPr>
              <w:spacing w:after="0"/>
              <w:rPr>
                <w:sz w:val="19"/>
                <w:szCs w:val="19"/>
                <w:color w:val="auto"/>
              </w:rPr>
            </w:pPr>
          </w:p>
        </w:tc>
      </w:tr>
      <w:tr>
        <w:trPr>
          <w:trHeight w:val="41"/>
        </w:trPr>
        <w:tc>
          <w:tcPr>
            <w:tcW w:w="6040" w:type="dxa"/>
            <w:vAlign w:val="bottom"/>
          </w:tcPr>
          <w:p>
            <w:pPr>
              <w:spacing w:after="0"/>
              <w:rPr>
                <w:sz w:val="3"/>
                <w:szCs w:val="3"/>
                <w:color w:val="auto"/>
              </w:rPr>
            </w:pPr>
          </w:p>
        </w:tc>
        <w:tc>
          <w:tcPr>
            <w:tcW w:w="1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00" w:type="dxa"/>
            <w:vAlign w:val="bottom"/>
          </w:tcPr>
          <w:p>
            <w:pPr>
              <w:spacing w:after="0"/>
              <w:rPr>
                <w:sz w:val="3"/>
                <w:szCs w:val="3"/>
                <w:color w:val="auto"/>
              </w:rPr>
            </w:pPr>
          </w:p>
        </w:tc>
        <w:tc>
          <w:tcPr>
            <w:tcW w:w="1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20" w:type="dxa"/>
            <w:vAlign w:val="bottom"/>
          </w:tcPr>
          <w:p>
            <w:pPr>
              <w:spacing w:after="0"/>
              <w:rPr>
                <w:sz w:val="3"/>
                <w:szCs w:val="3"/>
                <w:color w:val="auto"/>
              </w:rPr>
            </w:pPr>
          </w:p>
        </w:tc>
        <w:tc>
          <w:tcPr>
            <w:tcW w:w="160" w:type="dxa"/>
            <w:vAlign w:val="bottom"/>
          </w:tcPr>
          <w:p>
            <w:pPr>
              <w:spacing w:after="0"/>
              <w:rPr>
                <w:sz w:val="3"/>
                <w:szCs w:val="3"/>
                <w:color w:val="auto"/>
              </w:rPr>
            </w:pPr>
          </w:p>
        </w:tc>
        <w:tc>
          <w:tcPr>
            <w:tcW w:w="1080" w:type="dxa"/>
            <w:vAlign w:val="bottom"/>
          </w:tcPr>
          <w:p>
            <w:pPr>
              <w:spacing w:after="0"/>
              <w:rPr>
                <w:sz w:val="3"/>
                <w:szCs w:val="3"/>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Purchases of available-for-sale securities</w:t>
            </w:r>
          </w:p>
        </w:tc>
        <w:tc>
          <w:tcPr>
            <w:tcW w:w="1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(14,956)</w:t>
            </w:r>
          </w:p>
        </w:tc>
      </w:tr>
      <w:tr>
        <w:trPr>
          <w:trHeight w:val="243"/>
        </w:trPr>
        <w:tc>
          <w:tcPr>
            <w:tcW w:w="604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Sales of available-for-sale securities</w:t>
            </w:r>
          </w:p>
        </w:tc>
        <w:tc>
          <w:tcPr>
            <w:tcW w:w="180" w:type="dxa"/>
            <w:vAlign w:val="bottom"/>
          </w:tcPr>
          <w:p>
            <w:pPr>
              <w:spacing w:after="0"/>
              <w:rPr>
                <w:sz w:val="21"/>
                <w:szCs w:val="21"/>
                <w:color w:val="auto"/>
              </w:rPr>
            </w:pPr>
          </w:p>
        </w:tc>
        <w:tc>
          <w:tcPr>
            <w:tcW w:w="11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18,832</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18,832</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623,896</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Maturities of available-for-sale securities</w:t>
            </w:r>
          </w:p>
        </w:tc>
        <w:tc>
          <w:tcPr>
            <w:tcW w:w="1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187,985</w:t>
            </w:r>
          </w:p>
        </w:tc>
      </w:tr>
      <w:tr>
        <w:trPr>
          <w:trHeight w:val="243"/>
        </w:trPr>
        <w:tc>
          <w:tcPr>
            <w:tcW w:w="604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Purchases of time deposits</w:t>
            </w:r>
          </w:p>
        </w:tc>
        <w:tc>
          <w:tcPr>
            <w:tcW w:w="180" w:type="dxa"/>
            <w:vAlign w:val="bottom"/>
          </w:tcPr>
          <w:p>
            <w:pPr>
              <w:spacing w:after="0"/>
              <w:rPr>
                <w:sz w:val="21"/>
                <w:szCs w:val="21"/>
                <w:color w:val="auto"/>
              </w:rPr>
            </w:pPr>
          </w:p>
        </w:tc>
        <w:tc>
          <w:tcPr>
            <w:tcW w:w="122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Pr>
          <w:p>
            <w:pPr>
              <w:spacing w:after="0"/>
              <w:rPr>
                <w:sz w:val="21"/>
                <w:szCs w:val="21"/>
                <w:color w:val="auto"/>
              </w:rPr>
            </w:pPr>
          </w:p>
        </w:tc>
        <w:tc>
          <w:tcPr>
            <w:tcW w:w="11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21"/>
                <w:szCs w:val="21"/>
                <w:color w:val="auto"/>
              </w:rPr>
            </w:pPr>
          </w:p>
        </w:tc>
        <w:tc>
          <w:tcPr>
            <w:tcW w:w="12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(25,000)</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Maturities of time deposits</w:t>
            </w:r>
          </w:p>
        </w:tc>
        <w:tc>
          <w:tcPr>
            <w:tcW w:w="1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25,000</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175,000</w:t>
            </w:r>
          </w:p>
        </w:tc>
      </w:tr>
      <w:tr>
        <w:trPr>
          <w:trHeight w:val="243"/>
        </w:trPr>
        <w:tc>
          <w:tcPr>
            <w:tcW w:w="604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Purchases of technology licenses</w:t>
            </w:r>
          </w:p>
        </w:tc>
        <w:tc>
          <w:tcPr>
            <w:tcW w:w="1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(414)</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(9,918)</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(1,936)</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(11,181)</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Purchases of property and equipment</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(20,742)</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(12,646)</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(62,935)</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(47,035)</w:t>
            </w:r>
          </w:p>
        </w:tc>
      </w:tr>
      <w:tr>
        <w:trPr>
          <w:trHeight w:val="243"/>
        </w:trPr>
        <w:tc>
          <w:tcPr>
            <w:tcW w:w="604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Cash payment for acquisition, net of cash and cash equivalents acquired</w:t>
            </w:r>
          </w:p>
        </w:tc>
        <w:tc>
          <w:tcPr>
            <w:tcW w:w="1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(477,579)</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(477,579)</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(2,649,465)</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70"/>
        </w:trPr>
        <w:tc>
          <w:tcPr>
            <w:tcW w:w="604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Other, net</w:t>
            </w:r>
          </w:p>
        </w:tc>
        <w:tc>
          <w:tcPr>
            <w:tcW w:w="18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(1,404)</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(4,007)</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(1,793)</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(7,534)</w:t>
            </w:r>
          </w:p>
        </w:tc>
      </w:tr>
      <w:tr>
        <w:trPr>
          <w:trHeight w:val="237"/>
        </w:trPr>
        <w:tc>
          <w:tcPr>
            <w:tcW w:w="6040" w:type="dxa"/>
            <w:vAlign w:val="bottom"/>
          </w:tcPr>
          <w:p>
            <w:pPr>
              <w:ind w:left="1340"/>
              <w:spacing w:after="0"/>
              <w:rPr>
                <w:sz w:val="20"/>
                <w:szCs w:val="20"/>
                <w:color w:val="auto"/>
              </w:rPr>
            </w:pPr>
            <w:r>
              <w:rPr>
                <w:rFonts w:ascii="Times New Roman" w:cs="Times New Roman" w:eastAsia="Times New Roman" w:hAnsi="Times New Roman"/>
                <w:sz w:val="18"/>
                <w:szCs w:val="18"/>
                <w:color w:val="auto"/>
              </w:rPr>
              <w:t>Net cash used in investing activities</w:t>
            </w:r>
          </w:p>
        </w:tc>
        <w:tc>
          <w:tcPr>
            <w:tcW w:w="1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(481,307)</w:t>
            </w:r>
          </w:p>
        </w:tc>
        <w:tc>
          <w:tcPr>
            <w:tcW w:w="1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(1,571)</w:t>
            </w:r>
          </w:p>
        </w:tc>
        <w:tc>
          <w:tcPr>
            <w:tcW w:w="10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(525,411)</w:t>
            </w:r>
          </w:p>
        </w:tc>
        <w:tc>
          <w:tcPr>
            <w:tcW w:w="1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(1,768,290)</w:t>
            </w:r>
          </w:p>
        </w:tc>
      </w:tr>
      <w:tr>
        <w:trPr>
          <w:trHeight w:val="27"/>
        </w:trPr>
        <w:tc>
          <w:tcPr>
            <w:tcW w:w="604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r>
      <w:tr>
        <w:trPr>
          <w:trHeight w:val="244"/>
        </w:trPr>
        <w:tc>
          <w:tcPr>
            <w:tcW w:w="60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Cash flows from financing activities:</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r>
      <w:tr>
        <w:trPr>
          <w:trHeight w:val="243"/>
        </w:trPr>
        <w:tc>
          <w:tcPr>
            <w:tcW w:w="604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Repurchases of common stock</w:t>
            </w:r>
          </w:p>
        </w:tc>
        <w:tc>
          <w:tcPr>
            <w:tcW w:w="180" w:type="dxa"/>
            <w:vAlign w:val="bottom"/>
          </w:tcPr>
          <w:p>
            <w:pPr>
              <w:spacing w:after="0"/>
              <w:rPr>
                <w:sz w:val="21"/>
                <w:szCs w:val="21"/>
                <w:color w:val="auto"/>
              </w:rPr>
            </w:pPr>
          </w:p>
        </w:tc>
        <w:tc>
          <w:tcPr>
            <w:tcW w:w="122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(53,969)</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(64,272)</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(53,969)</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Proceeds from employee stock plans</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21,795</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16,192</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103,109</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60,772</w:t>
            </w:r>
          </w:p>
        </w:tc>
      </w:tr>
      <w:tr>
        <w:trPr>
          <w:trHeight w:val="243"/>
        </w:trPr>
        <w:tc>
          <w:tcPr>
            <w:tcW w:w="604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Tax withholding paid on behalf of employees for net share settlement</w:t>
            </w:r>
          </w:p>
        </w:tc>
        <w:tc>
          <w:tcPr>
            <w:tcW w:w="1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(19,220)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(8,915)</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(80,862)</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(45,691)</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Dividend payments to shareholders</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(40,140)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(39,411)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(119,496)</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(108,592)</w:t>
            </w:r>
          </w:p>
        </w:tc>
      </w:tr>
      <w:tr>
        <w:trPr>
          <w:trHeight w:val="243"/>
        </w:trPr>
        <w:tc>
          <w:tcPr>
            <w:tcW w:w="604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Payments on technology license obligations</w:t>
            </w:r>
          </w:p>
        </w:tc>
        <w:tc>
          <w:tcPr>
            <w:tcW w:w="1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(28,889)</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(23,003)</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(57,213)</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(52,481)</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Proceeds from issuance of debt</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350,000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350,000</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1,892,605</w:t>
            </w:r>
          </w:p>
        </w:tc>
      </w:tr>
      <w:tr>
        <w:trPr>
          <w:trHeight w:val="243"/>
        </w:trPr>
        <w:tc>
          <w:tcPr>
            <w:tcW w:w="6040" w:type="dxa"/>
            <w:vAlign w:val="bottom"/>
          </w:tcPr>
          <w:p>
            <w:pPr>
              <w:ind w:left="500"/>
              <w:spacing w:after="0"/>
              <w:rPr>
                <w:sz w:val="20"/>
                <w:szCs w:val="20"/>
                <w:color w:val="auto"/>
              </w:rPr>
            </w:pPr>
            <w:r>
              <w:rPr>
                <w:rFonts w:ascii="Times New Roman" w:cs="Times New Roman" w:eastAsia="Times New Roman" w:hAnsi="Times New Roman"/>
                <w:sz w:val="18"/>
                <w:szCs w:val="18"/>
                <w:color w:val="auto"/>
              </w:rPr>
              <w:t>Principal payments of debt</w:t>
            </w:r>
          </w:p>
        </w:tc>
        <w:tc>
          <w:tcPr>
            <w:tcW w:w="180" w:type="dxa"/>
            <w:vAlign w:val="bottom"/>
          </w:tcPr>
          <w:p>
            <w:pPr>
              <w:spacing w:after="0"/>
              <w:rPr>
                <w:sz w:val="21"/>
                <w:szCs w:val="21"/>
                <w:color w:val="auto"/>
              </w:rPr>
            </w:pPr>
          </w:p>
        </w:tc>
        <w:tc>
          <w:tcPr>
            <w:tcW w:w="122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(75,000)</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(50,000)</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(681,128)</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Payment of equity and debt financing costs</w:t>
            </w:r>
          </w:p>
        </w:tc>
        <w:tc>
          <w:tcPr>
            <w:tcW w:w="1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(2,115)</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(11,550)</w:t>
            </w:r>
          </w:p>
        </w:tc>
      </w:tr>
      <w:tr>
        <w:trPr>
          <w:trHeight w:val="243"/>
        </w:trPr>
        <w:tc>
          <w:tcPr>
            <w:tcW w:w="6040" w:type="dxa"/>
            <w:vAlign w:val="bottom"/>
          </w:tcPr>
          <w:p>
            <w:pPr>
              <w:ind w:left="500"/>
              <w:spacing w:after="0"/>
              <w:rPr>
                <w:sz w:val="20"/>
                <w:szCs w:val="20"/>
                <w:color w:val="auto"/>
              </w:rPr>
            </w:pPr>
            <w:r>
              <w:rPr>
                <w:rFonts w:ascii="Times New Roman" w:cs="Times New Roman" w:eastAsia="Times New Roman" w:hAnsi="Times New Roman"/>
                <w:sz w:val="18"/>
                <w:szCs w:val="18"/>
                <w:color w:val="auto"/>
              </w:rPr>
              <w:t>Other, net</w:t>
            </w:r>
          </w:p>
        </w:tc>
        <w:tc>
          <w:tcPr>
            <w:tcW w:w="1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(2,869)</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(4,355)</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604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r>
      <w:tr>
        <w:trPr>
          <w:trHeight w:val="264"/>
        </w:trPr>
        <w:tc>
          <w:tcPr>
            <w:tcW w:w="6040" w:type="dxa"/>
            <w:vAlign w:val="bottom"/>
            <w:tcBorders>
              <w:bottom w:val="single" w:sz="8" w:color="CCEEFF"/>
            </w:tcBorders>
            <w:shd w:val="clear" w:color="auto" w:fill="CCEEFF"/>
          </w:tcPr>
          <w:p>
            <w:pPr>
              <w:ind w:left="1340"/>
              <w:spacing w:after="0"/>
              <w:rPr>
                <w:sz w:val="20"/>
                <w:szCs w:val="20"/>
                <w:color w:val="auto"/>
              </w:rPr>
            </w:pPr>
            <w:r>
              <w:rPr>
                <w:rFonts w:ascii="Times New Roman" w:cs="Times New Roman" w:eastAsia="Times New Roman" w:hAnsi="Times New Roman"/>
                <w:sz w:val="18"/>
                <w:szCs w:val="18"/>
                <w:color w:val="auto"/>
              </w:rPr>
              <w:t>Net cash provided by (used in) in financing activities</w:t>
            </w:r>
          </w:p>
        </w:tc>
        <w:tc>
          <w:tcPr>
            <w:tcW w:w="18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280,677</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(186,221)</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76,911</w:t>
            </w: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999,966</w:t>
            </w:r>
          </w:p>
        </w:tc>
      </w:tr>
      <w:tr>
        <w:trPr>
          <w:trHeight w:val="237"/>
        </w:trPr>
        <w:tc>
          <w:tcPr>
            <w:tcW w:w="60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Net increase (decrease) in cash and cash equivalents</w:t>
            </w:r>
          </w:p>
        </w:tc>
        <w:tc>
          <w:tcPr>
            <w:tcW w:w="1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(135,127)</w:t>
            </w:r>
          </w:p>
        </w:tc>
        <w:tc>
          <w:tcPr>
            <w:tcW w:w="1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111,602</w:t>
            </w:r>
          </w:p>
        </w:tc>
        <w:tc>
          <w:tcPr>
            <w:tcW w:w="10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(144,041)</w:t>
            </w:r>
          </w:p>
        </w:tc>
        <w:tc>
          <w:tcPr>
            <w:tcW w:w="1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(278,221)</w:t>
            </w:r>
          </w:p>
        </w:tc>
      </w:tr>
      <w:tr>
        <w:trPr>
          <w:trHeight w:val="27"/>
        </w:trPr>
        <w:tc>
          <w:tcPr>
            <w:tcW w:w="6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70"/>
        </w:trPr>
        <w:tc>
          <w:tcPr>
            <w:tcW w:w="60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Cash and cash equivalents at beginning of period</w:t>
            </w:r>
          </w:p>
        </w:tc>
        <w:tc>
          <w:tcPr>
            <w:tcW w:w="18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573,496</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498,659</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582,410</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888,482</w:t>
            </w:r>
          </w:p>
        </w:tc>
      </w:tr>
      <w:tr>
        <w:trPr>
          <w:trHeight w:val="237"/>
        </w:trPr>
        <w:tc>
          <w:tcPr>
            <w:tcW w:w="60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Cash and cash equivalents at end of period</w:t>
            </w:r>
          </w:p>
        </w:tc>
        <w:tc>
          <w:tcPr>
            <w:tcW w:w="1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438,369</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610,261</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438,369</w:t>
            </w:r>
          </w:p>
        </w:tc>
        <w:tc>
          <w:tcPr>
            <w:tcW w:w="1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8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610,261</w:t>
            </w:r>
          </w:p>
        </w:tc>
      </w:tr>
      <w:tr>
        <w:trPr>
          <w:trHeight w:val="27"/>
        </w:trPr>
        <w:tc>
          <w:tcPr>
            <w:tcW w:w="604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r>
      <w:tr>
        <w:trPr>
          <w:trHeight w:val="20"/>
        </w:trPr>
        <w:tc>
          <w:tcPr>
            <w:tcW w:w="60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00"/>
          </w:cols>
          <w:pgMar w:left="240" w:top="684" w:right="259" w:bottom="1440" w:gutter="0" w:footer="0" w:header="0"/>
        </w:sectPr>
      </w:pPr>
    </w:p>
    <w:bookmarkStart w:id="10" w:name="page11"/>
    <w:bookmarkEnd w:id="10"/>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41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440" w:type="dxa"/>
            <w:vAlign w:val="bottom"/>
            <w:tcBorders>
              <w:bottom w:val="single" w:sz="8" w:color="auto"/>
            </w:tcBorders>
            <w:gridSpan w:val="3"/>
          </w:tcPr>
          <w:p>
            <w:pPr>
              <w:ind w:left="2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774"/>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149"/>
        </w:trPr>
        <w:tc>
          <w:tcPr>
            <w:tcW w:w="4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60" w:type="dxa"/>
            <w:vAlign w:val="bottom"/>
            <w:gridSpan w:val="2"/>
          </w:tcPr>
          <w:p>
            <w:pPr>
              <w:ind w:left="80"/>
              <w:spacing w:after="0" w:line="149"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240" w:type="dxa"/>
            <w:vAlign w:val="bottom"/>
          </w:tcPr>
          <w:p>
            <w:pPr>
              <w:spacing w:after="0"/>
              <w:rPr>
                <w:sz w:val="12"/>
                <w:szCs w:val="12"/>
                <w:color w:val="auto"/>
              </w:rPr>
            </w:pPr>
          </w:p>
        </w:tc>
        <w:tc>
          <w:tcPr>
            <w:tcW w:w="1200" w:type="dxa"/>
            <w:vAlign w:val="bottom"/>
            <w:gridSpan w:val="2"/>
          </w:tcPr>
          <w:p>
            <w:pPr>
              <w:ind w:left="120"/>
              <w:spacing w:after="0" w:line="149"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200" w:type="dxa"/>
            <w:vAlign w:val="bottom"/>
          </w:tcPr>
          <w:p>
            <w:pPr>
              <w:spacing w:after="0"/>
              <w:rPr>
                <w:sz w:val="12"/>
                <w:szCs w:val="12"/>
                <w:color w:val="auto"/>
              </w:rPr>
            </w:pPr>
          </w:p>
        </w:tc>
        <w:tc>
          <w:tcPr>
            <w:tcW w:w="1240" w:type="dxa"/>
            <w:vAlign w:val="bottom"/>
            <w:gridSpan w:val="2"/>
          </w:tcPr>
          <w:p>
            <w:pPr>
              <w:ind w:left="60"/>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220" w:type="dxa"/>
            <w:vAlign w:val="bottom"/>
          </w:tcPr>
          <w:p>
            <w:pPr>
              <w:spacing w:after="0"/>
              <w:rPr>
                <w:sz w:val="12"/>
                <w:szCs w:val="12"/>
                <w:color w:val="auto"/>
              </w:rPr>
            </w:pPr>
          </w:p>
        </w:tc>
        <w:tc>
          <w:tcPr>
            <w:tcW w:w="1360" w:type="dxa"/>
            <w:vAlign w:val="bottom"/>
            <w:gridSpan w:val="2"/>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200" w:type="dxa"/>
            <w:vAlign w:val="bottom"/>
          </w:tcPr>
          <w:p>
            <w:pPr>
              <w:spacing w:after="0"/>
              <w:rPr>
                <w:sz w:val="12"/>
                <w:szCs w:val="12"/>
                <w:color w:val="auto"/>
              </w:rPr>
            </w:pPr>
          </w:p>
        </w:tc>
        <w:tc>
          <w:tcPr>
            <w:tcW w:w="1200" w:type="dxa"/>
            <w:vAlign w:val="bottom"/>
          </w:tcPr>
          <w:p>
            <w:pPr>
              <w:jc w:val="right"/>
              <w:ind w:right="234"/>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0" w:type="dxa"/>
            <w:vAlign w:val="bottom"/>
          </w:tcPr>
          <w:p>
            <w:pPr>
              <w:spacing w:after="0"/>
              <w:rPr>
                <w:sz w:val="1"/>
                <w:szCs w:val="1"/>
                <w:color w:val="auto"/>
              </w:rPr>
            </w:pPr>
          </w:p>
        </w:tc>
      </w:tr>
      <w:tr>
        <w:trPr>
          <w:trHeight w:val="195"/>
        </w:trPr>
        <w:tc>
          <w:tcPr>
            <w:tcW w:w="4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4"/>
              <w:spacing w:after="0"/>
              <w:rPr>
                <w:sz w:val="20"/>
                <w:szCs w:val="20"/>
                <w:color w:val="auto"/>
              </w:rPr>
            </w:pPr>
            <w:r>
              <w:rPr>
                <w:rFonts w:ascii="Times New Roman" w:cs="Times New Roman" w:eastAsia="Times New Roman" w:hAnsi="Times New Roman"/>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34"/>
              <w:spacing w:after="0"/>
              <w:rPr>
                <w:sz w:val="20"/>
                <w:szCs w:val="20"/>
                <w:color w:val="auto"/>
              </w:rPr>
            </w:pPr>
            <w:r>
              <w:rPr>
                <w:rFonts w:ascii="Times New Roman" w:cs="Times New Roman" w:eastAsia="Times New Roman" w:hAnsi="Times New Roman"/>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34"/>
              <w:spacing w:after="0"/>
              <w:rPr>
                <w:sz w:val="20"/>
                <w:szCs w:val="20"/>
                <w:color w:val="auto"/>
              </w:rPr>
            </w:pPr>
            <w:r>
              <w:rPr>
                <w:rFonts w:ascii="Times New Roman" w:cs="Times New Roman" w:eastAsia="Times New Roman" w:hAnsi="Times New Roman"/>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495"/>
              <w:spacing w:after="0"/>
              <w:rPr>
                <w:sz w:val="20"/>
                <w:szCs w:val="20"/>
                <w:color w:val="auto"/>
              </w:rPr>
            </w:pPr>
            <w:r>
              <w:rPr>
                <w:rFonts w:ascii="Times New Roman" w:cs="Times New Roman" w:eastAsia="Times New Roman" w:hAnsi="Times New Roman"/>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4"/>
              <w:spacing w:after="0"/>
              <w:rPr>
                <w:sz w:val="20"/>
                <w:szCs w:val="20"/>
                <w:color w:val="auto"/>
              </w:rPr>
            </w:pPr>
            <w:r>
              <w:rPr>
                <w:rFonts w:ascii="Times New Roman" w:cs="Times New Roman" w:eastAsia="Times New Roman" w:hAnsi="Times New Roman"/>
                <w:sz w:val="14"/>
                <w:szCs w:val="14"/>
                <w:b w:val="1"/>
                <w:bCs w:val="1"/>
                <w:color w:val="auto"/>
              </w:rPr>
              <w:t>2018</w:t>
            </w:r>
          </w:p>
        </w:tc>
        <w:tc>
          <w:tcPr>
            <w:tcW w:w="0" w:type="dxa"/>
            <w:vAlign w:val="bottom"/>
          </w:tcPr>
          <w:p>
            <w:pPr>
              <w:spacing w:after="0"/>
              <w:rPr>
                <w:sz w:val="1"/>
                <w:szCs w:val="1"/>
                <w:color w:val="auto"/>
              </w:rPr>
            </w:pPr>
          </w:p>
        </w:tc>
      </w:tr>
      <w:tr>
        <w:trPr>
          <w:trHeight w:val="249"/>
        </w:trPr>
        <w:tc>
          <w:tcPr>
            <w:tcW w:w="41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GAAP gross profit: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bottom w:val="single" w:sz="8" w:color="CCEEFF"/>
            </w:tcBorders>
            <w:shd w:val="clear" w:color="auto" w:fill="CCEEFF"/>
          </w:tcPr>
          <w:p>
            <w:pPr>
              <w:jc w:val="right"/>
              <w:ind w:right="174"/>
              <w:spacing w:after="0"/>
              <w:rPr>
                <w:sz w:val="20"/>
                <w:szCs w:val="20"/>
                <w:color w:val="auto"/>
              </w:rPr>
            </w:pPr>
            <w:r>
              <w:rPr>
                <w:rFonts w:ascii="Times New Roman" w:cs="Times New Roman" w:eastAsia="Times New Roman" w:hAnsi="Times New Roman"/>
                <w:sz w:val="18"/>
                <w:szCs w:val="18"/>
                <w:color w:val="auto"/>
              </w:rPr>
              <w:t>340,067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350,702</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CCEEFF"/>
            </w:tcBorders>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383,587</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55"/>
              <w:spacing w:after="0"/>
              <w:rPr>
                <w:sz w:val="20"/>
                <w:szCs w:val="20"/>
                <w:color w:val="auto"/>
              </w:rPr>
            </w:pPr>
            <w:r>
              <w:rPr>
                <w:rFonts w:ascii="Times New Roman" w:cs="Times New Roman" w:eastAsia="Times New Roman" w:hAnsi="Times New Roman"/>
                <w:sz w:val="18"/>
                <w:szCs w:val="18"/>
                <w:color w:val="auto"/>
              </w:rPr>
              <w:t>1,052,197</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1,136,390</w:t>
            </w:r>
          </w:p>
        </w:tc>
        <w:tc>
          <w:tcPr>
            <w:tcW w:w="0" w:type="dxa"/>
            <w:vAlign w:val="bottom"/>
          </w:tcPr>
          <w:p>
            <w:pPr>
              <w:spacing w:after="0"/>
              <w:rPr>
                <w:sz w:val="1"/>
                <w:szCs w:val="1"/>
                <w:color w:val="auto"/>
              </w:rPr>
            </w:pPr>
          </w:p>
        </w:tc>
      </w:tr>
      <w:tr>
        <w:trPr>
          <w:trHeight w:val="243"/>
        </w:trPr>
        <w:tc>
          <w:tcPr>
            <w:tcW w:w="41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Special items:</w:t>
            </w:r>
          </w:p>
        </w:tc>
        <w:tc>
          <w:tcPr>
            <w:tcW w:w="18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12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Share-based compensation</w:t>
            </w:r>
          </w:p>
        </w:tc>
        <w:tc>
          <w:tcPr>
            <w:tcW w:w="1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74"/>
              <w:spacing w:after="0"/>
              <w:rPr>
                <w:sz w:val="20"/>
                <w:szCs w:val="20"/>
                <w:color w:val="auto"/>
              </w:rPr>
            </w:pPr>
            <w:r>
              <w:rPr>
                <w:rFonts w:ascii="Times New Roman" w:cs="Times New Roman" w:eastAsia="Times New Roman" w:hAnsi="Times New Roman"/>
                <w:sz w:val="18"/>
                <w:szCs w:val="18"/>
                <w:color w:val="auto"/>
              </w:rPr>
              <w:t>3,990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3,662</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2,429</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55"/>
              <w:spacing w:after="0"/>
              <w:rPr>
                <w:sz w:val="20"/>
                <w:szCs w:val="20"/>
                <w:color w:val="auto"/>
              </w:rPr>
            </w:pPr>
            <w:r>
              <w:rPr>
                <w:rFonts w:ascii="Times New Roman" w:cs="Times New Roman" w:eastAsia="Times New Roman" w:hAnsi="Times New Roman"/>
                <w:sz w:val="18"/>
                <w:szCs w:val="18"/>
                <w:color w:val="auto"/>
              </w:rPr>
              <w:t>10,578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9,082</w:t>
            </w:r>
          </w:p>
        </w:tc>
        <w:tc>
          <w:tcPr>
            <w:tcW w:w="0" w:type="dxa"/>
            <w:vAlign w:val="bottom"/>
          </w:tcPr>
          <w:p>
            <w:pPr>
              <w:spacing w:after="0"/>
              <w:rPr>
                <w:sz w:val="1"/>
                <w:szCs w:val="1"/>
                <w:color w:val="auto"/>
              </w:rPr>
            </w:pPr>
          </w:p>
        </w:tc>
      </w:tr>
      <w:tr>
        <w:trPr>
          <w:trHeight w:val="243"/>
        </w:trPr>
        <w:tc>
          <w:tcPr>
            <w:tcW w:w="41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180" w:type="dxa"/>
            <w:vAlign w:val="bottom"/>
          </w:tcPr>
          <w:p>
            <w:pPr>
              <w:spacing w:after="0"/>
              <w:rPr>
                <w:sz w:val="21"/>
                <w:szCs w:val="21"/>
                <w:color w:val="auto"/>
              </w:rPr>
            </w:pPr>
          </w:p>
        </w:tc>
        <w:tc>
          <w:tcPr>
            <w:tcW w:w="1160" w:type="dxa"/>
            <w:vAlign w:val="bottom"/>
          </w:tcPr>
          <w:p>
            <w:pPr>
              <w:jc w:val="right"/>
              <w:ind w:right="174"/>
              <w:spacing w:after="0"/>
              <w:rPr>
                <w:sz w:val="20"/>
                <w:szCs w:val="20"/>
                <w:color w:val="auto"/>
              </w:rPr>
            </w:pPr>
            <w:r>
              <w:rPr>
                <w:rFonts w:ascii="Times New Roman" w:cs="Times New Roman" w:eastAsia="Times New Roman" w:hAnsi="Times New Roman"/>
                <w:sz w:val="18"/>
                <w:szCs w:val="18"/>
                <w:color w:val="auto"/>
              </w:rPr>
              <w:t>72,146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00" w:type="dxa"/>
            <w:vAlign w:val="bottom"/>
          </w:tcPr>
          <w:p>
            <w:pPr>
              <w:jc w:val="right"/>
              <w:ind w:right="154"/>
              <w:spacing w:after="0"/>
              <w:rPr>
                <w:sz w:val="20"/>
                <w:szCs w:val="20"/>
                <w:color w:val="auto"/>
              </w:rPr>
            </w:pPr>
            <w:r>
              <w:rPr>
                <w:rFonts w:ascii="Times New Roman" w:cs="Times New Roman" w:eastAsia="Times New Roman" w:hAnsi="Times New Roman"/>
                <w:sz w:val="18"/>
                <w:szCs w:val="18"/>
                <w:color w:val="auto"/>
              </w:rPr>
              <w:t>61,132</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40" w:type="dxa"/>
            <w:vAlign w:val="bottom"/>
          </w:tcPr>
          <w:p>
            <w:pPr>
              <w:jc w:val="right"/>
              <w:ind w:right="154"/>
              <w:spacing w:after="0"/>
              <w:rPr>
                <w:sz w:val="20"/>
                <w:szCs w:val="20"/>
                <w:color w:val="auto"/>
              </w:rPr>
            </w:pPr>
            <w:r>
              <w:rPr>
                <w:rFonts w:ascii="Times New Roman" w:cs="Times New Roman" w:eastAsia="Times New Roman" w:hAnsi="Times New Roman"/>
                <w:sz w:val="18"/>
                <w:szCs w:val="18"/>
                <w:color w:val="auto"/>
              </w:rPr>
              <w:t>57,594</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40" w:type="dxa"/>
            <w:vAlign w:val="bottom"/>
          </w:tcPr>
          <w:p>
            <w:pPr>
              <w:jc w:val="right"/>
              <w:ind w:right="155"/>
              <w:spacing w:after="0"/>
              <w:rPr>
                <w:sz w:val="20"/>
                <w:szCs w:val="20"/>
                <w:color w:val="auto"/>
              </w:rPr>
            </w:pPr>
            <w:r>
              <w:rPr>
                <w:rFonts w:ascii="Times New Roman" w:cs="Times New Roman" w:eastAsia="Times New Roman" w:hAnsi="Times New Roman"/>
                <w:sz w:val="18"/>
                <w:szCs w:val="18"/>
                <w:color w:val="auto"/>
              </w:rPr>
              <w:t>193,184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0" w:type="dxa"/>
            <w:vAlign w:val="bottom"/>
          </w:tcPr>
          <w:p>
            <w:pPr>
              <w:jc w:val="right"/>
              <w:ind w:right="94"/>
              <w:spacing w:after="0"/>
              <w:rPr>
                <w:sz w:val="20"/>
                <w:szCs w:val="20"/>
                <w:color w:val="auto"/>
              </w:rPr>
            </w:pPr>
            <w:r>
              <w:rPr>
                <w:rFonts w:ascii="Times New Roman" w:cs="Times New Roman" w:eastAsia="Times New Roman" w:hAnsi="Times New Roman"/>
                <w:sz w:val="18"/>
                <w:szCs w:val="18"/>
                <w:color w:val="auto"/>
              </w:rPr>
              <w:t>76,577</w:t>
            </w:r>
          </w:p>
        </w:tc>
        <w:tc>
          <w:tcPr>
            <w:tcW w:w="0" w:type="dxa"/>
            <w:vAlign w:val="bottom"/>
          </w:tcPr>
          <w:p>
            <w:pPr>
              <w:spacing w:after="0"/>
              <w:rPr>
                <w:sz w:val="1"/>
                <w:szCs w:val="1"/>
                <w:color w:val="auto"/>
              </w:rPr>
            </w:pPr>
          </w:p>
        </w:tc>
      </w:tr>
      <w:tr>
        <w:trPr>
          <w:trHeight w:val="27"/>
        </w:trPr>
        <w:tc>
          <w:tcPr>
            <w:tcW w:w="4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12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18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74"/>
              <w:spacing w:after="0"/>
              <w:rPr>
                <w:sz w:val="20"/>
                <w:szCs w:val="20"/>
                <w:color w:val="auto"/>
              </w:rPr>
            </w:pPr>
            <w:r>
              <w:rPr>
                <w:rFonts w:ascii="Times New Roman" w:cs="Times New Roman" w:eastAsia="Times New Roman" w:hAnsi="Times New Roman"/>
                <w:sz w:val="18"/>
                <w:szCs w:val="18"/>
                <w:color w:val="auto"/>
              </w:rPr>
              <w:t>4,758</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105,841</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55"/>
              <w:spacing w:after="0"/>
              <w:rPr>
                <w:sz w:val="20"/>
                <w:szCs w:val="20"/>
                <w:color w:val="auto"/>
              </w:rPr>
            </w:pPr>
            <w:r>
              <w:rPr>
                <w:rFonts w:ascii="Times New Roman" w:cs="Times New Roman" w:eastAsia="Times New Roman" w:hAnsi="Times New Roman"/>
                <w:sz w:val="18"/>
                <w:szCs w:val="18"/>
                <w:color w:val="auto"/>
              </w:rPr>
              <w:t>5,208</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128,774</w:t>
            </w:r>
          </w:p>
        </w:tc>
        <w:tc>
          <w:tcPr>
            <w:tcW w:w="0" w:type="dxa"/>
            <w:vAlign w:val="bottom"/>
          </w:tcPr>
          <w:p>
            <w:pPr>
              <w:spacing w:after="0"/>
              <w:rPr>
                <w:sz w:val="1"/>
                <w:szCs w:val="1"/>
                <w:color w:val="auto"/>
              </w:rPr>
            </w:pPr>
          </w:p>
        </w:tc>
      </w:tr>
      <w:tr>
        <w:trPr>
          <w:trHeight w:val="237"/>
        </w:trPr>
        <w:tc>
          <w:tcPr>
            <w:tcW w:w="41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special items</w:t>
            </w:r>
          </w:p>
        </w:tc>
        <w:tc>
          <w:tcPr>
            <w:tcW w:w="18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74"/>
              <w:spacing w:after="0"/>
              <w:rPr>
                <w:sz w:val="20"/>
                <w:szCs w:val="20"/>
                <w:color w:val="auto"/>
              </w:rPr>
            </w:pPr>
            <w:r>
              <w:rPr>
                <w:rFonts w:ascii="Times New Roman" w:cs="Times New Roman" w:eastAsia="Times New Roman" w:hAnsi="Times New Roman"/>
                <w:sz w:val="18"/>
                <w:szCs w:val="18"/>
                <w:color w:val="auto"/>
              </w:rPr>
              <w:t>80,894</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54"/>
              <w:spacing w:after="0"/>
              <w:rPr>
                <w:sz w:val="20"/>
                <w:szCs w:val="20"/>
                <w:color w:val="auto"/>
              </w:rPr>
            </w:pPr>
            <w:r>
              <w:rPr>
                <w:rFonts w:ascii="Times New Roman" w:cs="Times New Roman" w:eastAsia="Times New Roman" w:hAnsi="Times New Roman"/>
                <w:sz w:val="18"/>
                <w:szCs w:val="18"/>
                <w:color w:val="auto"/>
              </w:rPr>
              <w:t>64,794</w:t>
            </w:r>
          </w:p>
        </w:tc>
        <w:tc>
          <w:tcPr>
            <w:tcW w:w="10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154"/>
              <w:spacing w:after="0"/>
              <w:rPr>
                <w:sz w:val="20"/>
                <w:szCs w:val="20"/>
                <w:color w:val="auto"/>
              </w:rPr>
            </w:pPr>
            <w:r>
              <w:rPr>
                <w:rFonts w:ascii="Times New Roman" w:cs="Times New Roman" w:eastAsia="Times New Roman" w:hAnsi="Times New Roman"/>
                <w:sz w:val="18"/>
                <w:szCs w:val="18"/>
                <w:color w:val="auto"/>
              </w:rPr>
              <w:t>165,864</w:t>
            </w:r>
          </w:p>
        </w:tc>
        <w:tc>
          <w:tcPr>
            <w:tcW w:w="1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55"/>
              <w:spacing w:after="0"/>
              <w:rPr>
                <w:sz w:val="20"/>
                <w:szCs w:val="20"/>
                <w:color w:val="auto"/>
              </w:rPr>
            </w:pPr>
            <w:r>
              <w:rPr>
                <w:rFonts w:ascii="Times New Roman" w:cs="Times New Roman" w:eastAsia="Times New Roman" w:hAnsi="Times New Roman"/>
                <w:sz w:val="18"/>
                <w:szCs w:val="18"/>
                <w:color w:val="auto"/>
              </w:rPr>
              <w:t>208,970</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94"/>
              <w:spacing w:after="0"/>
              <w:rPr>
                <w:sz w:val="20"/>
                <w:szCs w:val="20"/>
                <w:color w:val="auto"/>
              </w:rPr>
            </w:pPr>
            <w:r>
              <w:rPr>
                <w:rFonts w:ascii="Times New Roman" w:cs="Times New Roman" w:eastAsia="Times New Roman" w:hAnsi="Times New Roman"/>
                <w:sz w:val="18"/>
                <w:szCs w:val="18"/>
                <w:color w:val="auto"/>
              </w:rPr>
              <w:t>214,433</w:t>
            </w:r>
          </w:p>
        </w:tc>
        <w:tc>
          <w:tcPr>
            <w:tcW w:w="0" w:type="dxa"/>
            <w:vAlign w:val="bottom"/>
          </w:tcPr>
          <w:p>
            <w:pPr>
              <w:spacing w:after="0"/>
              <w:rPr>
                <w:sz w:val="1"/>
                <w:szCs w:val="1"/>
                <w:color w:val="auto"/>
              </w:rPr>
            </w:pPr>
          </w:p>
        </w:tc>
      </w:tr>
      <w:tr>
        <w:trPr>
          <w:trHeight w:val="27"/>
        </w:trPr>
        <w:tc>
          <w:tcPr>
            <w:tcW w:w="4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41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Non-GAAP gross profit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bottom w:val="single" w:sz="8" w:color="CCEEFF"/>
            </w:tcBorders>
            <w:shd w:val="clear" w:color="auto" w:fill="CCEEFF"/>
          </w:tcPr>
          <w:p>
            <w:pPr>
              <w:jc w:val="right"/>
              <w:ind w:right="174"/>
              <w:spacing w:after="0"/>
              <w:rPr>
                <w:sz w:val="20"/>
                <w:szCs w:val="20"/>
                <w:color w:val="auto"/>
              </w:rPr>
            </w:pPr>
            <w:r>
              <w:rPr>
                <w:rFonts w:ascii="Times New Roman" w:cs="Times New Roman" w:eastAsia="Times New Roman" w:hAnsi="Times New Roman"/>
                <w:sz w:val="18"/>
                <w:szCs w:val="18"/>
                <w:color w:val="auto"/>
              </w:rPr>
              <w:t>420,961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415,496</w:t>
            </w: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CCEEFF"/>
            </w:tcBorders>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549,451</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55"/>
              <w:spacing w:after="0"/>
              <w:rPr>
                <w:sz w:val="20"/>
                <w:szCs w:val="20"/>
                <w:color w:val="auto"/>
              </w:rPr>
            </w:pPr>
            <w:r>
              <w:rPr>
                <w:rFonts w:ascii="Times New Roman" w:cs="Times New Roman" w:eastAsia="Times New Roman" w:hAnsi="Times New Roman"/>
                <w:sz w:val="18"/>
                <w:szCs w:val="18"/>
                <w:color w:val="auto"/>
              </w:rPr>
              <w:t>1,261,167</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1,350,823</w:t>
            </w:r>
          </w:p>
        </w:tc>
        <w:tc>
          <w:tcPr>
            <w:tcW w:w="0" w:type="dxa"/>
            <w:vAlign w:val="bottom"/>
          </w:tcPr>
          <w:p>
            <w:pPr>
              <w:spacing w:after="0"/>
              <w:rPr>
                <w:sz w:val="1"/>
                <w:szCs w:val="1"/>
                <w:color w:val="auto"/>
              </w:rPr>
            </w:pPr>
          </w:p>
        </w:tc>
      </w:tr>
      <w:tr>
        <w:trPr>
          <w:trHeight w:val="20"/>
        </w:trPr>
        <w:tc>
          <w:tcPr>
            <w:tcW w:w="4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1"/>
        </w:trPr>
        <w:tc>
          <w:tcPr>
            <w:tcW w:w="4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5"/>
        </w:trPr>
        <w:tc>
          <w:tcPr>
            <w:tcW w:w="41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GAAP gross margin</w:t>
            </w:r>
          </w:p>
        </w:tc>
        <w:tc>
          <w:tcPr>
            <w:tcW w:w="18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51.3 %</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53.4 %</w:t>
            </w: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45.1 %</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53.1 %</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53.6%</w:t>
            </w:r>
          </w:p>
        </w:tc>
        <w:tc>
          <w:tcPr>
            <w:tcW w:w="0" w:type="dxa"/>
            <w:vAlign w:val="bottom"/>
          </w:tcPr>
          <w:p>
            <w:pPr>
              <w:spacing w:after="0"/>
              <w:rPr>
                <w:sz w:val="1"/>
                <w:szCs w:val="1"/>
                <w:color w:val="auto"/>
              </w:rPr>
            </w:pPr>
          </w:p>
        </w:tc>
      </w:tr>
      <w:tr>
        <w:trPr>
          <w:trHeight w:val="20"/>
        </w:trPr>
        <w:tc>
          <w:tcPr>
            <w:tcW w:w="4120" w:type="dxa"/>
            <w:vAlign w:val="bottom"/>
            <w:tcBorders>
              <w:top w:val="single" w:sz="8" w:color="CCEEFF"/>
              <w:bottom w:val="single" w:sz="8" w:color="CCEEFF"/>
            </w:tcBorders>
            <w:vMerge w:val="restart"/>
          </w:tcPr>
          <w:p>
            <w:pPr>
              <w:ind w:left="40"/>
              <w:spacing w:after="0"/>
              <w:rPr>
                <w:sz w:val="20"/>
                <w:szCs w:val="20"/>
                <w:color w:val="auto"/>
              </w:rPr>
            </w:pPr>
            <w:r>
              <w:rPr>
                <w:rFonts w:ascii="Times New Roman" w:cs="Times New Roman" w:eastAsia="Times New Roman" w:hAnsi="Times New Roman"/>
                <w:sz w:val="18"/>
                <w:szCs w:val="18"/>
                <w:color w:val="auto"/>
              </w:rPr>
              <w:t>Non-GAAP gross margin</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12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63.5 %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63.3 %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64.6 %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63.6 %</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63.7%</w:t>
            </w:r>
          </w:p>
        </w:tc>
        <w:tc>
          <w:tcPr>
            <w:tcW w:w="0" w:type="dxa"/>
            <w:vAlign w:val="bottom"/>
          </w:tcPr>
          <w:p>
            <w:pPr>
              <w:spacing w:after="0"/>
              <w:rPr>
                <w:sz w:val="1"/>
                <w:szCs w:val="1"/>
                <w:color w:val="auto"/>
              </w:rPr>
            </w:pPr>
          </w:p>
        </w:tc>
      </w:tr>
      <w:tr>
        <w:trPr>
          <w:trHeight w:val="67"/>
        </w:trPr>
        <w:tc>
          <w:tcPr>
            <w:tcW w:w="4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305"/>
        </w:trPr>
        <w:tc>
          <w:tcPr>
            <w:tcW w:w="41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412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160" w:type="dxa"/>
            <w:vAlign w:val="bottom"/>
            <w:shd w:val="clear" w:color="auto" w:fill="CCEEFF"/>
          </w:tcPr>
          <w:p>
            <w:pPr>
              <w:spacing w:after="0"/>
              <w:rPr>
                <w:sz w:val="23"/>
                <w:szCs w:val="23"/>
                <w:color w:val="auto"/>
              </w:rPr>
            </w:pPr>
          </w:p>
        </w:tc>
        <w:tc>
          <w:tcPr>
            <w:tcW w:w="10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10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40" w:type="dxa"/>
            <w:vAlign w:val="bottom"/>
            <w:shd w:val="clear" w:color="auto" w:fill="CCEEFF"/>
          </w:tcPr>
          <w:p>
            <w:pPr>
              <w:spacing w:after="0"/>
              <w:rPr>
                <w:sz w:val="23"/>
                <w:szCs w:val="23"/>
                <w:color w:val="auto"/>
              </w:rPr>
            </w:pPr>
          </w:p>
        </w:tc>
        <w:tc>
          <w:tcPr>
            <w:tcW w:w="10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124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20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bl>
    <w:p>
      <w:pPr>
        <w:spacing w:after="0" w:line="9"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41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GAAP operating expenses</w:t>
            </w: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rPr>
              <w:t>401,576</w:t>
            </w:r>
          </w:p>
        </w:tc>
        <w:tc>
          <w:tcPr>
            <w:tcW w:w="100" w:type="dxa"/>
            <w:vAlign w:val="bottom"/>
          </w:tcPr>
          <w:p>
            <w:pPr>
              <w:spacing w:after="0"/>
              <w:rPr>
                <w:sz w:val="20"/>
                <w:szCs w:val="20"/>
                <w:color w:val="auto"/>
              </w:rPr>
            </w:pP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396,930</w:t>
            </w:r>
          </w:p>
        </w:tc>
        <w:tc>
          <w:tcPr>
            <w:tcW w:w="100" w:type="dxa"/>
            <w:vAlign w:val="bottom"/>
          </w:tcPr>
          <w:p>
            <w:pPr>
              <w:spacing w:after="0"/>
              <w:rPr>
                <w:sz w:val="20"/>
                <w:szCs w:val="20"/>
                <w:color w:val="auto"/>
              </w:rPr>
            </w:pP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404,097</w:t>
            </w:r>
          </w:p>
        </w:tc>
        <w:tc>
          <w:tcPr>
            <w:tcW w:w="100" w:type="dxa"/>
            <w:vAlign w:val="bottom"/>
          </w:tcPr>
          <w:p>
            <w:pPr>
              <w:spacing w:after="0"/>
              <w:rPr>
                <w:sz w:val="20"/>
                <w:szCs w:val="20"/>
                <w:color w:val="auto"/>
              </w:rPr>
            </w:pP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1,181,060</w:t>
            </w:r>
          </w:p>
        </w:tc>
        <w:tc>
          <w:tcPr>
            <w:tcW w:w="120" w:type="dxa"/>
            <w:vAlign w:val="bottom"/>
          </w:tcPr>
          <w:p>
            <w:pPr>
              <w:spacing w:after="0"/>
              <w:rPr>
                <w:sz w:val="20"/>
                <w:szCs w:val="20"/>
                <w:color w:val="auto"/>
              </w:rPr>
            </w:pPr>
          </w:p>
        </w:tc>
        <w:tc>
          <w:tcPr>
            <w:tcW w:w="3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1,040,112</w:t>
            </w:r>
          </w:p>
        </w:tc>
      </w:tr>
      <w:tr>
        <w:trPr>
          <w:trHeight w:val="27"/>
        </w:trPr>
        <w:tc>
          <w:tcPr>
            <w:tcW w:w="4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41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Special items:</w:t>
            </w: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r>
      <w:tr>
        <w:trPr>
          <w:trHeight w:val="243"/>
        </w:trPr>
        <w:tc>
          <w:tcPr>
            <w:tcW w:w="41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Share-based compensation</w:t>
            </w:r>
          </w:p>
        </w:tc>
        <w:tc>
          <w:tcPr>
            <w:tcW w:w="280" w:type="dxa"/>
            <w:vAlign w:val="bottom"/>
          </w:tcPr>
          <w:p>
            <w:pPr>
              <w:spacing w:after="0"/>
              <w:rPr>
                <w:sz w:val="21"/>
                <w:szCs w:val="21"/>
                <w:color w:val="auto"/>
              </w:rPr>
            </w:pPr>
          </w:p>
        </w:tc>
        <w:tc>
          <w:tcPr>
            <w:tcW w:w="106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(63,375)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(60,014)</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(47,811)</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4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(179,061)</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(138,433)</w:t>
            </w:r>
          </w:p>
        </w:tc>
      </w:tr>
      <w:tr>
        <w:trPr>
          <w:trHeight w:val="27"/>
        </w:trPr>
        <w:tc>
          <w:tcPr>
            <w:tcW w:w="4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412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Restructuring related charges (b)</w:t>
            </w: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(14,802)</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(16,585)</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(27,031)</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(37,070)</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(64,013)</w:t>
            </w:r>
          </w:p>
        </w:tc>
      </w:tr>
      <w:tr>
        <w:trPr>
          <w:trHeight w:val="243"/>
        </w:trPr>
        <w:tc>
          <w:tcPr>
            <w:tcW w:w="41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280" w:type="dxa"/>
            <w:vAlign w:val="bottom"/>
          </w:tcPr>
          <w:p>
            <w:pPr>
              <w:spacing w:after="0"/>
              <w:rPr>
                <w:sz w:val="21"/>
                <w:szCs w:val="21"/>
                <w:color w:val="auto"/>
              </w:rPr>
            </w:pPr>
          </w:p>
        </w:tc>
        <w:tc>
          <w:tcPr>
            <w:tcW w:w="106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(20,614)</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(19,835)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(21,098)</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4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(60,283)</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(28,053)</w:t>
            </w:r>
          </w:p>
        </w:tc>
      </w:tr>
      <w:tr>
        <w:trPr>
          <w:trHeight w:val="27"/>
        </w:trPr>
        <w:tc>
          <w:tcPr>
            <w:tcW w:w="4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412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Other operating expenses (c)</w:t>
            </w:r>
          </w:p>
        </w:tc>
        <w:tc>
          <w:tcPr>
            <w:tcW w:w="28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(19,495)</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(20,676)</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(11,222)</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(46,740)</w:t>
            </w:r>
          </w:p>
        </w:tc>
        <w:tc>
          <w:tcPr>
            <w:tcW w:w="12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(54,703)</w:t>
            </w:r>
          </w:p>
        </w:tc>
      </w:tr>
      <w:tr>
        <w:trPr>
          <w:trHeight w:val="237"/>
        </w:trPr>
        <w:tc>
          <w:tcPr>
            <w:tcW w:w="41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special items</w:t>
            </w:r>
          </w:p>
        </w:tc>
        <w:tc>
          <w:tcPr>
            <w:tcW w:w="28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ind w:right="110"/>
              <w:spacing w:after="0"/>
              <w:rPr>
                <w:sz w:val="20"/>
                <w:szCs w:val="20"/>
                <w:color w:val="auto"/>
              </w:rPr>
            </w:pPr>
            <w:r>
              <w:rPr>
                <w:rFonts w:ascii="Times New Roman" w:cs="Times New Roman" w:eastAsia="Times New Roman" w:hAnsi="Times New Roman"/>
                <w:sz w:val="18"/>
                <w:szCs w:val="18"/>
                <w:color w:val="auto"/>
              </w:rPr>
              <w:t>(118,286)</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rPr>
              <w:t>(117,110)</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rPr>
              <w:t>(107,162)</w:t>
            </w:r>
          </w:p>
        </w:tc>
        <w:tc>
          <w:tcPr>
            <w:tcW w:w="10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rPr>
              <w:t>(323,154)</w:t>
            </w:r>
          </w:p>
        </w:tc>
        <w:tc>
          <w:tcPr>
            <w:tcW w:w="12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(285,202)</w:t>
            </w:r>
          </w:p>
        </w:tc>
      </w:tr>
      <w:tr>
        <w:trPr>
          <w:trHeight w:val="27"/>
        </w:trPr>
        <w:tc>
          <w:tcPr>
            <w:tcW w:w="4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69"/>
        </w:trPr>
        <w:tc>
          <w:tcPr>
            <w:tcW w:w="41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Total non-GAAP operating expenses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bottom w:val="single" w:sz="8" w:color="CCEEFF"/>
            </w:tcBorders>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283,290</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279,820</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296,935</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857,906</w:t>
            </w:r>
          </w:p>
        </w:tc>
        <w:tc>
          <w:tcPr>
            <w:tcW w:w="1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754,910</w:t>
            </w:r>
          </w:p>
        </w:tc>
      </w:tr>
      <w:tr>
        <w:trPr>
          <w:trHeight w:val="20"/>
        </w:trPr>
        <w:tc>
          <w:tcPr>
            <w:tcW w:w="4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4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00" w:type="dxa"/>
            <w:vAlign w:val="bottom"/>
          </w:tcPr>
          <w:p>
            <w:pPr>
              <w:spacing w:after="0"/>
              <w:rPr>
                <w:sz w:val="21"/>
                <w:szCs w:val="21"/>
                <w:color w:val="auto"/>
              </w:rPr>
            </w:pPr>
          </w:p>
        </w:tc>
      </w:tr>
      <w:tr>
        <w:trPr>
          <w:trHeight w:val="324"/>
        </w:trPr>
        <w:tc>
          <w:tcPr>
            <w:tcW w:w="41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4120" w:type="dxa"/>
            <w:vAlign w:val="bottom"/>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GAAP operating margin</w:t>
            </w: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(9.3)%</w:t>
            </w:r>
          </w:p>
        </w:tc>
        <w:tc>
          <w:tcPr>
            <w:tcW w:w="100" w:type="dxa"/>
            <w:vAlign w:val="bottom"/>
            <w:shd w:val="clear" w:color="auto" w:fill="CCEEFF"/>
          </w:tcPr>
          <w:p>
            <w:pPr>
              <w:spacing w:after="0"/>
              <w:rPr>
                <w:sz w:val="23"/>
                <w:szCs w:val="23"/>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(7.0)%</w:t>
            </w:r>
          </w:p>
        </w:tc>
        <w:tc>
          <w:tcPr>
            <w:tcW w:w="100" w:type="dxa"/>
            <w:vAlign w:val="bottom"/>
            <w:shd w:val="clear" w:color="auto" w:fill="CCEEFF"/>
          </w:tcPr>
          <w:p>
            <w:pPr>
              <w:spacing w:after="0"/>
              <w:rPr>
                <w:sz w:val="23"/>
                <w:szCs w:val="23"/>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w:t>
            </w:r>
          </w:p>
        </w:tc>
        <w:tc>
          <w:tcPr>
            <w:tcW w:w="100" w:type="dxa"/>
            <w:vAlign w:val="bottom"/>
            <w:shd w:val="clear" w:color="auto" w:fill="CCEEFF"/>
          </w:tcPr>
          <w:p>
            <w:pPr>
              <w:spacing w:after="0"/>
              <w:rPr>
                <w:sz w:val="23"/>
                <w:szCs w:val="23"/>
                <w:color w:val="auto"/>
              </w:rPr>
            </w:pPr>
          </w:p>
        </w:tc>
        <w:tc>
          <w:tcPr>
            <w:tcW w:w="14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w:t>
            </w:r>
          </w:p>
        </w:tc>
        <w:tc>
          <w:tcPr>
            <w:tcW w:w="120" w:type="dxa"/>
            <w:vAlign w:val="bottom"/>
            <w:shd w:val="clear" w:color="auto" w:fill="CCEEFF"/>
          </w:tcPr>
          <w:p>
            <w:pPr>
              <w:spacing w:after="0"/>
              <w:rPr>
                <w:sz w:val="23"/>
                <w:szCs w:val="23"/>
                <w:color w:val="auto"/>
              </w:rPr>
            </w:pPr>
          </w:p>
        </w:tc>
        <w:tc>
          <w:tcPr>
            <w:tcW w:w="14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w:t>
            </w:r>
          </w:p>
        </w:tc>
      </w:tr>
      <w:tr>
        <w:trPr>
          <w:trHeight w:val="243"/>
        </w:trPr>
        <w:tc>
          <w:tcPr>
            <w:tcW w:w="41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0.7 %</w:t>
            </w:r>
          </w:p>
        </w:tc>
        <w:tc>
          <w:tcPr>
            <w:tcW w:w="100" w:type="dxa"/>
            <w:vAlign w:val="bottom"/>
          </w:tcPr>
          <w:p>
            <w:pPr>
              <w:spacing w:after="0"/>
              <w:rPr>
                <w:sz w:val="21"/>
                <w:szCs w:val="21"/>
                <w:color w:val="auto"/>
              </w:rPr>
            </w:pPr>
          </w:p>
        </w:tc>
        <w:tc>
          <w:tcPr>
            <w:tcW w:w="1440" w:type="dxa"/>
            <w:vAlign w:val="bottom"/>
            <w:gridSpan w:val="2"/>
          </w:tcPr>
          <w:p>
            <w:pPr>
              <w:ind w:left="920"/>
              <w:spacing w:after="0"/>
              <w:rPr>
                <w:sz w:val="20"/>
                <w:szCs w:val="20"/>
                <w:color w:val="auto"/>
              </w:rPr>
            </w:pPr>
            <w:r>
              <w:rPr>
                <w:rFonts w:ascii="Times New Roman" w:cs="Times New Roman" w:eastAsia="Times New Roman" w:hAnsi="Times New Roman"/>
                <w:sz w:val="18"/>
                <w:szCs w:val="18"/>
                <w:color w:val="auto"/>
              </w:rPr>
              <w:t>— %</w:t>
            </w: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12.4 %</w:t>
            </w:r>
          </w:p>
        </w:tc>
        <w:tc>
          <w:tcPr>
            <w:tcW w:w="100" w:type="dxa"/>
            <w:vAlign w:val="bottom"/>
          </w:tcPr>
          <w:p>
            <w:pPr>
              <w:spacing w:after="0"/>
              <w:rPr>
                <w:sz w:val="21"/>
                <w:szCs w:val="21"/>
                <w:color w:val="auto"/>
              </w:rPr>
            </w:pPr>
          </w:p>
        </w:tc>
        <w:tc>
          <w:tcPr>
            <w:tcW w:w="1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0.3 %</w:t>
            </w:r>
          </w:p>
        </w:tc>
        <w:tc>
          <w:tcPr>
            <w:tcW w:w="120" w:type="dxa"/>
            <w:vAlign w:val="bottom"/>
          </w:tcPr>
          <w:p>
            <w:pPr>
              <w:spacing w:after="0"/>
              <w:rPr>
                <w:sz w:val="21"/>
                <w:szCs w:val="21"/>
                <w:color w:val="auto"/>
              </w:rPr>
            </w:pPr>
          </w:p>
        </w:tc>
        <w:tc>
          <w:tcPr>
            <w:tcW w:w="14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w:t>
            </w:r>
          </w:p>
        </w:tc>
      </w:tr>
      <w:tr>
        <w:trPr>
          <w:trHeight w:val="27"/>
        </w:trPr>
        <w:tc>
          <w:tcPr>
            <w:tcW w:w="4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412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Share-based compensation</w:t>
            </w: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10.2 %</w:t>
            </w:r>
          </w:p>
        </w:tc>
        <w:tc>
          <w:tcPr>
            <w:tcW w:w="10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9.7 %</w:t>
            </w:r>
          </w:p>
        </w:tc>
        <w:tc>
          <w:tcPr>
            <w:tcW w:w="10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5.9 %</w:t>
            </w:r>
          </w:p>
        </w:tc>
        <w:tc>
          <w:tcPr>
            <w:tcW w:w="10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9.6 %</w:t>
            </w:r>
          </w:p>
        </w:tc>
        <w:tc>
          <w:tcPr>
            <w:tcW w:w="1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7.0%</w:t>
            </w:r>
          </w:p>
        </w:tc>
      </w:tr>
      <w:tr>
        <w:trPr>
          <w:trHeight w:val="243"/>
        </w:trPr>
        <w:tc>
          <w:tcPr>
            <w:tcW w:w="41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Restructuring related charges (b)</w:t>
            </w: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2.2 %</w:t>
            </w:r>
          </w:p>
        </w:tc>
        <w:tc>
          <w:tcPr>
            <w:tcW w:w="10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2.5 %</w:t>
            </w:r>
          </w:p>
        </w:tc>
        <w:tc>
          <w:tcPr>
            <w:tcW w:w="10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3.2 %</w:t>
            </w:r>
          </w:p>
        </w:tc>
        <w:tc>
          <w:tcPr>
            <w:tcW w:w="100" w:type="dxa"/>
            <w:vAlign w:val="bottom"/>
          </w:tcPr>
          <w:p>
            <w:pPr>
              <w:spacing w:after="0"/>
              <w:rPr>
                <w:sz w:val="21"/>
                <w:szCs w:val="21"/>
                <w:color w:val="auto"/>
              </w:rPr>
            </w:pPr>
          </w:p>
        </w:tc>
        <w:tc>
          <w:tcPr>
            <w:tcW w:w="1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1.9 %</w:t>
            </w:r>
          </w:p>
        </w:tc>
        <w:tc>
          <w:tcPr>
            <w:tcW w:w="120" w:type="dxa"/>
            <w:vAlign w:val="bottom"/>
          </w:tcPr>
          <w:p>
            <w:pPr>
              <w:spacing w:after="0"/>
              <w:rPr>
                <w:sz w:val="21"/>
                <w:szCs w:val="21"/>
                <w:color w:val="auto"/>
              </w:rPr>
            </w:pPr>
          </w:p>
        </w:tc>
        <w:tc>
          <w:tcPr>
            <w:tcW w:w="14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7"/>
        </w:trPr>
        <w:tc>
          <w:tcPr>
            <w:tcW w:w="4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412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14.0 %</w:t>
            </w:r>
          </w:p>
        </w:tc>
        <w:tc>
          <w:tcPr>
            <w:tcW w:w="10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12.3 %</w:t>
            </w:r>
          </w:p>
        </w:tc>
        <w:tc>
          <w:tcPr>
            <w:tcW w:w="10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9.2 %</w:t>
            </w:r>
          </w:p>
        </w:tc>
        <w:tc>
          <w:tcPr>
            <w:tcW w:w="10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12.8 %</w:t>
            </w:r>
          </w:p>
        </w:tc>
        <w:tc>
          <w:tcPr>
            <w:tcW w:w="1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43"/>
        </w:trPr>
        <w:tc>
          <w:tcPr>
            <w:tcW w:w="41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Other operating expenses (c)</w:t>
            </w: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3.0 %</w:t>
            </w:r>
          </w:p>
        </w:tc>
        <w:tc>
          <w:tcPr>
            <w:tcW w:w="10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3.2 %</w:t>
            </w:r>
          </w:p>
        </w:tc>
        <w:tc>
          <w:tcPr>
            <w:tcW w:w="10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1.4 %</w:t>
            </w:r>
          </w:p>
        </w:tc>
        <w:tc>
          <w:tcPr>
            <w:tcW w:w="100" w:type="dxa"/>
            <w:vAlign w:val="bottom"/>
          </w:tcPr>
          <w:p>
            <w:pPr>
              <w:spacing w:after="0"/>
              <w:rPr>
                <w:sz w:val="21"/>
                <w:szCs w:val="21"/>
                <w:color w:val="auto"/>
              </w:rPr>
            </w:pPr>
          </w:p>
        </w:tc>
        <w:tc>
          <w:tcPr>
            <w:tcW w:w="1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2.3 %</w:t>
            </w:r>
          </w:p>
        </w:tc>
        <w:tc>
          <w:tcPr>
            <w:tcW w:w="120" w:type="dxa"/>
            <w:vAlign w:val="bottom"/>
          </w:tcPr>
          <w:p>
            <w:pPr>
              <w:spacing w:after="0"/>
              <w:rPr>
                <w:sz w:val="21"/>
                <w:szCs w:val="21"/>
                <w:color w:val="auto"/>
              </w:rPr>
            </w:pPr>
          </w:p>
        </w:tc>
        <w:tc>
          <w:tcPr>
            <w:tcW w:w="14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r>
      <w:tr>
        <w:trPr>
          <w:trHeight w:val="27"/>
        </w:trPr>
        <w:tc>
          <w:tcPr>
            <w:tcW w:w="4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257"/>
        </w:trPr>
        <w:tc>
          <w:tcPr>
            <w:tcW w:w="41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Non-GAAP operating margin</w:t>
            </w:r>
          </w:p>
        </w:tc>
        <w:tc>
          <w:tcPr>
            <w:tcW w:w="13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20.8 %</w:t>
            </w:r>
          </w:p>
        </w:tc>
        <w:tc>
          <w:tcPr>
            <w:tcW w:w="10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20.7 %</w:t>
            </w:r>
          </w:p>
        </w:tc>
        <w:tc>
          <w:tcPr>
            <w:tcW w:w="10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29.7 %</w:t>
            </w:r>
          </w:p>
        </w:tc>
        <w:tc>
          <w:tcPr>
            <w:tcW w:w="100" w:type="dxa"/>
            <w:vAlign w:val="bottom"/>
            <w:tcBorders>
              <w:bottom w:val="single" w:sz="8" w:color="CCEEFF"/>
            </w:tcBorders>
            <w:shd w:val="clear" w:color="auto" w:fill="CCEEFF"/>
          </w:tcPr>
          <w:p>
            <w:pPr>
              <w:spacing w:after="0"/>
              <w:rPr>
                <w:sz w:val="22"/>
                <w:szCs w:val="22"/>
                <w:color w:val="auto"/>
              </w:rPr>
            </w:pPr>
          </w:p>
        </w:tc>
        <w:tc>
          <w:tcPr>
            <w:tcW w:w="14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20.4 %</w:t>
            </w:r>
          </w:p>
        </w:tc>
        <w:tc>
          <w:tcPr>
            <w:tcW w:w="120" w:type="dxa"/>
            <w:vAlign w:val="bottom"/>
            <w:tcBorders>
              <w:bottom w:val="single" w:sz="8" w:color="CCEEFF"/>
            </w:tcBorders>
            <w:shd w:val="clear" w:color="auto" w:fill="CCEEFF"/>
          </w:tcPr>
          <w:p>
            <w:pPr>
              <w:spacing w:after="0"/>
              <w:rPr>
                <w:sz w:val="22"/>
                <w:szCs w:val="22"/>
                <w:color w:val="auto"/>
              </w:rPr>
            </w:pPr>
          </w:p>
        </w:tc>
        <w:tc>
          <w:tcPr>
            <w:tcW w:w="14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28.1%</w:t>
            </w:r>
          </w:p>
        </w:tc>
      </w:tr>
      <w:tr>
        <w:trPr>
          <w:trHeight w:val="20"/>
        </w:trPr>
        <w:tc>
          <w:tcPr>
            <w:tcW w:w="412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779" w:right="239" w:bottom="1440" w:gutter="0" w:footer="0" w:header="0"/>
        </w:sectPr>
      </w:pPr>
    </w:p>
    <w:bookmarkStart w:id="11" w:name="page12"/>
    <w:bookmarkEnd w:id="11"/>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448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480" w:type="dxa"/>
            <w:vAlign w:val="bottom"/>
            <w:tcBorders>
              <w:bottom w:val="single" w:sz="8" w:color="auto"/>
            </w:tcBorders>
            <w:gridSpan w:val="4"/>
          </w:tcPr>
          <w:p>
            <w:pPr>
              <w:ind w:left="10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640" w:type="dxa"/>
            <w:vAlign w:val="bottom"/>
            <w:tcBorders>
              <w:bottom w:val="single" w:sz="8" w:color="auto"/>
            </w:tcBorders>
            <w:gridSpan w:val="4"/>
          </w:tcPr>
          <w:p>
            <w:pPr>
              <w:jc w:val="right"/>
              <w:ind w:right="694"/>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149"/>
        </w:trPr>
        <w:tc>
          <w:tcPr>
            <w:tcW w:w="44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00" w:type="dxa"/>
            <w:vAlign w:val="bottom"/>
          </w:tcPr>
          <w:p>
            <w:pPr>
              <w:jc w:val="right"/>
              <w:ind w:right="174"/>
              <w:spacing w:after="0" w:line="149"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1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140" w:type="dxa"/>
            <w:vAlign w:val="bottom"/>
            <w:gridSpan w:val="2"/>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160" w:type="dxa"/>
            <w:vAlign w:val="bottom"/>
          </w:tcPr>
          <w:p>
            <w:pPr>
              <w:spacing w:after="0"/>
              <w:rPr>
                <w:sz w:val="12"/>
                <w:szCs w:val="12"/>
                <w:color w:val="auto"/>
              </w:rPr>
            </w:pPr>
          </w:p>
        </w:tc>
        <w:tc>
          <w:tcPr>
            <w:tcW w:w="1200" w:type="dxa"/>
            <w:vAlign w:val="bottom"/>
            <w:gridSpan w:val="2"/>
          </w:tcPr>
          <w:p>
            <w:pPr>
              <w:ind w:left="60"/>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200" w:type="dxa"/>
            <w:vAlign w:val="bottom"/>
          </w:tcPr>
          <w:p>
            <w:pPr>
              <w:spacing w:after="0"/>
              <w:rPr>
                <w:sz w:val="12"/>
                <w:szCs w:val="12"/>
                <w:color w:val="auto"/>
              </w:rPr>
            </w:pPr>
          </w:p>
        </w:tc>
        <w:tc>
          <w:tcPr>
            <w:tcW w:w="1280" w:type="dxa"/>
            <w:vAlign w:val="bottom"/>
            <w:gridSpan w:val="2"/>
          </w:tcPr>
          <w:p>
            <w:pPr>
              <w:ind w:left="80"/>
              <w:spacing w:after="0" w:line="149"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200" w:type="dxa"/>
            <w:vAlign w:val="bottom"/>
          </w:tcPr>
          <w:p>
            <w:pPr>
              <w:spacing w:after="0"/>
              <w:rPr>
                <w:sz w:val="12"/>
                <w:szCs w:val="12"/>
                <w:color w:val="auto"/>
              </w:rPr>
            </w:pPr>
          </w:p>
        </w:tc>
        <w:tc>
          <w:tcPr>
            <w:tcW w:w="1160" w:type="dxa"/>
            <w:vAlign w:val="bottom"/>
          </w:tcPr>
          <w:p>
            <w:pPr>
              <w:jc w:val="right"/>
              <w:ind w:right="214"/>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r>
      <w:tr>
        <w:trPr>
          <w:trHeight w:val="195"/>
        </w:trPr>
        <w:tc>
          <w:tcPr>
            <w:tcW w:w="448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394"/>
              <w:spacing w:after="0"/>
              <w:rPr>
                <w:sz w:val="20"/>
                <w:szCs w:val="20"/>
                <w:color w:val="auto"/>
              </w:rPr>
            </w:pPr>
            <w:r>
              <w:rPr>
                <w:rFonts w:ascii="Times New Roman" w:cs="Times New Roman" w:eastAsia="Times New Roman" w:hAnsi="Times New Roman"/>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14"/>
              <w:spacing w:after="0"/>
              <w:rPr>
                <w:sz w:val="20"/>
                <w:szCs w:val="20"/>
                <w:color w:val="auto"/>
              </w:rPr>
            </w:pPr>
            <w:r>
              <w:rPr>
                <w:rFonts w:ascii="Times New Roman" w:cs="Times New Roman" w:eastAsia="Times New Roman" w:hAnsi="Times New Roman"/>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394"/>
              <w:spacing w:after="0"/>
              <w:rPr>
                <w:sz w:val="20"/>
                <w:szCs w:val="20"/>
                <w:color w:val="auto"/>
              </w:rPr>
            </w:pPr>
            <w:r>
              <w:rPr>
                <w:rFonts w:ascii="Times New Roman" w:cs="Times New Roman" w:eastAsia="Times New Roman" w:hAnsi="Times New Roman"/>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6"/>
              <w:spacing w:after="0"/>
              <w:rPr>
                <w:sz w:val="20"/>
                <w:szCs w:val="20"/>
                <w:color w:val="auto"/>
              </w:rPr>
            </w:pPr>
            <w:r>
              <w:rPr>
                <w:rFonts w:ascii="Times New Roman" w:cs="Times New Roman" w:eastAsia="Times New Roman" w:hAnsi="Times New Roman"/>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4"/>
              <w:spacing w:after="0"/>
              <w:rPr>
                <w:sz w:val="20"/>
                <w:szCs w:val="20"/>
                <w:color w:val="auto"/>
              </w:rPr>
            </w:pPr>
            <w:r>
              <w:rPr>
                <w:rFonts w:ascii="Times New Roman" w:cs="Times New Roman" w:eastAsia="Times New Roman" w:hAnsi="Times New Roman"/>
                <w:sz w:val="14"/>
                <w:szCs w:val="14"/>
                <w:b w:val="1"/>
                <w:bCs w:val="1"/>
                <w:color w:val="auto"/>
              </w:rPr>
              <w:t>2018</w:t>
            </w:r>
          </w:p>
        </w:tc>
      </w:tr>
      <w:tr>
        <w:trPr>
          <w:trHeight w:val="249"/>
        </w:trPr>
        <w:tc>
          <w:tcPr>
            <w:tcW w:w="44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GAAP interest and other income (loss), net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(19,460)</w:t>
            </w:r>
          </w:p>
        </w:tc>
        <w:tc>
          <w:tcPr>
            <w:tcW w:w="34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(21,651)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(23,952)</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(61,162)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(31,577)</w:t>
            </w:r>
          </w:p>
        </w:tc>
      </w:tr>
      <w:tr>
        <w:trPr>
          <w:trHeight w:val="243"/>
        </w:trPr>
        <w:tc>
          <w:tcPr>
            <w:tcW w:w="44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Special items:</w:t>
            </w:r>
          </w:p>
        </w:tc>
        <w:tc>
          <w:tcPr>
            <w:tcW w:w="16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r>
      <w:tr>
        <w:trPr>
          <w:trHeight w:val="27"/>
        </w:trPr>
        <w:tc>
          <w:tcPr>
            <w:tcW w:w="44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44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Restructuring related items (d)</w:t>
            </w: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(946)</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75</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1,491</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(1,209)</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(142)</w:t>
            </w:r>
          </w:p>
        </w:tc>
      </w:tr>
      <w:tr>
        <w:trPr>
          <w:trHeight w:val="243"/>
        </w:trPr>
        <w:tc>
          <w:tcPr>
            <w:tcW w:w="44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Write-off of debt issuance costs (e)</w:t>
            </w:r>
          </w:p>
        </w:tc>
        <w:tc>
          <w:tcPr>
            <w:tcW w:w="160" w:type="dxa"/>
            <w:vAlign w:val="bottom"/>
          </w:tcPr>
          <w:p>
            <w:pPr>
              <w:spacing w:after="0"/>
              <w:rPr>
                <w:sz w:val="21"/>
                <w:szCs w:val="21"/>
                <w:color w:val="auto"/>
              </w:rPr>
            </w:pPr>
          </w:p>
        </w:tc>
        <w:tc>
          <w:tcPr>
            <w:tcW w:w="110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21"/>
                <w:szCs w:val="21"/>
                <w:color w:val="auto"/>
              </w:rPr>
            </w:pPr>
          </w:p>
        </w:tc>
        <w:tc>
          <w:tcPr>
            <w:tcW w:w="110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850</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458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6,954</w:t>
            </w:r>
          </w:p>
        </w:tc>
      </w:tr>
      <w:tr>
        <w:trPr>
          <w:trHeight w:val="27"/>
        </w:trPr>
        <w:tc>
          <w:tcPr>
            <w:tcW w:w="44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70"/>
        </w:trPr>
        <w:tc>
          <w:tcPr>
            <w:tcW w:w="44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Deal costs (f)</w:t>
            </w:r>
          </w:p>
        </w:tc>
        <w:tc>
          <w:tcPr>
            <w:tcW w:w="1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496</w:t>
            </w:r>
          </w:p>
        </w:tc>
        <w:tc>
          <w:tcPr>
            <w:tcW w:w="12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1,009</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1,505</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w:t>
            </w:r>
          </w:p>
        </w:tc>
      </w:tr>
      <w:tr>
        <w:trPr>
          <w:trHeight w:val="237"/>
        </w:trPr>
        <w:tc>
          <w:tcPr>
            <w:tcW w:w="44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special items</w:t>
            </w:r>
          </w:p>
        </w:tc>
        <w:tc>
          <w:tcPr>
            <w:tcW w:w="1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(450)</w:t>
            </w:r>
          </w:p>
        </w:tc>
        <w:tc>
          <w:tcPr>
            <w:tcW w:w="12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1,084</w:t>
            </w:r>
          </w:p>
        </w:tc>
        <w:tc>
          <w:tcPr>
            <w:tcW w:w="10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2,341</w:t>
            </w:r>
          </w:p>
        </w:tc>
        <w:tc>
          <w:tcPr>
            <w:tcW w:w="10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6"/>
              <w:spacing w:after="0"/>
              <w:rPr>
                <w:sz w:val="20"/>
                <w:szCs w:val="20"/>
                <w:color w:val="auto"/>
              </w:rPr>
            </w:pPr>
            <w:r>
              <w:rPr>
                <w:rFonts w:ascii="Times New Roman" w:cs="Times New Roman" w:eastAsia="Times New Roman" w:hAnsi="Times New Roman"/>
                <w:sz w:val="18"/>
                <w:szCs w:val="18"/>
                <w:color w:val="auto"/>
              </w:rPr>
              <w:t>754</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4"/>
              <w:spacing w:after="0"/>
              <w:rPr>
                <w:sz w:val="20"/>
                <w:szCs w:val="20"/>
                <w:color w:val="auto"/>
              </w:rPr>
            </w:pPr>
            <w:r>
              <w:rPr>
                <w:rFonts w:ascii="Times New Roman" w:cs="Times New Roman" w:eastAsia="Times New Roman" w:hAnsi="Times New Roman"/>
                <w:sz w:val="18"/>
                <w:szCs w:val="18"/>
                <w:color w:val="auto"/>
              </w:rPr>
              <w:t>6,812</w:t>
            </w:r>
          </w:p>
        </w:tc>
      </w:tr>
      <w:tr>
        <w:trPr>
          <w:trHeight w:val="27"/>
        </w:trPr>
        <w:tc>
          <w:tcPr>
            <w:tcW w:w="44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9"/>
        </w:trPr>
        <w:tc>
          <w:tcPr>
            <w:tcW w:w="44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Total non-GAAP interest and other income (loss), net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(19,910)</w:t>
            </w:r>
          </w:p>
        </w:tc>
        <w:tc>
          <w:tcPr>
            <w:tcW w:w="34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(20,567)</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(21,611)</w:t>
            </w: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(60,408)</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(24,765)</w:t>
            </w:r>
          </w:p>
        </w:tc>
      </w:tr>
      <w:tr>
        <w:trPr>
          <w:trHeight w:val="20"/>
        </w:trPr>
        <w:tc>
          <w:tcPr>
            <w:tcW w:w="44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r>
      <w:tr>
        <w:trPr>
          <w:trHeight w:val="305"/>
        </w:trPr>
        <w:tc>
          <w:tcPr>
            <w:tcW w:w="44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324"/>
        </w:trPr>
        <w:tc>
          <w:tcPr>
            <w:tcW w:w="448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4480" w:type="dxa"/>
            <w:vAlign w:val="bottom"/>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GAAP net income (loss)</w:t>
            </w:r>
          </w:p>
        </w:tc>
        <w:tc>
          <w:tcPr>
            <w:tcW w:w="340" w:type="dxa"/>
            <w:vAlign w:val="bottom"/>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(82,501)</w:t>
            </w:r>
          </w:p>
        </w:tc>
        <w:tc>
          <w:tcPr>
            <w:tcW w:w="120" w:type="dxa"/>
            <w:vAlign w:val="bottom"/>
            <w:shd w:val="clear" w:color="auto" w:fill="CCEEFF"/>
          </w:tcPr>
          <w:p>
            <w:pPr>
              <w:spacing w:after="0"/>
              <w:rPr>
                <w:sz w:val="23"/>
                <w:szCs w:val="23"/>
                <w:color w:val="auto"/>
              </w:rPr>
            </w:pPr>
          </w:p>
        </w:tc>
        <w:tc>
          <w:tcPr>
            <w:tcW w:w="340" w:type="dxa"/>
            <w:vAlign w:val="bottom"/>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(57,331)</w:t>
            </w:r>
          </w:p>
        </w:tc>
        <w:tc>
          <w:tcPr>
            <w:tcW w:w="100" w:type="dxa"/>
            <w:vAlign w:val="bottom"/>
            <w:shd w:val="clear" w:color="auto" w:fill="CCEEFF"/>
          </w:tcPr>
          <w:p>
            <w:pPr>
              <w:spacing w:after="0"/>
              <w:rPr>
                <w:sz w:val="23"/>
                <w:szCs w:val="23"/>
                <w:color w:val="auto"/>
              </w:rPr>
            </w:pPr>
          </w:p>
        </w:tc>
        <w:tc>
          <w:tcPr>
            <w:tcW w:w="340" w:type="dxa"/>
            <w:vAlign w:val="bottom"/>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(53,767)</w:t>
            </w:r>
          </w:p>
        </w:tc>
        <w:tc>
          <w:tcPr>
            <w:tcW w:w="100" w:type="dxa"/>
            <w:vAlign w:val="bottom"/>
            <w:shd w:val="clear" w:color="auto" w:fill="CCEEFF"/>
          </w:tcPr>
          <w:p>
            <w:pPr>
              <w:spacing w:after="0"/>
              <w:rPr>
                <w:sz w:val="23"/>
                <w:szCs w:val="23"/>
                <w:color w:val="auto"/>
              </w:rPr>
            </w:pPr>
          </w:p>
        </w:tc>
        <w:tc>
          <w:tcPr>
            <w:tcW w:w="360" w:type="dxa"/>
            <w:vAlign w:val="bottom"/>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(188,282)</w:t>
            </w:r>
          </w:p>
        </w:tc>
        <w:tc>
          <w:tcPr>
            <w:tcW w:w="120" w:type="dxa"/>
            <w:vAlign w:val="bottom"/>
            <w:shd w:val="clear" w:color="auto" w:fill="CCEEFF"/>
          </w:tcPr>
          <w:p>
            <w:pPr>
              <w:spacing w:after="0"/>
              <w:rPr>
                <w:sz w:val="23"/>
                <w:szCs w:val="23"/>
                <w:color w:val="auto"/>
              </w:rPr>
            </w:pPr>
          </w:p>
        </w:tc>
        <w:tc>
          <w:tcPr>
            <w:tcW w:w="400" w:type="dxa"/>
            <w:vAlign w:val="bottom"/>
            <w:shd w:val="clear" w:color="auto" w:fill="CCEEFF"/>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6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81,604</w:t>
            </w:r>
          </w:p>
        </w:tc>
      </w:tr>
      <w:tr>
        <w:trPr>
          <w:trHeight w:val="243"/>
        </w:trPr>
        <w:tc>
          <w:tcPr>
            <w:tcW w:w="44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Special items:</w:t>
            </w: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spacing w:after="0"/>
              <w:rPr>
                <w:sz w:val="21"/>
                <w:szCs w:val="21"/>
                <w:color w:val="auto"/>
              </w:rPr>
            </w:pPr>
          </w:p>
        </w:tc>
      </w:tr>
      <w:tr>
        <w:trPr>
          <w:trHeight w:val="27"/>
        </w:trPr>
        <w:tc>
          <w:tcPr>
            <w:tcW w:w="4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50"/>
        </w:trPr>
        <w:tc>
          <w:tcPr>
            <w:tcW w:w="44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4,758</w:t>
            </w: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105,841</w:t>
            </w: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5,208</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128,774</w:t>
            </w:r>
          </w:p>
        </w:tc>
      </w:tr>
      <w:tr>
        <w:trPr>
          <w:trHeight w:val="243"/>
        </w:trPr>
        <w:tc>
          <w:tcPr>
            <w:tcW w:w="44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Share-based compensation</w:t>
            </w: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67,365</w:t>
            </w: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63,676</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50,240</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189,639</w:t>
            </w: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147,515</w:t>
            </w:r>
          </w:p>
        </w:tc>
      </w:tr>
      <w:tr>
        <w:trPr>
          <w:trHeight w:val="27"/>
        </w:trPr>
        <w:tc>
          <w:tcPr>
            <w:tcW w:w="4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25"/>
        </w:trPr>
        <w:tc>
          <w:tcPr>
            <w:tcW w:w="4480" w:type="dxa"/>
            <w:vAlign w:val="bottom"/>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Restructuring related charges in operating expenses</w:t>
            </w:r>
          </w:p>
        </w:tc>
        <w:tc>
          <w:tcPr>
            <w:tcW w:w="3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r>
      <w:tr>
        <w:trPr>
          <w:trHeight w:val="241"/>
        </w:trPr>
        <w:tc>
          <w:tcPr>
            <w:tcW w:w="4480" w:type="dxa"/>
            <w:vAlign w:val="bottom"/>
            <w:tcBorders>
              <w:bottom w:val="single" w:sz="8" w:color="CCEEFF"/>
            </w:tcBorders>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(b)</w:t>
            </w:r>
          </w:p>
        </w:tc>
        <w:tc>
          <w:tcPr>
            <w:tcW w:w="3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14,802</w:t>
            </w:r>
          </w:p>
        </w:tc>
        <w:tc>
          <w:tcPr>
            <w:tcW w:w="12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16,585</w:t>
            </w:r>
          </w:p>
        </w:tc>
        <w:tc>
          <w:tcPr>
            <w:tcW w:w="10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27,031</w:t>
            </w:r>
          </w:p>
        </w:tc>
        <w:tc>
          <w:tcPr>
            <w:tcW w:w="100" w:type="dxa"/>
            <w:vAlign w:val="bottom"/>
            <w:tcBorders>
              <w:bottom w:val="single" w:sz="8" w:color="CCEEFF"/>
            </w:tcBorders>
            <w:shd w:val="clear" w:color="auto" w:fill="CCEEFF"/>
          </w:tcPr>
          <w:p>
            <w:pPr>
              <w:spacing w:after="0"/>
              <w:rPr>
                <w:sz w:val="20"/>
                <w:szCs w:val="20"/>
                <w:color w:val="auto"/>
              </w:rPr>
            </w:pPr>
          </w:p>
        </w:tc>
        <w:tc>
          <w:tcPr>
            <w:tcW w:w="36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37,070</w:t>
            </w:r>
          </w:p>
        </w:tc>
        <w:tc>
          <w:tcPr>
            <w:tcW w:w="12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64,013</w:t>
            </w:r>
          </w:p>
        </w:tc>
      </w:tr>
      <w:tr>
        <w:trPr>
          <w:trHeight w:val="225"/>
        </w:trPr>
        <w:tc>
          <w:tcPr>
            <w:tcW w:w="44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Restructuring related items in interest and other</w:t>
            </w:r>
          </w:p>
        </w:tc>
        <w:tc>
          <w:tcPr>
            <w:tcW w:w="3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960" w:type="dxa"/>
            <w:vAlign w:val="bottom"/>
          </w:tcPr>
          <w:p>
            <w:pPr>
              <w:spacing w:after="0"/>
              <w:rPr>
                <w:sz w:val="19"/>
                <w:szCs w:val="19"/>
                <w:color w:val="auto"/>
              </w:rPr>
            </w:pPr>
          </w:p>
        </w:tc>
      </w:tr>
      <w:tr>
        <w:trPr>
          <w:trHeight w:val="234"/>
        </w:trPr>
        <w:tc>
          <w:tcPr>
            <w:tcW w:w="448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income, net (d)</w:t>
            </w:r>
          </w:p>
        </w:tc>
        <w:tc>
          <w:tcPr>
            <w:tcW w:w="34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(946)</w:t>
            </w:r>
          </w:p>
        </w:tc>
        <w:tc>
          <w:tcPr>
            <w:tcW w:w="1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75</w:t>
            </w: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1,491</w:t>
            </w:r>
          </w:p>
        </w:tc>
        <w:tc>
          <w:tcPr>
            <w:tcW w:w="1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(1,209)</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(142)</w:t>
            </w:r>
          </w:p>
        </w:tc>
      </w:tr>
      <w:tr>
        <w:trPr>
          <w:trHeight w:val="27"/>
        </w:trPr>
        <w:tc>
          <w:tcPr>
            <w:tcW w:w="4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50"/>
        </w:trPr>
        <w:tc>
          <w:tcPr>
            <w:tcW w:w="44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92,760</w:t>
            </w: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80,967</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78,692</w:t>
            </w: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253,467</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104,630</w:t>
            </w:r>
          </w:p>
        </w:tc>
      </w:tr>
      <w:tr>
        <w:trPr>
          <w:trHeight w:val="243"/>
        </w:trPr>
        <w:tc>
          <w:tcPr>
            <w:tcW w:w="44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Write-off of debt issuance costs (e)</w:t>
            </w:r>
          </w:p>
        </w:tc>
        <w:tc>
          <w:tcPr>
            <w:tcW w:w="340" w:type="dxa"/>
            <w:vAlign w:val="bottom"/>
          </w:tcPr>
          <w:p>
            <w:pPr>
              <w:spacing w:after="0"/>
              <w:rPr>
                <w:sz w:val="21"/>
                <w:szCs w:val="21"/>
                <w:color w:val="auto"/>
              </w:rPr>
            </w:pPr>
          </w:p>
        </w:tc>
        <w:tc>
          <w:tcPr>
            <w:tcW w:w="104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02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850</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458</w:t>
            </w: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6,954</w:t>
            </w:r>
          </w:p>
        </w:tc>
      </w:tr>
      <w:tr>
        <w:trPr>
          <w:trHeight w:val="27"/>
        </w:trPr>
        <w:tc>
          <w:tcPr>
            <w:tcW w:w="4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25"/>
        </w:trPr>
        <w:tc>
          <w:tcPr>
            <w:tcW w:w="4480" w:type="dxa"/>
            <w:vAlign w:val="bottom"/>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Transaction costs included in interest and other</w:t>
            </w:r>
          </w:p>
        </w:tc>
        <w:tc>
          <w:tcPr>
            <w:tcW w:w="3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r>
      <w:tr>
        <w:trPr>
          <w:trHeight w:val="241"/>
        </w:trPr>
        <w:tc>
          <w:tcPr>
            <w:tcW w:w="4480" w:type="dxa"/>
            <w:vAlign w:val="bottom"/>
            <w:tcBorders>
              <w:bottom w:val="single" w:sz="8" w:color="CCEEFF"/>
            </w:tcBorders>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income, net (f)</w:t>
            </w:r>
          </w:p>
        </w:tc>
        <w:tc>
          <w:tcPr>
            <w:tcW w:w="3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496</w:t>
            </w:r>
          </w:p>
        </w:tc>
        <w:tc>
          <w:tcPr>
            <w:tcW w:w="12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1,009</w:t>
            </w:r>
          </w:p>
        </w:tc>
        <w:tc>
          <w:tcPr>
            <w:tcW w:w="10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1,505</w:t>
            </w:r>
          </w:p>
        </w:tc>
        <w:tc>
          <w:tcPr>
            <w:tcW w:w="12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44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Other operating expenses (c)</w:t>
            </w: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19,495</w:t>
            </w: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20,676</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11,222</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46,740</w:t>
            </w: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54,703</w:t>
            </w:r>
          </w:p>
        </w:tc>
      </w:tr>
      <w:tr>
        <w:trPr>
          <w:trHeight w:val="27"/>
        </w:trPr>
        <w:tc>
          <w:tcPr>
            <w:tcW w:w="44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r>
      <w:tr>
        <w:trPr>
          <w:trHeight w:val="264"/>
        </w:trPr>
        <w:tc>
          <w:tcPr>
            <w:tcW w:w="44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Pre-tax total special items</w:t>
            </w: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198,730</w:t>
            </w:r>
          </w:p>
        </w:tc>
        <w:tc>
          <w:tcPr>
            <w:tcW w:w="12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182,988</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275,367</w:t>
            </w:r>
          </w:p>
        </w:tc>
        <w:tc>
          <w:tcPr>
            <w:tcW w:w="10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532,878</w:t>
            </w:r>
          </w:p>
        </w:tc>
        <w:tc>
          <w:tcPr>
            <w:tcW w:w="1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spacing w:after="0"/>
              <w:rPr>
                <w:sz w:val="22"/>
                <w:szCs w:val="22"/>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506,447</w:t>
            </w:r>
          </w:p>
        </w:tc>
      </w:tr>
      <w:tr>
        <w:trPr>
          <w:trHeight w:val="237"/>
        </w:trPr>
        <w:tc>
          <w:tcPr>
            <w:tcW w:w="448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Other income tax effects and adjustments (g)</w:t>
            </w: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(3,773)</w:t>
            </w:r>
          </w:p>
        </w:tc>
        <w:tc>
          <w:tcPr>
            <w:tcW w:w="12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(15,728)</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55</w:t>
            </w:r>
          </w:p>
        </w:tc>
        <w:tc>
          <w:tcPr>
            <w:tcW w:w="10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(17,177)</w:t>
            </w:r>
          </w:p>
        </w:tc>
        <w:tc>
          <w:tcPr>
            <w:tcW w:w="120" w:type="dxa"/>
            <w:vAlign w:val="bottom"/>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(39,763)</w:t>
            </w:r>
          </w:p>
        </w:tc>
      </w:tr>
      <w:tr>
        <w:trPr>
          <w:trHeight w:val="27"/>
        </w:trPr>
        <w:tc>
          <w:tcPr>
            <w:tcW w:w="44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r>
      <w:tr>
        <w:trPr>
          <w:trHeight w:val="269"/>
        </w:trPr>
        <w:tc>
          <w:tcPr>
            <w:tcW w:w="44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Non-GAAP net income</w:t>
            </w: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112,456</w:t>
            </w:r>
          </w:p>
        </w:tc>
        <w:tc>
          <w:tcPr>
            <w:tcW w:w="12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109,929</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221,655</w:t>
            </w:r>
          </w:p>
        </w:tc>
        <w:tc>
          <w:tcPr>
            <w:tcW w:w="10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327,419</w:t>
            </w:r>
          </w:p>
        </w:tc>
        <w:tc>
          <w:tcPr>
            <w:tcW w:w="1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548,288</w:t>
            </w:r>
          </w:p>
        </w:tc>
      </w:tr>
      <w:tr>
        <w:trPr>
          <w:trHeight w:val="20"/>
        </w:trPr>
        <w:tc>
          <w:tcPr>
            <w:tcW w:w="448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448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spacing w:after="0"/>
              <w:rPr>
                <w:sz w:val="21"/>
                <w:szCs w:val="21"/>
                <w:color w:val="auto"/>
              </w:rPr>
            </w:pPr>
          </w:p>
        </w:tc>
      </w:tr>
      <w:tr>
        <w:trPr>
          <w:trHeight w:val="324"/>
        </w:trPr>
        <w:tc>
          <w:tcPr>
            <w:tcW w:w="448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6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400" w:type="dxa"/>
            <w:vAlign w:val="bottom"/>
            <w:shd w:val="clear" w:color="auto" w:fill="CCEEFF"/>
          </w:tcPr>
          <w:p>
            <w:pPr>
              <w:spacing w:after="0"/>
              <w:rPr>
                <w:sz w:val="24"/>
                <w:szCs w:val="24"/>
                <w:color w:val="auto"/>
              </w:rPr>
            </w:pPr>
          </w:p>
        </w:tc>
        <w:tc>
          <w:tcPr>
            <w:tcW w:w="96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64"/>
        </w:trPr>
        <w:tc>
          <w:tcPr>
            <w:tcW w:w="44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Weighted average shares — basic</w:t>
            </w:r>
          </w:p>
        </w:tc>
        <w:tc>
          <w:tcPr>
            <w:tcW w:w="340" w:type="dxa"/>
            <w:vAlign w:val="bottom"/>
            <w:tcBorders>
              <w:bottom w:val="single" w:sz="8" w:color="auto"/>
            </w:tcBorders>
            <w:shd w:val="clear" w:color="auto" w:fill="CCEEFF"/>
          </w:tcPr>
          <w:p>
            <w:pPr>
              <w:spacing w:after="0"/>
              <w:rPr>
                <w:sz w:val="22"/>
                <w:szCs w:val="22"/>
                <w:color w:val="auto"/>
              </w:rPr>
            </w:pPr>
          </w:p>
        </w:tc>
        <w:tc>
          <w:tcPr>
            <w:tcW w:w="920" w:type="dxa"/>
            <w:vAlign w:val="bottom"/>
            <w:tcBorders>
              <w:bottom w:val="single" w:sz="8" w:color="auto"/>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668,178</w:t>
            </w:r>
          </w:p>
        </w:tc>
        <w:tc>
          <w:tcPr>
            <w:tcW w:w="12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auto"/>
            </w:tcBorders>
            <w:shd w:val="clear" w:color="auto" w:fill="CCEEFF"/>
          </w:tcPr>
          <w:p>
            <w:pPr>
              <w:spacing w:after="0"/>
              <w:rPr>
                <w:sz w:val="22"/>
                <w:szCs w:val="22"/>
                <w:color w:val="auto"/>
              </w:rPr>
            </w:pPr>
          </w:p>
        </w:tc>
        <w:tc>
          <w:tcPr>
            <w:tcW w:w="920" w:type="dxa"/>
            <w:vAlign w:val="bottom"/>
            <w:tcBorders>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663,603</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auto"/>
            </w:tcBorders>
            <w:shd w:val="clear" w:color="auto" w:fill="CCEEFF"/>
          </w:tcPr>
          <w:p>
            <w:pPr>
              <w:spacing w:after="0"/>
              <w:rPr>
                <w:sz w:val="22"/>
                <w:szCs w:val="22"/>
                <w:color w:val="auto"/>
              </w:rPr>
            </w:pPr>
          </w:p>
        </w:tc>
        <w:tc>
          <w:tcPr>
            <w:tcW w:w="920" w:type="dxa"/>
            <w:vAlign w:val="bottom"/>
            <w:tcBorders>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657,519</w:t>
            </w:r>
          </w:p>
        </w:tc>
        <w:tc>
          <w:tcPr>
            <w:tcW w:w="10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auto"/>
            </w:tcBorders>
            <w:shd w:val="clear" w:color="auto" w:fill="CCEEFF"/>
          </w:tcPr>
          <w:p>
            <w:pPr>
              <w:spacing w:after="0"/>
              <w:rPr>
                <w:sz w:val="22"/>
                <w:szCs w:val="22"/>
                <w:color w:val="auto"/>
              </w:rPr>
            </w:pPr>
          </w:p>
        </w:tc>
        <w:tc>
          <w:tcPr>
            <w:tcW w:w="960" w:type="dxa"/>
            <w:vAlign w:val="bottom"/>
            <w:tcBorders>
              <w:bottom w:val="single" w:sz="8" w:color="auto"/>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667,184</w:t>
            </w:r>
          </w:p>
        </w:tc>
        <w:tc>
          <w:tcPr>
            <w:tcW w:w="1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auto"/>
            </w:tcBorders>
            <w:shd w:val="clear" w:color="auto" w:fill="CCEEFF"/>
          </w:tcPr>
          <w:p>
            <w:pPr>
              <w:spacing w:after="0"/>
              <w:rPr>
                <w:sz w:val="22"/>
                <w:szCs w:val="22"/>
                <w:color w:val="auto"/>
              </w:rPr>
            </w:pPr>
          </w:p>
        </w:tc>
        <w:tc>
          <w:tcPr>
            <w:tcW w:w="960" w:type="dxa"/>
            <w:vAlign w:val="bottom"/>
            <w:tcBorders>
              <w:bottom w:val="single" w:sz="8" w:color="auto"/>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569,031</w:t>
            </w:r>
          </w:p>
        </w:tc>
        <w:tc>
          <w:tcPr>
            <w:tcW w:w="0" w:type="dxa"/>
            <w:vAlign w:val="bottom"/>
          </w:tcPr>
          <w:p>
            <w:pPr>
              <w:spacing w:after="0"/>
              <w:rPr>
                <w:sz w:val="1"/>
                <w:szCs w:val="1"/>
                <w:color w:val="auto"/>
              </w:rPr>
            </w:pPr>
          </w:p>
        </w:tc>
      </w:tr>
      <w:tr>
        <w:trPr>
          <w:trHeight w:val="20"/>
        </w:trPr>
        <w:tc>
          <w:tcPr>
            <w:tcW w:w="4480" w:type="dxa"/>
            <w:vAlign w:val="bottom"/>
            <w:vMerge w:val="restart"/>
          </w:tcPr>
          <w:p>
            <w:pPr>
              <w:ind w:left="40"/>
              <w:spacing w:after="0"/>
              <w:rPr>
                <w:sz w:val="20"/>
                <w:szCs w:val="20"/>
                <w:color w:val="auto"/>
              </w:rPr>
            </w:pPr>
            <w:r>
              <w:rPr>
                <w:rFonts w:ascii="Times New Roman" w:cs="Times New Roman" w:eastAsia="Times New Roman" w:hAnsi="Times New Roman"/>
                <w:sz w:val="18"/>
                <w:szCs w:val="18"/>
                <w:color w:val="auto"/>
              </w:rPr>
              <w:t>Weighted average shares — diluted</w:t>
            </w:r>
          </w:p>
        </w:tc>
        <w:tc>
          <w:tcPr>
            <w:tcW w:w="3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4480" w:type="dxa"/>
            <w:vAlign w:val="bottom"/>
            <w:vMerge w:val="continue"/>
          </w:tcPr>
          <w:p>
            <w:pPr>
              <w:spacing w:after="0"/>
              <w:rPr>
                <w:sz w:val="20"/>
                <w:szCs w:val="20"/>
                <w:color w:val="auto"/>
              </w:rPr>
            </w:pPr>
          </w:p>
        </w:tc>
        <w:tc>
          <w:tcPr>
            <w:tcW w:w="340" w:type="dxa"/>
            <w:vAlign w:val="bottom"/>
          </w:tcPr>
          <w:p>
            <w:pPr>
              <w:spacing w:after="0"/>
              <w:rPr>
                <w:sz w:val="20"/>
                <w:szCs w:val="20"/>
                <w:color w:val="auto"/>
              </w:rPr>
            </w:pPr>
          </w:p>
        </w:tc>
        <w:tc>
          <w:tcPr>
            <w:tcW w:w="9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668,178</w:t>
            </w:r>
          </w:p>
        </w:tc>
        <w:tc>
          <w:tcPr>
            <w:tcW w:w="1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663,603</w:t>
            </w: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657,519</w:t>
            </w:r>
          </w:p>
        </w:tc>
        <w:tc>
          <w:tcPr>
            <w:tcW w:w="1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667,184</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578,872</w:t>
            </w:r>
          </w:p>
        </w:tc>
        <w:tc>
          <w:tcPr>
            <w:tcW w:w="0" w:type="dxa"/>
            <w:vAlign w:val="bottom"/>
          </w:tcPr>
          <w:p>
            <w:pPr>
              <w:spacing w:after="0"/>
              <w:rPr>
                <w:sz w:val="1"/>
                <w:szCs w:val="1"/>
                <w:color w:val="auto"/>
              </w:rPr>
            </w:pPr>
          </w:p>
        </w:tc>
      </w:tr>
      <w:tr>
        <w:trPr>
          <w:trHeight w:val="67"/>
        </w:trPr>
        <w:tc>
          <w:tcPr>
            <w:tcW w:w="448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9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96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4480" w:type="dxa"/>
            <w:vAlign w:val="bottom"/>
            <w:shd w:val="clear" w:color="auto" w:fill="CCEEFF"/>
          </w:tcPr>
          <w:p>
            <w:pPr>
              <w:spacing w:after="0"/>
              <w:rPr>
                <w:sz w:val="21"/>
                <w:szCs w:val="21"/>
                <w:color w:val="auto"/>
              </w:rPr>
            </w:pPr>
          </w:p>
        </w:tc>
        <w:tc>
          <w:tcPr>
            <w:tcW w:w="34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34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34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400" w:type="dxa"/>
            <w:vAlign w:val="bottom"/>
            <w:shd w:val="clear" w:color="auto" w:fill="CCEEFF"/>
          </w:tcPr>
          <w:p>
            <w:pPr>
              <w:spacing w:after="0"/>
              <w:rPr>
                <w:sz w:val="21"/>
                <w:szCs w:val="21"/>
                <w:color w:val="auto"/>
              </w:rPr>
            </w:pPr>
          </w:p>
        </w:tc>
        <w:tc>
          <w:tcPr>
            <w:tcW w:w="96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400" w:type="dxa"/>
            <w:vAlign w:val="bottom"/>
            <w:shd w:val="clear" w:color="auto" w:fill="CCEEFF"/>
          </w:tcPr>
          <w:p>
            <w:pPr>
              <w:spacing w:after="0"/>
              <w:rPr>
                <w:sz w:val="21"/>
                <w:szCs w:val="21"/>
                <w:color w:val="auto"/>
              </w:rPr>
            </w:pPr>
          </w:p>
        </w:tc>
        <w:tc>
          <w:tcPr>
            <w:tcW w:w="96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GAAP diluted net income (loss) per share</w:t>
            </w:r>
          </w:p>
        </w:tc>
        <w:tc>
          <w:tcPr>
            <w:tcW w:w="34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(0.12)</w:t>
            </w:r>
          </w:p>
        </w:tc>
        <w:tc>
          <w:tcPr>
            <w:tcW w:w="120" w:type="dxa"/>
            <w:vAlign w:val="bottom"/>
          </w:tcPr>
          <w:p>
            <w:pPr>
              <w:spacing w:after="0"/>
              <w:rPr>
                <w:sz w:val="21"/>
                <w:szCs w:val="21"/>
                <w:color w:val="auto"/>
              </w:rPr>
            </w:pPr>
          </w:p>
        </w:tc>
        <w:tc>
          <w:tcPr>
            <w:tcW w:w="34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(0.09)</w:t>
            </w:r>
          </w:p>
        </w:tc>
        <w:tc>
          <w:tcPr>
            <w:tcW w:w="100" w:type="dxa"/>
            <w:vAlign w:val="bottom"/>
          </w:tcPr>
          <w:p>
            <w:pPr>
              <w:spacing w:after="0"/>
              <w:rPr>
                <w:sz w:val="21"/>
                <w:szCs w:val="21"/>
                <w:color w:val="auto"/>
              </w:rPr>
            </w:pPr>
          </w:p>
        </w:tc>
        <w:tc>
          <w:tcPr>
            <w:tcW w:w="34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100" w:type="dxa"/>
            <w:vAlign w:val="bottom"/>
          </w:tcPr>
          <w:p>
            <w:pPr>
              <w:spacing w:after="0"/>
              <w:rPr>
                <w:sz w:val="21"/>
                <w:szCs w:val="21"/>
                <w:color w:val="auto"/>
              </w:rPr>
            </w:pPr>
          </w:p>
        </w:tc>
        <w:tc>
          <w:tcPr>
            <w:tcW w:w="40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(0.28)</w:t>
            </w:r>
          </w:p>
        </w:tc>
        <w:tc>
          <w:tcPr>
            <w:tcW w:w="120" w:type="dxa"/>
            <w:vAlign w:val="bottom"/>
          </w:tcPr>
          <w:p>
            <w:pPr>
              <w:spacing w:after="0"/>
              <w:rPr>
                <w:sz w:val="21"/>
                <w:szCs w:val="21"/>
                <w:color w:val="auto"/>
              </w:rPr>
            </w:pPr>
          </w:p>
        </w:tc>
        <w:tc>
          <w:tcPr>
            <w:tcW w:w="40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0.14</w:t>
            </w:r>
          </w:p>
        </w:tc>
        <w:tc>
          <w:tcPr>
            <w:tcW w:w="0" w:type="dxa"/>
            <w:vAlign w:val="bottom"/>
          </w:tcPr>
          <w:p>
            <w:pPr>
              <w:spacing w:after="0"/>
              <w:rPr>
                <w:sz w:val="1"/>
                <w:szCs w:val="1"/>
                <w:color w:val="auto"/>
              </w:rPr>
            </w:pPr>
          </w:p>
        </w:tc>
      </w:tr>
      <w:tr>
        <w:trPr>
          <w:trHeight w:val="67"/>
        </w:trPr>
        <w:tc>
          <w:tcPr>
            <w:tcW w:w="448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9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96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480" w:type="dxa"/>
            <w:vAlign w:val="bottom"/>
            <w:tcBorders>
              <w:bottom w:val="single" w:sz="8" w:color="CCEEFF"/>
            </w:tcBorders>
            <w:shd w:val="clear" w:color="auto" w:fill="CCEEFF"/>
          </w:tcPr>
          <w:p>
            <w:pPr>
              <w:ind w:left="40"/>
              <w:spacing w:after="0" w:line="196" w:lineRule="exact"/>
              <w:rPr>
                <w:sz w:val="20"/>
                <w:szCs w:val="20"/>
                <w:color w:val="auto"/>
              </w:rPr>
            </w:pPr>
            <w:r>
              <w:rPr>
                <w:rFonts w:ascii="Times New Roman" w:cs="Times New Roman" w:eastAsia="Times New Roman" w:hAnsi="Times New Roman"/>
                <w:sz w:val="18"/>
                <w:szCs w:val="18"/>
                <w:color w:val="auto"/>
              </w:rPr>
              <w:t>Non-GAAP diluted net income per share (h)</w:t>
            </w: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0.17</w:t>
            </w: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0.16</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0.33</w:t>
            </w:r>
          </w:p>
        </w:tc>
        <w:tc>
          <w:tcPr>
            <w:tcW w:w="10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0.48</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0.95</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522" w:right="239" w:bottom="1440" w:gutter="0" w:footer="0" w:header="0"/>
        </w:sectPr>
      </w:pPr>
    </w:p>
    <w:bookmarkStart w:id="12" w:name="page13"/>
    <w:bookmarkEnd w:id="12"/>
    <w:p>
      <w:pPr>
        <w:ind w:left="465" w:right="200" w:hanging="465"/>
        <w:spacing w:after="0" w:line="282" w:lineRule="auto"/>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costs of goods sold includes amortization of the Aquantia inventory fair value adjustment in 2019, amortization of the Cavium inventory fair value adjustment in 2018, as well as charges for past intellectual property licensing matters.</w:t>
      </w:r>
    </w:p>
    <w:p>
      <w:pPr>
        <w:spacing w:after="0" w:line="134" w:lineRule="exact"/>
        <w:rPr>
          <w:rFonts w:ascii="Times New Roman" w:cs="Times New Roman" w:eastAsia="Times New Roman" w:hAnsi="Times New Roman"/>
          <w:sz w:val="18"/>
          <w:szCs w:val="18"/>
          <w:i w:val="1"/>
          <w:iCs w:val="1"/>
          <w:color w:val="auto"/>
        </w:rPr>
      </w:pPr>
    </w:p>
    <w:p>
      <w:pPr>
        <w:ind w:left="465" w:hanging="465"/>
        <w:spacing w:after="0"/>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Restructuring related charges include employee severance, facilities related costs, and impairment of equipment and other assets.</w:t>
      </w:r>
    </w:p>
    <w:p>
      <w:pPr>
        <w:spacing w:after="0" w:line="198" w:lineRule="exact"/>
        <w:rPr>
          <w:rFonts w:ascii="Times New Roman" w:cs="Times New Roman" w:eastAsia="Times New Roman" w:hAnsi="Times New Roman"/>
          <w:sz w:val="18"/>
          <w:szCs w:val="18"/>
          <w:i w:val="1"/>
          <w:iCs w:val="1"/>
          <w:color w:val="auto"/>
        </w:rPr>
      </w:pPr>
    </w:p>
    <w:p>
      <w:pPr>
        <w:ind w:left="465" w:hanging="465"/>
        <w:spacing w:after="0"/>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operating expenses include Cavium, Aquantia, and Avera merger costs.</w:t>
      </w:r>
    </w:p>
    <w:p>
      <w:pPr>
        <w:spacing w:after="0" w:line="198" w:lineRule="exact"/>
        <w:rPr>
          <w:rFonts w:ascii="Times New Roman" w:cs="Times New Roman" w:eastAsia="Times New Roman" w:hAnsi="Times New Roman"/>
          <w:sz w:val="18"/>
          <w:szCs w:val="18"/>
          <w:i w:val="1"/>
          <w:iCs w:val="1"/>
          <w:color w:val="auto"/>
        </w:rPr>
      </w:pPr>
    </w:p>
    <w:p>
      <w:pPr>
        <w:ind w:left="465" w:right="420" w:hanging="465"/>
        <w:spacing w:after="0" w:line="282" w:lineRule="auto"/>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Interest and other income, net, includes restructuring related items such as foreign currency remeasurement associated with restructuring related accruals.</w:t>
      </w:r>
    </w:p>
    <w:p>
      <w:pPr>
        <w:spacing w:after="0" w:line="134" w:lineRule="exact"/>
        <w:rPr>
          <w:rFonts w:ascii="Times New Roman" w:cs="Times New Roman" w:eastAsia="Times New Roman" w:hAnsi="Times New Roman"/>
          <w:sz w:val="18"/>
          <w:szCs w:val="18"/>
          <w:i w:val="1"/>
          <w:iCs w:val="1"/>
          <w:color w:val="auto"/>
        </w:rPr>
      </w:pPr>
    </w:p>
    <w:p>
      <w:pPr>
        <w:ind w:left="465" w:hanging="465"/>
        <w:spacing w:after="0"/>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Write-off of debt issuance costs is associated with the partial term loan repayment.</w:t>
      </w:r>
    </w:p>
    <w:p>
      <w:pPr>
        <w:spacing w:after="0" w:line="198" w:lineRule="exact"/>
        <w:rPr>
          <w:rFonts w:ascii="Times New Roman" w:cs="Times New Roman" w:eastAsia="Times New Roman" w:hAnsi="Times New Roman"/>
          <w:sz w:val="18"/>
          <w:szCs w:val="18"/>
          <w:i w:val="1"/>
          <w:iCs w:val="1"/>
          <w:color w:val="auto"/>
        </w:rPr>
      </w:pPr>
    </w:p>
    <w:p>
      <w:pPr>
        <w:ind w:left="465" w:hanging="465"/>
        <w:spacing w:after="0"/>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Costs incurred in connection with preparation of the impending divestiture of the Wi-Fi Connectivity business.</w:t>
      </w:r>
    </w:p>
    <w:p>
      <w:pPr>
        <w:spacing w:after="0" w:line="198" w:lineRule="exact"/>
        <w:rPr>
          <w:rFonts w:ascii="Times New Roman" w:cs="Times New Roman" w:eastAsia="Times New Roman" w:hAnsi="Times New Roman"/>
          <w:sz w:val="18"/>
          <w:szCs w:val="18"/>
          <w:i w:val="1"/>
          <w:iCs w:val="1"/>
          <w:color w:val="auto"/>
        </w:rPr>
      </w:pPr>
    </w:p>
    <w:p>
      <w:pPr>
        <w:jc w:val="both"/>
        <w:ind w:left="465" w:right="20" w:hanging="465"/>
        <w:spacing w:after="0" w:line="266" w:lineRule="auto"/>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income tax effects and adjustments relate to tax provision based on a non-GAAP income tax rate of 4.5% for the three months ended August 3, 2019 and the three and nine months ended November 2, 2019, and based on a non-GAAP income tax rate of 4% for the three and nine months ended November 3, 2018.</w:t>
      </w:r>
    </w:p>
    <w:p>
      <w:pPr>
        <w:spacing w:after="0" w:line="149" w:lineRule="exact"/>
        <w:rPr>
          <w:rFonts w:ascii="Times New Roman" w:cs="Times New Roman" w:eastAsia="Times New Roman" w:hAnsi="Times New Roman"/>
          <w:sz w:val="18"/>
          <w:szCs w:val="18"/>
          <w:i w:val="1"/>
          <w:iCs w:val="1"/>
          <w:color w:val="auto"/>
        </w:rPr>
      </w:pPr>
    </w:p>
    <w:p>
      <w:pPr>
        <w:ind w:left="465" w:hanging="465"/>
        <w:spacing w:after="0" w:line="258" w:lineRule="auto"/>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Non-GAAP diluted net income per share for the three months ended November 2, 2019, August 3, 2019 and November 3, 2018 was calculated by dividing non-GAAP net income by weighted average shares outstanding (diluted) of 679,345, 675,755 shares and 665,752 shares, respectively, due to the non-GAAP net income reported in the respective period. Non-GAAP diluted net income per share for the nine months ended November 2, 2019 was calculated by dividing non-GAAP net income by weighted average shares outstanding (diluted) of 678,986 shares due to the non-GAAP net income reported in the period.</w:t>
      </w:r>
    </w:p>
    <w:p>
      <w:pPr>
        <w:sectPr>
          <w:pgSz w:w="11900" w:h="16838" w:orient="portrait"/>
          <w:cols w:equalWidth="0" w:num="1">
            <w:col w:w="11245"/>
          </w:cols>
          <w:pgMar w:left="275" w:top="499" w:right="379" w:bottom="1440" w:gutter="0" w:footer="0" w:header="0"/>
        </w:sectPr>
      </w:pPr>
    </w:p>
    <w:bookmarkStart w:id="13" w:name="page14"/>
    <w:bookmarkEnd w:id="13"/>
    <w:tbl>
      <w:tblPr>
        <w:tblLayout w:type="fixed"/>
        <w:tblInd w:w="0" w:type="dxa"/>
        <w:tblCellMar>
          <w:top w:w="0" w:type="dxa"/>
          <w:left w:w="0" w:type="dxa"/>
          <w:bottom w:w="0" w:type="dxa"/>
          <w:right w:w="0" w:type="dxa"/>
        </w:tblCellMar>
      </w:tblPr>
      <w:tr>
        <w:trPr>
          <w:trHeight w:val="238"/>
        </w:trPr>
        <w:tc>
          <w:tcPr>
            <w:tcW w:w="8200" w:type="dxa"/>
            <w:vAlign w:val="bottom"/>
            <w:gridSpan w:val="2"/>
          </w:tcPr>
          <w:p>
            <w:pPr>
              <w:jc w:val="center"/>
              <w:ind w:left="3190"/>
              <w:spacing w:after="0"/>
              <w:rPr>
                <w:sz w:val="20"/>
                <w:szCs w:val="20"/>
                <w:color w:val="auto"/>
              </w:rPr>
            </w:pPr>
            <w:r>
              <w:rPr>
                <w:rFonts w:ascii="Times New Roman" w:cs="Times New Roman" w:eastAsia="Times New Roman" w:hAnsi="Times New Roman"/>
                <w:sz w:val="18"/>
                <w:szCs w:val="18"/>
                <w:b w:val="1"/>
                <w:bCs w:val="1"/>
                <w:color w:val="auto"/>
                <w:w w:val="98"/>
              </w:rPr>
              <w:t>Marvell Technology Group Ltd.</w:t>
            </w:r>
          </w:p>
        </w:tc>
        <w:tc>
          <w:tcPr>
            <w:tcW w:w="3220" w:type="dxa"/>
            <w:vAlign w:val="bottom"/>
          </w:tcPr>
          <w:p>
            <w:pPr>
              <w:spacing w:after="0"/>
              <w:rPr>
                <w:sz w:val="20"/>
                <w:szCs w:val="20"/>
                <w:color w:val="auto"/>
              </w:rPr>
            </w:pPr>
          </w:p>
        </w:tc>
      </w:tr>
      <w:tr>
        <w:trPr>
          <w:trHeight w:val="270"/>
        </w:trPr>
        <w:tc>
          <w:tcPr>
            <w:tcW w:w="8200" w:type="dxa"/>
            <w:vAlign w:val="bottom"/>
            <w:gridSpan w:val="2"/>
          </w:tcPr>
          <w:p>
            <w:pPr>
              <w:jc w:val="center"/>
              <w:ind w:left="3190"/>
              <w:spacing w:after="0"/>
              <w:rPr>
                <w:sz w:val="20"/>
                <w:szCs w:val="20"/>
                <w:color w:val="auto"/>
              </w:rPr>
            </w:pPr>
            <w:r>
              <w:rPr>
                <w:rFonts w:ascii="Times New Roman" w:cs="Times New Roman" w:eastAsia="Times New Roman" w:hAnsi="Times New Roman"/>
                <w:sz w:val="18"/>
                <w:szCs w:val="18"/>
                <w:b w:val="1"/>
                <w:bCs w:val="1"/>
                <w:color w:val="auto"/>
                <w:w w:val="99"/>
              </w:rPr>
              <w:t>Outlook for the Fourth Quarter of Fiscal Year 2020</w:t>
            </w:r>
          </w:p>
        </w:tc>
        <w:tc>
          <w:tcPr>
            <w:tcW w:w="3220" w:type="dxa"/>
            <w:vAlign w:val="bottom"/>
          </w:tcPr>
          <w:p>
            <w:pPr>
              <w:spacing w:after="0"/>
              <w:rPr>
                <w:sz w:val="23"/>
                <w:szCs w:val="23"/>
                <w:color w:val="auto"/>
              </w:rPr>
            </w:pPr>
          </w:p>
        </w:tc>
      </w:tr>
      <w:tr>
        <w:trPr>
          <w:trHeight w:val="270"/>
        </w:trPr>
        <w:tc>
          <w:tcPr>
            <w:tcW w:w="8200" w:type="dxa"/>
            <w:vAlign w:val="bottom"/>
            <w:gridSpan w:val="2"/>
          </w:tcPr>
          <w:p>
            <w:pPr>
              <w:ind w:left="3580"/>
              <w:spacing w:after="0"/>
              <w:rPr>
                <w:sz w:val="20"/>
                <w:szCs w:val="20"/>
                <w:color w:val="auto"/>
              </w:rPr>
            </w:pPr>
            <w:r>
              <w:rPr>
                <w:rFonts w:ascii="Times New Roman" w:cs="Times New Roman" w:eastAsia="Times New Roman" w:hAnsi="Times New Roman"/>
                <w:sz w:val="18"/>
                <w:szCs w:val="18"/>
                <w:b w:val="1"/>
                <w:bCs w:val="1"/>
                <w:color w:val="auto"/>
              </w:rPr>
              <w:t>Reconciliations from GAAP to Non-GAAP (Unaudited)</w:t>
            </w:r>
          </w:p>
        </w:tc>
        <w:tc>
          <w:tcPr>
            <w:tcW w:w="3220" w:type="dxa"/>
            <w:vAlign w:val="bottom"/>
          </w:tcPr>
          <w:p>
            <w:pPr>
              <w:spacing w:after="0"/>
              <w:rPr>
                <w:sz w:val="23"/>
                <w:szCs w:val="23"/>
                <w:color w:val="auto"/>
              </w:rPr>
            </w:pPr>
          </w:p>
        </w:tc>
      </w:tr>
      <w:tr>
        <w:trPr>
          <w:trHeight w:val="270"/>
        </w:trPr>
        <w:tc>
          <w:tcPr>
            <w:tcW w:w="8200" w:type="dxa"/>
            <w:vAlign w:val="bottom"/>
            <w:gridSpan w:val="2"/>
          </w:tcPr>
          <w:p>
            <w:pPr>
              <w:jc w:val="center"/>
              <w:ind w:left="3190"/>
              <w:spacing w:after="0"/>
              <w:rPr>
                <w:sz w:val="20"/>
                <w:szCs w:val="20"/>
                <w:color w:val="auto"/>
              </w:rPr>
            </w:pPr>
            <w:r>
              <w:rPr>
                <w:rFonts w:ascii="Times New Roman" w:cs="Times New Roman" w:eastAsia="Times New Roman" w:hAnsi="Times New Roman"/>
                <w:sz w:val="18"/>
                <w:szCs w:val="18"/>
                <w:b w:val="1"/>
                <w:bCs w:val="1"/>
                <w:color w:val="auto"/>
                <w:w w:val="99"/>
              </w:rPr>
              <w:t>(In millions, except per share amounts)</w:t>
            </w:r>
          </w:p>
        </w:tc>
        <w:tc>
          <w:tcPr>
            <w:tcW w:w="3220" w:type="dxa"/>
            <w:vAlign w:val="bottom"/>
          </w:tcPr>
          <w:p>
            <w:pPr>
              <w:spacing w:after="0"/>
              <w:rPr>
                <w:sz w:val="23"/>
                <w:szCs w:val="23"/>
                <w:color w:val="auto"/>
              </w:rPr>
            </w:pPr>
          </w:p>
        </w:tc>
      </w:tr>
      <w:tr>
        <w:trPr>
          <w:trHeight w:val="421"/>
        </w:trPr>
        <w:tc>
          <w:tcPr>
            <w:tcW w:w="77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220" w:type="dxa"/>
            <w:vAlign w:val="bottom"/>
          </w:tcPr>
          <w:p>
            <w:pPr>
              <w:jc w:val="center"/>
              <w:ind w:right="332"/>
              <w:spacing w:after="0"/>
              <w:rPr>
                <w:sz w:val="20"/>
                <w:szCs w:val="20"/>
                <w:color w:val="auto"/>
              </w:rPr>
            </w:pPr>
            <w:r>
              <w:rPr>
                <w:rFonts w:ascii="Times New Roman" w:cs="Times New Roman" w:eastAsia="Times New Roman" w:hAnsi="Times New Roman"/>
                <w:sz w:val="14"/>
                <w:szCs w:val="14"/>
                <w:b w:val="1"/>
                <w:bCs w:val="1"/>
                <w:color w:val="auto"/>
              </w:rPr>
              <w:t>Outlook for Three Months Ended</w:t>
            </w:r>
          </w:p>
        </w:tc>
      </w:tr>
      <w:tr>
        <w:trPr>
          <w:trHeight w:val="195"/>
        </w:trPr>
        <w:tc>
          <w:tcPr>
            <w:tcW w:w="7780" w:type="dxa"/>
            <w:vAlign w:val="bottom"/>
            <w:tcBorders>
              <w:bottom w:val="single" w:sz="8" w:color="CCEEFF"/>
            </w:tcBorders>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3220" w:type="dxa"/>
            <w:vAlign w:val="bottom"/>
            <w:tcBorders>
              <w:bottom w:val="single" w:sz="8" w:color="auto"/>
            </w:tcBorders>
          </w:tcPr>
          <w:p>
            <w:pPr>
              <w:jc w:val="center"/>
              <w:ind w:right="332"/>
              <w:spacing w:after="0"/>
              <w:rPr>
                <w:sz w:val="20"/>
                <w:szCs w:val="20"/>
                <w:color w:val="auto"/>
              </w:rPr>
            </w:pPr>
            <w:r>
              <w:rPr>
                <w:rFonts w:ascii="Times New Roman" w:cs="Times New Roman" w:eastAsia="Times New Roman" w:hAnsi="Times New Roman"/>
                <w:sz w:val="14"/>
                <w:szCs w:val="14"/>
                <w:b w:val="1"/>
                <w:bCs w:val="1"/>
                <w:color w:val="auto"/>
              </w:rPr>
              <w:t>February 1, 2020</w:t>
            </w:r>
          </w:p>
        </w:tc>
      </w:tr>
      <w:tr>
        <w:trPr>
          <w:trHeight w:val="249"/>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GAAP revenue</w:t>
            </w:r>
          </w:p>
        </w:tc>
        <w:tc>
          <w:tcPr>
            <w:tcW w:w="3220" w:type="dxa"/>
            <w:vAlign w:val="bottom"/>
            <w:tcBorders>
              <w:bottom w:val="single" w:sz="8" w:color="CCEEFF"/>
            </w:tcBorders>
            <w:shd w:val="clear" w:color="auto" w:fill="CCEEFF"/>
          </w:tcPr>
          <w:p>
            <w:pPr>
              <w:jc w:val="center"/>
              <w:ind w:right="352"/>
              <w:spacing w:after="0"/>
              <w:rPr>
                <w:sz w:val="20"/>
                <w:szCs w:val="20"/>
                <w:color w:val="auto"/>
              </w:rPr>
            </w:pPr>
            <w:r>
              <w:rPr>
                <w:rFonts w:ascii="Times New Roman" w:cs="Times New Roman" w:eastAsia="Times New Roman" w:hAnsi="Times New Roman"/>
                <w:sz w:val="18"/>
                <w:szCs w:val="18"/>
                <w:color w:val="auto"/>
                <w:w w:val="99"/>
              </w:rPr>
              <w:t>$750 +/- 3%</w:t>
            </w:r>
          </w:p>
        </w:tc>
      </w:tr>
      <w:tr>
        <w:trPr>
          <w:trHeight w:val="243"/>
        </w:trPr>
        <w:tc>
          <w:tcPr>
            <w:tcW w:w="82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Special items:</w:t>
            </w:r>
          </w:p>
        </w:tc>
        <w:tc>
          <w:tcPr>
            <w:tcW w:w="3220" w:type="dxa"/>
            <w:vAlign w:val="bottom"/>
          </w:tcPr>
          <w:p>
            <w:pPr>
              <w:jc w:val="center"/>
              <w:ind w:right="352"/>
              <w:spacing w:after="0"/>
              <w:rPr>
                <w:sz w:val="20"/>
                <w:szCs w:val="20"/>
                <w:color w:val="auto"/>
              </w:rPr>
            </w:pPr>
            <w:r>
              <w:rPr>
                <w:rFonts w:ascii="Times New Roman" w:cs="Times New Roman" w:eastAsia="Times New Roman" w:hAnsi="Times New Roman"/>
                <w:sz w:val="18"/>
                <w:szCs w:val="18"/>
                <w:color w:val="auto"/>
                <w:w w:val="99"/>
              </w:rPr>
              <w:t>—</w:t>
            </w:r>
          </w:p>
        </w:tc>
      </w:tr>
      <w:tr>
        <w:trPr>
          <w:trHeight w:val="27"/>
        </w:trPr>
        <w:tc>
          <w:tcPr>
            <w:tcW w:w="778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3220" w:type="dxa"/>
            <w:vAlign w:val="bottom"/>
            <w:tcBorders>
              <w:bottom w:val="single" w:sz="8" w:color="auto"/>
            </w:tcBorders>
          </w:tcPr>
          <w:p>
            <w:pPr>
              <w:spacing w:after="0"/>
              <w:rPr>
                <w:sz w:val="2"/>
                <w:szCs w:val="2"/>
                <w:color w:val="auto"/>
              </w:rPr>
            </w:pPr>
          </w:p>
        </w:tc>
      </w:tr>
      <w:tr>
        <w:trPr>
          <w:trHeight w:val="244"/>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Non-GAAP revenue</w:t>
            </w:r>
          </w:p>
        </w:tc>
        <w:tc>
          <w:tcPr>
            <w:tcW w:w="3220" w:type="dxa"/>
            <w:vAlign w:val="bottom"/>
            <w:tcBorders>
              <w:bottom w:val="single" w:sz="8" w:color="CCEEFF"/>
            </w:tcBorders>
            <w:shd w:val="clear" w:color="auto" w:fill="CCEEFF"/>
          </w:tcPr>
          <w:p>
            <w:pPr>
              <w:jc w:val="center"/>
              <w:ind w:right="352"/>
              <w:spacing w:after="0"/>
              <w:rPr>
                <w:sz w:val="20"/>
                <w:szCs w:val="20"/>
                <w:color w:val="auto"/>
              </w:rPr>
            </w:pPr>
            <w:r>
              <w:rPr>
                <w:rFonts w:ascii="Times New Roman" w:cs="Times New Roman" w:eastAsia="Times New Roman" w:hAnsi="Times New Roman"/>
                <w:sz w:val="18"/>
                <w:szCs w:val="18"/>
                <w:color w:val="auto"/>
                <w:w w:val="99"/>
              </w:rPr>
              <w:t>$750 +/- 3%</w:t>
            </w:r>
          </w:p>
        </w:tc>
      </w:tr>
      <w:tr>
        <w:trPr>
          <w:trHeight w:val="297"/>
        </w:trPr>
        <w:tc>
          <w:tcPr>
            <w:tcW w:w="77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220" w:type="dxa"/>
            <w:vAlign w:val="bottom"/>
          </w:tcPr>
          <w:p>
            <w:pPr>
              <w:spacing w:after="0"/>
              <w:rPr>
                <w:sz w:val="24"/>
                <w:szCs w:val="24"/>
                <w:color w:val="auto"/>
              </w:rPr>
            </w:pPr>
          </w:p>
        </w:tc>
      </w:tr>
      <w:tr>
        <w:trPr>
          <w:trHeight w:val="250"/>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GAAP gross margin</w:t>
            </w:r>
          </w:p>
        </w:tc>
        <w:tc>
          <w:tcPr>
            <w:tcW w:w="3220" w:type="dxa"/>
            <w:vAlign w:val="bottom"/>
            <w:tcBorders>
              <w:bottom w:val="single" w:sz="8" w:color="CCEEFF"/>
            </w:tcBorders>
            <w:shd w:val="clear" w:color="auto" w:fill="CCEEFF"/>
          </w:tcPr>
          <w:p>
            <w:pPr>
              <w:jc w:val="center"/>
              <w:ind w:right="352"/>
              <w:spacing w:after="0"/>
              <w:rPr>
                <w:sz w:val="20"/>
                <w:szCs w:val="20"/>
                <w:color w:val="auto"/>
              </w:rPr>
            </w:pPr>
            <w:r>
              <w:rPr>
                <w:rFonts w:ascii="Times New Roman" w:cs="Times New Roman" w:eastAsia="Times New Roman" w:hAnsi="Times New Roman"/>
                <w:sz w:val="18"/>
                <w:szCs w:val="18"/>
                <w:color w:val="auto"/>
                <w:w w:val="98"/>
              </w:rPr>
              <w:t>45.5%</w:t>
            </w:r>
          </w:p>
        </w:tc>
      </w:tr>
      <w:tr>
        <w:trPr>
          <w:trHeight w:val="243"/>
        </w:trPr>
        <w:tc>
          <w:tcPr>
            <w:tcW w:w="82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Special items:</w:t>
            </w:r>
          </w:p>
        </w:tc>
        <w:tc>
          <w:tcPr>
            <w:tcW w:w="3220" w:type="dxa"/>
            <w:vAlign w:val="bottom"/>
          </w:tcPr>
          <w:p>
            <w:pPr>
              <w:spacing w:after="0"/>
              <w:rPr>
                <w:sz w:val="21"/>
                <w:szCs w:val="21"/>
                <w:color w:val="auto"/>
              </w:rPr>
            </w:pPr>
          </w:p>
        </w:tc>
      </w:tr>
      <w:tr>
        <w:trPr>
          <w:trHeight w:val="27"/>
        </w:trPr>
        <w:tc>
          <w:tcPr>
            <w:tcW w:w="7780" w:type="dxa"/>
            <w:vAlign w:val="bottom"/>
          </w:tcPr>
          <w:p>
            <w:pPr>
              <w:spacing w:after="0"/>
              <w:rPr>
                <w:sz w:val="2"/>
                <w:szCs w:val="2"/>
                <w:color w:val="auto"/>
              </w:rPr>
            </w:pPr>
          </w:p>
        </w:tc>
        <w:tc>
          <w:tcPr>
            <w:tcW w:w="4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8200" w:type="dxa"/>
            <w:vAlign w:val="bottom"/>
            <w:tcBorders>
              <w:bottom w:val="single" w:sz="8" w:color="CCEEFF"/>
            </w:tcBorders>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Share-based compensation</w:t>
            </w:r>
          </w:p>
        </w:tc>
        <w:tc>
          <w:tcPr>
            <w:tcW w:w="3220" w:type="dxa"/>
            <w:vAlign w:val="bottom"/>
            <w:tcBorders>
              <w:bottom w:val="single" w:sz="8" w:color="CCEEFF"/>
            </w:tcBorders>
            <w:shd w:val="clear" w:color="auto" w:fill="CCEEFF"/>
          </w:tcPr>
          <w:p>
            <w:pPr>
              <w:jc w:val="center"/>
              <w:ind w:right="352"/>
              <w:spacing w:after="0"/>
              <w:rPr>
                <w:sz w:val="20"/>
                <w:szCs w:val="20"/>
                <w:color w:val="auto"/>
              </w:rPr>
            </w:pPr>
            <w:r>
              <w:rPr>
                <w:rFonts w:ascii="Times New Roman" w:cs="Times New Roman" w:eastAsia="Times New Roman" w:hAnsi="Times New Roman"/>
                <w:sz w:val="18"/>
                <w:szCs w:val="18"/>
                <w:color w:val="auto"/>
              </w:rPr>
              <w:t>0.3%</w:t>
            </w:r>
          </w:p>
        </w:tc>
      </w:tr>
      <w:tr>
        <w:trPr>
          <w:trHeight w:val="243"/>
        </w:trPr>
        <w:tc>
          <w:tcPr>
            <w:tcW w:w="82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3220" w:type="dxa"/>
            <w:vAlign w:val="bottom"/>
          </w:tcPr>
          <w:p>
            <w:pPr>
              <w:jc w:val="center"/>
              <w:ind w:right="352"/>
              <w:spacing w:after="0"/>
              <w:rPr>
                <w:sz w:val="20"/>
                <w:szCs w:val="20"/>
                <w:color w:val="auto"/>
              </w:rPr>
            </w:pPr>
            <w:r>
              <w:rPr>
                <w:rFonts w:ascii="Times New Roman" w:cs="Times New Roman" w:eastAsia="Times New Roman" w:hAnsi="Times New Roman"/>
                <w:sz w:val="18"/>
                <w:szCs w:val="18"/>
                <w:color w:val="auto"/>
                <w:w w:val="98"/>
              </w:rPr>
              <w:t>16.2%</w:t>
            </w:r>
          </w:p>
        </w:tc>
      </w:tr>
      <w:tr>
        <w:trPr>
          <w:trHeight w:val="27"/>
        </w:trPr>
        <w:tc>
          <w:tcPr>
            <w:tcW w:w="778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3220" w:type="dxa"/>
            <w:vAlign w:val="bottom"/>
            <w:tcBorders>
              <w:bottom w:val="single" w:sz="8" w:color="auto"/>
            </w:tcBorders>
          </w:tcPr>
          <w:p>
            <w:pPr>
              <w:spacing w:after="0"/>
              <w:rPr>
                <w:sz w:val="2"/>
                <w:szCs w:val="2"/>
                <w:color w:val="auto"/>
              </w:rPr>
            </w:pPr>
          </w:p>
        </w:tc>
      </w:tr>
      <w:tr>
        <w:trPr>
          <w:trHeight w:val="244"/>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Non-GAAP gross margin</w:t>
            </w:r>
          </w:p>
        </w:tc>
        <w:tc>
          <w:tcPr>
            <w:tcW w:w="3220" w:type="dxa"/>
            <w:vAlign w:val="bottom"/>
            <w:tcBorders>
              <w:bottom w:val="single" w:sz="8" w:color="CCEEFF"/>
            </w:tcBorders>
            <w:shd w:val="clear" w:color="auto" w:fill="CCEEFF"/>
          </w:tcPr>
          <w:p>
            <w:pPr>
              <w:jc w:val="center"/>
              <w:ind w:right="332"/>
              <w:spacing w:after="0"/>
              <w:rPr>
                <w:sz w:val="20"/>
                <w:szCs w:val="20"/>
                <w:color w:val="auto"/>
              </w:rPr>
            </w:pPr>
            <w:r>
              <w:rPr>
                <w:rFonts w:ascii="Times New Roman" w:cs="Times New Roman" w:eastAsia="Times New Roman" w:hAnsi="Times New Roman"/>
                <w:sz w:val="18"/>
                <w:szCs w:val="18"/>
                <w:color w:val="auto"/>
                <w:w w:val="96"/>
              </w:rPr>
              <w:t>62%</w:t>
            </w:r>
          </w:p>
        </w:tc>
      </w:tr>
      <w:tr>
        <w:trPr>
          <w:trHeight w:val="297"/>
        </w:trPr>
        <w:tc>
          <w:tcPr>
            <w:tcW w:w="77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220" w:type="dxa"/>
            <w:vAlign w:val="bottom"/>
          </w:tcPr>
          <w:p>
            <w:pPr>
              <w:spacing w:after="0"/>
              <w:rPr>
                <w:sz w:val="24"/>
                <w:szCs w:val="24"/>
                <w:color w:val="auto"/>
              </w:rPr>
            </w:pPr>
          </w:p>
        </w:tc>
      </w:tr>
      <w:tr>
        <w:trPr>
          <w:trHeight w:val="250"/>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Total GAAP operating expenses</w:t>
            </w:r>
          </w:p>
        </w:tc>
        <w:tc>
          <w:tcPr>
            <w:tcW w:w="3220" w:type="dxa"/>
            <w:vAlign w:val="bottom"/>
            <w:tcBorders>
              <w:bottom w:val="single" w:sz="8" w:color="CCEEFF"/>
            </w:tcBorders>
            <w:shd w:val="clear" w:color="auto" w:fill="CCEEFF"/>
          </w:tcPr>
          <w:p>
            <w:pPr>
              <w:jc w:val="right"/>
              <w:ind w:right="1272"/>
              <w:spacing w:after="0"/>
              <w:rPr>
                <w:sz w:val="20"/>
                <w:szCs w:val="20"/>
                <w:color w:val="auto"/>
              </w:rPr>
            </w:pPr>
            <w:r>
              <w:rPr>
                <w:rFonts w:ascii="Times New Roman" w:cs="Times New Roman" w:eastAsia="Times New Roman" w:hAnsi="Times New Roman"/>
                <w:sz w:val="18"/>
                <w:szCs w:val="18"/>
                <w:color w:val="auto"/>
              </w:rPr>
              <w:t>$445 - $455</w:t>
            </w:r>
          </w:p>
        </w:tc>
      </w:tr>
      <w:tr>
        <w:trPr>
          <w:trHeight w:val="243"/>
        </w:trPr>
        <w:tc>
          <w:tcPr>
            <w:tcW w:w="82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Special items:</w:t>
            </w:r>
          </w:p>
        </w:tc>
        <w:tc>
          <w:tcPr>
            <w:tcW w:w="3220" w:type="dxa"/>
            <w:vAlign w:val="bottom"/>
          </w:tcPr>
          <w:p>
            <w:pPr>
              <w:spacing w:after="0"/>
              <w:rPr>
                <w:sz w:val="21"/>
                <w:szCs w:val="21"/>
                <w:color w:val="auto"/>
              </w:rPr>
            </w:pPr>
          </w:p>
        </w:tc>
      </w:tr>
      <w:tr>
        <w:trPr>
          <w:trHeight w:val="27"/>
        </w:trPr>
        <w:tc>
          <w:tcPr>
            <w:tcW w:w="7780" w:type="dxa"/>
            <w:vAlign w:val="bottom"/>
          </w:tcPr>
          <w:p>
            <w:pPr>
              <w:spacing w:after="0"/>
              <w:rPr>
                <w:sz w:val="2"/>
                <w:szCs w:val="2"/>
                <w:color w:val="auto"/>
              </w:rPr>
            </w:pPr>
          </w:p>
        </w:tc>
        <w:tc>
          <w:tcPr>
            <w:tcW w:w="4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8200" w:type="dxa"/>
            <w:vAlign w:val="bottom"/>
            <w:tcBorders>
              <w:bottom w:val="single" w:sz="8" w:color="CCEEFF"/>
            </w:tcBorders>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Share-based compensation</w:t>
            </w:r>
          </w:p>
        </w:tc>
        <w:tc>
          <w:tcPr>
            <w:tcW w:w="3220" w:type="dxa"/>
            <w:vAlign w:val="bottom"/>
            <w:tcBorders>
              <w:bottom w:val="single" w:sz="8" w:color="CCEEFF"/>
            </w:tcBorders>
            <w:shd w:val="clear" w:color="auto" w:fill="CCEEFF"/>
          </w:tcPr>
          <w:p>
            <w:pPr>
              <w:jc w:val="center"/>
              <w:ind w:right="352"/>
              <w:spacing w:after="0"/>
              <w:rPr>
                <w:sz w:val="20"/>
                <w:szCs w:val="20"/>
                <w:color w:val="auto"/>
              </w:rPr>
            </w:pPr>
            <w:r>
              <w:rPr>
                <w:rFonts w:ascii="Times New Roman" w:cs="Times New Roman" w:eastAsia="Times New Roman" w:hAnsi="Times New Roman"/>
                <w:sz w:val="18"/>
                <w:szCs w:val="18"/>
                <w:color w:val="auto"/>
                <w:w w:val="99"/>
              </w:rPr>
              <w:t>65</w:t>
            </w:r>
          </w:p>
        </w:tc>
      </w:tr>
      <w:tr>
        <w:trPr>
          <w:trHeight w:val="243"/>
        </w:trPr>
        <w:tc>
          <w:tcPr>
            <w:tcW w:w="82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3220" w:type="dxa"/>
            <w:vAlign w:val="bottom"/>
          </w:tcPr>
          <w:p>
            <w:pPr>
              <w:jc w:val="center"/>
              <w:ind w:right="352"/>
              <w:spacing w:after="0"/>
              <w:rPr>
                <w:sz w:val="20"/>
                <w:szCs w:val="20"/>
                <w:color w:val="auto"/>
              </w:rPr>
            </w:pPr>
            <w:r>
              <w:rPr>
                <w:rFonts w:ascii="Times New Roman" w:cs="Times New Roman" w:eastAsia="Times New Roman" w:hAnsi="Times New Roman"/>
                <w:sz w:val="18"/>
                <w:szCs w:val="18"/>
                <w:color w:val="auto"/>
                <w:w w:val="99"/>
              </w:rPr>
              <w:t>23</w:t>
            </w:r>
          </w:p>
        </w:tc>
      </w:tr>
      <w:tr>
        <w:trPr>
          <w:trHeight w:val="27"/>
        </w:trPr>
        <w:tc>
          <w:tcPr>
            <w:tcW w:w="7780" w:type="dxa"/>
            <w:vAlign w:val="bottom"/>
          </w:tcPr>
          <w:p>
            <w:pPr>
              <w:spacing w:after="0"/>
              <w:rPr>
                <w:sz w:val="2"/>
                <w:szCs w:val="2"/>
                <w:color w:val="auto"/>
              </w:rPr>
            </w:pPr>
          </w:p>
        </w:tc>
        <w:tc>
          <w:tcPr>
            <w:tcW w:w="4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8200" w:type="dxa"/>
            <w:vAlign w:val="bottom"/>
            <w:tcBorders>
              <w:bottom w:val="single" w:sz="8" w:color="CCEEFF"/>
            </w:tcBorders>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3220" w:type="dxa"/>
            <w:vAlign w:val="bottom"/>
            <w:tcBorders>
              <w:bottom w:val="single" w:sz="8" w:color="CCEEFF"/>
            </w:tcBorders>
            <w:shd w:val="clear" w:color="auto" w:fill="CCEEFF"/>
          </w:tcPr>
          <w:p>
            <w:pPr>
              <w:jc w:val="center"/>
              <w:ind w:right="352"/>
              <w:spacing w:after="0"/>
              <w:rPr>
                <w:sz w:val="20"/>
                <w:szCs w:val="20"/>
                <w:color w:val="auto"/>
              </w:rPr>
            </w:pPr>
            <w:r>
              <w:rPr>
                <w:rFonts w:ascii="Times New Roman" w:cs="Times New Roman" w:eastAsia="Times New Roman" w:hAnsi="Times New Roman"/>
                <w:sz w:val="18"/>
                <w:szCs w:val="18"/>
                <w:color w:val="auto"/>
                <w:w w:val="99"/>
              </w:rPr>
              <w:t>23</w:t>
            </w:r>
          </w:p>
        </w:tc>
      </w:tr>
      <w:tr>
        <w:trPr>
          <w:trHeight w:val="243"/>
        </w:trPr>
        <w:tc>
          <w:tcPr>
            <w:tcW w:w="82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Other operating expenses</w:t>
            </w:r>
          </w:p>
        </w:tc>
        <w:tc>
          <w:tcPr>
            <w:tcW w:w="3220" w:type="dxa"/>
            <w:vAlign w:val="bottom"/>
          </w:tcPr>
          <w:p>
            <w:pPr>
              <w:jc w:val="center"/>
              <w:ind w:right="352"/>
              <w:spacing w:after="0"/>
              <w:rPr>
                <w:sz w:val="20"/>
                <w:szCs w:val="20"/>
                <w:color w:val="auto"/>
              </w:rPr>
            </w:pPr>
            <w:r>
              <w:rPr>
                <w:rFonts w:ascii="Times New Roman" w:cs="Times New Roman" w:eastAsia="Times New Roman" w:hAnsi="Times New Roman"/>
                <w:sz w:val="18"/>
                <w:szCs w:val="18"/>
                <w:color w:val="auto"/>
                <w:w w:val="99"/>
              </w:rPr>
              <w:t>22</w:t>
            </w:r>
          </w:p>
        </w:tc>
      </w:tr>
      <w:tr>
        <w:trPr>
          <w:trHeight w:val="27"/>
        </w:trPr>
        <w:tc>
          <w:tcPr>
            <w:tcW w:w="778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3220" w:type="dxa"/>
            <w:vAlign w:val="bottom"/>
            <w:tcBorders>
              <w:bottom w:val="single" w:sz="8" w:color="auto"/>
            </w:tcBorders>
          </w:tcPr>
          <w:p>
            <w:pPr>
              <w:spacing w:after="0"/>
              <w:rPr>
                <w:sz w:val="2"/>
                <w:szCs w:val="2"/>
                <w:color w:val="auto"/>
              </w:rPr>
            </w:pPr>
          </w:p>
        </w:tc>
      </w:tr>
      <w:tr>
        <w:trPr>
          <w:trHeight w:val="244"/>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Total non-GAAP operating expenses</w:t>
            </w:r>
          </w:p>
        </w:tc>
        <w:tc>
          <w:tcPr>
            <w:tcW w:w="3220" w:type="dxa"/>
            <w:vAlign w:val="bottom"/>
            <w:tcBorders>
              <w:bottom w:val="single" w:sz="8" w:color="CCEEFF"/>
            </w:tcBorders>
            <w:shd w:val="clear" w:color="auto" w:fill="CCEEFF"/>
          </w:tcPr>
          <w:p>
            <w:pPr>
              <w:jc w:val="center"/>
              <w:ind w:right="332"/>
              <w:spacing w:after="0"/>
              <w:rPr>
                <w:sz w:val="20"/>
                <w:szCs w:val="20"/>
                <w:color w:val="auto"/>
              </w:rPr>
            </w:pPr>
            <w:r>
              <w:rPr>
                <w:rFonts w:ascii="Times New Roman" w:cs="Times New Roman" w:eastAsia="Times New Roman" w:hAnsi="Times New Roman"/>
                <w:sz w:val="18"/>
                <w:szCs w:val="18"/>
                <w:color w:val="auto"/>
              </w:rPr>
              <w:t>$315 - $320</w:t>
            </w:r>
          </w:p>
        </w:tc>
      </w:tr>
      <w:tr>
        <w:trPr>
          <w:trHeight w:val="243"/>
        </w:trPr>
        <w:tc>
          <w:tcPr>
            <w:tcW w:w="778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3220" w:type="dxa"/>
            <w:vAlign w:val="bottom"/>
          </w:tcPr>
          <w:p>
            <w:pPr>
              <w:spacing w:after="0"/>
              <w:rPr>
                <w:sz w:val="21"/>
                <w:szCs w:val="21"/>
                <w:color w:val="auto"/>
              </w:rPr>
            </w:pPr>
          </w:p>
        </w:tc>
      </w:tr>
      <w:tr>
        <w:trPr>
          <w:trHeight w:val="270"/>
        </w:trPr>
        <w:tc>
          <w:tcPr>
            <w:tcW w:w="7780" w:type="dxa"/>
            <w:vAlign w:val="bottom"/>
            <w:shd w:val="clear" w:color="auto" w:fill="CCEEFF"/>
          </w:tcPr>
          <w:p>
            <w:pPr>
              <w:spacing w:after="0"/>
              <w:rPr>
                <w:sz w:val="23"/>
                <w:szCs w:val="23"/>
                <w:color w:val="auto"/>
              </w:rPr>
            </w:pPr>
          </w:p>
        </w:tc>
        <w:tc>
          <w:tcPr>
            <w:tcW w:w="420" w:type="dxa"/>
            <w:vAlign w:val="bottom"/>
            <w:shd w:val="clear" w:color="auto" w:fill="CCEEFF"/>
          </w:tcPr>
          <w:p>
            <w:pPr>
              <w:spacing w:after="0"/>
              <w:rPr>
                <w:sz w:val="23"/>
                <w:szCs w:val="23"/>
                <w:color w:val="auto"/>
              </w:rPr>
            </w:pPr>
          </w:p>
        </w:tc>
        <w:tc>
          <w:tcPr>
            <w:tcW w:w="3220" w:type="dxa"/>
            <w:vAlign w:val="bottom"/>
            <w:shd w:val="clear" w:color="auto" w:fill="CCEEFF"/>
          </w:tcPr>
          <w:p>
            <w:pPr>
              <w:spacing w:after="0"/>
              <w:rPr>
                <w:sz w:val="23"/>
                <w:szCs w:val="23"/>
                <w:color w:val="auto"/>
              </w:rPr>
            </w:pPr>
          </w:p>
        </w:tc>
      </w:tr>
      <w:tr>
        <w:trPr>
          <w:trHeight w:val="243"/>
        </w:trPr>
        <w:tc>
          <w:tcPr>
            <w:tcW w:w="8200" w:type="dxa"/>
            <w:vAlign w:val="bottom"/>
            <w:gridSpan w:val="2"/>
          </w:tcPr>
          <w:p>
            <w:pPr>
              <w:ind w:left="40"/>
              <w:spacing w:after="0"/>
              <w:rPr>
                <w:sz w:val="20"/>
                <w:szCs w:val="20"/>
                <w:color w:val="auto"/>
              </w:rPr>
            </w:pPr>
            <w:r>
              <w:rPr>
                <w:rFonts w:ascii="Times New Roman" w:cs="Times New Roman" w:eastAsia="Times New Roman" w:hAnsi="Times New Roman"/>
                <w:sz w:val="18"/>
                <w:szCs w:val="18"/>
                <w:b w:val="1"/>
                <w:bCs w:val="1"/>
                <w:color w:val="auto"/>
              </w:rPr>
              <w:t>GAAP diluted net loss per share</w:t>
            </w:r>
          </w:p>
        </w:tc>
        <w:tc>
          <w:tcPr>
            <w:tcW w:w="3220" w:type="dxa"/>
            <w:vAlign w:val="bottom"/>
          </w:tcPr>
          <w:p>
            <w:pPr>
              <w:jc w:val="right"/>
              <w:ind w:right="1112"/>
              <w:spacing w:after="0"/>
              <w:rPr>
                <w:sz w:val="20"/>
                <w:szCs w:val="20"/>
                <w:color w:val="auto"/>
              </w:rPr>
            </w:pPr>
            <w:r>
              <w:rPr>
                <w:rFonts w:ascii="Times New Roman" w:cs="Times New Roman" w:eastAsia="Times New Roman" w:hAnsi="Times New Roman"/>
                <w:sz w:val="18"/>
                <w:szCs w:val="18"/>
                <w:color w:val="auto"/>
              </w:rPr>
              <w:t>$(0.23) - $(0.17)</w:t>
            </w:r>
          </w:p>
        </w:tc>
      </w:tr>
      <w:tr>
        <w:trPr>
          <w:trHeight w:val="27"/>
        </w:trPr>
        <w:tc>
          <w:tcPr>
            <w:tcW w:w="7780" w:type="dxa"/>
            <w:vAlign w:val="bottom"/>
          </w:tcPr>
          <w:p>
            <w:pPr>
              <w:spacing w:after="0"/>
              <w:rPr>
                <w:sz w:val="2"/>
                <w:szCs w:val="2"/>
                <w:color w:val="auto"/>
              </w:rPr>
            </w:pPr>
          </w:p>
        </w:tc>
        <w:tc>
          <w:tcPr>
            <w:tcW w:w="4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Special items:</w:t>
            </w:r>
          </w:p>
        </w:tc>
        <w:tc>
          <w:tcPr>
            <w:tcW w:w="3220" w:type="dxa"/>
            <w:vAlign w:val="bottom"/>
            <w:tcBorders>
              <w:bottom w:val="single" w:sz="8" w:color="CCEEFF"/>
            </w:tcBorders>
            <w:shd w:val="clear" w:color="auto" w:fill="CCEEFF"/>
          </w:tcPr>
          <w:p>
            <w:pPr>
              <w:spacing w:after="0"/>
              <w:rPr>
                <w:sz w:val="21"/>
                <w:szCs w:val="21"/>
                <w:color w:val="auto"/>
              </w:rPr>
            </w:pPr>
          </w:p>
        </w:tc>
      </w:tr>
      <w:tr>
        <w:trPr>
          <w:trHeight w:val="243"/>
        </w:trPr>
        <w:tc>
          <w:tcPr>
            <w:tcW w:w="82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Share-based compensation</w:t>
            </w:r>
          </w:p>
        </w:tc>
        <w:tc>
          <w:tcPr>
            <w:tcW w:w="3220" w:type="dxa"/>
            <w:vAlign w:val="bottom"/>
          </w:tcPr>
          <w:p>
            <w:pPr>
              <w:jc w:val="center"/>
              <w:ind w:right="332"/>
              <w:spacing w:after="0"/>
              <w:rPr>
                <w:sz w:val="20"/>
                <w:szCs w:val="20"/>
                <w:color w:val="auto"/>
              </w:rPr>
            </w:pPr>
            <w:r>
              <w:rPr>
                <w:rFonts w:ascii="Times New Roman" w:cs="Times New Roman" w:eastAsia="Times New Roman" w:hAnsi="Times New Roman"/>
                <w:sz w:val="18"/>
                <w:szCs w:val="18"/>
                <w:color w:val="auto"/>
              </w:rPr>
              <w:t>0.10</w:t>
            </w:r>
          </w:p>
        </w:tc>
      </w:tr>
      <w:tr>
        <w:trPr>
          <w:trHeight w:val="27"/>
        </w:trPr>
        <w:tc>
          <w:tcPr>
            <w:tcW w:w="7780" w:type="dxa"/>
            <w:vAlign w:val="bottom"/>
          </w:tcPr>
          <w:p>
            <w:pPr>
              <w:spacing w:after="0"/>
              <w:rPr>
                <w:sz w:val="2"/>
                <w:szCs w:val="2"/>
                <w:color w:val="auto"/>
              </w:rPr>
            </w:pPr>
          </w:p>
        </w:tc>
        <w:tc>
          <w:tcPr>
            <w:tcW w:w="4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8200" w:type="dxa"/>
            <w:vAlign w:val="bottom"/>
            <w:tcBorders>
              <w:bottom w:val="single" w:sz="8" w:color="CCEEFF"/>
            </w:tcBorders>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3220" w:type="dxa"/>
            <w:vAlign w:val="bottom"/>
            <w:tcBorders>
              <w:bottom w:val="single" w:sz="8" w:color="CCEEFF"/>
            </w:tcBorders>
            <w:shd w:val="clear" w:color="auto" w:fill="CCEEFF"/>
          </w:tcPr>
          <w:p>
            <w:pPr>
              <w:jc w:val="center"/>
              <w:ind w:right="332"/>
              <w:spacing w:after="0"/>
              <w:rPr>
                <w:sz w:val="20"/>
                <w:szCs w:val="20"/>
                <w:color w:val="auto"/>
              </w:rPr>
            </w:pPr>
            <w:r>
              <w:rPr>
                <w:rFonts w:ascii="Times New Roman" w:cs="Times New Roman" w:eastAsia="Times New Roman" w:hAnsi="Times New Roman"/>
                <w:sz w:val="18"/>
                <w:szCs w:val="18"/>
                <w:color w:val="auto"/>
              </w:rPr>
              <w:t>0.21</w:t>
            </w:r>
          </w:p>
        </w:tc>
      </w:tr>
      <w:tr>
        <w:trPr>
          <w:trHeight w:val="243"/>
        </w:trPr>
        <w:tc>
          <w:tcPr>
            <w:tcW w:w="82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Restructuring related charges in operating expenses</w:t>
            </w:r>
          </w:p>
        </w:tc>
        <w:tc>
          <w:tcPr>
            <w:tcW w:w="3220" w:type="dxa"/>
            <w:vAlign w:val="bottom"/>
          </w:tcPr>
          <w:p>
            <w:pPr>
              <w:jc w:val="center"/>
              <w:ind w:right="332"/>
              <w:spacing w:after="0"/>
              <w:rPr>
                <w:sz w:val="20"/>
                <w:szCs w:val="20"/>
                <w:color w:val="auto"/>
              </w:rPr>
            </w:pPr>
            <w:r>
              <w:rPr>
                <w:rFonts w:ascii="Times New Roman" w:cs="Times New Roman" w:eastAsia="Times New Roman" w:hAnsi="Times New Roman"/>
                <w:sz w:val="18"/>
                <w:szCs w:val="18"/>
                <w:color w:val="auto"/>
              </w:rPr>
              <w:t>0.04</w:t>
            </w:r>
          </w:p>
        </w:tc>
      </w:tr>
      <w:tr>
        <w:trPr>
          <w:trHeight w:val="27"/>
        </w:trPr>
        <w:tc>
          <w:tcPr>
            <w:tcW w:w="7780" w:type="dxa"/>
            <w:vAlign w:val="bottom"/>
          </w:tcPr>
          <w:p>
            <w:pPr>
              <w:spacing w:after="0"/>
              <w:rPr>
                <w:sz w:val="2"/>
                <w:szCs w:val="2"/>
                <w:color w:val="auto"/>
              </w:rPr>
            </w:pPr>
          </w:p>
        </w:tc>
        <w:tc>
          <w:tcPr>
            <w:tcW w:w="4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8200" w:type="dxa"/>
            <w:vAlign w:val="bottom"/>
            <w:tcBorders>
              <w:bottom w:val="single" w:sz="8" w:color="CCEEFF"/>
            </w:tcBorders>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Other operating expenses</w:t>
            </w:r>
          </w:p>
        </w:tc>
        <w:tc>
          <w:tcPr>
            <w:tcW w:w="3220" w:type="dxa"/>
            <w:vAlign w:val="bottom"/>
            <w:tcBorders>
              <w:bottom w:val="single" w:sz="8" w:color="CCEEFF"/>
            </w:tcBorders>
            <w:shd w:val="clear" w:color="auto" w:fill="CCEEFF"/>
          </w:tcPr>
          <w:p>
            <w:pPr>
              <w:jc w:val="center"/>
              <w:ind w:right="332"/>
              <w:spacing w:after="0"/>
              <w:rPr>
                <w:sz w:val="20"/>
                <w:szCs w:val="20"/>
                <w:color w:val="auto"/>
              </w:rPr>
            </w:pPr>
            <w:r>
              <w:rPr>
                <w:rFonts w:ascii="Times New Roman" w:cs="Times New Roman" w:eastAsia="Times New Roman" w:hAnsi="Times New Roman"/>
                <w:sz w:val="18"/>
                <w:szCs w:val="18"/>
                <w:color w:val="auto"/>
              </w:rPr>
              <w:t>0.03</w:t>
            </w:r>
          </w:p>
        </w:tc>
      </w:tr>
      <w:tr>
        <w:trPr>
          <w:trHeight w:val="243"/>
        </w:trPr>
        <w:tc>
          <w:tcPr>
            <w:tcW w:w="82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Other income tax effects and adjustments</w:t>
            </w:r>
          </w:p>
        </w:tc>
        <w:tc>
          <w:tcPr>
            <w:tcW w:w="3220" w:type="dxa"/>
            <w:vAlign w:val="bottom"/>
          </w:tcPr>
          <w:p>
            <w:pPr>
              <w:jc w:val="center"/>
              <w:ind w:right="332"/>
              <w:spacing w:after="0"/>
              <w:rPr>
                <w:sz w:val="20"/>
                <w:szCs w:val="20"/>
                <w:color w:val="auto"/>
              </w:rPr>
            </w:pPr>
            <w:r>
              <w:rPr>
                <w:rFonts w:ascii="Times New Roman" w:cs="Times New Roman" w:eastAsia="Times New Roman" w:hAnsi="Times New Roman"/>
                <w:sz w:val="18"/>
                <w:szCs w:val="18"/>
                <w:color w:val="auto"/>
              </w:rPr>
              <w:t>(0.01)</w:t>
            </w:r>
          </w:p>
        </w:tc>
      </w:tr>
      <w:tr>
        <w:trPr>
          <w:trHeight w:val="27"/>
        </w:trPr>
        <w:tc>
          <w:tcPr>
            <w:tcW w:w="778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3220" w:type="dxa"/>
            <w:vAlign w:val="bottom"/>
            <w:tcBorders>
              <w:bottom w:val="single" w:sz="8" w:color="auto"/>
            </w:tcBorders>
          </w:tcPr>
          <w:p>
            <w:pPr>
              <w:spacing w:after="0"/>
              <w:rPr>
                <w:sz w:val="2"/>
                <w:szCs w:val="2"/>
                <w:color w:val="auto"/>
              </w:rPr>
            </w:pPr>
          </w:p>
        </w:tc>
      </w:tr>
      <w:tr>
        <w:trPr>
          <w:trHeight w:val="237"/>
        </w:trPr>
        <w:tc>
          <w:tcPr>
            <w:tcW w:w="8200" w:type="dxa"/>
            <w:vAlign w:val="bottom"/>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Non-GAAP diluted net income per share</w:t>
            </w:r>
          </w:p>
        </w:tc>
        <w:tc>
          <w:tcPr>
            <w:tcW w:w="3220" w:type="dxa"/>
            <w:vAlign w:val="bottom"/>
            <w:shd w:val="clear" w:color="auto" w:fill="CCEEFF"/>
          </w:tcPr>
          <w:p>
            <w:pPr>
              <w:jc w:val="center"/>
              <w:ind w:right="332"/>
              <w:spacing w:after="0"/>
              <w:rPr>
                <w:sz w:val="20"/>
                <w:szCs w:val="20"/>
                <w:color w:val="auto"/>
              </w:rPr>
            </w:pPr>
            <w:r>
              <w:rPr>
                <w:rFonts w:ascii="Times New Roman" w:cs="Times New Roman" w:eastAsia="Times New Roman" w:hAnsi="Times New Roman"/>
                <w:sz w:val="18"/>
                <w:szCs w:val="18"/>
                <w:color w:val="auto"/>
                <w:w w:val="99"/>
              </w:rPr>
              <w:t>$0.15 - $0.19</w:t>
            </w:r>
          </w:p>
        </w:tc>
      </w:tr>
      <w:tr>
        <w:trPr>
          <w:trHeight w:val="27"/>
        </w:trPr>
        <w:tc>
          <w:tcPr>
            <w:tcW w:w="7780" w:type="dxa"/>
            <w:vAlign w:val="bottom"/>
            <w:shd w:val="clear" w:color="auto" w:fill="CCEEFF"/>
          </w:tcPr>
          <w:p>
            <w:pPr>
              <w:spacing w:after="0"/>
              <w:rPr>
                <w:sz w:val="2"/>
                <w:szCs w:val="2"/>
                <w:color w:val="auto"/>
              </w:rPr>
            </w:pPr>
          </w:p>
        </w:tc>
        <w:tc>
          <w:tcPr>
            <w:tcW w:w="420" w:type="dxa"/>
            <w:vAlign w:val="bottom"/>
            <w:shd w:val="clear" w:color="auto" w:fill="CCEEFF"/>
          </w:tcPr>
          <w:p>
            <w:pPr>
              <w:spacing w:after="0"/>
              <w:rPr>
                <w:sz w:val="2"/>
                <w:szCs w:val="2"/>
                <w:color w:val="auto"/>
              </w:rPr>
            </w:pPr>
          </w:p>
        </w:tc>
        <w:tc>
          <w:tcPr>
            <w:tcW w:w="3220" w:type="dxa"/>
            <w:vAlign w:val="bottom"/>
            <w:shd w:val="clear" w:color="auto" w:fill="CCEEFF"/>
          </w:tcPr>
          <w:p>
            <w:pPr>
              <w:spacing w:after="0"/>
              <w:rPr>
                <w:sz w:val="2"/>
                <w:szCs w:val="2"/>
                <w:color w:val="auto"/>
              </w:rPr>
            </w:pPr>
          </w:p>
        </w:tc>
      </w:tr>
    </w:tbl>
    <w:p>
      <w:pPr>
        <w:sectPr>
          <w:pgSz w:w="11900" w:h="16838" w:orient="portrait"/>
          <w:cols w:equalWidth="0" w:num="1">
            <w:col w:w="11420"/>
          </w:cols>
          <w:pgMar w:left="240" w:top="495" w:right="239" w:bottom="1440" w:gutter="0" w:footer="0" w:header="0"/>
        </w:sectPr>
      </w:pPr>
    </w:p>
    <w:bookmarkStart w:id="14" w:name="page15"/>
    <w:bookmarkEnd w:id="14"/>
    <w:p>
      <w:pPr>
        <w:jc w:val="center"/>
        <w:spacing w:after="0"/>
        <w:rPr>
          <w:sz w:val="20"/>
          <w:szCs w:val="20"/>
          <w:color w:val="auto"/>
        </w:rPr>
      </w:pPr>
      <w:r>
        <w:rPr>
          <w:rFonts w:ascii="Times New Roman" w:cs="Times New Roman" w:eastAsia="Times New Roman" w:hAnsi="Times New Roman"/>
          <w:sz w:val="18"/>
          <w:szCs w:val="18"/>
          <w:b w:val="1"/>
          <w:bCs w:val="1"/>
          <w:color w:val="auto"/>
        </w:rPr>
        <w:t>Quarterly Revenue Trend (Unaudited)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200" w:lineRule="exact"/>
        <w:rPr>
          <w:sz w:val="20"/>
          <w:szCs w:val="20"/>
          <w:color w:val="auto"/>
        </w:rPr>
      </w:pPr>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212"/>
        </w:trPr>
        <w:tc>
          <w:tcPr>
            <w:tcW w:w="2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760" w:type="dxa"/>
            <w:vAlign w:val="bottom"/>
            <w:gridSpan w:val="2"/>
          </w:tcPr>
          <w:p>
            <w:pPr>
              <w:ind w:left="20"/>
              <w:spacing w:after="0"/>
              <w:rPr>
                <w:sz w:val="20"/>
                <w:szCs w:val="20"/>
                <w:color w:val="auto"/>
              </w:rPr>
            </w:pPr>
            <w:r>
              <w:rPr>
                <w:rFonts w:ascii="Times New Roman" w:cs="Times New Roman" w:eastAsia="Times New Roman" w:hAnsi="Times New Roman"/>
                <w:sz w:val="16"/>
                <w:szCs w:val="16"/>
                <w:b w:val="1"/>
                <w:bCs w:val="1"/>
                <w:color w:val="auto"/>
              </w:rPr>
              <w:t>Three Months Ended</w:t>
            </w:r>
          </w:p>
        </w:tc>
        <w:tc>
          <w:tcPr>
            <w:tcW w:w="26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60" w:type="dxa"/>
            <w:vAlign w:val="bottom"/>
            <w:gridSpan w:val="3"/>
          </w:tcPr>
          <w:p>
            <w:pPr>
              <w:ind w:left="1040"/>
              <w:spacing w:after="0"/>
              <w:rPr>
                <w:sz w:val="20"/>
                <w:szCs w:val="20"/>
                <w:color w:val="auto"/>
              </w:rPr>
            </w:pPr>
            <w:r>
              <w:rPr>
                <w:rFonts w:ascii="Times New Roman" w:cs="Times New Roman" w:eastAsia="Times New Roman" w:hAnsi="Times New Roman"/>
                <w:sz w:val="16"/>
                <w:szCs w:val="16"/>
                <w:b w:val="1"/>
                <w:bCs w:val="1"/>
                <w:color w:val="auto"/>
              </w:rPr>
              <w:t>% Change</w:t>
            </w:r>
          </w:p>
        </w:tc>
        <w:tc>
          <w:tcPr>
            <w:tcW w:w="920" w:type="dxa"/>
            <w:vAlign w:val="bottom"/>
          </w:tcPr>
          <w:p>
            <w:pPr>
              <w:spacing w:after="0"/>
              <w:rPr>
                <w:sz w:val="18"/>
                <w:szCs w:val="18"/>
                <w:color w:val="auto"/>
              </w:rPr>
            </w:pPr>
          </w:p>
        </w:tc>
      </w:tr>
      <w:tr>
        <w:trPr>
          <w:trHeight w:val="33"/>
        </w:trPr>
        <w:tc>
          <w:tcPr>
            <w:tcW w:w="29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620" w:type="dxa"/>
            <w:vAlign w:val="bottom"/>
            <w:tcBorders>
              <w:bottom w:val="single" w:sz="8" w:color="auto"/>
            </w:tcBorders>
            <w:gridSpan w:val="2"/>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760" w:type="dxa"/>
            <w:vAlign w:val="bottom"/>
            <w:tcBorders>
              <w:bottom w:val="single" w:sz="8" w:color="auto"/>
            </w:tcBorders>
            <w:gridSpan w:val="2"/>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07"/>
        </w:trPr>
        <w:tc>
          <w:tcPr>
            <w:tcW w:w="2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20" w:type="dxa"/>
            <w:vAlign w:val="bottom"/>
            <w:gridSpan w:val="2"/>
          </w:tcPr>
          <w:p>
            <w:pPr>
              <w:ind w:left="160"/>
              <w:spacing w:after="0"/>
              <w:rPr>
                <w:sz w:val="20"/>
                <w:szCs w:val="20"/>
                <w:color w:val="auto"/>
              </w:rPr>
            </w:pPr>
            <w:r>
              <w:rPr>
                <w:rFonts w:ascii="Times New Roman" w:cs="Times New Roman" w:eastAsia="Times New Roman" w:hAnsi="Times New Roman"/>
                <w:sz w:val="16"/>
                <w:szCs w:val="16"/>
                <w:b w:val="1"/>
                <w:bCs w:val="1"/>
                <w:color w:val="auto"/>
              </w:rPr>
              <w:t>November 2,</w:t>
            </w:r>
          </w:p>
        </w:tc>
        <w:tc>
          <w:tcPr>
            <w:tcW w:w="160" w:type="dxa"/>
            <w:vAlign w:val="bottom"/>
          </w:tcPr>
          <w:p>
            <w:pPr>
              <w:spacing w:after="0"/>
              <w:rPr>
                <w:sz w:val="18"/>
                <w:szCs w:val="18"/>
                <w:color w:val="auto"/>
              </w:rPr>
            </w:pPr>
          </w:p>
        </w:tc>
        <w:tc>
          <w:tcPr>
            <w:tcW w:w="1760" w:type="dxa"/>
            <w:vAlign w:val="bottom"/>
            <w:gridSpan w:val="2"/>
          </w:tcPr>
          <w:p>
            <w:pPr>
              <w:ind w:left="400"/>
              <w:spacing w:after="0"/>
              <w:rPr>
                <w:sz w:val="20"/>
                <w:szCs w:val="20"/>
                <w:color w:val="auto"/>
              </w:rPr>
            </w:pPr>
            <w:r>
              <w:rPr>
                <w:rFonts w:ascii="Times New Roman" w:cs="Times New Roman" w:eastAsia="Times New Roman" w:hAnsi="Times New Roman"/>
                <w:sz w:val="16"/>
                <w:szCs w:val="16"/>
                <w:b w:val="1"/>
                <w:bCs w:val="1"/>
                <w:color w:val="auto"/>
              </w:rPr>
              <w:t>August 3,</w:t>
            </w:r>
          </w:p>
        </w:tc>
        <w:tc>
          <w:tcPr>
            <w:tcW w:w="260" w:type="dxa"/>
            <w:vAlign w:val="bottom"/>
          </w:tcPr>
          <w:p>
            <w:pPr>
              <w:spacing w:after="0"/>
              <w:rPr>
                <w:sz w:val="18"/>
                <w:szCs w:val="18"/>
                <w:color w:val="auto"/>
              </w:rPr>
            </w:pPr>
          </w:p>
        </w:tc>
        <w:tc>
          <w:tcPr>
            <w:tcW w:w="1640" w:type="dxa"/>
            <w:vAlign w:val="bottom"/>
            <w:gridSpan w:val="2"/>
          </w:tcPr>
          <w:p>
            <w:pPr>
              <w:ind w:left="180"/>
              <w:spacing w:after="0"/>
              <w:rPr>
                <w:sz w:val="20"/>
                <w:szCs w:val="20"/>
                <w:color w:val="auto"/>
              </w:rPr>
            </w:pPr>
            <w:r>
              <w:rPr>
                <w:rFonts w:ascii="Times New Roman" w:cs="Times New Roman" w:eastAsia="Times New Roman" w:hAnsi="Times New Roman"/>
                <w:sz w:val="16"/>
                <w:szCs w:val="16"/>
                <w:b w:val="1"/>
                <w:bCs w:val="1"/>
                <w:color w:val="auto"/>
              </w:rPr>
              <w:t>November 3,</w:t>
            </w:r>
          </w:p>
        </w:tc>
        <w:tc>
          <w:tcPr>
            <w:tcW w:w="1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2"/>
        </w:trPr>
        <w:tc>
          <w:tcPr>
            <w:tcW w:w="2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20" w:type="dxa"/>
            <w:vAlign w:val="bottom"/>
          </w:tcPr>
          <w:p>
            <w:pPr>
              <w:jc w:val="right"/>
              <w:ind w:right="659"/>
              <w:spacing w:after="0"/>
              <w:rPr>
                <w:sz w:val="20"/>
                <w:szCs w:val="20"/>
                <w:color w:val="auto"/>
              </w:rPr>
            </w:pPr>
            <w:r>
              <w:rPr>
                <w:rFonts w:ascii="Times New Roman" w:cs="Times New Roman" w:eastAsia="Times New Roman" w:hAnsi="Times New Roman"/>
                <w:sz w:val="16"/>
                <w:szCs w:val="16"/>
                <w:b w:val="1"/>
                <w:bCs w:val="1"/>
                <w:color w:val="auto"/>
              </w:rPr>
              <w:t>2019</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40" w:type="dxa"/>
            <w:vAlign w:val="bottom"/>
          </w:tcPr>
          <w:p>
            <w:pPr>
              <w:jc w:val="right"/>
              <w:ind w:right="659"/>
              <w:spacing w:after="0"/>
              <w:rPr>
                <w:sz w:val="20"/>
                <w:szCs w:val="20"/>
                <w:color w:val="auto"/>
              </w:rPr>
            </w:pPr>
            <w:r>
              <w:rPr>
                <w:rFonts w:ascii="Times New Roman" w:cs="Times New Roman" w:eastAsia="Times New Roman" w:hAnsi="Times New Roman"/>
                <w:sz w:val="16"/>
                <w:szCs w:val="16"/>
                <w:b w:val="1"/>
                <w:bCs w:val="1"/>
                <w:color w:val="auto"/>
              </w:rPr>
              <w:t>2019</w:t>
            </w: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520" w:type="dxa"/>
            <w:vAlign w:val="bottom"/>
          </w:tcPr>
          <w:p>
            <w:pPr>
              <w:jc w:val="right"/>
              <w:ind w:right="639"/>
              <w:spacing w:after="0"/>
              <w:rPr>
                <w:sz w:val="20"/>
                <w:szCs w:val="20"/>
                <w:color w:val="auto"/>
              </w:rPr>
            </w:pPr>
            <w:r>
              <w:rPr>
                <w:rFonts w:ascii="Times New Roman" w:cs="Times New Roman" w:eastAsia="Times New Roman" w:hAnsi="Times New Roman"/>
                <w:sz w:val="16"/>
                <w:szCs w:val="16"/>
                <w:b w:val="1"/>
                <w:bCs w:val="1"/>
                <w:color w:val="auto"/>
              </w:rPr>
              <w:t>2018</w:t>
            </w:r>
          </w:p>
        </w:tc>
        <w:tc>
          <w:tcPr>
            <w:tcW w:w="120" w:type="dxa"/>
            <w:vAlign w:val="bottom"/>
          </w:tcPr>
          <w:p>
            <w:pPr>
              <w:spacing w:after="0"/>
              <w:rPr>
                <w:sz w:val="18"/>
                <w:szCs w:val="18"/>
                <w:color w:val="auto"/>
              </w:rPr>
            </w:pPr>
          </w:p>
        </w:tc>
        <w:tc>
          <w:tcPr>
            <w:tcW w:w="1860" w:type="dxa"/>
            <w:vAlign w:val="bottom"/>
            <w:gridSpan w:val="3"/>
          </w:tcPr>
          <w:p>
            <w:pPr>
              <w:ind w:left="520"/>
              <w:spacing w:after="0"/>
              <w:rPr>
                <w:sz w:val="20"/>
                <w:szCs w:val="20"/>
                <w:color w:val="auto"/>
              </w:rPr>
            </w:pPr>
            <w:r>
              <w:rPr>
                <w:rFonts w:ascii="Times New Roman" w:cs="Times New Roman" w:eastAsia="Times New Roman" w:hAnsi="Times New Roman"/>
                <w:sz w:val="16"/>
                <w:szCs w:val="16"/>
                <w:b w:val="1"/>
                <w:bCs w:val="1"/>
                <w:color w:val="auto"/>
              </w:rPr>
              <w:t>YoY</w:t>
            </w:r>
          </w:p>
        </w:tc>
        <w:tc>
          <w:tcPr>
            <w:tcW w:w="920" w:type="dxa"/>
            <w:vAlign w:val="bottom"/>
          </w:tcPr>
          <w:p>
            <w:pPr>
              <w:jc w:val="right"/>
              <w:ind w:right="419"/>
              <w:spacing w:after="0"/>
              <w:rPr>
                <w:sz w:val="20"/>
                <w:szCs w:val="20"/>
                <w:color w:val="auto"/>
              </w:rPr>
            </w:pPr>
            <w:r>
              <w:rPr>
                <w:rFonts w:ascii="Times New Roman" w:cs="Times New Roman" w:eastAsia="Times New Roman" w:hAnsi="Times New Roman"/>
                <w:sz w:val="16"/>
                <w:szCs w:val="16"/>
                <w:b w:val="1"/>
                <w:bCs w:val="1"/>
                <w:color w:val="auto"/>
              </w:rPr>
              <w:t>QoQ</w:t>
            </w:r>
          </w:p>
        </w:tc>
      </w:tr>
      <w:tr>
        <w:trPr>
          <w:trHeight w:val="33"/>
        </w:trPr>
        <w:tc>
          <w:tcPr>
            <w:tcW w:w="29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6"/>
                <w:szCs w:val="16"/>
                <w:color w:val="auto"/>
              </w:rPr>
              <w:t xml:space="preserve">Networking </w:t>
            </w:r>
            <w:r>
              <w:rPr>
                <w:rFonts w:ascii="Times New Roman" w:cs="Times New Roman" w:eastAsia="Times New Roman" w:hAnsi="Times New Roman"/>
                <w:sz w:val="16"/>
                <w:szCs w:val="16"/>
                <w:i w:val="1"/>
                <w:iCs w:val="1"/>
                <w:color w:val="auto"/>
              </w:rPr>
              <w:t>(1)</w:t>
            </w:r>
          </w:p>
        </w:tc>
        <w:tc>
          <w:tcPr>
            <w:tcW w:w="280" w:type="dxa"/>
            <w:vAlign w:val="bottom"/>
            <w:tcBorders>
              <w:bottom w:val="single" w:sz="8" w:color="CCEEFF"/>
            </w:tcBorders>
            <w:shd w:val="clear" w:color="auto" w:fill="CCEEFF"/>
          </w:tcPr>
          <w:p>
            <w:pPr>
              <w:jc w:val="right"/>
              <w:ind w:right="79"/>
              <w:spacing w:after="0"/>
              <w:rPr>
                <w:sz w:val="20"/>
                <w:szCs w:val="20"/>
                <w:color w:val="auto"/>
              </w:rPr>
            </w:pPr>
            <w:r>
              <w:rPr>
                <w:rFonts w:ascii="Times New Roman" w:cs="Times New Roman" w:eastAsia="Times New Roman" w:hAnsi="Times New Roman"/>
                <w:sz w:val="16"/>
                <w:szCs w:val="16"/>
                <w:color w:val="auto"/>
              </w:rPr>
              <w:t>$</w:t>
            </w:r>
          </w:p>
        </w:tc>
        <w:tc>
          <w:tcPr>
            <w:tcW w:w="152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329,962</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164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329,605</w:t>
            </w: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jc w:val="right"/>
              <w:ind w:right="79"/>
              <w:spacing w:after="0"/>
              <w:rPr>
                <w:sz w:val="20"/>
                <w:szCs w:val="20"/>
                <w:color w:val="auto"/>
              </w:rPr>
            </w:pPr>
            <w:r>
              <w:rPr>
                <w:rFonts w:ascii="Times New Roman" w:cs="Times New Roman" w:eastAsia="Times New Roman" w:hAnsi="Times New Roman"/>
                <w:sz w:val="16"/>
                <w:szCs w:val="16"/>
                <w:color w:val="auto"/>
                <w:w w:val="99"/>
              </w:rPr>
              <w:t>$</w:t>
            </w:r>
          </w:p>
        </w:tc>
        <w:tc>
          <w:tcPr>
            <w:tcW w:w="152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398,424</w:t>
            </w:r>
          </w:p>
        </w:tc>
        <w:tc>
          <w:tcPr>
            <w:tcW w:w="12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(17)%</w:t>
            </w:r>
          </w:p>
        </w:tc>
        <w:tc>
          <w:tcPr>
            <w:tcW w:w="100" w:type="dxa"/>
            <w:vAlign w:val="bottom"/>
            <w:tcBorders>
              <w:bottom w:val="single" w:sz="8" w:color="CCEEFF"/>
            </w:tcBorders>
            <w:shd w:val="clear" w:color="auto" w:fill="CCEEFF"/>
          </w:tcPr>
          <w:p>
            <w:pPr>
              <w:spacing w:after="0"/>
              <w:rPr>
                <w:sz w:val="20"/>
                <w:szCs w:val="20"/>
                <w:color w:val="auto"/>
              </w:rPr>
            </w:pPr>
          </w:p>
        </w:tc>
        <w:tc>
          <w:tcPr>
            <w:tcW w:w="42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 %</w:t>
            </w:r>
          </w:p>
        </w:tc>
      </w:tr>
      <w:tr>
        <w:trPr>
          <w:trHeight w:val="237"/>
        </w:trPr>
        <w:tc>
          <w:tcPr>
            <w:tcW w:w="2920" w:type="dxa"/>
            <w:vAlign w:val="bottom"/>
          </w:tcPr>
          <w:p>
            <w:pPr>
              <w:ind w:left="40"/>
              <w:spacing w:after="0"/>
              <w:rPr>
                <w:sz w:val="20"/>
                <w:szCs w:val="20"/>
                <w:color w:val="auto"/>
              </w:rPr>
            </w:pPr>
            <w:r>
              <w:rPr>
                <w:rFonts w:ascii="Times New Roman" w:cs="Times New Roman" w:eastAsia="Times New Roman" w:hAnsi="Times New Roman"/>
                <w:sz w:val="16"/>
                <w:szCs w:val="16"/>
                <w:color w:val="auto"/>
              </w:rPr>
              <w:t xml:space="preserve">Storage </w:t>
            </w:r>
            <w:r>
              <w:rPr>
                <w:rFonts w:ascii="Times New Roman" w:cs="Times New Roman" w:eastAsia="Times New Roman" w:hAnsi="Times New Roman"/>
                <w:sz w:val="16"/>
                <w:szCs w:val="16"/>
                <w:i w:val="1"/>
                <w:iCs w:val="1"/>
                <w:color w:val="auto"/>
              </w:rPr>
              <w:t>(2)</w:t>
            </w:r>
          </w:p>
        </w:tc>
        <w:tc>
          <w:tcPr>
            <w:tcW w:w="280" w:type="dxa"/>
            <w:vAlign w:val="bottom"/>
          </w:tcPr>
          <w:p>
            <w:pPr>
              <w:spacing w:after="0"/>
              <w:rPr>
                <w:sz w:val="20"/>
                <w:szCs w:val="20"/>
                <w:color w:val="auto"/>
              </w:rPr>
            </w:pPr>
          </w:p>
        </w:tc>
        <w:tc>
          <w:tcPr>
            <w:tcW w:w="152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287,708</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64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274,905</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52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406,822</w:t>
            </w:r>
          </w:p>
        </w:tc>
        <w:tc>
          <w:tcPr>
            <w:tcW w:w="120" w:type="dxa"/>
            <w:vAlign w:val="bottom"/>
          </w:tcPr>
          <w:p>
            <w:pPr>
              <w:spacing w:after="0"/>
              <w:rPr>
                <w:sz w:val="20"/>
                <w:szCs w:val="20"/>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(29)%</w:t>
            </w:r>
          </w:p>
        </w:tc>
        <w:tc>
          <w:tcPr>
            <w:tcW w:w="1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5 %</w:t>
            </w:r>
          </w:p>
        </w:tc>
      </w:tr>
      <w:tr>
        <w:trPr>
          <w:trHeight w:val="33"/>
        </w:trPr>
        <w:tc>
          <w:tcPr>
            <w:tcW w:w="29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Total Core</w:t>
            </w:r>
          </w:p>
        </w:tc>
        <w:tc>
          <w:tcPr>
            <w:tcW w:w="280" w:type="dxa"/>
            <w:vAlign w:val="bottom"/>
            <w:tcBorders>
              <w:bottom w:val="single" w:sz="8" w:color="CCEEFF"/>
            </w:tcBorders>
            <w:shd w:val="clear" w:color="auto" w:fill="CCEEFF"/>
          </w:tcPr>
          <w:p>
            <w:pPr>
              <w:spacing w:after="0"/>
              <w:rPr>
                <w:sz w:val="20"/>
                <w:szCs w:val="20"/>
                <w:color w:val="auto"/>
              </w:rPr>
            </w:pPr>
          </w:p>
        </w:tc>
        <w:tc>
          <w:tcPr>
            <w:tcW w:w="152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617,670</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64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604,510</w:t>
            </w: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52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805,246</w:t>
            </w:r>
          </w:p>
        </w:tc>
        <w:tc>
          <w:tcPr>
            <w:tcW w:w="12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(23)%</w:t>
            </w:r>
          </w:p>
        </w:tc>
        <w:tc>
          <w:tcPr>
            <w:tcW w:w="100" w:type="dxa"/>
            <w:vAlign w:val="bottom"/>
            <w:tcBorders>
              <w:bottom w:val="single" w:sz="8" w:color="CCEEFF"/>
            </w:tcBorders>
            <w:shd w:val="clear" w:color="auto" w:fill="CCEEFF"/>
          </w:tcPr>
          <w:p>
            <w:pPr>
              <w:spacing w:after="0"/>
              <w:rPr>
                <w:sz w:val="20"/>
                <w:szCs w:val="20"/>
                <w:color w:val="auto"/>
              </w:rPr>
            </w:pPr>
          </w:p>
        </w:tc>
        <w:tc>
          <w:tcPr>
            <w:tcW w:w="42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2 %</w:t>
            </w:r>
          </w:p>
        </w:tc>
      </w:tr>
      <w:tr>
        <w:trPr>
          <w:trHeight w:val="237"/>
        </w:trPr>
        <w:tc>
          <w:tcPr>
            <w:tcW w:w="2920" w:type="dxa"/>
            <w:vAlign w:val="bottom"/>
          </w:tcPr>
          <w:p>
            <w:pPr>
              <w:ind w:left="40"/>
              <w:spacing w:after="0"/>
              <w:rPr>
                <w:sz w:val="20"/>
                <w:szCs w:val="20"/>
                <w:color w:val="auto"/>
              </w:rPr>
            </w:pPr>
            <w:r>
              <w:rPr>
                <w:rFonts w:ascii="Times New Roman" w:cs="Times New Roman" w:eastAsia="Times New Roman" w:hAnsi="Times New Roman"/>
                <w:sz w:val="16"/>
                <w:szCs w:val="16"/>
                <w:color w:val="auto"/>
              </w:rPr>
              <w:t xml:space="preserve">Other </w:t>
            </w:r>
            <w:r>
              <w:rPr>
                <w:rFonts w:ascii="Times New Roman" w:cs="Times New Roman" w:eastAsia="Times New Roman" w:hAnsi="Times New Roman"/>
                <w:sz w:val="16"/>
                <w:szCs w:val="16"/>
                <w:i w:val="1"/>
                <w:iCs w:val="1"/>
                <w:color w:val="auto"/>
              </w:rPr>
              <w:t>(3)</w:t>
            </w:r>
          </w:p>
        </w:tc>
        <w:tc>
          <w:tcPr>
            <w:tcW w:w="280" w:type="dxa"/>
            <w:vAlign w:val="bottom"/>
          </w:tcPr>
          <w:p>
            <w:pPr>
              <w:spacing w:after="0"/>
              <w:rPr>
                <w:sz w:val="20"/>
                <w:szCs w:val="20"/>
                <w:color w:val="auto"/>
              </w:rPr>
            </w:pPr>
          </w:p>
        </w:tc>
        <w:tc>
          <w:tcPr>
            <w:tcW w:w="152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44,800</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64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52,058</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52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45,805</w:t>
            </w:r>
          </w:p>
        </w:tc>
        <w:tc>
          <w:tcPr>
            <w:tcW w:w="120" w:type="dxa"/>
            <w:vAlign w:val="bottom"/>
          </w:tcPr>
          <w:p>
            <w:pPr>
              <w:spacing w:after="0"/>
              <w:rPr>
                <w:sz w:val="20"/>
                <w:szCs w:val="20"/>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w:t>
            </w:r>
          </w:p>
        </w:tc>
        <w:tc>
          <w:tcPr>
            <w:tcW w:w="1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(14)%</w:t>
            </w:r>
          </w:p>
        </w:tc>
      </w:tr>
      <w:tr>
        <w:trPr>
          <w:trHeight w:val="33"/>
        </w:trPr>
        <w:tc>
          <w:tcPr>
            <w:tcW w:w="29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44"/>
        </w:trPr>
        <w:tc>
          <w:tcPr>
            <w:tcW w:w="29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6"/>
                <w:szCs w:val="16"/>
                <w:color w:val="auto"/>
              </w:rPr>
              <w:t>Total Revenue</w:t>
            </w:r>
          </w:p>
        </w:tc>
        <w:tc>
          <w:tcPr>
            <w:tcW w:w="280" w:type="dxa"/>
            <w:vAlign w:val="bottom"/>
            <w:tcBorders>
              <w:bottom w:val="single" w:sz="8" w:color="auto"/>
            </w:tcBorders>
            <w:shd w:val="clear" w:color="auto" w:fill="CCEEFF"/>
          </w:tcPr>
          <w:p>
            <w:pPr>
              <w:jc w:val="right"/>
              <w:ind w:right="79"/>
              <w:spacing w:after="0"/>
              <w:rPr>
                <w:sz w:val="20"/>
                <w:szCs w:val="20"/>
                <w:color w:val="auto"/>
              </w:rPr>
            </w:pPr>
            <w:r>
              <w:rPr>
                <w:rFonts w:ascii="Times New Roman" w:cs="Times New Roman" w:eastAsia="Times New Roman" w:hAnsi="Times New Roman"/>
                <w:sz w:val="16"/>
                <w:szCs w:val="16"/>
                <w:color w:val="auto"/>
              </w:rPr>
              <w:t>$</w:t>
            </w:r>
          </w:p>
        </w:tc>
        <w:tc>
          <w:tcPr>
            <w:tcW w:w="1520" w:type="dxa"/>
            <w:vAlign w:val="bottom"/>
            <w:tcBorders>
              <w:bottom w:val="single" w:sz="8" w:color="auto"/>
            </w:tcBorders>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662,470</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1640" w:type="dxa"/>
            <w:vAlign w:val="bottom"/>
            <w:tcBorders>
              <w:bottom w:val="single" w:sz="8" w:color="auto"/>
            </w:tcBorders>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656,568</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jc w:val="right"/>
              <w:ind w:right="79"/>
              <w:spacing w:after="0"/>
              <w:rPr>
                <w:sz w:val="20"/>
                <w:szCs w:val="20"/>
                <w:color w:val="auto"/>
              </w:rPr>
            </w:pPr>
            <w:r>
              <w:rPr>
                <w:rFonts w:ascii="Times New Roman" w:cs="Times New Roman" w:eastAsia="Times New Roman" w:hAnsi="Times New Roman"/>
                <w:sz w:val="16"/>
                <w:szCs w:val="16"/>
                <w:color w:val="auto"/>
                <w:w w:val="99"/>
              </w:rPr>
              <w:t>$</w:t>
            </w:r>
          </w:p>
        </w:tc>
        <w:tc>
          <w:tcPr>
            <w:tcW w:w="1520" w:type="dxa"/>
            <w:vAlign w:val="bottom"/>
            <w:tcBorders>
              <w:bottom w:val="single" w:sz="8" w:color="auto"/>
            </w:tcBorders>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851,051</w:t>
            </w: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(22)%</w:t>
            </w:r>
          </w:p>
        </w:tc>
        <w:tc>
          <w:tcPr>
            <w:tcW w:w="100" w:type="dxa"/>
            <w:vAlign w:val="bottom"/>
            <w:tcBorders>
              <w:bottom w:val="single" w:sz="8" w:color="CCEEFF"/>
            </w:tcBorders>
            <w:shd w:val="clear" w:color="auto" w:fill="CCEEFF"/>
          </w:tcPr>
          <w:p>
            <w:pPr>
              <w:spacing w:after="0"/>
              <w:rPr>
                <w:sz w:val="21"/>
                <w:szCs w:val="21"/>
                <w:color w:val="auto"/>
              </w:rPr>
            </w:pPr>
          </w:p>
        </w:tc>
        <w:tc>
          <w:tcPr>
            <w:tcW w:w="420" w:type="dxa"/>
            <w:vAlign w:val="bottom"/>
            <w:tcBorders>
              <w:bottom w:val="single" w:sz="8" w:color="auto"/>
            </w:tcBorders>
            <w:shd w:val="clear" w:color="auto" w:fill="CCEEFF"/>
          </w:tcPr>
          <w:p>
            <w:pPr>
              <w:spacing w:after="0"/>
              <w:rPr>
                <w:sz w:val="21"/>
                <w:szCs w:val="21"/>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1 %</w:t>
            </w:r>
          </w:p>
        </w:tc>
      </w:tr>
      <w:tr>
        <w:trPr>
          <w:trHeight w:val="20"/>
        </w:trPr>
        <w:tc>
          <w:tcPr>
            <w:tcW w:w="29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r>
    </w:tbl>
    <w:p>
      <w:pPr>
        <w:spacing w:after="0" w:line="376" w:lineRule="exact"/>
        <w:rPr>
          <w:sz w:val="20"/>
          <w:szCs w:val="20"/>
          <w:color w:val="auto"/>
        </w:rPr>
      </w:pPr>
    </w:p>
    <w:tbl>
      <w:tblPr>
        <w:tblLayout w:type="fixed"/>
        <w:tblInd w:w="0" w:type="dxa"/>
        <w:tblCellMar>
          <w:top w:w="0" w:type="dxa"/>
          <w:left w:w="0" w:type="dxa"/>
          <w:bottom w:w="0" w:type="dxa"/>
          <w:right w:w="0" w:type="dxa"/>
        </w:tblCellMar>
      </w:tblPr>
      <w:tr>
        <w:trPr>
          <w:trHeight w:val="212"/>
        </w:trPr>
        <w:tc>
          <w:tcPr>
            <w:tcW w:w="5280" w:type="dxa"/>
            <w:vAlign w:val="bottom"/>
          </w:tcPr>
          <w:p>
            <w:pPr>
              <w:spacing w:after="0"/>
              <w:rPr>
                <w:sz w:val="18"/>
                <w:szCs w:val="18"/>
                <w:color w:val="auto"/>
              </w:rPr>
            </w:pPr>
          </w:p>
        </w:tc>
        <w:tc>
          <w:tcPr>
            <w:tcW w:w="15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80" w:type="dxa"/>
            <w:vAlign w:val="bottom"/>
            <w:gridSpan w:val="2"/>
          </w:tcPr>
          <w:p>
            <w:pPr>
              <w:ind w:left="280"/>
              <w:spacing w:after="0"/>
              <w:rPr>
                <w:sz w:val="20"/>
                <w:szCs w:val="20"/>
                <w:color w:val="auto"/>
              </w:rPr>
            </w:pPr>
            <w:r>
              <w:rPr>
                <w:rFonts w:ascii="Times New Roman" w:cs="Times New Roman" w:eastAsia="Times New Roman" w:hAnsi="Times New Roman"/>
                <w:sz w:val="16"/>
                <w:szCs w:val="16"/>
                <w:b w:val="1"/>
                <w:bCs w:val="1"/>
                <w:color w:val="auto"/>
              </w:rPr>
              <w:t>Three Months Ended</w:t>
            </w:r>
          </w:p>
        </w:tc>
        <w:tc>
          <w:tcPr>
            <w:tcW w:w="1980" w:type="dxa"/>
            <w:vAlign w:val="bottom"/>
          </w:tcPr>
          <w:p>
            <w:pPr>
              <w:spacing w:after="0"/>
              <w:rPr>
                <w:sz w:val="18"/>
                <w:szCs w:val="18"/>
                <w:color w:val="auto"/>
              </w:rPr>
            </w:pPr>
          </w:p>
        </w:tc>
      </w:tr>
      <w:tr>
        <w:trPr>
          <w:trHeight w:val="33"/>
        </w:trPr>
        <w:tc>
          <w:tcPr>
            <w:tcW w:w="5280" w:type="dxa"/>
            <w:vAlign w:val="bottom"/>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080" w:type="dxa"/>
            <w:vAlign w:val="bottom"/>
            <w:tcBorders>
              <w:bottom w:val="single" w:sz="8" w:color="auto"/>
            </w:tcBorders>
            <w:gridSpan w:val="2"/>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07"/>
        </w:trPr>
        <w:tc>
          <w:tcPr>
            <w:tcW w:w="5280" w:type="dxa"/>
            <w:vAlign w:val="bottom"/>
          </w:tcPr>
          <w:p>
            <w:pPr>
              <w:spacing w:after="0"/>
              <w:rPr>
                <w:sz w:val="18"/>
                <w:szCs w:val="18"/>
                <w:color w:val="auto"/>
              </w:rPr>
            </w:pPr>
          </w:p>
        </w:tc>
        <w:tc>
          <w:tcPr>
            <w:tcW w:w="1500" w:type="dxa"/>
            <w:vAlign w:val="bottom"/>
          </w:tcPr>
          <w:p>
            <w:pPr>
              <w:jc w:val="center"/>
              <w:ind w:left="379"/>
              <w:spacing w:after="0"/>
              <w:rPr>
                <w:sz w:val="20"/>
                <w:szCs w:val="20"/>
                <w:color w:val="auto"/>
              </w:rPr>
            </w:pPr>
            <w:r>
              <w:rPr>
                <w:rFonts w:ascii="Times New Roman" w:cs="Times New Roman" w:eastAsia="Times New Roman" w:hAnsi="Times New Roman"/>
                <w:sz w:val="16"/>
                <w:szCs w:val="16"/>
                <w:b w:val="1"/>
                <w:bCs w:val="1"/>
                <w:color w:val="auto"/>
              </w:rPr>
              <w:t>November 2,</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80" w:type="dxa"/>
            <w:vAlign w:val="bottom"/>
            <w:gridSpan w:val="2"/>
          </w:tcPr>
          <w:p>
            <w:pPr>
              <w:ind w:left="640"/>
              <w:spacing w:after="0"/>
              <w:rPr>
                <w:sz w:val="20"/>
                <w:szCs w:val="20"/>
                <w:color w:val="auto"/>
              </w:rPr>
            </w:pPr>
            <w:r>
              <w:rPr>
                <w:rFonts w:ascii="Times New Roman" w:cs="Times New Roman" w:eastAsia="Times New Roman" w:hAnsi="Times New Roman"/>
                <w:sz w:val="16"/>
                <w:szCs w:val="16"/>
                <w:b w:val="1"/>
                <w:bCs w:val="1"/>
                <w:color w:val="auto"/>
              </w:rPr>
              <w:t>August 3,</w:t>
            </w:r>
          </w:p>
        </w:tc>
        <w:tc>
          <w:tcPr>
            <w:tcW w:w="1980" w:type="dxa"/>
            <w:vAlign w:val="bottom"/>
          </w:tcPr>
          <w:p>
            <w:pPr>
              <w:jc w:val="right"/>
              <w:ind w:right="479"/>
              <w:spacing w:after="0"/>
              <w:rPr>
                <w:sz w:val="20"/>
                <w:szCs w:val="20"/>
                <w:color w:val="auto"/>
              </w:rPr>
            </w:pPr>
            <w:r>
              <w:rPr>
                <w:rFonts w:ascii="Times New Roman" w:cs="Times New Roman" w:eastAsia="Times New Roman" w:hAnsi="Times New Roman"/>
                <w:sz w:val="16"/>
                <w:szCs w:val="16"/>
                <w:b w:val="1"/>
                <w:bCs w:val="1"/>
                <w:color w:val="auto"/>
              </w:rPr>
              <w:t>November 3,</w:t>
            </w:r>
          </w:p>
        </w:tc>
      </w:tr>
      <w:tr>
        <w:trPr>
          <w:trHeight w:val="212"/>
        </w:trPr>
        <w:tc>
          <w:tcPr>
            <w:tcW w:w="5280" w:type="dxa"/>
            <w:vAlign w:val="bottom"/>
          </w:tcPr>
          <w:p>
            <w:pPr>
              <w:ind w:left="40"/>
              <w:spacing w:after="0"/>
              <w:rPr>
                <w:sz w:val="20"/>
                <w:szCs w:val="20"/>
                <w:color w:val="auto"/>
              </w:rPr>
            </w:pPr>
            <w:r>
              <w:rPr>
                <w:rFonts w:ascii="Times New Roman" w:cs="Times New Roman" w:eastAsia="Times New Roman" w:hAnsi="Times New Roman"/>
                <w:sz w:val="16"/>
                <w:szCs w:val="16"/>
                <w:b w:val="1"/>
                <w:bCs w:val="1"/>
                <w:color w:val="auto"/>
              </w:rPr>
              <w:t>% of Total</w:t>
            </w:r>
          </w:p>
        </w:tc>
        <w:tc>
          <w:tcPr>
            <w:tcW w:w="1500" w:type="dxa"/>
            <w:vAlign w:val="bottom"/>
          </w:tcPr>
          <w:p>
            <w:pPr>
              <w:jc w:val="right"/>
              <w:ind w:right="259"/>
              <w:spacing w:after="0"/>
              <w:rPr>
                <w:sz w:val="20"/>
                <w:szCs w:val="20"/>
                <w:color w:val="auto"/>
              </w:rPr>
            </w:pPr>
            <w:r>
              <w:rPr>
                <w:rFonts w:ascii="Times New Roman" w:cs="Times New Roman" w:eastAsia="Times New Roman" w:hAnsi="Times New Roman"/>
                <w:sz w:val="16"/>
                <w:szCs w:val="16"/>
                <w:b w:val="1"/>
                <w:bCs w:val="1"/>
                <w:color w:val="auto"/>
              </w:rPr>
              <w:t>2019</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980" w:type="dxa"/>
            <w:vAlign w:val="bottom"/>
          </w:tcPr>
          <w:p>
            <w:pPr>
              <w:jc w:val="right"/>
              <w:ind w:right="739"/>
              <w:spacing w:after="0"/>
              <w:rPr>
                <w:sz w:val="20"/>
                <w:szCs w:val="20"/>
                <w:color w:val="auto"/>
              </w:rPr>
            </w:pPr>
            <w:r>
              <w:rPr>
                <w:rFonts w:ascii="Times New Roman" w:cs="Times New Roman" w:eastAsia="Times New Roman" w:hAnsi="Times New Roman"/>
                <w:sz w:val="16"/>
                <w:szCs w:val="16"/>
                <w:b w:val="1"/>
                <w:bCs w:val="1"/>
                <w:color w:val="auto"/>
              </w:rPr>
              <w:t>2019</w:t>
            </w:r>
          </w:p>
        </w:tc>
        <w:tc>
          <w:tcPr>
            <w:tcW w:w="100" w:type="dxa"/>
            <w:vAlign w:val="bottom"/>
          </w:tcPr>
          <w:p>
            <w:pPr>
              <w:spacing w:after="0"/>
              <w:rPr>
                <w:sz w:val="18"/>
                <w:szCs w:val="18"/>
                <w:color w:val="auto"/>
              </w:rPr>
            </w:pPr>
          </w:p>
        </w:tc>
        <w:tc>
          <w:tcPr>
            <w:tcW w:w="1980" w:type="dxa"/>
            <w:vAlign w:val="bottom"/>
          </w:tcPr>
          <w:p>
            <w:pPr>
              <w:jc w:val="right"/>
              <w:ind w:right="739"/>
              <w:spacing w:after="0"/>
              <w:rPr>
                <w:sz w:val="20"/>
                <w:szCs w:val="20"/>
                <w:color w:val="auto"/>
              </w:rPr>
            </w:pPr>
            <w:r>
              <w:rPr>
                <w:rFonts w:ascii="Times New Roman" w:cs="Times New Roman" w:eastAsia="Times New Roman" w:hAnsi="Times New Roman"/>
                <w:sz w:val="16"/>
                <w:szCs w:val="16"/>
                <w:b w:val="1"/>
                <w:bCs w:val="1"/>
                <w:color w:val="auto"/>
              </w:rPr>
              <w:t>2018</w:t>
            </w:r>
          </w:p>
        </w:tc>
      </w:tr>
      <w:tr>
        <w:trPr>
          <w:trHeight w:val="33"/>
        </w:trPr>
        <w:tc>
          <w:tcPr>
            <w:tcW w:w="5280" w:type="dxa"/>
            <w:vAlign w:val="bottom"/>
            <w:tcBorders>
              <w:bottom w:val="single" w:sz="8" w:color="CCEEFF"/>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0"/>
        </w:trPr>
        <w:tc>
          <w:tcPr>
            <w:tcW w:w="52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6"/>
                <w:szCs w:val="16"/>
                <w:color w:val="auto"/>
              </w:rPr>
              <w:t xml:space="preserve">Networking </w:t>
            </w:r>
            <w:r>
              <w:rPr>
                <w:rFonts w:ascii="Times New Roman" w:cs="Times New Roman" w:eastAsia="Times New Roman" w:hAnsi="Times New Roman"/>
                <w:sz w:val="16"/>
                <w:szCs w:val="16"/>
                <w:i w:val="1"/>
                <w:iCs w:val="1"/>
                <w:color w:val="auto"/>
              </w:rPr>
              <w:t>(1)</w:t>
            </w:r>
          </w:p>
        </w:tc>
        <w:tc>
          <w:tcPr>
            <w:tcW w:w="1500" w:type="dxa"/>
            <w:vAlign w:val="bottom"/>
            <w:tcBorders>
              <w:bottom w:val="single" w:sz="8" w:color="CCEEFF"/>
            </w:tcBorders>
            <w:shd w:val="clear" w:color="auto" w:fill="CCEEFF"/>
          </w:tcPr>
          <w:p>
            <w:pPr>
              <w:spacing w:after="0"/>
              <w:rPr>
                <w:sz w:val="20"/>
                <w:szCs w:val="20"/>
                <w:color w:val="auto"/>
              </w:rPr>
            </w:pPr>
          </w:p>
        </w:tc>
        <w:tc>
          <w:tcPr>
            <w:tcW w:w="4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50%</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50%</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47%</w:t>
            </w:r>
          </w:p>
        </w:tc>
      </w:tr>
      <w:tr>
        <w:trPr>
          <w:trHeight w:val="237"/>
        </w:trPr>
        <w:tc>
          <w:tcPr>
            <w:tcW w:w="5280" w:type="dxa"/>
            <w:vAlign w:val="bottom"/>
          </w:tcPr>
          <w:p>
            <w:pPr>
              <w:ind w:left="40"/>
              <w:spacing w:after="0"/>
              <w:rPr>
                <w:sz w:val="20"/>
                <w:szCs w:val="20"/>
                <w:color w:val="auto"/>
              </w:rPr>
            </w:pPr>
            <w:r>
              <w:rPr>
                <w:rFonts w:ascii="Times New Roman" w:cs="Times New Roman" w:eastAsia="Times New Roman" w:hAnsi="Times New Roman"/>
                <w:sz w:val="16"/>
                <w:szCs w:val="16"/>
                <w:color w:val="auto"/>
              </w:rPr>
              <w:t xml:space="preserve">Storage </w:t>
            </w:r>
            <w:r>
              <w:rPr>
                <w:rFonts w:ascii="Times New Roman" w:cs="Times New Roman" w:eastAsia="Times New Roman" w:hAnsi="Times New Roman"/>
                <w:sz w:val="16"/>
                <w:szCs w:val="16"/>
                <w:i w:val="1"/>
                <w:iCs w:val="1"/>
                <w:color w:val="auto"/>
              </w:rPr>
              <w:t>(2)</w:t>
            </w:r>
          </w:p>
        </w:tc>
        <w:tc>
          <w:tcPr>
            <w:tcW w:w="150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43%</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42%</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48%</w:t>
            </w:r>
          </w:p>
        </w:tc>
      </w:tr>
      <w:tr>
        <w:trPr>
          <w:trHeight w:val="33"/>
        </w:trPr>
        <w:tc>
          <w:tcPr>
            <w:tcW w:w="5280" w:type="dxa"/>
            <w:vAlign w:val="bottom"/>
            <w:tcBorders>
              <w:bottom w:val="single" w:sz="8" w:color="CCEEFF"/>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0"/>
        </w:trPr>
        <w:tc>
          <w:tcPr>
            <w:tcW w:w="5280" w:type="dxa"/>
            <w:vAlign w:val="bottom"/>
            <w:tcBorders>
              <w:bottom w:val="single" w:sz="8" w:color="CCEEFF"/>
            </w:tcBorders>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Total Core</w:t>
            </w:r>
          </w:p>
        </w:tc>
        <w:tc>
          <w:tcPr>
            <w:tcW w:w="1500" w:type="dxa"/>
            <w:vAlign w:val="bottom"/>
            <w:tcBorders>
              <w:bottom w:val="single" w:sz="8" w:color="CCEEFF"/>
            </w:tcBorders>
            <w:shd w:val="clear" w:color="auto" w:fill="CCEEFF"/>
          </w:tcPr>
          <w:p>
            <w:pPr>
              <w:spacing w:after="0"/>
              <w:rPr>
                <w:sz w:val="20"/>
                <w:szCs w:val="20"/>
                <w:color w:val="auto"/>
              </w:rPr>
            </w:pPr>
          </w:p>
        </w:tc>
        <w:tc>
          <w:tcPr>
            <w:tcW w:w="4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93%</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92%</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95%</w:t>
            </w:r>
          </w:p>
        </w:tc>
      </w:tr>
      <w:tr>
        <w:trPr>
          <w:trHeight w:val="237"/>
        </w:trPr>
        <w:tc>
          <w:tcPr>
            <w:tcW w:w="5280" w:type="dxa"/>
            <w:vAlign w:val="bottom"/>
          </w:tcPr>
          <w:p>
            <w:pPr>
              <w:ind w:left="40"/>
              <w:spacing w:after="0"/>
              <w:rPr>
                <w:sz w:val="20"/>
                <w:szCs w:val="20"/>
                <w:color w:val="auto"/>
              </w:rPr>
            </w:pPr>
            <w:r>
              <w:rPr>
                <w:rFonts w:ascii="Times New Roman" w:cs="Times New Roman" w:eastAsia="Times New Roman" w:hAnsi="Times New Roman"/>
                <w:sz w:val="16"/>
                <w:szCs w:val="16"/>
                <w:color w:val="auto"/>
              </w:rPr>
              <w:t xml:space="preserve">Other </w:t>
            </w:r>
            <w:r>
              <w:rPr>
                <w:rFonts w:ascii="Times New Roman" w:cs="Times New Roman" w:eastAsia="Times New Roman" w:hAnsi="Times New Roman"/>
                <w:sz w:val="16"/>
                <w:szCs w:val="16"/>
                <w:i w:val="1"/>
                <w:iCs w:val="1"/>
                <w:color w:val="auto"/>
              </w:rPr>
              <w:t>(3)</w:t>
            </w:r>
          </w:p>
        </w:tc>
        <w:tc>
          <w:tcPr>
            <w:tcW w:w="150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7%</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8%</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5%</w:t>
            </w:r>
          </w:p>
        </w:tc>
      </w:tr>
      <w:tr>
        <w:trPr>
          <w:trHeight w:val="33"/>
        </w:trPr>
        <w:tc>
          <w:tcPr>
            <w:tcW w:w="5280" w:type="dxa"/>
            <w:vAlign w:val="bottom"/>
            <w:tcBorders>
              <w:bottom w:val="single" w:sz="8" w:color="CCEEFF"/>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55"/>
        </w:trPr>
        <w:tc>
          <w:tcPr>
            <w:tcW w:w="52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6"/>
                <w:szCs w:val="16"/>
                <w:color w:val="auto"/>
              </w:rPr>
              <w:t>Total Revenue</w:t>
            </w:r>
          </w:p>
        </w:tc>
        <w:tc>
          <w:tcPr>
            <w:tcW w:w="1500" w:type="dxa"/>
            <w:vAlign w:val="bottom"/>
            <w:tcBorders>
              <w:bottom w:val="single" w:sz="8" w:color="CCEEFF"/>
            </w:tcBorders>
            <w:shd w:val="clear" w:color="auto" w:fill="CCEEFF"/>
          </w:tcPr>
          <w:p>
            <w:pPr>
              <w:spacing w:after="0"/>
              <w:rPr>
                <w:sz w:val="21"/>
                <w:szCs w:val="21"/>
                <w:color w:val="auto"/>
              </w:rPr>
            </w:pPr>
          </w:p>
        </w:tc>
        <w:tc>
          <w:tcPr>
            <w:tcW w:w="4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100%</w:t>
            </w:r>
          </w:p>
        </w:tc>
        <w:tc>
          <w:tcPr>
            <w:tcW w:w="10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100%</w:t>
            </w:r>
          </w:p>
        </w:tc>
        <w:tc>
          <w:tcPr>
            <w:tcW w:w="10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100%</w:t>
            </w:r>
          </w:p>
        </w:tc>
      </w:tr>
      <w:tr>
        <w:trPr>
          <w:trHeight w:val="20"/>
        </w:trPr>
        <w:tc>
          <w:tcPr>
            <w:tcW w:w="5280" w:type="dxa"/>
            <w:vAlign w:val="bottom"/>
            <w:tcBorders>
              <w:top w:val="single" w:sz="8" w:color="CCEEFF"/>
            </w:tcBorders>
          </w:tcPr>
          <w:p>
            <w:pPr>
              <w:spacing w:after="0" w:line="20" w:lineRule="exact"/>
              <w:rPr>
                <w:sz w:val="1"/>
                <w:szCs w:val="1"/>
                <w:color w:val="auto"/>
              </w:rPr>
            </w:pPr>
          </w:p>
        </w:tc>
        <w:tc>
          <w:tcPr>
            <w:tcW w:w="15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auto"/>
              <w:bottom w:val="single" w:sz="8" w:color="auto"/>
            </w:tcBorders>
          </w:tcPr>
          <w:p>
            <w:pPr>
              <w:spacing w:after="0" w:line="20" w:lineRule="exact"/>
              <w:rPr>
                <w:sz w:val="1"/>
                <w:szCs w:val="1"/>
                <w:color w:val="auto"/>
              </w:rPr>
            </w:pPr>
          </w:p>
        </w:tc>
      </w:tr>
    </w:tbl>
    <w:p>
      <w:pPr>
        <w:spacing w:after="0" w:line="360" w:lineRule="exact"/>
        <w:rPr>
          <w:sz w:val="20"/>
          <w:szCs w:val="20"/>
          <w:color w:val="auto"/>
        </w:rPr>
      </w:pPr>
    </w:p>
    <w:p>
      <w:pPr>
        <w:ind w:left="40" w:right="80" w:hanging="5"/>
        <w:spacing w:after="0" w:line="266" w:lineRule="auto"/>
        <w:tabs>
          <w:tab w:leader="none" w:pos="295"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Networking products are comprised primarily of Ethernet Switches, Ethernet Transceivers, Ethernet NICs, Embedded Communication Processors, Automotive Ethernet, Security Adapters and Processors as well as WiFi Connectivity products. In addition, this grouping includes a few legacy product lines in which we no longer invest, but will generate revenue for several years.</w:t>
      </w:r>
    </w:p>
    <w:p>
      <w:pPr>
        <w:spacing w:after="0" w:line="14" w:lineRule="exact"/>
        <w:rPr>
          <w:rFonts w:ascii="Times New Roman" w:cs="Times New Roman" w:eastAsia="Times New Roman" w:hAnsi="Times New Roman"/>
          <w:sz w:val="18"/>
          <w:szCs w:val="18"/>
          <w:i w:val="1"/>
          <w:iCs w:val="1"/>
          <w:color w:val="auto"/>
        </w:rPr>
      </w:pPr>
    </w:p>
    <w:p>
      <w:pPr>
        <w:ind w:left="280" w:hanging="245"/>
        <w:spacing w:after="0"/>
        <w:tabs>
          <w:tab w:leader="none" w:pos="28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Storage products are comprised primarily of HDD and SSD Controllers, Fibre Channel Adapters and Data Center Storage Solutions.</w:t>
      </w:r>
    </w:p>
    <w:p>
      <w:pPr>
        <w:spacing w:after="0" w:line="63" w:lineRule="exact"/>
        <w:rPr>
          <w:rFonts w:ascii="Times New Roman" w:cs="Times New Roman" w:eastAsia="Times New Roman" w:hAnsi="Times New Roman"/>
          <w:sz w:val="18"/>
          <w:szCs w:val="18"/>
          <w:i w:val="1"/>
          <w:iCs w:val="1"/>
          <w:color w:val="auto"/>
        </w:rPr>
      </w:pPr>
    </w:p>
    <w:p>
      <w:pPr>
        <w:ind w:left="280" w:hanging="245"/>
        <w:spacing w:after="0"/>
        <w:tabs>
          <w:tab w:leader="none" w:pos="28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products are comprised primarily of Printer Solutions, Application Processors and others.</w:t>
      </w:r>
    </w:p>
    <w:p>
      <w:pPr>
        <w:spacing w:after="0" w:line="25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 further information, contact:</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ir@marvell.com</w:t>
      </w:r>
    </w:p>
    <w:sectPr>
      <w:pgSz w:w="11900" w:h="16838" w:orient="portrait"/>
      <w:cols w:equalWidth="0" w:num="1">
        <w:col w:w="11420"/>
      </w:cols>
      <w:pgMar w:left="240" w:top="54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lowerLetter"/>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2019-12-28T01:09:53Z</dcterms:created>
  <dcterms:modified xsi:type="dcterms:W3CDTF">2019-12-28T01:09:53Z</dcterms:modified>
</cp:coreProperties>
</file>