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157480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191770</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201930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86"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229870</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4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Pursuant to Section 13 or 15(d)</w:t>
      </w:r>
    </w:p>
    <w:p>
      <w:pPr>
        <w:jc w:val="center"/>
        <w:ind w:right="20"/>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Report: December 5, 2019</w:t>
      </w:r>
    </w:p>
    <w:p>
      <w:pPr>
        <w:spacing w:after="0" w:line="1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201930</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84" w:lineRule="exact"/>
        <w:rPr>
          <w:sz w:val="24"/>
          <w:szCs w:val="24"/>
          <w:color w:val="auto"/>
        </w:rPr>
      </w:pPr>
    </w:p>
    <w:p>
      <w:pPr>
        <w:jc w:val="center"/>
        <w:ind w:right="2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210820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23" w:lineRule="exact"/>
        <w:rPr>
          <w:sz w:val="24"/>
          <w:szCs w:val="24"/>
          <w:color w:val="auto"/>
        </w:rPr>
      </w:pPr>
    </w:p>
    <w:tbl>
      <w:tblPr>
        <w:tblLayout w:type="fixed"/>
        <w:tblInd w:w="1040" w:type="dxa"/>
        <w:tblCellMar>
          <w:top w:w="0" w:type="dxa"/>
          <w:left w:w="0" w:type="dxa"/>
          <w:bottom w:w="0" w:type="dxa"/>
          <w:right w:w="0" w:type="dxa"/>
        </w:tblCellMar>
      </w:tblPr>
      <w:tr>
        <w:trPr>
          <w:trHeight w:val="212"/>
        </w:trPr>
        <w:tc>
          <w:tcPr>
            <w:tcW w:w="2140" w:type="dxa"/>
            <w:vAlign w:val="bottom"/>
          </w:tcPr>
          <w:p>
            <w:pPr>
              <w:jc w:val="center"/>
              <w:ind w:right="422"/>
              <w:spacing w:after="0"/>
              <w:rPr>
                <w:sz w:val="20"/>
                <w:szCs w:val="20"/>
                <w:color w:val="auto"/>
              </w:rPr>
            </w:pPr>
            <w:r>
              <w:rPr>
                <w:rFonts w:ascii="Arial" w:cs="Arial" w:eastAsia="Arial" w:hAnsi="Arial"/>
                <w:sz w:val="18"/>
                <w:szCs w:val="18"/>
                <w:b w:val="1"/>
                <w:bCs w:val="1"/>
                <w:color w:val="auto"/>
                <w:w w:val="92"/>
              </w:rPr>
              <w:t>Bermuda</w:t>
            </w:r>
          </w:p>
        </w:tc>
        <w:tc>
          <w:tcPr>
            <w:tcW w:w="4840" w:type="dxa"/>
            <w:vAlign w:val="bottom"/>
          </w:tcPr>
          <w:p>
            <w:pPr>
              <w:jc w:val="center"/>
              <w:spacing w:after="0"/>
              <w:rPr>
                <w:sz w:val="20"/>
                <w:szCs w:val="20"/>
                <w:color w:val="auto"/>
              </w:rPr>
            </w:pPr>
            <w:r>
              <w:rPr>
                <w:rFonts w:ascii="Arial" w:cs="Arial" w:eastAsia="Arial" w:hAnsi="Arial"/>
                <w:sz w:val="18"/>
                <w:szCs w:val="18"/>
                <w:b w:val="1"/>
                <w:bCs w:val="1"/>
                <w:color w:val="auto"/>
                <w:w w:val="90"/>
              </w:rPr>
              <w:t>0-30877</w:t>
            </w:r>
          </w:p>
        </w:tc>
        <w:tc>
          <w:tcPr>
            <w:tcW w:w="1800" w:type="dxa"/>
            <w:vAlign w:val="bottom"/>
          </w:tcPr>
          <w:p>
            <w:pPr>
              <w:jc w:val="center"/>
              <w:ind w:left="602"/>
              <w:spacing w:after="0"/>
              <w:rPr>
                <w:sz w:val="20"/>
                <w:szCs w:val="20"/>
                <w:color w:val="auto"/>
              </w:rPr>
            </w:pPr>
            <w:r>
              <w:rPr>
                <w:rFonts w:ascii="Arial" w:cs="Arial" w:eastAsia="Arial" w:hAnsi="Arial"/>
                <w:sz w:val="18"/>
                <w:szCs w:val="18"/>
                <w:b w:val="1"/>
                <w:bCs w:val="1"/>
                <w:color w:val="auto"/>
                <w:w w:val="91"/>
              </w:rPr>
              <w:t>77-0481679</w:t>
            </w:r>
          </w:p>
        </w:tc>
      </w:tr>
      <w:tr>
        <w:trPr>
          <w:trHeight w:val="149"/>
        </w:trPr>
        <w:tc>
          <w:tcPr>
            <w:tcW w:w="2140" w:type="dxa"/>
            <w:vAlign w:val="bottom"/>
          </w:tcPr>
          <w:p>
            <w:pPr>
              <w:jc w:val="center"/>
              <w:ind w:right="422"/>
              <w:spacing w:after="0" w:line="149" w:lineRule="exact"/>
              <w:rPr>
                <w:sz w:val="20"/>
                <w:szCs w:val="20"/>
                <w:color w:val="auto"/>
              </w:rPr>
            </w:pPr>
            <w:r>
              <w:rPr>
                <w:rFonts w:ascii="Arial" w:cs="Arial" w:eastAsia="Arial" w:hAnsi="Arial"/>
                <w:sz w:val="14"/>
                <w:szCs w:val="14"/>
                <w:b w:val="1"/>
                <w:bCs w:val="1"/>
                <w:color w:val="auto"/>
                <w:w w:val="93"/>
              </w:rPr>
              <w:t>(State or other jurisdiction</w:t>
            </w:r>
          </w:p>
        </w:tc>
        <w:tc>
          <w:tcPr>
            <w:tcW w:w="48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0"/>
              </w:rPr>
              <w:t>(Commission</w:t>
            </w:r>
          </w:p>
        </w:tc>
        <w:tc>
          <w:tcPr>
            <w:tcW w:w="1800" w:type="dxa"/>
            <w:vAlign w:val="bottom"/>
          </w:tcPr>
          <w:p>
            <w:pPr>
              <w:jc w:val="center"/>
              <w:ind w:left="60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2140" w:type="dxa"/>
            <w:vAlign w:val="bottom"/>
          </w:tcPr>
          <w:p>
            <w:pPr>
              <w:jc w:val="center"/>
              <w:ind w:right="422"/>
              <w:spacing w:after="0"/>
              <w:rPr>
                <w:sz w:val="20"/>
                <w:szCs w:val="20"/>
                <w:color w:val="auto"/>
              </w:rPr>
            </w:pPr>
            <w:r>
              <w:rPr>
                <w:rFonts w:ascii="Arial" w:cs="Arial" w:eastAsia="Arial" w:hAnsi="Arial"/>
                <w:sz w:val="14"/>
                <w:szCs w:val="14"/>
                <w:b w:val="1"/>
                <w:bCs w:val="1"/>
                <w:color w:val="auto"/>
                <w:w w:val="92"/>
              </w:rPr>
              <w:t>of incorporation)</w:t>
            </w:r>
          </w:p>
        </w:tc>
        <w:tc>
          <w:tcPr>
            <w:tcW w:w="4840" w:type="dxa"/>
            <w:vAlign w:val="bottom"/>
          </w:tcPr>
          <w:p>
            <w:pPr>
              <w:jc w:val="center"/>
              <w:spacing w:after="0"/>
              <w:rPr>
                <w:sz w:val="20"/>
                <w:szCs w:val="20"/>
                <w:color w:val="auto"/>
              </w:rPr>
            </w:pPr>
            <w:r>
              <w:rPr>
                <w:rFonts w:ascii="Arial" w:cs="Arial" w:eastAsia="Arial" w:hAnsi="Arial"/>
                <w:sz w:val="14"/>
                <w:szCs w:val="14"/>
                <w:b w:val="1"/>
                <w:bCs w:val="1"/>
                <w:color w:val="auto"/>
                <w:w w:val="98"/>
              </w:rPr>
              <w:t>File Number)</w:t>
            </w:r>
          </w:p>
        </w:tc>
        <w:tc>
          <w:tcPr>
            <w:tcW w:w="1800" w:type="dxa"/>
            <w:vAlign w:val="bottom"/>
          </w:tcPr>
          <w:p>
            <w:pPr>
              <w:jc w:val="center"/>
              <w:ind w:left="602"/>
              <w:spacing w:after="0"/>
              <w:rPr>
                <w:sz w:val="20"/>
                <w:szCs w:val="20"/>
                <w:color w:val="auto"/>
              </w:rPr>
            </w:pPr>
            <w:r>
              <w:rPr>
                <w:rFonts w:ascii="Arial" w:cs="Arial" w:eastAsia="Arial" w:hAnsi="Arial"/>
                <w:sz w:val="14"/>
                <w:szCs w:val="14"/>
                <w:b w:val="1"/>
                <w:bCs w:val="1"/>
                <w:color w:val="auto"/>
                <w:w w:val="94"/>
              </w:rPr>
              <w:t>Identification No.)</w:t>
            </w:r>
          </w:p>
        </w:tc>
      </w:tr>
      <w:tr>
        <w:trPr>
          <w:trHeight w:val="399"/>
        </w:trPr>
        <w:tc>
          <w:tcPr>
            <w:tcW w:w="2140" w:type="dxa"/>
            <w:vAlign w:val="bottom"/>
          </w:tcPr>
          <w:p>
            <w:pPr>
              <w:spacing w:after="0"/>
              <w:rPr>
                <w:sz w:val="24"/>
                <w:szCs w:val="24"/>
                <w:color w:val="auto"/>
              </w:rPr>
            </w:pPr>
          </w:p>
        </w:tc>
        <w:tc>
          <w:tcPr>
            <w:tcW w:w="4840" w:type="dxa"/>
            <w:vAlign w:val="bottom"/>
          </w:tcPr>
          <w:p>
            <w:pPr>
              <w:jc w:val="center"/>
              <w:ind w:right="97"/>
              <w:spacing w:after="0"/>
              <w:rPr>
                <w:sz w:val="20"/>
                <w:szCs w:val="20"/>
                <w:color w:val="auto"/>
              </w:rPr>
            </w:pPr>
            <w:r>
              <w:rPr>
                <w:rFonts w:ascii="Arial" w:cs="Arial" w:eastAsia="Arial" w:hAnsi="Arial"/>
                <w:sz w:val="18"/>
                <w:szCs w:val="18"/>
                <w:b w:val="1"/>
                <w:bCs w:val="1"/>
                <w:color w:val="auto"/>
                <w:w w:val="91"/>
              </w:rPr>
              <w:t>Canon’s Court</w:t>
            </w:r>
          </w:p>
        </w:tc>
        <w:tc>
          <w:tcPr>
            <w:tcW w:w="1800" w:type="dxa"/>
            <w:vAlign w:val="bottom"/>
          </w:tcPr>
          <w:p>
            <w:pPr>
              <w:spacing w:after="0"/>
              <w:rPr>
                <w:sz w:val="24"/>
                <w:szCs w:val="24"/>
                <w:color w:val="auto"/>
              </w:rPr>
            </w:pPr>
          </w:p>
        </w:tc>
      </w:tr>
      <w:tr>
        <w:trPr>
          <w:trHeight w:val="216"/>
        </w:trPr>
        <w:tc>
          <w:tcPr>
            <w:tcW w:w="2140" w:type="dxa"/>
            <w:vAlign w:val="bottom"/>
          </w:tcPr>
          <w:p>
            <w:pPr>
              <w:spacing w:after="0"/>
              <w:rPr>
                <w:sz w:val="18"/>
                <w:szCs w:val="18"/>
                <w:color w:val="auto"/>
              </w:rPr>
            </w:pPr>
          </w:p>
        </w:tc>
        <w:tc>
          <w:tcPr>
            <w:tcW w:w="4840" w:type="dxa"/>
            <w:vAlign w:val="bottom"/>
          </w:tcPr>
          <w:p>
            <w:pPr>
              <w:jc w:val="center"/>
              <w:ind w:right="97"/>
              <w:spacing w:after="0"/>
              <w:rPr>
                <w:sz w:val="20"/>
                <w:szCs w:val="20"/>
                <w:color w:val="auto"/>
              </w:rPr>
            </w:pPr>
            <w:r>
              <w:rPr>
                <w:rFonts w:ascii="Arial" w:cs="Arial" w:eastAsia="Arial" w:hAnsi="Arial"/>
                <w:sz w:val="18"/>
                <w:szCs w:val="18"/>
                <w:b w:val="1"/>
                <w:bCs w:val="1"/>
                <w:color w:val="auto"/>
                <w:w w:val="91"/>
              </w:rPr>
              <w:t>22 Victoria Street</w:t>
            </w:r>
          </w:p>
        </w:tc>
        <w:tc>
          <w:tcPr>
            <w:tcW w:w="1800" w:type="dxa"/>
            <w:vAlign w:val="bottom"/>
          </w:tcPr>
          <w:p>
            <w:pPr>
              <w:spacing w:after="0"/>
              <w:rPr>
                <w:sz w:val="18"/>
                <w:szCs w:val="18"/>
                <w:color w:val="auto"/>
              </w:rPr>
            </w:pPr>
          </w:p>
        </w:tc>
      </w:tr>
      <w:tr>
        <w:trPr>
          <w:trHeight w:val="216"/>
        </w:trPr>
        <w:tc>
          <w:tcPr>
            <w:tcW w:w="2140" w:type="dxa"/>
            <w:vAlign w:val="bottom"/>
          </w:tcPr>
          <w:p>
            <w:pPr>
              <w:spacing w:after="0"/>
              <w:rPr>
                <w:sz w:val="18"/>
                <w:szCs w:val="18"/>
                <w:color w:val="auto"/>
              </w:rPr>
            </w:pPr>
          </w:p>
        </w:tc>
        <w:tc>
          <w:tcPr>
            <w:tcW w:w="4840" w:type="dxa"/>
            <w:vAlign w:val="bottom"/>
          </w:tcPr>
          <w:p>
            <w:pPr>
              <w:jc w:val="center"/>
              <w:ind w:right="97"/>
              <w:spacing w:after="0"/>
              <w:rPr>
                <w:sz w:val="20"/>
                <w:szCs w:val="20"/>
                <w:color w:val="auto"/>
              </w:rPr>
            </w:pPr>
            <w:r>
              <w:rPr>
                <w:rFonts w:ascii="Arial" w:cs="Arial" w:eastAsia="Arial" w:hAnsi="Arial"/>
                <w:sz w:val="18"/>
                <w:szCs w:val="18"/>
                <w:b w:val="1"/>
                <w:bCs w:val="1"/>
                <w:color w:val="auto"/>
                <w:w w:val="96"/>
              </w:rPr>
              <w:t>Hamilton HM 12</w:t>
            </w:r>
          </w:p>
        </w:tc>
        <w:tc>
          <w:tcPr>
            <w:tcW w:w="1800" w:type="dxa"/>
            <w:vAlign w:val="bottom"/>
          </w:tcPr>
          <w:p>
            <w:pPr>
              <w:spacing w:after="0"/>
              <w:rPr>
                <w:sz w:val="18"/>
                <w:szCs w:val="18"/>
                <w:color w:val="auto"/>
              </w:rPr>
            </w:pPr>
          </w:p>
        </w:tc>
      </w:tr>
      <w:tr>
        <w:trPr>
          <w:trHeight w:val="212"/>
        </w:trPr>
        <w:tc>
          <w:tcPr>
            <w:tcW w:w="2140" w:type="dxa"/>
            <w:vAlign w:val="bottom"/>
          </w:tcPr>
          <w:p>
            <w:pPr>
              <w:spacing w:after="0"/>
              <w:rPr>
                <w:sz w:val="18"/>
                <w:szCs w:val="18"/>
                <w:color w:val="auto"/>
              </w:rPr>
            </w:pPr>
          </w:p>
        </w:tc>
        <w:tc>
          <w:tcPr>
            <w:tcW w:w="4840" w:type="dxa"/>
            <w:vAlign w:val="bottom"/>
          </w:tcPr>
          <w:p>
            <w:pPr>
              <w:jc w:val="center"/>
              <w:ind w:right="77"/>
              <w:spacing w:after="0"/>
              <w:rPr>
                <w:sz w:val="20"/>
                <w:szCs w:val="20"/>
                <w:color w:val="auto"/>
              </w:rPr>
            </w:pPr>
            <w:r>
              <w:rPr>
                <w:rFonts w:ascii="Arial" w:cs="Arial" w:eastAsia="Arial" w:hAnsi="Arial"/>
                <w:sz w:val="18"/>
                <w:szCs w:val="18"/>
                <w:b w:val="1"/>
                <w:bCs w:val="1"/>
                <w:color w:val="auto"/>
                <w:w w:val="92"/>
              </w:rPr>
              <w:t>Bermuda</w:t>
            </w:r>
          </w:p>
        </w:tc>
        <w:tc>
          <w:tcPr>
            <w:tcW w:w="1800" w:type="dxa"/>
            <w:vAlign w:val="bottom"/>
          </w:tcPr>
          <w:p>
            <w:pPr>
              <w:spacing w:after="0"/>
              <w:rPr>
                <w:sz w:val="18"/>
                <w:szCs w:val="18"/>
                <w:color w:val="auto"/>
              </w:rPr>
            </w:pPr>
          </w:p>
        </w:tc>
      </w:tr>
      <w:tr>
        <w:trPr>
          <w:trHeight w:val="186"/>
        </w:trPr>
        <w:tc>
          <w:tcPr>
            <w:tcW w:w="2140" w:type="dxa"/>
            <w:vAlign w:val="bottom"/>
          </w:tcPr>
          <w:p>
            <w:pPr>
              <w:spacing w:after="0"/>
              <w:rPr>
                <w:sz w:val="16"/>
                <w:szCs w:val="16"/>
                <w:color w:val="auto"/>
              </w:rPr>
            </w:pPr>
          </w:p>
        </w:tc>
        <w:tc>
          <w:tcPr>
            <w:tcW w:w="4840" w:type="dxa"/>
            <w:vAlign w:val="bottom"/>
          </w:tcPr>
          <w:p>
            <w:pPr>
              <w:jc w:val="center"/>
              <w:ind w:right="77"/>
              <w:spacing w:after="0"/>
              <w:rPr>
                <w:sz w:val="20"/>
                <w:szCs w:val="20"/>
                <w:color w:val="auto"/>
              </w:rPr>
            </w:pPr>
            <w:r>
              <w:rPr>
                <w:rFonts w:ascii="Arial" w:cs="Arial" w:eastAsia="Arial" w:hAnsi="Arial"/>
                <w:sz w:val="14"/>
                <w:szCs w:val="14"/>
                <w:b w:val="1"/>
                <w:bCs w:val="1"/>
                <w:color w:val="auto"/>
                <w:w w:val="92"/>
              </w:rPr>
              <w:t>(Address of principal executive offices, including Zip Code)</w:t>
            </w:r>
          </w:p>
        </w:tc>
        <w:tc>
          <w:tcPr>
            <w:tcW w:w="1800" w:type="dxa"/>
            <w:vAlign w:val="bottom"/>
          </w:tcPr>
          <w:p>
            <w:pPr>
              <w:spacing w:after="0"/>
              <w:rPr>
                <w:sz w:val="16"/>
                <w:szCs w:val="16"/>
                <w:color w:val="auto"/>
              </w:rPr>
            </w:pPr>
          </w:p>
        </w:tc>
      </w:tr>
      <w:tr>
        <w:trPr>
          <w:trHeight w:val="394"/>
        </w:trPr>
        <w:tc>
          <w:tcPr>
            <w:tcW w:w="2140" w:type="dxa"/>
            <w:vAlign w:val="bottom"/>
          </w:tcPr>
          <w:p>
            <w:pPr>
              <w:spacing w:after="0"/>
              <w:rPr>
                <w:sz w:val="24"/>
                <w:szCs w:val="24"/>
                <w:color w:val="auto"/>
              </w:rPr>
            </w:pPr>
          </w:p>
        </w:tc>
        <w:tc>
          <w:tcPr>
            <w:tcW w:w="4840" w:type="dxa"/>
            <w:vAlign w:val="bottom"/>
          </w:tcPr>
          <w:p>
            <w:pPr>
              <w:jc w:val="center"/>
              <w:ind w:right="77"/>
              <w:spacing w:after="0"/>
              <w:rPr>
                <w:sz w:val="20"/>
                <w:szCs w:val="20"/>
                <w:color w:val="auto"/>
              </w:rPr>
            </w:pPr>
            <w:r>
              <w:rPr>
                <w:rFonts w:ascii="Arial" w:cs="Arial" w:eastAsia="Arial" w:hAnsi="Arial"/>
                <w:sz w:val="18"/>
                <w:szCs w:val="18"/>
                <w:b w:val="1"/>
                <w:bCs w:val="1"/>
                <w:color w:val="auto"/>
                <w:w w:val="90"/>
              </w:rPr>
              <w:t>(441) 296-6395</w:t>
            </w:r>
          </w:p>
        </w:tc>
        <w:tc>
          <w:tcPr>
            <w:tcW w:w="1800" w:type="dxa"/>
            <w:vAlign w:val="bottom"/>
          </w:tcPr>
          <w:p>
            <w:pPr>
              <w:spacing w:after="0"/>
              <w:rPr>
                <w:sz w:val="24"/>
                <w:szCs w:val="24"/>
                <w:color w:val="auto"/>
              </w:rPr>
            </w:pPr>
          </w:p>
        </w:tc>
      </w:tr>
      <w:tr>
        <w:trPr>
          <w:trHeight w:val="186"/>
        </w:trPr>
        <w:tc>
          <w:tcPr>
            <w:tcW w:w="2140" w:type="dxa"/>
            <w:vAlign w:val="bottom"/>
          </w:tcPr>
          <w:p>
            <w:pPr>
              <w:spacing w:after="0"/>
              <w:rPr>
                <w:sz w:val="16"/>
                <w:szCs w:val="16"/>
                <w:color w:val="auto"/>
              </w:rPr>
            </w:pPr>
          </w:p>
        </w:tc>
        <w:tc>
          <w:tcPr>
            <w:tcW w:w="4840" w:type="dxa"/>
            <w:vAlign w:val="bottom"/>
          </w:tcPr>
          <w:p>
            <w:pPr>
              <w:jc w:val="center"/>
              <w:ind w:right="97"/>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1800" w:type="dxa"/>
            <w:vAlign w:val="bottom"/>
          </w:tcPr>
          <w:p>
            <w:pPr>
              <w:spacing w:after="0"/>
              <w:rPr>
                <w:sz w:val="16"/>
                <w:szCs w:val="16"/>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196215</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04" w:lineRule="exact"/>
        <w:rPr>
          <w:sz w:val="24"/>
          <w:szCs w:val="24"/>
          <w:color w:val="auto"/>
        </w:rPr>
      </w:pPr>
    </w:p>
    <w:p>
      <w:pPr>
        <w:ind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62"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204"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7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9"/>
              </w:rPr>
              <w:t>Title of each class</w:t>
            </w:r>
          </w:p>
        </w:tc>
        <w:tc>
          <w:tcPr>
            <w:tcW w:w="60" w:type="dxa"/>
            <w:vAlign w:val="bottom"/>
          </w:tcPr>
          <w:p>
            <w:pPr>
              <w:spacing w:after="0"/>
              <w:rPr>
                <w:sz w:val="14"/>
                <w:szCs w:val="14"/>
                <w:color w:val="auto"/>
              </w:rPr>
            </w:pPr>
          </w:p>
        </w:tc>
        <w:tc>
          <w:tcPr>
            <w:tcW w:w="3620" w:type="dxa"/>
            <w:vAlign w:val="bottom"/>
          </w:tcPr>
          <w:p>
            <w:pPr>
              <w:jc w:val="center"/>
              <w:spacing w:after="0"/>
              <w:rPr>
                <w:sz w:val="20"/>
                <w:szCs w:val="20"/>
                <w:color w:val="auto"/>
              </w:rPr>
            </w:pPr>
            <w:r>
              <w:rPr>
                <w:rFonts w:ascii="Arial" w:cs="Arial" w:eastAsia="Arial" w:hAnsi="Arial"/>
                <w:sz w:val="14"/>
                <w:szCs w:val="14"/>
                <w:b w:val="1"/>
                <w:bCs w:val="1"/>
                <w:color w:val="auto"/>
                <w:w w:val="97"/>
              </w:rPr>
              <w:t>Trading</w:t>
            </w:r>
          </w:p>
        </w:tc>
        <w:tc>
          <w:tcPr>
            <w:tcW w:w="100" w:type="dxa"/>
            <w:vAlign w:val="bottom"/>
          </w:tcPr>
          <w:p>
            <w:pPr>
              <w:spacing w:after="0"/>
              <w:rPr>
                <w:sz w:val="14"/>
                <w:szCs w:val="14"/>
                <w:color w:val="auto"/>
              </w:rPr>
            </w:pPr>
          </w:p>
        </w:tc>
        <w:tc>
          <w:tcPr>
            <w:tcW w:w="352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71"/>
        </w:trPr>
        <w:tc>
          <w:tcPr>
            <w:tcW w:w="3720" w:type="dxa"/>
            <w:vAlign w:val="bottom"/>
            <w:tcBorders>
              <w:bottom w:val="single" w:sz="8" w:color="auto"/>
            </w:tcBorders>
            <w:vMerge w:val="continue"/>
          </w:tcPr>
          <w:p>
            <w:pPr>
              <w:spacing w:after="0"/>
              <w:rPr>
                <w:sz w:val="14"/>
                <w:szCs w:val="14"/>
                <w:color w:val="auto"/>
              </w:rPr>
            </w:pPr>
          </w:p>
        </w:tc>
        <w:tc>
          <w:tcPr>
            <w:tcW w:w="60" w:type="dxa"/>
            <w:vAlign w:val="bottom"/>
          </w:tcPr>
          <w:p>
            <w:pPr>
              <w:spacing w:after="0"/>
              <w:rPr>
                <w:sz w:val="14"/>
                <w:szCs w:val="14"/>
                <w:color w:val="auto"/>
              </w:rPr>
            </w:pPr>
          </w:p>
        </w:tc>
        <w:tc>
          <w:tcPr>
            <w:tcW w:w="3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Symbol(s)</w:t>
            </w:r>
          </w:p>
        </w:tc>
        <w:tc>
          <w:tcPr>
            <w:tcW w:w="100" w:type="dxa"/>
            <w:vAlign w:val="bottom"/>
          </w:tcPr>
          <w:p>
            <w:pPr>
              <w:spacing w:after="0"/>
              <w:rPr>
                <w:sz w:val="14"/>
                <w:szCs w:val="14"/>
                <w:color w:val="auto"/>
              </w:rPr>
            </w:pPr>
          </w:p>
        </w:tc>
        <w:tc>
          <w:tcPr>
            <w:tcW w:w="3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on which registered</w:t>
            </w:r>
          </w:p>
        </w:tc>
        <w:tc>
          <w:tcPr>
            <w:tcW w:w="0" w:type="dxa"/>
            <w:vAlign w:val="bottom"/>
          </w:tcPr>
          <w:p>
            <w:pPr>
              <w:spacing w:after="0"/>
              <w:rPr>
                <w:sz w:val="1"/>
                <w:szCs w:val="1"/>
                <w:color w:val="auto"/>
              </w:rPr>
            </w:pPr>
          </w:p>
        </w:tc>
      </w:tr>
      <w:tr>
        <w:trPr>
          <w:trHeight w:val="228"/>
        </w:trPr>
        <w:tc>
          <w:tcPr>
            <w:tcW w:w="3720" w:type="dxa"/>
            <w:vAlign w:val="bottom"/>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60" w:type="dxa"/>
            <w:vAlign w:val="bottom"/>
          </w:tcPr>
          <w:p>
            <w:pPr>
              <w:spacing w:after="0"/>
              <w:rPr>
                <w:sz w:val="19"/>
                <w:szCs w:val="19"/>
                <w:color w:val="auto"/>
              </w:rPr>
            </w:pPr>
          </w:p>
        </w:tc>
        <w:tc>
          <w:tcPr>
            <w:tcW w:w="3620" w:type="dxa"/>
            <w:vAlign w:val="bottom"/>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20" w:type="dxa"/>
            <w:vAlign w:val="bottom"/>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83" w:lineRule="exact"/>
        <w:rPr>
          <w:sz w:val="24"/>
          <w:szCs w:val="24"/>
          <w:color w:val="auto"/>
        </w:rPr>
      </w:pPr>
    </w:p>
    <w:p>
      <w:pPr>
        <w:spacing w:after="0"/>
        <w:rPr>
          <w:sz w:val="20"/>
          <w:szCs w:val="20"/>
          <w:color w:val="auto"/>
        </w:rPr>
      </w:pPr>
      <w:r>
        <w:rPr>
          <w:rFonts w:ascii="Arial" w:cs="Arial" w:eastAsia="Arial" w:hAnsi="Arial"/>
          <w:sz w:val="16"/>
          <w:szCs w:val="16"/>
          <w:color w:val="auto"/>
        </w:rPr>
        <w:t>Indicate by check mark whether the registrant is an emerging growth company as defined in Rule 405 of the Securities Act of 1933 (§230.405 of this</w:t>
      </w:r>
    </w:p>
    <w:p>
      <w:pPr>
        <w:spacing w:after="0" w:line="41" w:lineRule="exact"/>
        <w:rPr>
          <w:sz w:val="24"/>
          <w:szCs w:val="24"/>
          <w:color w:val="auto"/>
        </w:rPr>
      </w:pPr>
    </w:p>
    <w:p>
      <w:pPr>
        <w:spacing w:after="0" w:line="207" w:lineRule="exact"/>
        <w:tabs>
          <w:tab w:leader="none" w:pos="7000" w:val="left"/>
        </w:tabs>
        <w:rPr>
          <w:sz w:val="20"/>
          <w:szCs w:val="20"/>
          <w:color w:val="auto"/>
        </w:rPr>
      </w:pPr>
      <w:r>
        <w:rPr>
          <w:rFonts w:ascii="Arial" w:cs="Arial" w:eastAsia="Arial" w:hAnsi="Arial"/>
          <w:sz w:val="18"/>
          <w:szCs w:val="18"/>
          <w:color w:val="auto"/>
        </w:rPr>
        <w:t>chapter) or Rule 12b-2 of the Securities Exchange Act of 1934 (§240.12b-2 of this chapter).</w:t>
      </w:r>
      <w:r>
        <w:rPr>
          <w:sz w:val="20"/>
          <w:szCs w:val="20"/>
          <w:color w:val="auto"/>
        </w:rPr>
        <w:tab/>
      </w: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16"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142240</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40"/>
          </w:cols>
          <w:pgMar w:left="440" w:top="341" w:right="419" w:bottom="1440" w:gutter="0" w:footer="0" w:header="0"/>
        </w:sectPr>
      </w:pPr>
    </w:p>
    <w:bookmarkStart w:id="1" w:name="page2"/>
    <w:bookmarkEnd w:id="1"/>
    <w:p>
      <w:pPr>
        <w:spacing w:after="0"/>
        <w:tabs>
          <w:tab w:leader="none" w:pos="10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58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55880"/>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On December 5, 2019, Marvell Technology Group Ltd. (the “Company”) announced that its Board of Directors had declared the payment of its quarterly dividend of $0.06 per share to be paid on January 16, 2020 to all shareholders of record as of December 26, 2019.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Bermuda law, and other factors that the Board of Directors may deem relevant.</w:t>
      </w:r>
    </w:p>
    <w:p>
      <w:pPr>
        <w:spacing w:after="0" w:line="277" w:lineRule="exact"/>
        <w:rPr>
          <w:sz w:val="20"/>
          <w:szCs w:val="20"/>
          <w:color w:val="auto"/>
        </w:rPr>
      </w:pPr>
    </w:p>
    <w:p>
      <w:pPr>
        <w:spacing w:after="0"/>
        <w:tabs>
          <w:tab w:leader="none" w:pos="10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860" w:hanging="424"/>
        <w:spacing w:after="0"/>
        <w:tabs>
          <w:tab w:leader="none" w:pos="8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333" w:lineRule="exact"/>
        <w:rPr>
          <w:sz w:val="20"/>
          <w:szCs w:val="20"/>
          <w:color w:val="auto"/>
        </w:rPr>
      </w:pPr>
    </w:p>
    <w:p>
      <w:pPr>
        <w:ind w:left="60"/>
        <w:spacing w:after="0"/>
        <w:tabs>
          <w:tab w:leader="none" w:pos="760" w:val="left"/>
        </w:tabs>
        <w:rPr>
          <w:rFonts w:ascii="Arial" w:cs="Arial" w:eastAsia="Arial" w:hAnsi="Arial"/>
          <w:sz w:val="16"/>
          <w:szCs w:val="16"/>
          <w:u w:val="single" w:color="auto"/>
          <w:color w:val="0000EE"/>
        </w:rPr>
      </w:pPr>
      <w:r>
        <w:rPr>
          <w:rFonts w:ascii="Arial" w:cs="Arial" w:eastAsia="Arial" w:hAnsi="Arial"/>
          <w:sz w:val="18"/>
          <w:szCs w:val="18"/>
          <w:color w:val="auto"/>
        </w:rPr>
        <w:t>99.1</w:t>
      </w:r>
      <w:r>
        <w:rPr>
          <w:sz w:val="20"/>
          <w:szCs w:val="20"/>
          <w:color w:val="auto"/>
        </w:rPr>
        <w:tab/>
      </w:r>
      <w:hyperlink w:anchor="page4">
        <w:r>
          <w:rPr>
            <w:rFonts w:ascii="Arial" w:cs="Arial" w:eastAsia="Arial" w:hAnsi="Arial"/>
            <w:sz w:val="16"/>
            <w:szCs w:val="16"/>
            <w:u w:val="single" w:color="auto"/>
            <w:color w:val="0000EE"/>
          </w:rPr>
          <w:t>Press Release dated December 6, 2019, titled “Marvell Technology Group Ltd. Declares Quarterly Dividend Payment”</w:t>
        </w:r>
      </w:hyperlink>
    </w:p>
    <w:p>
      <w:pPr>
        <w:spacing w:after="0" w:line="117" w:lineRule="exact"/>
        <w:rPr>
          <w:sz w:val="20"/>
          <w:szCs w:val="20"/>
          <w:color w:val="auto"/>
        </w:rPr>
      </w:pPr>
    </w:p>
    <w:p>
      <w:pPr>
        <w:ind w:left="60"/>
        <w:spacing w:after="0"/>
        <w:tabs>
          <w:tab w:leader="none" w:pos="76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1020"/>
          </w:cols>
          <w:pgMar w:left="440" w:top="297" w:right="439" w:bottom="1440" w:gutter="0" w:footer="0" w:header="0"/>
        </w:sectPr>
      </w:pPr>
    </w:p>
    <w:bookmarkStart w:id="2" w:name="page3"/>
    <w:bookmarkEnd w:id="2"/>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55880"/>
                    </a:xfrm>
                    <a:prstGeom prst="rect">
                      <a:avLst/>
                    </a:prstGeom>
                    <a:noFill/>
                  </pic:spPr>
                </pic:pic>
              </a:graphicData>
            </a:graphic>
          </wp:anchor>
        </w:drawing>
        <w:t>SIGNATURE</w:t>
      </w:r>
    </w:p>
    <w:p>
      <w:pPr>
        <w:spacing w:after="0" w:line="229" w:lineRule="exact"/>
        <w:rPr>
          <w:sz w:val="20"/>
          <w:szCs w:val="20"/>
          <w:color w:val="auto"/>
        </w:rPr>
      </w:pPr>
    </w:p>
    <w:p>
      <w:pPr>
        <w:ind w:firstLine="441"/>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660" w:val="left"/>
        </w:tabs>
        <w:rPr>
          <w:sz w:val="20"/>
          <w:szCs w:val="20"/>
          <w:color w:val="auto"/>
        </w:rPr>
      </w:pPr>
      <w:r>
        <w:rPr>
          <w:rFonts w:ascii="Arial" w:cs="Arial" w:eastAsia="Arial" w:hAnsi="Arial"/>
          <w:sz w:val="18"/>
          <w:szCs w:val="18"/>
          <w:color w:val="auto"/>
        </w:rPr>
        <w:t>Date: December 6, 2019</w:t>
      </w:r>
      <w:r>
        <w:rPr>
          <w:sz w:val="20"/>
          <w:szCs w:val="20"/>
          <w:color w:val="auto"/>
        </w:rPr>
        <w:tab/>
      </w:r>
      <w:r>
        <w:rPr>
          <w:rFonts w:ascii="Arial" w:cs="Arial" w:eastAsia="Arial" w:hAnsi="Arial"/>
          <w:sz w:val="17"/>
          <w:szCs w:val="17"/>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3856990</wp:posOffset>
            </wp:positionH>
            <wp:positionV relativeFrom="paragraph">
              <wp:posOffset>14605</wp:posOffset>
            </wp:positionV>
            <wp:extent cx="314706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3147060" cy="8890"/>
                    </a:xfrm>
                    <a:prstGeom prst="rect">
                      <a:avLst/>
                    </a:prstGeom>
                    <a:noFill/>
                  </pic:spPr>
                </pic:pic>
              </a:graphicData>
            </a:graphic>
          </wp:anchor>
        </w:drawing>
      </w:r>
    </w:p>
    <w:p>
      <w:pPr>
        <w:spacing w:after="0" w:line="12" w:lineRule="exact"/>
        <w:rPr>
          <w:sz w:val="20"/>
          <w:szCs w:val="20"/>
          <w:color w:val="auto"/>
        </w:rPr>
      </w:pPr>
    </w:p>
    <w:p>
      <w:pPr>
        <w:ind w:left="6060"/>
        <w:spacing w:after="0"/>
        <w:rPr>
          <w:sz w:val="20"/>
          <w:szCs w:val="20"/>
          <w:color w:val="auto"/>
        </w:rPr>
      </w:pPr>
      <w:r>
        <w:rPr>
          <w:rFonts w:ascii="Arial" w:cs="Arial" w:eastAsia="Arial" w:hAnsi="Arial"/>
          <w:sz w:val="18"/>
          <w:szCs w:val="18"/>
          <w:b w:val="1"/>
          <w:bCs w:val="1"/>
          <w:color w:val="auto"/>
        </w:rPr>
        <w:t>Jean Hu</w:t>
      </w:r>
    </w:p>
    <w:p>
      <w:pPr>
        <w:spacing w:after="0" w:line="27" w:lineRule="exact"/>
        <w:rPr>
          <w:sz w:val="20"/>
          <w:szCs w:val="20"/>
          <w:color w:val="auto"/>
        </w:rPr>
      </w:pPr>
    </w:p>
    <w:p>
      <w:pPr>
        <w:ind w:left="606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0680"/>
          </w:cols>
          <w:pgMar w:left="440" w:top="297" w:right="7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172085</wp:posOffset>
            </wp:positionV>
            <wp:extent cx="1792605" cy="13716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 Declares Quarterly Dividend Payment</w:t>
      </w:r>
    </w:p>
    <w:p>
      <w:pPr>
        <w:spacing w:after="0" w:line="215" w:lineRule="exact"/>
        <w:rPr>
          <w:sz w:val="20"/>
          <w:szCs w:val="20"/>
          <w:color w:val="auto"/>
        </w:rPr>
      </w:pPr>
    </w:p>
    <w:p>
      <w:pPr>
        <w:ind w:right="220"/>
        <w:spacing w:after="0" w:line="282" w:lineRule="auto"/>
        <w:rPr>
          <w:sz w:val="20"/>
          <w:szCs w:val="20"/>
          <w:color w:val="auto"/>
        </w:rPr>
      </w:pPr>
      <w:r>
        <w:rPr>
          <w:rFonts w:ascii="Arial" w:cs="Arial" w:eastAsia="Arial" w:hAnsi="Arial"/>
          <w:sz w:val="18"/>
          <w:szCs w:val="18"/>
          <w:b w:val="1"/>
          <w:bCs w:val="1"/>
          <w:color w:val="auto"/>
        </w:rPr>
        <w:t xml:space="preserve">Santa Clara, Calif. (December 6, 2019) </w:t>
      </w:r>
      <w:r>
        <w:rPr>
          <w:rFonts w:ascii="Arial" w:cs="Arial" w:eastAsia="Arial" w:hAnsi="Arial"/>
          <w:sz w:val="18"/>
          <w:szCs w:val="18"/>
          <w:color w:val="auto"/>
        </w:rPr>
        <w:t>— Marvell Technology Group Ltd. (NASDAQ: MRVL), today announced a quarterly dividend of $0.06 per</w:t>
      </w:r>
      <w:r>
        <w:rPr>
          <w:rFonts w:ascii="Arial" w:cs="Arial" w:eastAsia="Arial" w:hAnsi="Arial"/>
          <w:sz w:val="18"/>
          <w:szCs w:val="18"/>
          <w:b w:val="1"/>
          <w:bCs w:val="1"/>
          <w:color w:val="auto"/>
        </w:rPr>
        <w:t xml:space="preserve"> </w:t>
      </w:r>
      <w:r>
        <w:rPr>
          <w:rFonts w:ascii="Arial" w:cs="Arial" w:eastAsia="Arial" w:hAnsi="Arial"/>
          <w:sz w:val="18"/>
          <w:szCs w:val="18"/>
          <w:color w:val="auto"/>
        </w:rPr>
        <w:t>share of common stock payable on January 16, 2020 to shareholders of record as of December 26, 2019.</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www.marvell.com</w:t>
      </w:r>
      <w:r>
        <w:rPr>
          <w:rFonts w:ascii="Arial" w:cs="Arial" w:eastAsia="Arial" w:hAnsi="Arial"/>
          <w:sz w:val="18"/>
          <w:szCs w:val="18"/>
          <w:color w:val="auto"/>
        </w:rPr>
        <w:t>.</w:t>
      </w:r>
    </w:p>
    <w:p>
      <w:pPr>
        <w:spacing w:after="0" w:line="187"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408-222-0777</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ir@marvell.com</w:t>
      </w:r>
    </w:p>
    <w:sectPr>
      <w:pgSz w:w="11900" w:h="16838" w:orient="portrait"/>
      <w:cols w:equalWidth="0" w:num="1">
        <w:col w:w="11020"/>
      </w:cols>
      <w:pgMar w:left="440"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2019-12-28T01:09:08Z</dcterms:created>
  <dcterms:modified xsi:type="dcterms:W3CDTF">2019-12-28T01:09:08Z</dcterms:modified>
</cp:coreProperties>
</file>