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157480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191770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8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100"/>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207645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6,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193675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2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193675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1" w:lineRule="exact"/>
        <w:rPr>
          <w:sz w:val="24"/>
          <w:szCs w:val="24"/>
          <w:color w:val="auto"/>
        </w:rPr>
      </w:pPr>
    </w:p>
    <w:tbl>
      <w:tblPr>
        <w:tblLayout w:type="fixed"/>
        <w:tblInd w:w="1040" w:type="dxa"/>
        <w:tblCellMar>
          <w:top w:w="0" w:type="dxa"/>
          <w:left w:w="0" w:type="dxa"/>
          <w:bottom w:w="0" w:type="dxa"/>
          <w:right w:w="0" w:type="dxa"/>
        </w:tblCellMar>
      </w:tblPr>
      <w:tr>
        <w:trPr>
          <w:trHeight w:val="214"/>
        </w:trPr>
        <w:tc>
          <w:tcPr>
            <w:tcW w:w="2100" w:type="dxa"/>
            <w:vAlign w:val="bottom"/>
          </w:tcPr>
          <w:p>
            <w:pPr>
              <w:jc w:val="center"/>
              <w:ind w:right="38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49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000-30877</w:t>
            </w:r>
          </w:p>
        </w:tc>
        <w:tc>
          <w:tcPr>
            <w:tcW w:w="1760" w:type="dxa"/>
            <w:vAlign w:val="bottom"/>
          </w:tcPr>
          <w:p>
            <w:pPr>
              <w:jc w:val="center"/>
              <w:ind w:left="562"/>
              <w:spacing w:after="0"/>
              <w:rPr>
                <w:sz w:val="20"/>
                <w:szCs w:val="20"/>
                <w:color w:val="auto"/>
              </w:rPr>
            </w:pPr>
            <w:r>
              <w:rPr>
                <w:rFonts w:ascii="Times New Roman" w:cs="Times New Roman" w:eastAsia="Times New Roman" w:hAnsi="Times New Roman"/>
                <w:sz w:val="18"/>
                <w:szCs w:val="18"/>
                <w:b w:val="1"/>
                <w:bCs w:val="1"/>
                <w:color w:val="auto"/>
              </w:rPr>
              <w:t>77-0481679</w:t>
            </w:r>
          </w:p>
        </w:tc>
      </w:tr>
      <w:tr>
        <w:trPr>
          <w:trHeight w:val="149"/>
        </w:trPr>
        <w:tc>
          <w:tcPr>
            <w:tcW w:w="2100" w:type="dxa"/>
            <w:vAlign w:val="bottom"/>
          </w:tcPr>
          <w:p>
            <w:pPr>
              <w:jc w:val="center"/>
              <w:ind w:right="382"/>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w:t>
            </w:r>
          </w:p>
        </w:tc>
        <w:tc>
          <w:tcPr>
            <w:tcW w:w="49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(Commission</w:t>
            </w:r>
          </w:p>
        </w:tc>
        <w:tc>
          <w:tcPr>
            <w:tcW w:w="1760" w:type="dxa"/>
            <w:vAlign w:val="bottom"/>
          </w:tcPr>
          <w:p>
            <w:pPr>
              <w:jc w:val="center"/>
              <w:ind w:left="562"/>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2100" w:type="dxa"/>
            <w:vAlign w:val="bottom"/>
          </w:tcPr>
          <w:p>
            <w:pPr>
              <w:jc w:val="center"/>
              <w:ind w:right="382"/>
              <w:spacing w:after="0"/>
              <w:rPr>
                <w:sz w:val="20"/>
                <w:szCs w:val="20"/>
                <w:color w:val="auto"/>
              </w:rPr>
            </w:pPr>
            <w:r>
              <w:rPr>
                <w:rFonts w:ascii="Times New Roman" w:cs="Times New Roman" w:eastAsia="Times New Roman" w:hAnsi="Times New Roman"/>
                <w:sz w:val="14"/>
                <w:szCs w:val="14"/>
                <w:b w:val="1"/>
                <w:bCs w:val="1"/>
                <w:color w:val="auto"/>
              </w:rPr>
              <w:t>of incorporation)</w:t>
            </w:r>
          </w:p>
        </w:tc>
        <w:tc>
          <w:tcPr>
            <w:tcW w:w="49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File No.)</w:t>
            </w:r>
          </w:p>
        </w:tc>
        <w:tc>
          <w:tcPr>
            <w:tcW w:w="1760" w:type="dxa"/>
            <w:vAlign w:val="bottom"/>
          </w:tcPr>
          <w:p>
            <w:pPr>
              <w:jc w:val="center"/>
              <w:ind w:left="562"/>
              <w:spacing w:after="0"/>
              <w:rPr>
                <w:sz w:val="20"/>
                <w:szCs w:val="20"/>
                <w:color w:val="auto"/>
              </w:rPr>
            </w:pPr>
            <w:r>
              <w:rPr>
                <w:rFonts w:ascii="Times New Roman" w:cs="Times New Roman" w:eastAsia="Times New Roman" w:hAnsi="Times New Roman"/>
                <w:sz w:val="14"/>
                <w:szCs w:val="14"/>
                <w:b w:val="1"/>
                <w:bCs w:val="1"/>
                <w:color w:val="auto"/>
              </w:rPr>
              <w:t>Identification No.)</w:t>
            </w:r>
          </w:p>
        </w:tc>
      </w:tr>
      <w:tr>
        <w:trPr>
          <w:trHeight w:val="393"/>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9"/>
              </w:rPr>
              <w:t>Canon’s Court</w:t>
            </w:r>
          </w:p>
        </w:tc>
        <w:tc>
          <w:tcPr>
            <w:tcW w:w="1760" w:type="dxa"/>
            <w:vAlign w:val="bottom"/>
          </w:tcPr>
          <w:p>
            <w:pPr>
              <w:spacing w:after="0"/>
              <w:rPr>
                <w:sz w:val="24"/>
                <w:szCs w:val="24"/>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8"/>
              </w:rPr>
              <w:t>22 Victoria Street</w:t>
            </w:r>
          </w:p>
        </w:tc>
        <w:tc>
          <w:tcPr>
            <w:tcW w:w="1760" w:type="dxa"/>
            <w:vAlign w:val="bottom"/>
          </w:tcPr>
          <w:p>
            <w:pPr>
              <w:spacing w:after="0"/>
              <w:rPr>
                <w:sz w:val="18"/>
                <w:szCs w:val="18"/>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9"/>
              </w:rPr>
              <w:t>Hamilton HM 12</w:t>
            </w:r>
          </w:p>
        </w:tc>
        <w:tc>
          <w:tcPr>
            <w:tcW w:w="1760" w:type="dxa"/>
            <w:vAlign w:val="bottom"/>
          </w:tcPr>
          <w:p>
            <w:pPr>
              <w:spacing w:after="0"/>
              <w:rPr>
                <w:sz w:val="18"/>
                <w:szCs w:val="18"/>
                <w:color w:val="auto"/>
              </w:rPr>
            </w:pPr>
          </w:p>
        </w:tc>
      </w:tr>
      <w:tr>
        <w:trPr>
          <w:trHeight w:val="214"/>
        </w:trPr>
        <w:tc>
          <w:tcPr>
            <w:tcW w:w="2100" w:type="dxa"/>
            <w:vAlign w:val="bottom"/>
          </w:tcPr>
          <w:p>
            <w:pPr>
              <w:spacing w:after="0"/>
              <w:rPr>
                <w:sz w:val="18"/>
                <w:szCs w:val="18"/>
                <w:color w:val="auto"/>
              </w:rPr>
            </w:pPr>
          </w:p>
        </w:tc>
        <w:tc>
          <w:tcPr>
            <w:tcW w:w="4920" w:type="dxa"/>
            <w:vAlign w:val="bottom"/>
          </w:tcPr>
          <w:p>
            <w:pPr>
              <w:jc w:val="center"/>
              <w:ind w:right="77"/>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1760" w:type="dxa"/>
            <w:vAlign w:val="bottom"/>
          </w:tcPr>
          <w:p>
            <w:pPr>
              <w:spacing w:after="0"/>
              <w:rPr>
                <w:sz w:val="18"/>
                <w:szCs w:val="18"/>
                <w:color w:val="auto"/>
              </w:rPr>
            </w:pPr>
          </w:p>
        </w:tc>
      </w:tr>
      <w:tr>
        <w:trPr>
          <w:trHeight w:val="190"/>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tc>
        <w:tc>
          <w:tcPr>
            <w:tcW w:w="1760" w:type="dxa"/>
            <w:vAlign w:val="bottom"/>
          </w:tcPr>
          <w:p>
            <w:pPr>
              <w:spacing w:after="0"/>
              <w:rPr>
                <w:sz w:val="16"/>
                <w:szCs w:val="16"/>
                <w:color w:val="auto"/>
              </w:rPr>
            </w:pPr>
          </w:p>
        </w:tc>
      </w:tr>
      <w:tr>
        <w:trPr>
          <w:trHeight w:val="390"/>
        </w:trPr>
        <w:tc>
          <w:tcPr>
            <w:tcW w:w="2100" w:type="dxa"/>
            <w:vAlign w:val="bottom"/>
          </w:tcPr>
          <w:p>
            <w:pPr>
              <w:spacing w:after="0"/>
              <w:rPr>
                <w:sz w:val="24"/>
                <w:szCs w:val="24"/>
                <w:color w:val="auto"/>
              </w:rPr>
            </w:pPr>
          </w:p>
        </w:tc>
        <w:tc>
          <w:tcPr>
            <w:tcW w:w="4920" w:type="dxa"/>
            <w:vAlign w:val="bottom"/>
          </w:tcPr>
          <w:p>
            <w:pPr>
              <w:jc w:val="center"/>
              <w:ind w:right="77"/>
              <w:spacing w:after="0"/>
              <w:rPr>
                <w:sz w:val="20"/>
                <w:szCs w:val="20"/>
                <w:color w:val="auto"/>
              </w:rPr>
            </w:pPr>
            <w:r>
              <w:rPr>
                <w:rFonts w:ascii="Times New Roman" w:cs="Times New Roman" w:eastAsia="Times New Roman" w:hAnsi="Times New Roman"/>
                <w:sz w:val="18"/>
                <w:szCs w:val="18"/>
                <w:b w:val="1"/>
                <w:bCs w:val="1"/>
                <w:color w:val="auto"/>
                <w:w w:val="99"/>
              </w:rPr>
              <w:t>(441) 296-6395</w:t>
            </w:r>
          </w:p>
        </w:tc>
        <w:tc>
          <w:tcPr>
            <w:tcW w:w="1760" w:type="dxa"/>
            <w:vAlign w:val="bottom"/>
          </w:tcPr>
          <w:p>
            <w:pPr>
              <w:spacing w:after="0"/>
              <w:rPr>
                <w:sz w:val="24"/>
                <w:szCs w:val="24"/>
                <w:color w:val="auto"/>
              </w:rPr>
            </w:pPr>
          </w:p>
        </w:tc>
      </w:tr>
      <w:tr>
        <w:trPr>
          <w:trHeight w:val="190"/>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tc>
        <w:tc>
          <w:tcPr>
            <w:tcW w:w="1760" w:type="dxa"/>
            <w:vAlign w:val="bottom"/>
          </w:tcPr>
          <w:p>
            <w:pPr>
              <w:spacing w:after="0"/>
              <w:rPr>
                <w:sz w:val="16"/>
                <w:szCs w:val="16"/>
                <w:color w:val="auto"/>
              </w:rPr>
            </w:pPr>
          </w:p>
        </w:tc>
      </w:tr>
      <w:tr>
        <w:trPr>
          <w:trHeight w:val="390"/>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6"/>
              </w:rPr>
              <w:t>N/A</w:t>
            </w:r>
          </w:p>
        </w:tc>
        <w:tc>
          <w:tcPr>
            <w:tcW w:w="1760" w:type="dxa"/>
            <w:vAlign w:val="bottom"/>
          </w:tcPr>
          <w:p>
            <w:pPr>
              <w:spacing w:after="0"/>
              <w:rPr>
                <w:sz w:val="24"/>
                <w:szCs w:val="24"/>
                <w:color w:val="auto"/>
              </w:rPr>
            </w:pPr>
          </w:p>
        </w:tc>
      </w:tr>
      <w:tr>
        <w:trPr>
          <w:trHeight w:val="190"/>
        </w:trPr>
        <w:tc>
          <w:tcPr>
            <w:tcW w:w="2100" w:type="dxa"/>
            <w:vAlign w:val="bottom"/>
          </w:tcPr>
          <w:p>
            <w:pPr>
              <w:spacing w:after="0"/>
              <w:rPr>
                <w:sz w:val="16"/>
                <w:szCs w:val="16"/>
                <w:color w:val="auto"/>
              </w:rPr>
            </w:pPr>
          </w:p>
        </w:tc>
        <w:tc>
          <w:tcPr>
            <w:tcW w:w="4920" w:type="dxa"/>
            <w:vAlign w:val="bottom"/>
          </w:tcPr>
          <w:p>
            <w:pPr>
              <w:jc w:val="center"/>
              <w:ind w:right="77"/>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tc>
        <w:tc>
          <w:tcPr>
            <w:tcW w:w="176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169545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54"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60" w:type="dxa"/>
            <w:vAlign w:val="bottom"/>
          </w:tcPr>
          <w:p>
            <w:pPr>
              <w:spacing w:after="0"/>
              <w:rPr>
                <w:sz w:val="13"/>
                <w:szCs w:val="13"/>
                <w:color w:val="auto"/>
              </w:rPr>
            </w:pPr>
          </w:p>
        </w:tc>
        <w:tc>
          <w:tcPr>
            <w:tcW w:w="36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100" w:type="dxa"/>
            <w:vAlign w:val="bottom"/>
          </w:tcPr>
          <w:p>
            <w:pPr>
              <w:spacing w:after="0"/>
              <w:rPr>
                <w:sz w:val="13"/>
                <w:szCs w:val="13"/>
                <w:color w:val="auto"/>
              </w:rPr>
            </w:pPr>
          </w:p>
        </w:tc>
        <w:tc>
          <w:tcPr>
            <w:tcW w:w="35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73"/>
        </w:trPr>
        <w:tc>
          <w:tcPr>
            <w:tcW w:w="3720" w:type="dxa"/>
            <w:vAlign w:val="bottom"/>
            <w:tcBorders>
              <w:bottom w:val="single" w:sz="8" w:color="auto"/>
            </w:tcBorders>
            <w:vMerge w:val="continue"/>
          </w:tcPr>
          <w:p>
            <w:pPr>
              <w:spacing w:after="0"/>
              <w:rPr>
                <w:sz w:val="15"/>
                <w:szCs w:val="15"/>
                <w:color w:val="auto"/>
              </w:rPr>
            </w:pPr>
          </w:p>
        </w:tc>
        <w:tc>
          <w:tcPr>
            <w:tcW w:w="60" w:type="dxa"/>
            <w:vAlign w:val="bottom"/>
          </w:tcPr>
          <w:p>
            <w:pPr>
              <w:spacing w:after="0"/>
              <w:rPr>
                <w:sz w:val="15"/>
                <w:szCs w:val="15"/>
                <w:color w:val="auto"/>
              </w:rPr>
            </w:pPr>
          </w:p>
        </w:tc>
        <w:tc>
          <w:tcPr>
            <w:tcW w:w="36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Symbols(s)</w:t>
            </w:r>
          </w:p>
        </w:tc>
        <w:tc>
          <w:tcPr>
            <w:tcW w:w="100" w:type="dxa"/>
            <w:vAlign w:val="bottom"/>
          </w:tcPr>
          <w:p>
            <w:pPr>
              <w:spacing w:after="0"/>
              <w:rPr>
                <w:sz w:val="15"/>
                <w:szCs w:val="15"/>
                <w:color w:val="auto"/>
              </w:rPr>
            </w:pPr>
          </w:p>
        </w:tc>
        <w:tc>
          <w:tcPr>
            <w:tcW w:w="35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60" w:type="dxa"/>
            <w:vAlign w:val="bottom"/>
          </w:tcPr>
          <w:p>
            <w:pPr>
              <w:spacing w:after="0"/>
              <w:rPr>
                <w:sz w:val="20"/>
                <w:szCs w:val="20"/>
                <w:color w:val="auto"/>
              </w:rPr>
            </w:pPr>
          </w:p>
        </w:tc>
        <w:tc>
          <w:tcPr>
            <w:tcW w:w="36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100" w:type="dxa"/>
            <w:vAlign w:val="bottom"/>
          </w:tcPr>
          <w:p>
            <w:pPr>
              <w:spacing w:after="0"/>
              <w:rPr>
                <w:sz w:val="20"/>
                <w:szCs w:val="20"/>
                <w:color w:val="auto"/>
              </w:rPr>
            </w:pPr>
          </w:p>
        </w:tc>
        <w:tc>
          <w:tcPr>
            <w:tcW w:w="35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13"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142240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35" w:right="419" w:bottom="1440" w:gutter="0" w:footer="0" w:header="0"/>
        </w:sectPr>
      </w:pPr>
    </w:p>
    <w:bookmarkStart w:id="1" w:name="page2"/>
    <w:bookmarkEnd w:id="1"/>
    <w:p>
      <w:pPr>
        <w:spacing w:after="0"/>
        <w:tabs>
          <w:tab w:leader="none" w:pos="10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5880"/>
                    </a:xfrm>
                    <a:prstGeom prst="rect">
                      <a:avLst/>
                    </a:prstGeom>
                    <a:noFill/>
                  </pic:spPr>
                </pic:pic>
              </a:graphicData>
            </a:graphic>
          </wp:anchor>
        </w:drawing>
        <w:t>ITEM 2.01</w:t>
      </w:r>
      <w:r>
        <w:rPr>
          <w:sz w:val="20"/>
          <w:szCs w:val="20"/>
          <w:color w:val="auto"/>
        </w:rPr>
        <w:tab/>
      </w:r>
      <w:r>
        <w:rPr>
          <w:rFonts w:ascii="Times New Roman" w:cs="Times New Roman" w:eastAsia="Times New Roman" w:hAnsi="Times New Roman"/>
          <w:sz w:val="17"/>
          <w:szCs w:val="17"/>
          <w:b w:val="1"/>
          <w:bCs w:val="1"/>
          <w:color w:val="auto"/>
        </w:rPr>
        <w:t>COMPLETION OF DISPOSITION OF ASSETS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On May 29, 2019, Marvell Technology Group Ltd. (the “Company”) entered into an Asset Purchase Agreement with NXP USA, Inc.</w:t>
      </w:r>
    </w:p>
    <w:p>
      <w:pPr>
        <w:spacing w:after="0" w:line="27" w:lineRule="exact"/>
        <w:rPr>
          <w:sz w:val="20"/>
          <w:szCs w:val="20"/>
          <w:color w:val="auto"/>
        </w:rPr>
      </w:pPr>
    </w:p>
    <w:p>
      <w:pPr>
        <w:ind w:right="240"/>
        <w:spacing w:after="0" w:line="254" w:lineRule="auto"/>
        <w:rPr>
          <w:sz w:val="20"/>
          <w:szCs w:val="20"/>
          <w:color w:val="auto"/>
        </w:rPr>
      </w:pPr>
      <w:r>
        <w:rPr>
          <w:rFonts w:ascii="Times New Roman" w:cs="Times New Roman" w:eastAsia="Times New Roman" w:hAnsi="Times New Roman"/>
          <w:sz w:val="18"/>
          <w:szCs w:val="18"/>
          <w:color w:val="auto"/>
        </w:rPr>
        <w:t>(the “Buyer ”) pursuant to which the Company agreed to sell to the Buyer certain assets related to its Wi-Fi connectivity business for $1.76 billion in cash at closing, subject to working capital and other customary adjustments (the “Transaction”). In addition, the Company agreed to license certain intellectual property to the Buyer in connection with the Transaction and to provide certain temporary transition services following completion of the Transaction. On December 6, 2019, the Company completed the Transaction.</w:t>
      </w:r>
    </w:p>
    <w:p>
      <w:pPr>
        <w:spacing w:after="0" w:line="290" w:lineRule="exact"/>
        <w:rPr>
          <w:sz w:val="20"/>
          <w:szCs w:val="20"/>
          <w:color w:val="auto"/>
        </w:rPr>
      </w:pPr>
    </w:p>
    <w:p>
      <w:pPr>
        <w:spacing w:after="0"/>
        <w:tabs>
          <w:tab w:leader="none" w:pos="10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7"/>
          <w:szCs w:val="17"/>
          <w:b w:val="1"/>
          <w:bCs w:val="1"/>
          <w:color w:val="auto"/>
        </w:rPr>
        <w:t>REGULATION FD DISCLOSURE</w:t>
      </w:r>
    </w:p>
    <w:p>
      <w:pPr>
        <w:spacing w:after="0" w:line="119" w:lineRule="exact"/>
        <w:rPr>
          <w:sz w:val="20"/>
          <w:szCs w:val="20"/>
          <w:color w:val="auto"/>
        </w:rPr>
      </w:pPr>
    </w:p>
    <w:p>
      <w:pPr>
        <w:ind w:firstLine="441"/>
        <w:spacing w:after="0" w:line="259" w:lineRule="auto"/>
        <w:rPr>
          <w:sz w:val="20"/>
          <w:szCs w:val="20"/>
          <w:color w:val="auto"/>
        </w:rPr>
      </w:pPr>
      <w:r>
        <w:rPr>
          <w:rFonts w:ascii="Times New Roman" w:cs="Times New Roman" w:eastAsia="Times New Roman" w:hAnsi="Times New Roman"/>
          <w:sz w:val="18"/>
          <w:szCs w:val="18"/>
          <w:i w:val="1"/>
          <w:iCs w:val="1"/>
          <w:color w:val="auto"/>
        </w:rPr>
        <w:t>The information in Item 7.01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7.01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2" w:lineRule="exact"/>
        <w:rPr>
          <w:sz w:val="20"/>
          <w:szCs w:val="20"/>
          <w:color w:val="auto"/>
        </w:rPr>
      </w:pPr>
    </w:p>
    <w:p>
      <w:pPr>
        <w:ind w:right="140" w:firstLine="441"/>
        <w:spacing w:after="0" w:line="282" w:lineRule="auto"/>
        <w:rPr>
          <w:sz w:val="20"/>
          <w:szCs w:val="20"/>
          <w:color w:val="auto"/>
        </w:rPr>
      </w:pPr>
      <w:r>
        <w:rPr>
          <w:rFonts w:ascii="Times New Roman" w:cs="Times New Roman" w:eastAsia="Times New Roman" w:hAnsi="Times New Roman"/>
          <w:sz w:val="18"/>
          <w:szCs w:val="18"/>
          <w:color w:val="auto"/>
        </w:rPr>
        <w:t>On December 6, 2019, the Company issued a press release updating its current quarter guidance to reflect the closing of the Transaction. A copy of the press release is furnished herewith as Exhibit 99.1.</w:t>
      </w:r>
    </w:p>
    <w:p>
      <w:pPr>
        <w:spacing w:after="0" w:line="266" w:lineRule="exact"/>
        <w:rPr>
          <w:sz w:val="20"/>
          <w:szCs w:val="20"/>
          <w:color w:val="auto"/>
        </w:rPr>
      </w:pPr>
    </w:p>
    <w:p>
      <w:pPr>
        <w:spacing w:after="0"/>
        <w:tabs>
          <w:tab w:leader="none" w:pos="10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19" w:lineRule="exact"/>
        <w:rPr>
          <w:sz w:val="20"/>
          <w:szCs w:val="20"/>
          <w:color w:val="auto"/>
        </w:rPr>
      </w:pPr>
    </w:p>
    <w:p>
      <w:pPr>
        <w:ind w:left="400" w:hanging="396"/>
        <w:spacing w:after="0"/>
        <w:tabs>
          <w:tab w:leader="none" w:pos="4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Pro Forma Financial Information.</w:t>
      </w:r>
    </w:p>
    <w:p>
      <w:pPr>
        <w:spacing w:after="0" w:line="227" w:lineRule="exact"/>
        <w:rPr>
          <w:sz w:val="20"/>
          <w:szCs w:val="20"/>
          <w:color w:val="auto"/>
        </w:rPr>
      </w:pPr>
    </w:p>
    <w:p>
      <w:pPr>
        <w:ind w:right="80" w:firstLine="441"/>
        <w:spacing w:after="0" w:line="282" w:lineRule="auto"/>
        <w:rPr>
          <w:sz w:val="20"/>
          <w:szCs w:val="20"/>
          <w:color w:val="auto"/>
        </w:rPr>
      </w:pPr>
      <w:r>
        <w:rPr>
          <w:rFonts w:ascii="Times New Roman" w:cs="Times New Roman" w:eastAsia="Times New Roman" w:hAnsi="Times New Roman"/>
          <w:sz w:val="18"/>
          <w:szCs w:val="18"/>
          <w:color w:val="auto"/>
        </w:rPr>
        <w:t>The pro forma financial information required to be filed pursuant to Item 9.01(b) of Form 8-K will be filed by amendment as soon as practicable, but in no event later than 4 business days from the transaction closing date.</w:t>
      </w:r>
    </w:p>
    <w:p>
      <w:pPr>
        <w:spacing w:after="0" w:line="268" w:lineRule="exact"/>
        <w:rPr>
          <w:sz w:val="20"/>
          <w:szCs w:val="20"/>
          <w:color w:val="auto"/>
        </w:rPr>
      </w:pPr>
    </w:p>
    <w:p>
      <w:pPr>
        <w:ind w:left="400" w:hanging="396"/>
        <w:spacing w:after="0"/>
        <w:tabs>
          <w:tab w:leader="none" w:pos="4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Exhibits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620" w:type="dxa"/>
            <w:vAlign w:val="bottom"/>
          </w:tcPr>
          <w:p>
            <w:pPr>
              <w:spacing w:after="0"/>
              <w:rPr>
                <w:sz w:val="13"/>
                <w:szCs w:val="13"/>
                <w:color w:val="auto"/>
              </w:rPr>
            </w:pPr>
          </w:p>
        </w:tc>
        <w:tc>
          <w:tcPr>
            <w:tcW w:w="2780" w:type="dxa"/>
            <w:vAlign w:val="bottom"/>
          </w:tcPr>
          <w:p>
            <w:pPr>
              <w:spacing w:after="0"/>
              <w:rPr>
                <w:sz w:val="13"/>
                <w:szCs w:val="13"/>
                <w:color w:val="auto"/>
              </w:rPr>
            </w:pPr>
          </w:p>
        </w:tc>
        <w:tc>
          <w:tcPr>
            <w:tcW w:w="5200" w:type="dxa"/>
            <w:vAlign w:val="bottom"/>
            <w:gridSpan w:val="3"/>
            <w:vMerge w:val="restart"/>
          </w:tcPr>
          <w:p>
            <w:pPr>
              <w:ind w:left="184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4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No.</w:t>
            </w:r>
          </w:p>
        </w:tc>
        <w:tc>
          <w:tcPr>
            <w:tcW w:w="620" w:type="dxa"/>
            <w:vAlign w:val="bottom"/>
          </w:tcPr>
          <w:p>
            <w:pPr>
              <w:spacing w:after="0"/>
              <w:rPr>
                <w:sz w:val="15"/>
                <w:szCs w:val="15"/>
                <w:color w:val="auto"/>
              </w:rPr>
            </w:pPr>
          </w:p>
        </w:tc>
        <w:tc>
          <w:tcPr>
            <w:tcW w:w="2780" w:type="dxa"/>
            <w:vAlign w:val="bottom"/>
          </w:tcPr>
          <w:p>
            <w:pPr>
              <w:spacing w:after="0"/>
              <w:rPr>
                <w:sz w:val="15"/>
                <w:szCs w:val="15"/>
                <w:color w:val="auto"/>
              </w:rPr>
            </w:pPr>
          </w:p>
        </w:tc>
        <w:tc>
          <w:tcPr>
            <w:tcW w:w="5200" w:type="dxa"/>
            <w:vAlign w:val="bottom"/>
            <w:gridSpan w:val="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440" w:type="dxa"/>
            <w:vAlign w:val="bottom"/>
            <w:tcBorders>
              <w:top w:val="single" w:sz="8" w:color="auto"/>
            </w:tcBorders>
          </w:tcPr>
          <w:p>
            <w:pPr>
              <w:ind w:left="40"/>
              <w:spacing w:after="0"/>
              <w:rPr>
                <w:sz w:val="20"/>
                <w:szCs w:val="20"/>
                <w:color w:val="auto"/>
              </w:rPr>
            </w:pPr>
            <w:r>
              <w:rPr>
                <w:rFonts w:ascii="Times New Roman" w:cs="Times New Roman" w:eastAsia="Times New Roman" w:hAnsi="Times New Roman"/>
                <w:sz w:val="18"/>
                <w:szCs w:val="18"/>
                <w:color w:val="auto"/>
              </w:rPr>
              <w:t>99.1</w:t>
            </w:r>
          </w:p>
        </w:tc>
        <w:tc>
          <w:tcPr>
            <w:tcW w:w="620" w:type="dxa"/>
            <w:vAlign w:val="bottom"/>
          </w:tcPr>
          <w:p>
            <w:pPr>
              <w:spacing w:after="0"/>
              <w:rPr>
                <w:sz w:val="24"/>
                <w:szCs w:val="24"/>
                <w:color w:val="auto"/>
              </w:rPr>
            </w:pPr>
          </w:p>
        </w:tc>
        <w:tc>
          <w:tcPr>
            <w:tcW w:w="2780" w:type="dxa"/>
            <w:vAlign w:val="bottom"/>
            <w:tcBorders>
              <w:bottom w:val="single" w:sz="8" w:color="0000EE"/>
            </w:tcBorders>
          </w:tcPr>
          <w:p>
            <w:pPr>
              <w:spacing w:after="0"/>
              <w:rPr>
                <w:rFonts w:ascii="Times New Roman" w:cs="Times New Roman" w:eastAsia="Times New Roman" w:hAnsi="Times New Roman"/>
                <w:sz w:val="18"/>
                <w:szCs w:val="18"/>
                <w:color w:val="0000EE"/>
                <w:w w:val="98"/>
              </w:rPr>
            </w:pPr>
            <w:hyperlink w:anchor="page4">
              <w:r>
                <w:rPr>
                  <w:rFonts w:ascii="Times New Roman" w:cs="Times New Roman" w:eastAsia="Times New Roman" w:hAnsi="Times New Roman"/>
                  <w:sz w:val="18"/>
                  <w:szCs w:val="18"/>
                  <w:color w:val="0000EE"/>
                  <w:w w:val="98"/>
                </w:rPr>
                <w:t>Press Release dated December 6, 2019</w:t>
              </w:r>
            </w:hyperlink>
          </w:p>
        </w:tc>
        <w:tc>
          <w:tcPr>
            <w:tcW w:w="1840" w:type="dxa"/>
            <w:vAlign w:val="bottom"/>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2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4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104</w:t>
            </w:r>
          </w:p>
        </w:tc>
        <w:tc>
          <w:tcPr>
            <w:tcW w:w="620" w:type="dxa"/>
            <w:vAlign w:val="bottom"/>
          </w:tcPr>
          <w:p>
            <w:pPr>
              <w:spacing w:after="0"/>
              <w:rPr>
                <w:sz w:val="24"/>
                <w:szCs w:val="24"/>
                <w:color w:val="auto"/>
              </w:rPr>
            </w:pPr>
          </w:p>
        </w:tc>
        <w:tc>
          <w:tcPr>
            <w:tcW w:w="7980" w:type="dxa"/>
            <w:vAlign w:val="bottom"/>
            <w:gridSpan w:val="4"/>
          </w:tcPr>
          <w:p>
            <w:pPr>
              <w:spacing w:after="0"/>
              <w:rPr>
                <w:sz w:val="20"/>
                <w:szCs w:val="20"/>
                <w:color w:val="auto"/>
              </w:rPr>
            </w:pPr>
            <w:r>
              <w:rPr>
                <w:rFonts w:ascii="Times New Roman" w:cs="Times New Roman" w:eastAsia="Times New Roman" w:hAnsi="Times New Roman"/>
                <w:sz w:val="18"/>
                <w:szCs w:val="18"/>
                <w:color w:val="auto"/>
                <w:w w:val="99"/>
              </w:rPr>
              <w:t>Cover Page Interactive Data File (the cover page XBRL tags are embedded within the Inline XBRL document)</w:t>
            </w:r>
          </w:p>
        </w:tc>
        <w:tc>
          <w:tcPr>
            <w:tcW w:w="0" w:type="dxa"/>
            <w:vAlign w:val="bottom"/>
          </w:tcPr>
          <w:p>
            <w:pPr>
              <w:spacing w:after="0"/>
              <w:rPr>
                <w:sz w:val="1"/>
                <w:szCs w:val="1"/>
                <w:color w:val="auto"/>
              </w:rPr>
            </w:pPr>
          </w:p>
        </w:tc>
      </w:tr>
    </w:tbl>
    <w:p>
      <w:pPr>
        <w:sectPr>
          <w:pgSz w:w="11900" w:h="16838" w:orient="portrait"/>
          <w:cols w:equalWidth="0" w:num="1">
            <w:col w:w="10980"/>
          </w:cols>
          <w:pgMar w:left="440" w:top="293" w:right="479" w:bottom="1440" w:gutter="0" w:footer="0" w:header="0"/>
        </w:sectPr>
      </w:pPr>
    </w:p>
    <w:bookmarkStart w:id="2" w:name="page3"/>
    <w:bookmarkEnd w:id="2"/>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55880"/>
                    </a:xfrm>
                    <a:prstGeom prst="rect">
                      <a:avLst/>
                    </a:prstGeom>
                    <a:noFill/>
                  </pic:spPr>
                </pic:pic>
              </a:graphicData>
            </a:graphic>
          </wp:anchor>
        </w:drawing>
        <w:t>SIGNATURES</w:t>
      </w:r>
    </w:p>
    <w:p>
      <w:pPr>
        <w:spacing w:after="0" w:line="229" w:lineRule="exact"/>
        <w:rPr>
          <w:sz w:val="20"/>
          <w:szCs w:val="20"/>
          <w:color w:val="auto"/>
        </w:rPr>
      </w:pPr>
    </w:p>
    <w:p>
      <w:pPr>
        <w:ind w:right="320" w:firstLine="441"/>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hereunto duly authorized.</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Dated: December 6, 2019</w:t>
            </w:r>
          </w:p>
        </w:tc>
        <w:tc>
          <w:tcPr>
            <w:tcW w:w="7320" w:type="dxa"/>
            <w:vAlign w:val="bottom"/>
            <w:gridSpan w:val="2"/>
          </w:tcPr>
          <w:p>
            <w:pPr>
              <w:ind w:left="186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tc>
      </w:tr>
      <w:tr>
        <w:trPr>
          <w:trHeight w:val="432"/>
        </w:trPr>
        <w:tc>
          <w:tcPr>
            <w:tcW w:w="3720" w:type="dxa"/>
            <w:vAlign w:val="bottom"/>
          </w:tcPr>
          <w:p>
            <w:pPr>
              <w:spacing w:after="0"/>
              <w:rPr>
                <w:sz w:val="24"/>
                <w:szCs w:val="24"/>
                <w:color w:val="auto"/>
              </w:rPr>
            </w:pPr>
          </w:p>
        </w:tc>
        <w:tc>
          <w:tcPr>
            <w:tcW w:w="2460" w:type="dxa"/>
            <w:vAlign w:val="bottom"/>
          </w:tcPr>
          <w:p>
            <w:pPr>
              <w:ind w:left="186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Mitchell Gaynor</w:t>
            </w:r>
          </w:p>
        </w:tc>
      </w:tr>
      <w:tr>
        <w:trPr>
          <w:trHeight w:val="205"/>
        </w:trPr>
        <w:tc>
          <w:tcPr>
            <w:tcW w:w="3720" w:type="dxa"/>
            <w:vAlign w:val="bottom"/>
          </w:tcPr>
          <w:p>
            <w:pPr>
              <w:spacing w:after="0"/>
              <w:rPr>
                <w:sz w:val="17"/>
                <w:szCs w:val="17"/>
                <w:color w:val="auto"/>
              </w:rPr>
            </w:pPr>
          </w:p>
        </w:tc>
        <w:tc>
          <w:tcPr>
            <w:tcW w:w="2460" w:type="dxa"/>
            <w:vAlign w:val="bottom"/>
          </w:tcPr>
          <w:p>
            <w:pPr>
              <w:ind w:left="186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Mitchell Gaynor</w:t>
            </w:r>
          </w:p>
        </w:tc>
      </w:tr>
      <w:tr>
        <w:trPr>
          <w:trHeight w:val="216"/>
        </w:trPr>
        <w:tc>
          <w:tcPr>
            <w:tcW w:w="3720" w:type="dxa"/>
            <w:vAlign w:val="bottom"/>
          </w:tcPr>
          <w:p>
            <w:pPr>
              <w:spacing w:after="0"/>
              <w:rPr>
                <w:sz w:val="18"/>
                <w:szCs w:val="18"/>
                <w:color w:val="auto"/>
              </w:rPr>
            </w:pPr>
          </w:p>
        </w:tc>
        <w:tc>
          <w:tcPr>
            <w:tcW w:w="2460" w:type="dxa"/>
            <w:vAlign w:val="bottom"/>
          </w:tcPr>
          <w:p>
            <w:pPr>
              <w:ind w:left="186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Chief</w:t>
            </w:r>
          </w:p>
        </w:tc>
      </w:tr>
      <w:tr>
        <w:trPr>
          <w:trHeight w:val="216"/>
        </w:trPr>
        <w:tc>
          <w:tcPr>
            <w:tcW w:w="372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Administration and Legal Officer</w:t>
            </w:r>
          </w:p>
        </w:tc>
      </w:tr>
      <w:tr>
        <w:trPr>
          <w:trHeight w:val="234"/>
        </w:trPr>
        <w:tc>
          <w:tcPr>
            <w:tcW w:w="372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and Secretary</w:t>
            </w:r>
          </w:p>
        </w:tc>
      </w:tr>
    </w:tbl>
    <w:p>
      <w:pPr>
        <w:sectPr>
          <w:pgSz w:w="11900" w:h="16838" w:orient="portrait"/>
          <w:cols w:equalWidth="0" w:num="1">
            <w:col w:w="11040"/>
          </w:cols>
          <w:pgMar w:left="440" w:top="293" w:right="41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174625</wp:posOffset>
            </wp:positionV>
            <wp:extent cx="2186940" cy="171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Completes Divestiture of Wi-Fi</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Connectivity Business to NXP</w:t>
      </w:r>
    </w:p>
    <w:p>
      <w:pPr>
        <w:spacing w:after="0" w:line="20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Updates Revenue Guidance to Reflect Recent Transactions</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SANTA CLARA, Calif. (December 6, 2019</w:t>
      </w:r>
      <w:r>
        <w:rPr>
          <w:rFonts w:ascii="Times New Roman" w:cs="Times New Roman" w:eastAsia="Times New Roman" w:hAnsi="Times New Roman"/>
          <w:sz w:val="18"/>
          <w:szCs w:val="18"/>
          <w:color w:val="auto"/>
        </w:rPr>
        <w:t>) – Marvell (NASDAQ: MRVL) today announced the completion of the sale of its Wi-Fi Connectivity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business to NXP (NASDAQ: NXPI). The divestiture encompasses Marvell’s Wi-Fi and Bluetooth technology portfolios and related assets.</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Updated Revenue Guidance</w:t>
      </w:r>
    </w:p>
    <w:p>
      <w:pPr>
        <w:spacing w:after="0" w:line="121" w:lineRule="exact"/>
        <w:rPr>
          <w:sz w:val="20"/>
          <w:szCs w:val="20"/>
          <w:color w:val="auto"/>
        </w:rPr>
      </w:pPr>
    </w:p>
    <w:p>
      <w:pPr>
        <w:ind w:right="260"/>
        <w:spacing w:after="0" w:line="266" w:lineRule="auto"/>
        <w:rPr>
          <w:sz w:val="20"/>
          <w:szCs w:val="20"/>
          <w:color w:val="auto"/>
        </w:rPr>
      </w:pPr>
      <w:r>
        <w:rPr>
          <w:rFonts w:ascii="Times New Roman" w:cs="Times New Roman" w:eastAsia="Times New Roman" w:hAnsi="Times New Roman"/>
          <w:sz w:val="18"/>
          <w:szCs w:val="18"/>
          <w:color w:val="auto"/>
        </w:rPr>
        <w:t>Marvell is updating its current quarter revenue guidance to reflect the Wi-Fi Connectivity business sale to NXP. The Company now anticipates fourth quarter FY20 revenue of $710 million +/- 3% vs. original guidance for $750 million +/- 3% as provided at the time of the third quarter earnings announcement on December 3, 2019.</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https://www.marvell.com</w:t>
      </w:r>
      <w:r>
        <w:rPr>
          <w:rFonts w:ascii="Times New Roman" w:cs="Times New Roman" w:eastAsia="Times New Roman" w:hAnsi="Times New Roman"/>
          <w:sz w:val="18"/>
          <w:szCs w:val="18"/>
          <w:color w:val="auto"/>
        </w:rPr>
        <w:t>.</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company may not realize the anticipated benefits of the acquisitions of Aquantia Corp. and the</w:t>
      </w:r>
    </w:p>
    <w:p>
      <w:pPr>
        <w:sectPr>
          <w:pgSz w:w="11900" w:h="16838" w:orient="portrait"/>
          <w:cols w:equalWidth="0" w:num="1">
            <w:col w:w="11020"/>
          </w:cols>
          <w:pgMar w:left="440" w:top="117" w:right="439" w:bottom="1440" w:gutter="0" w:footer="0" w:header="0"/>
        </w:sectPr>
      </w:pPr>
    </w:p>
    <w:bookmarkStart w:id="4" w:name="page5"/>
    <w:bookmarkEnd w:id="4"/>
    <w:p>
      <w:pPr>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Application Specific Integrated Circuit (ASIC) business of GLOBALFOUNDRIES and the divestiture of Marvell’s Wi-Fi Connectivity business to NXP (collectively, the “Transactions”); the effect of the consummation of the Transactions on the company’s business relationships, operating results, and business generally; potential difficulties in employee retention as a result of the Transactions; the ability of Marvell to successfully integrate operations and product lines related to the acquisitions; the ability of Marvell to implement its plans, forecasts, and other expectations with respect to the Transactions and realize the anticipated synergies and cost savings in the time frame anticipated or at all; the impact of international conflict and economic volatility in either domestic or foreign markets including risks related to trade conflicts, bans and tariffs; the risks associated with manufacturing and selling products and customers’ products outside of the United States; Marvell’s ability to define, design and develop products for the 5G market; Marvell’s ability to market its 5G products to Tier 1 infrastructure customers; the effects of transitioning to smaller geometry process technologies; the impact of any change in the income tax laws in jurisdictions where Marvell operates and the loss of any beneficial tax treatment that Marvell currently enjoys;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the impact and costs associated with changes in international financial and regulatory conditions;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risks associated with acquisition and consolidation activity in the semiconductor industry; the effects of any other potential acquisitions, divestitures or investments by Marvell; Marvell’s ability to protect its intellectual property; Marvell’s maintenance of an effective system of internal controls; severe financial hardship or bankruptcy of one or more of Marvell’s major customers; and other risks detailed in Marvell’s SEC filings from time to time. For other factors that could cause Marvell’s results to vary from expectations, please see the risk factors identified in Marvell’s Quarterly Report on Form 10-Q for the fiscal quarter ended November 2, 2019 as filed with the SEC on December 4, 2019, and other factors detailed from time to time in Marvell’s filings with the SEC. Marvell undertakes no obligation to revise or publicly update any forward-looking statements.</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further information,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sectPr>
      <w:pgSz w:w="11900" w:h="16838" w:orient="portrait"/>
      <w:cols w:equalWidth="0" w:num="1">
        <w:col w:w="11020"/>
      </w:cols>
      <w:pgMar w:left="440" w:top="27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Letter"/>
      <w:start w:val="2"/>
    </w:lvl>
  </w:abstractNum>
  <w:abstractNum w:abstractNumId="2">
    <w:nsid w:val="19495CFF"/>
    <w:multiLevelType w:val="hybridMultilevel"/>
    <w:lvl w:ilvl="0">
      <w:lvlJc w:val="left"/>
      <w:lvlText w:val="(%1)"/>
      <w:numFmt w:val="lowerLetter"/>
      <w:start w:val="4"/>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jpe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2019-12-28T01:07:32Z</dcterms:created>
  <dcterms:modified xsi:type="dcterms:W3CDTF">2019-12-28T01:07:32Z</dcterms:modified>
</cp:coreProperties>
</file>