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157480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191770</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8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184785</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13"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FORM 8-K/A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207645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79"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3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December 6, 2019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193675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36"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3"/>
          <w:szCs w:val="43"/>
          <w:b w:val="1"/>
          <w:bCs w:val="1"/>
          <w:color w:val="auto"/>
        </w:rPr>
        <w:t>MARVELL TECHNOLOGY GROUP LTD.</w:t>
      </w:r>
    </w:p>
    <w:p>
      <w:pPr>
        <w:spacing w:after="0" w:line="5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184785</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38" w:lineRule="exact"/>
        <w:rPr>
          <w:sz w:val="24"/>
          <w:szCs w:val="24"/>
          <w:color w:val="auto"/>
        </w:rPr>
      </w:pPr>
    </w:p>
    <w:tbl>
      <w:tblPr>
        <w:tblLayout w:type="fixed"/>
        <w:tblInd w:w="1040" w:type="dxa"/>
        <w:tblCellMar>
          <w:top w:w="0" w:type="dxa"/>
          <w:left w:w="0" w:type="dxa"/>
          <w:bottom w:w="0" w:type="dxa"/>
          <w:right w:w="0" w:type="dxa"/>
        </w:tblCellMar>
      </w:tblPr>
      <w:tr>
        <w:trPr>
          <w:trHeight w:val="214"/>
        </w:trPr>
        <w:tc>
          <w:tcPr>
            <w:tcW w:w="2100" w:type="dxa"/>
            <w:vAlign w:val="bottom"/>
          </w:tcPr>
          <w:p>
            <w:pPr>
              <w:jc w:val="center"/>
              <w:ind w:right="382"/>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492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000-30877</w:t>
            </w:r>
          </w:p>
        </w:tc>
        <w:tc>
          <w:tcPr>
            <w:tcW w:w="1760" w:type="dxa"/>
            <w:vAlign w:val="bottom"/>
          </w:tcPr>
          <w:p>
            <w:pPr>
              <w:jc w:val="center"/>
              <w:ind w:left="562"/>
              <w:spacing w:after="0"/>
              <w:rPr>
                <w:sz w:val="20"/>
                <w:szCs w:val="20"/>
                <w:color w:val="auto"/>
              </w:rPr>
            </w:pPr>
            <w:r>
              <w:rPr>
                <w:rFonts w:ascii="Times New Roman" w:cs="Times New Roman" w:eastAsia="Times New Roman" w:hAnsi="Times New Roman"/>
                <w:sz w:val="18"/>
                <w:szCs w:val="18"/>
                <w:b w:val="1"/>
                <w:bCs w:val="1"/>
                <w:color w:val="auto"/>
              </w:rPr>
              <w:t>77-0481679</w:t>
            </w:r>
          </w:p>
        </w:tc>
      </w:tr>
      <w:tr>
        <w:trPr>
          <w:trHeight w:val="149"/>
        </w:trPr>
        <w:tc>
          <w:tcPr>
            <w:tcW w:w="2100" w:type="dxa"/>
            <w:vAlign w:val="bottom"/>
          </w:tcPr>
          <w:p>
            <w:pPr>
              <w:jc w:val="center"/>
              <w:ind w:right="382"/>
              <w:spacing w:after="0" w:line="149" w:lineRule="exact"/>
              <w:rPr>
                <w:sz w:val="20"/>
                <w:szCs w:val="20"/>
                <w:color w:val="auto"/>
              </w:rPr>
            </w:pPr>
            <w:r>
              <w:rPr>
                <w:rFonts w:ascii="Times New Roman" w:cs="Times New Roman" w:eastAsia="Times New Roman" w:hAnsi="Times New Roman"/>
                <w:sz w:val="14"/>
                <w:szCs w:val="14"/>
                <w:b w:val="1"/>
                <w:bCs w:val="1"/>
                <w:color w:val="auto"/>
              </w:rPr>
              <w:t>(State or other jurisdiction</w:t>
            </w:r>
          </w:p>
        </w:tc>
        <w:tc>
          <w:tcPr>
            <w:tcW w:w="492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(Commission</w:t>
            </w:r>
          </w:p>
        </w:tc>
        <w:tc>
          <w:tcPr>
            <w:tcW w:w="1760" w:type="dxa"/>
            <w:vAlign w:val="bottom"/>
          </w:tcPr>
          <w:p>
            <w:pPr>
              <w:jc w:val="center"/>
              <w:ind w:left="562"/>
              <w:spacing w:after="0" w:line="149" w:lineRule="exact"/>
              <w:rPr>
                <w:sz w:val="20"/>
                <w:szCs w:val="20"/>
                <w:color w:val="auto"/>
              </w:rPr>
            </w:pPr>
            <w:r>
              <w:rPr>
                <w:rFonts w:ascii="Times New Roman" w:cs="Times New Roman" w:eastAsia="Times New Roman" w:hAnsi="Times New Roman"/>
                <w:sz w:val="14"/>
                <w:szCs w:val="14"/>
                <w:b w:val="1"/>
                <w:bCs w:val="1"/>
                <w:color w:val="auto"/>
              </w:rPr>
              <w:t>(IRS Employer</w:t>
            </w:r>
          </w:p>
        </w:tc>
      </w:tr>
      <w:tr>
        <w:trPr>
          <w:trHeight w:val="190"/>
        </w:trPr>
        <w:tc>
          <w:tcPr>
            <w:tcW w:w="2100" w:type="dxa"/>
            <w:vAlign w:val="bottom"/>
          </w:tcPr>
          <w:p>
            <w:pPr>
              <w:jc w:val="center"/>
              <w:ind w:right="382"/>
              <w:spacing w:after="0"/>
              <w:rPr>
                <w:sz w:val="20"/>
                <w:szCs w:val="20"/>
                <w:color w:val="auto"/>
              </w:rPr>
            </w:pPr>
            <w:r>
              <w:rPr>
                <w:rFonts w:ascii="Times New Roman" w:cs="Times New Roman" w:eastAsia="Times New Roman" w:hAnsi="Times New Roman"/>
                <w:sz w:val="14"/>
                <w:szCs w:val="14"/>
                <w:b w:val="1"/>
                <w:bCs w:val="1"/>
                <w:color w:val="auto"/>
              </w:rPr>
              <w:t>of incorporation)</w:t>
            </w:r>
          </w:p>
        </w:tc>
        <w:tc>
          <w:tcPr>
            <w:tcW w:w="49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File No.)</w:t>
            </w:r>
          </w:p>
        </w:tc>
        <w:tc>
          <w:tcPr>
            <w:tcW w:w="1760" w:type="dxa"/>
            <w:vAlign w:val="bottom"/>
          </w:tcPr>
          <w:p>
            <w:pPr>
              <w:jc w:val="center"/>
              <w:ind w:left="562"/>
              <w:spacing w:after="0"/>
              <w:rPr>
                <w:sz w:val="20"/>
                <w:szCs w:val="20"/>
                <w:color w:val="auto"/>
              </w:rPr>
            </w:pPr>
            <w:r>
              <w:rPr>
                <w:rFonts w:ascii="Times New Roman" w:cs="Times New Roman" w:eastAsia="Times New Roman" w:hAnsi="Times New Roman"/>
                <w:sz w:val="14"/>
                <w:szCs w:val="14"/>
                <w:b w:val="1"/>
                <w:bCs w:val="1"/>
                <w:color w:val="auto"/>
              </w:rPr>
              <w:t>Identification No.)</w:t>
            </w:r>
          </w:p>
        </w:tc>
      </w:tr>
      <w:tr>
        <w:trPr>
          <w:trHeight w:val="366"/>
        </w:trPr>
        <w:tc>
          <w:tcPr>
            <w:tcW w:w="2100" w:type="dxa"/>
            <w:vAlign w:val="bottom"/>
          </w:tcPr>
          <w:p>
            <w:pPr>
              <w:spacing w:after="0"/>
              <w:rPr>
                <w:sz w:val="24"/>
                <w:szCs w:val="24"/>
                <w:color w:val="auto"/>
              </w:rPr>
            </w:pPr>
          </w:p>
        </w:tc>
        <w:tc>
          <w:tcPr>
            <w:tcW w:w="4920" w:type="dxa"/>
            <w:vAlign w:val="bottom"/>
          </w:tcPr>
          <w:p>
            <w:pPr>
              <w:jc w:val="center"/>
              <w:ind w:right="97"/>
              <w:spacing w:after="0"/>
              <w:rPr>
                <w:sz w:val="20"/>
                <w:szCs w:val="20"/>
                <w:color w:val="auto"/>
              </w:rPr>
            </w:pPr>
            <w:r>
              <w:rPr>
                <w:rFonts w:ascii="Times New Roman" w:cs="Times New Roman" w:eastAsia="Times New Roman" w:hAnsi="Times New Roman"/>
                <w:sz w:val="18"/>
                <w:szCs w:val="18"/>
                <w:b w:val="1"/>
                <w:bCs w:val="1"/>
                <w:color w:val="auto"/>
                <w:w w:val="99"/>
              </w:rPr>
              <w:t>Canon’s Court</w:t>
            </w:r>
          </w:p>
        </w:tc>
        <w:tc>
          <w:tcPr>
            <w:tcW w:w="1760" w:type="dxa"/>
            <w:vAlign w:val="bottom"/>
          </w:tcPr>
          <w:p>
            <w:pPr>
              <w:spacing w:after="0"/>
              <w:rPr>
                <w:sz w:val="24"/>
                <w:szCs w:val="24"/>
                <w:color w:val="auto"/>
              </w:rPr>
            </w:pPr>
          </w:p>
        </w:tc>
      </w:tr>
      <w:tr>
        <w:trPr>
          <w:trHeight w:val="216"/>
        </w:trPr>
        <w:tc>
          <w:tcPr>
            <w:tcW w:w="2100" w:type="dxa"/>
            <w:vAlign w:val="bottom"/>
          </w:tcPr>
          <w:p>
            <w:pPr>
              <w:spacing w:after="0"/>
              <w:rPr>
                <w:sz w:val="18"/>
                <w:szCs w:val="18"/>
                <w:color w:val="auto"/>
              </w:rPr>
            </w:pPr>
          </w:p>
        </w:tc>
        <w:tc>
          <w:tcPr>
            <w:tcW w:w="4920" w:type="dxa"/>
            <w:vAlign w:val="bottom"/>
          </w:tcPr>
          <w:p>
            <w:pPr>
              <w:jc w:val="center"/>
              <w:ind w:right="97"/>
              <w:spacing w:after="0"/>
              <w:rPr>
                <w:sz w:val="20"/>
                <w:szCs w:val="20"/>
                <w:color w:val="auto"/>
              </w:rPr>
            </w:pPr>
            <w:r>
              <w:rPr>
                <w:rFonts w:ascii="Times New Roman" w:cs="Times New Roman" w:eastAsia="Times New Roman" w:hAnsi="Times New Roman"/>
                <w:sz w:val="18"/>
                <w:szCs w:val="18"/>
                <w:b w:val="1"/>
                <w:bCs w:val="1"/>
                <w:color w:val="auto"/>
                <w:w w:val="98"/>
              </w:rPr>
              <w:t>22 Victoria Street</w:t>
            </w:r>
          </w:p>
        </w:tc>
        <w:tc>
          <w:tcPr>
            <w:tcW w:w="1760" w:type="dxa"/>
            <w:vAlign w:val="bottom"/>
          </w:tcPr>
          <w:p>
            <w:pPr>
              <w:spacing w:after="0"/>
              <w:rPr>
                <w:sz w:val="18"/>
                <w:szCs w:val="18"/>
                <w:color w:val="auto"/>
              </w:rPr>
            </w:pPr>
          </w:p>
        </w:tc>
      </w:tr>
      <w:tr>
        <w:trPr>
          <w:trHeight w:val="216"/>
        </w:trPr>
        <w:tc>
          <w:tcPr>
            <w:tcW w:w="2100" w:type="dxa"/>
            <w:vAlign w:val="bottom"/>
          </w:tcPr>
          <w:p>
            <w:pPr>
              <w:spacing w:after="0"/>
              <w:rPr>
                <w:sz w:val="18"/>
                <w:szCs w:val="18"/>
                <w:color w:val="auto"/>
              </w:rPr>
            </w:pPr>
          </w:p>
        </w:tc>
        <w:tc>
          <w:tcPr>
            <w:tcW w:w="4920" w:type="dxa"/>
            <w:vAlign w:val="bottom"/>
          </w:tcPr>
          <w:p>
            <w:pPr>
              <w:jc w:val="center"/>
              <w:ind w:right="97"/>
              <w:spacing w:after="0"/>
              <w:rPr>
                <w:sz w:val="20"/>
                <w:szCs w:val="20"/>
                <w:color w:val="auto"/>
              </w:rPr>
            </w:pPr>
            <w:r>
              <w:rPr>
                <w:rFonts w:ascii="Times New Roman" w:cs="Times New Roman" w:eastAsia="Times New Roman" w:hAnsi="Times New Roman"/>
                <w:sz w:val="18"/>
                <w:szCs w:val="18"/>
                <w:b w:val="1"/>
                <w:bCs w:val="1"/>
                <w:color w:val="auto"/>
                <w:w w:val="99"/>
              </w:rPr>
              <w:t>Hamilton HM 12</w:t>
            </w:r>
          </w:p>
        </w:tc>
        <w:tc>
          <w:tcPr>
            <w:tcW w:w="1760" w:type="dxa"/>
            <w:vAlign w:val="bottom"/>
          </w:tcPr>
          <w:p>
            <w:pPr>
              <w:spacing w:after="0"/>
              <w:rPr>
                <w:sz w:val="18"/>
                <w:szCs w:val="18"/>
                <w:color w:val="auto"/>
              </w:rPr>
            </w:pPr>
          </w:p>
        </w:tc>
      </w:tr>
      <w:tr>
        <w:trPr>
          <w:trHeight w:val="214"/>
        </w:trPr>
        <w:tc>
          <w:tcPr>
            <w:tcW w:w="2100" w:type="dxa"/>
            <w:vAlign w:val="bottom"/>
          </w:tcPr>
          <w:p>
            <w:pPr>
              <w:spacing w:after="0"/>
              <w:rPr>
                <w:sz w:val="18"/>
                <w:szCs w:val="18"/>
                <w:color w:val="auto"/>
              </w:rPr>
            </w:pPr>
          </w:p>
        </w:tc>
        <w:tc>
          <w:tcPr>
            <w:tcW w:w="4920" w:type="dxa"/>
            <w:vAlign w:val="bottom"/>
          </w:tcPr>
          <w:p>
            <w:pPr>
              <w:jc w:val="center"/>
              <w:ind w:right="77"/>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1760" w:type="dxa"/>
            <w:vAlign w:val="bottom"/>
          </w:tcPr>
          <w:p>
            <w:pPr>
              <w:spacing w:after="0"/>
              <w:rPr>
                <w:sz w:val="18"/>
                <w:szCs w:val="18"/>
                <w:color w:val="auto"/>
              </w:rPr>
            </w:pPr>
          </w:p>
        </w:tc>
      </w:tr>
      <w:tr>
        <w:trPr>
          <w:trHeight w:val="190"/>
        </w:trPr>
        <w:tc>
          <w:tcPr>
            <w:tcW w:w="2100" w:type="dxa"/>
            <w:vAlign w:val="bottom"/>
          </w:tcPr>
          <w:p>
            <w:pPr>
              <w:spacing w:after="0"/>
              <w:rPr>
                <w:sz w:val="16"/>
                <w:szCs w:val="16"/>
                <w:color w:val="auto"/>
              </w:rPr>
            </w:pPr>
          </w:p>
        </w:tc>
        <w:tc>
          <w:tcPr>
            <w:tcW w:w="4920" w:type="dxa"/>
            <w:vAlign w:val="bottom"/>
          </w:tcPr>
          <w:p>
            <w:pPr>
              <w:jc w:val="center"/>
              <w:ind w:right="97"/>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tc>
        <w:tc>
          <w:tcPr>
            <w:tcW w:w="1760" w:type="dxa"/>
            <w:vAlign w:val="bottom"/>
          </w:tcPr>
          <w:p>
            <w:pPr>
              <w:spacing w:after="0"/>
              <w:rPr>
                <w:sz w:val="16"/>
                <w:szCs w:val="16"/>
                <w:color w:val="auto"/>
              </w:rPr>
            </w:pPr>
          </w:p>
        </w:tc>
      </w:tr>
      <w:tr>
        <w:trPr>
          <w:trHeight w:val="350"/>
        </w:trPr>
        <w:tc>
          <w:tcPr>
            <w:tcW w:w="2100" w:type="dxa"/>
            <w:vAlign w:val="bottom"/>
          </w:tcPr>
          <w:p>
            <w:pPr>
              <w:spacing w:after="0"/>
              <w:rPr>
                <w:sz w:val="24"/>
                <w:szCs w:val="24"/>
                <w:color w:val="auto"/>
              </w:rPr>
            </w:pPr>
          </w:p>
        </w:tc>
        <w:tc>
          <w:tcPr>
            <w:tcW w:w="4920" w:type="dxa"/>
            <w:vAlign w:val="bottom"/>
          </w:tcPr>
          <w:p>
            <w:pPr>
              <w:jc w:val="center"/>
              <w:ind w:right="77"/>
              <w:spacing w:after="0"/>
              <w:rPr>
                <w:sz w:val="20"/>
                <w:szCs w:val="20"/>
                <w:color w:val="auto"/>
              </w:rPr>
            </w:pPr>
            <w:r>
              <w:rPr>
                <w:rFonts w:ascii="Times New Roman" w:cs="Times New Roman" w:eastAsia="Times New Roman" w:hAnsi="Times New Roman"/>
                <w:sz w:val="18"/>
                <w:szCs w:val="18"/>
                <w:b w:val="1"/>
                <w:bCs w:val="1"/>
                <w:color w:val="auto"/>
                <w:w w:val="99"/>
              </w:rPr>
              <w:t>(441) 296-6395</w:t>
            </w:r>
          </w:p>
        </w:tc>
        <w:tc>
          <w:tcPr>
            <w:tcW w:w="1760" w:type="dxa"/>
            <w:vAlign w:val="bottom"/>
          </w:tcPr>
          <w:p>
            <w:pPr>
              <w:spacing w:after="0"/>
              <w:rPr>
                <w:sz w:val="24"/>
                <w:szCs w:val="24"/>
                <w:color w:val="auto"/>
              </w:rPr>
            </w:pPr>
          </w:p>
        </w:tc>
      </w:tr>
      <w:tr>
        <w:trPr>
          <w:trHeight w:val="190"/>
        </w:trPr>
        <w:tc>
          <w:tcPr>
            <w:tcW w:w="2100" w:type="dxa"/>
            <w:vAlign w:val="bottom"/>
          </w:tcPr>
          <w:p>
            <w:pPr>
              <w:spacing w:after="0"/>
              <w:rPr>
                <w:sz w:val="16"/>
                <w:szCs w:val="16"/>
                <w:color w:val="auto"/>
              </w:rPr>
            </w:pPr>
          </w:p>
        </w:tc>
        <w:tc>
          <w:tcPr>
            <w:tcW w:w="4920" w:type="dxa"/>
            <w:vAlign w:val="bottom"/>
          </w:tcPr>
          <w:p>
            <w:pPr>
              <w:jc w:val="center"/>
              <w:ind w:right="97"/>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tc>
        <w:tc>
          <w:tcPr>
            <w:tcW w:w="1760" w:type="dxa"/>
            <w:vAlign w:val="bottom"/>
          </w:tcPr>
          <w:p>
            <w:pPr>
              <w:spacing w:after="0"/>
              <w:rPr>
                <w:sz w:val="16"/>
                <w:szCs w:val="16"/>
                <w:color w:val="auto"/>
              </w:rPr>
            </w:pPr>
          </w:p>
        </w:tc>
      </w:tr>
      <w:tr>
        <w:trPr>
          <w:trHeight w:val="350"/>
        </w:trPr>
        <w:tc>
          <w:tcPr>
            <w:tcW w:w="2100" w:type="dxa"/>
            <w:vAlign w:val="bottom"/>
          </w:tcPr>
          <w:p>
            <w:pPr>
              <w:spacing w:after="0"/>
              <w:rPr>
                <w:sz w:val="24"/>
                <w:szCs w:val="24"/>
                <w:color w:val="auto"/>
              </w:rPr>
            </w:pPr>
          </w:p>
        </w:tc>
        <w:tc>
          <w:tcPr>
            <w:tcW w:w="4920" w:type="dxa"/>
            <w:vAlign w:val="bottom"/>
          </w:tcPr>
          <w:p>
            <w:pPr>
              <w:jc w:val="center"/>
              <w:ind w:right="97"/>
              <w:spacing w:after="0"/>
              <w:rPr>
                <w:sz w:val="20"/>
                <w:szCs w:val="20"/>
                <w:color w:val="auto"/>
              </w:rPr>
            </w:pPr>
            <w:r>
              <w:rPr>
                <w:rFonts w:ascii="Times New Roman" w:cs="Times New Roman" w:eastAsia="Times New Roman" w:hAnsi="Times New Roman"/>
                <w:sz w:val="18"/>
                <w:szCs w:val="18"/>
                <w:b w:val="1"/>
                <w:bCs w:val="1"/>
                <w:color w:val="auto"/>
                <w:w w:val="96"/>
              </w:rPr>
              <w:t>N/A</w:t>
            </w:r>
          </w:p>
        </w:tc>
        <w:tc>
          <w:tcPr>
            <w:tcW w:w="1760" w:type="dxa"/>
            <w:vAlign w:val="bottom"/>
          </w:tcPr>
          <w:p>
            <w:pPr>
              <w:spacing w:after="0"/>
              <w:rPr>
                <w:sz w:val="24"/>
                <w:szCs w:val="24"/>
                <w:color w:val="auto"/>
              </w:rPr>
            </w:pPr>
          </w:p>
        </w:tc>
      </w:tr>
      <w:tr>
        <w:trPr>
          <w:trHeight w:val="190"/>
        </w:trPr>
        <w:tc>
          <w:tcPr>
            <w:tcW w:w="2100" w:type="dxa"/>
            <w:vAlign w:val="bottom"/>
          </w:tcPr>
          <w:p>
            <w:pPr>
              <w:spacing w:after="0"/>
              <w:rPr>
                <w:sz w:val="16"/>
                <w:szCs w:val="16"/>
                <w:color w:val="auto"/>
              </w:rPr>
            </w:pPr>
          </w:p>
        </w:tc>
        <w:tc>
          <w:tcPr>
            <w:tcW w:w="4920" w:type="dxa"/>
            <w:vAlign w:val="bottom"/>
          </w:tcPr>
          <w:p>
            <w:pPr>
              <w:jc w:val="center"/>
              <w:ind w:right="77"/>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tc>
        <w:tc>
          <w:tcPr>
            <w:tcW w:w="1760" w:type="dxa"/>
            <w:vAlign w:val="bottom"/>
          </w:tcPr>
          <w:p>
            <w:pPr>
              <w:spacing w:after="0"/>
              <w:rPr>
                <w:sz w:val="16"/>
                <w:szCs w:val="16"/>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177800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31" w:lineRule="exact"/>
        <w:rPr>
          <w:sz w:val="24"/>
          <w:szCs w:val="24"/>
          <w:color w:val="auto"/>
        </w:rPr>
      </w:pPr>
    </w:p>
    <w:p>
      <w:pPr>
        <w:ind w:right="42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54"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17"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17"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17"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8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179"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720" w:type="dxa"/>
            <w:vAlign w:val="bottom"/>
            <w:vMerge w:val="restart"/>
          </w:tcPr>
          <w:p>
            <w:pPr>
              <w:jc w:val="center"/>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60" w:type="dxa"/>
            <w:vAlign w:val="bottom"/>
          </w:tcPr>
          <w:p>
            <w:pPr>
              <w:spacing w:after="0"/>
              <w:rPr>
                <w:sz w:val="13"/>
                <w:szCs w:val="13"/>
                <w:color w:val="auto"/>
              </w:rPr>
            </w:pPr>
          </w:p>
        </w:tc>
        <w:tc>
          <w:tcPr>
            <w:tcW w:w="36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100" w:type="dxa"/>
            <w:vAlign w:val="bottom"/>
          </w:tcPr>
          <w:p>
            <w:pPr>
              <w:spacing w:after="0"/>
              <w:rPr>
                <w:sz w:val="13"/>
                <w:szCs w:val="13"/>
                <w:color w:val="auto"/>
              </w:rPr>
            </w:pPr>
          </w:p>
        </w:tc>
        <w:tc>
          <w:tcPr>
            <w:tcW w:w="35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73"/>
        </w:trPr>
        <w:tc>
          <w:tcPr>
            <w:tcW w:w="3720" w:type="dxa"/>
            <w:vAlign w:val="bottom"/>
            <w:tcBorders>
              <w:bottom w:val="single" w:sz="8" w:color="auto"/>
            </w:tcBorders>
            <w:vMerge w:val="continue"/>
          </w:tcPr>
          <w:p>
            <w:pPr>
              <w:spacing w:after="0"/>
              <w:rPr>
                <w:sz w:val="15"/>
                <w:szCs w:val="15"/>
                <w:color w:val="auto"/>
              </w:rPr>
            </w:pPr>
          </w:p>
        </w:tc>
        <w:tc>
          <w:tcPr>
            <w:tcW w:w="60" w:type="dxa"/>
            <w:vAlign w:val="bottom"/>
          </w:tcPr>
          <w:p>
            <w:pPr>
              <w:spacing w:after="0"/>
              <w:rPr>
                <w:sz w:val="15"/>
                <w:szCs w:val="15"/>
                <w:color w:val="auto"/>
              </w:rPr>
            </w:pPr>
          </w:p>
        </w:tc>
        <w:tc>
          <w:tcPr>
            <w:tcW w:w="36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Symbols(s)</w:t>
            </w:r>
          </w:p>
        </w:tc>
        <w:tc>
          <w:tcPr>
            <w:tcW w:w="100" w:type="dxa"/>
            <w:vAlign w:val="bottom"/>
          </w:tcPr>
          <w:p>
            <w:pPr>
              <w:spacing w:after="0"/>
              <w:rPr>
                <w:sz w:val="15"/>
                <w:szCs w:val="15"/>
                <w:color w:val="auto"/>
              </w:rPr>
            </w:pPr>
          </w:p>
        </w:tc>
        <w:tc>
          <w:tcPr>
            <w:tcW w:w="35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32"/>
        </w:trPr>
        <w:tc>
          <w:tcPr>
            <w:tcW w:w="372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Common Shares</w:t>
            </w:r>
          </w:p>
        </w:tc>
        <w:tc>
          <w:tcPr>
            <w:tcW w:w="60" w:type="dxa"/>
            <w:vAlign w:val="bottom"/>
          </w:tcPr>
          <w:p>
            <w:pPr>
              <w:spacing w:after="0"/>
              <w:rPr>
                <w:sz w:val="20"/>
                <w:szCs w:val="20"/>
                <w:color w:val="auto"/>
              </w:rPr>
            </w:pPr>
          </w:p>
        </w:tc>
        <w:tc>
          <w:tcPr>
            <w:tcW w:w="362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MRVL</w:t>
            </w:r>
          </w:p>
        </w:tc>
        <w:tc>
          <w:tcPr>
            <w:tcW w:w="100" w:type="dxa"/>
            <w:vAlign w:val="bottom"/>
          </w:tcPr>
          <w:p>
            <w:pPr>
              <w:spacing w:after="0"/>
              <w:rPr>
                <w:sz w:val="20"/>
                <w:szCs w:val="20"/>
                <w:color w:val="auto"/>
              </w:rPr>
            </w:pPr>
          </w:p>
        </w:tc>
        <w:tc>
          <w:tcPr>
            <w:tcW w:w="352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rPr>
              <w:t>The Nasdaq Stock Market, LLC</w:t>
            </w:r>
          </w:p>
        </w:tc>
        <w:tc>
          <w:tcPr>
            <w:tcW w:w="0" w:type="dxa"/>
            <w:vAlign w:val="bottom"/>
          </w:tcPr>
          <w:p>
            <w:pPr>
              <w:spacing w:after="0"/>
              <w:rPr>
                <w:sz w:val="1"/>
                <w:szCs w:val="1"/>
                <w:color w:val="auto"/>
              </w:rPr>
            </w:pPr>
          </w:p>
        </w:tc>
      </w:tr>
    </w:tbl>
    <w:p>
      <w:pPr>
        <w:spacing w:after="0" w:line="135" w:lineRule="exact"/>
        <w:rPr>
          <w:sz w:val="24"/>
          <w:szCs w:val="24"/>
          <w:color w:val="auto"/>
        </w:rPr>
      </w:pPr>
    </w:p>
    <w:p>
      <w:pPr>
        <w:ind w:right="32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93"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27"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133985</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040"/>
          </w:cols>
          <w:pgMar w:left="440" w:top="335" w:right="419"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58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55880"/>
                    </a:xfrm>
                    <a:prstGeom prst="rect">
                      <a:avLst/>
                    </a:prstGeom>
                    <a:noFill/>
                  </pic:spPr>
                </pic:pic>
              </a:graphicData>
            </a:graphic>
          </wp:anchor>
        </w:drawing>
        <w:t>Explanatory Note</w:t>
      </w:r>
    </w:p>
    <w:p>
      <w:pPr>
        <w:spacing w:after="0" w:line="121"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On December 6, 2019, Marvell Technology Group Ltd. (the “Company”), filed a Current Report on Form 8-K (the “Original 8-K”) disclosing, among other things, pursuant to Item 2.01 of Form 8-K that the Company had completed its divestiture pursuant to which it sold to NXP certain assets related to its Wi-Fi connectivity business.</w:t>
      </w:r>
    </w:p>
    <w:p>
      <w:pPr>
        <w:spacing w:after="0" w:line="176" w:lineRule="exact"/>
        <w:rPr>
          <w:sz w:val="20"/>
          <w:szCs w:val="20"/>
          <w:color w:val="auto"/>
        </w:rPr>
      </w:pPr>
    </w:p>
    <w:p>
      <w:pPr>
        <w:ind w:right="60"/>
        <w:spacing w:after="0" w:line="266" w:lineRule="auto"/>
        <w:rPr>
          <w:sz w:val="20"/>
          <w:szCs w:val="20"/>
          <w:color w:val="auto"/>
        </w:rPr>
      </w:pPr>
      <w:r>
        <w:rPr>
          <w:rFonts w:ascii="Times New Roman" w:cs="Times New Roman" w:eastAsia="Times New Roman" w:hAnsi="Times New Roman"/>
          <w:sz w:val="18"/>
          <w:szCs w:val="18"/>
          <w:color w:val="auto"/>
        </w:rPr>
        <w:t>This Amendment No. 1 to the Original 8-K (this “Amendment”) is being filed for the purpose of satisfying the Company’s undertaking to file the pro forma financial information required by Item 9.01 of Form 8-K, and this Amendment should be read in conjunction with the Original 8-K. Except as set forth herein, no modifications have been made to information contained in the Original 8-K.</w:t>
      </w:r>
    </w:p>
    <w:p>
      <w:pPr>
        <w:spacing w:after="0" w:line="280" w:lineRule="exact"/>
        <w:rPr>
          <w:sz w:val="20"/>
          <w:szCs w:val="20"/>
          <w:color w:val="auto"/>
        </w:rPr>
      </w:pPr>
    </w:p>
    <w:p>
      <w:pPr>
        <w:spacing w:after="0"/>
        <w:tabs>
          <w:tab w:leader="none" w:pos="1080"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7"/>
          <w:szCs w:val="17"/>
          <w:b w:val="1"/>
          <w:bCs w:val="1"/>
          <w:color w:val="auto"/>
        </w:rPr>
        <w:t>Financial Statements and Exhibits.</w:t>
      </w:r>
    </w:p>
    <w:p>
      <w:pPr>
        <w:spacing w:after="0" w:line="121" w:lineRule="exact"/>
        <w:rPr>
          <w:sz w:val="20"/>
          <w:szCs w:val="20"/>
          <w:color w:val="auto"/>
        </w:rPr>
      </w:pPr>
    </w:p>
    <w:p>
      <w:pPr>
        <w:ind w:left="440" w:hanging="436"/>
        <w:spacing w:after="0"/>
        <w:tabs>
          <w:tab w:leader="none" w:pos="44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 Forma Financial Information.</w:t>
      </w:r>
    </w:p>
    <w:p>
      <w:pPr>
        <w:spacing w:after="0" w:line="117" w:lineRule="exact"/>
        <w:rPr>
          <w:rFonts w:ascii="Times New Roman" w:cs="Times New Roman" w:eastAsia="Times New Roman" w:hAnsi="Times New Roman"/>
          <w:sz w:val="18"/>
          <w:szCs w:val="18"/>
          <w:color w:val="auto"/>
        </w:rPr>
      </w:pPr>
    </w:p>
    <w:p>
      <w:pPr>
        <w:ind w:left="440" w:right="40"/>
        <w:spacing w:after="0" w:line="282"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Unaudited pro forma condensed consolidated financial information as of November 2, 2019 and for the nine months ended November 2, 2019 and the fiscal year ended February 2, 2019 is attached hereto as Exhibit 99.1.</w:t>
      </w:r>
    </w:p>
    <w:p>
      <w:pPr>
        <w:spacing w:after="0" w:line="54" w:lineRule="exact"/>
        <w:rPr>
          <w:sz w:val="20"/>
          <w:szCs w:val="20"/>
          <w:color w:val="auto"/>
        </w:rPr>
      </w:pPr>
    </w:p>
    <w:p>
      <w:pPr>
        <w:ind w:left="440" w:hanging="436"/>
        <w:spacing w:after="0"/>
        <w:tabs>
          <w:tab w:leader="none" w:pos="4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Exhibits.</w:t>
      </w: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80" w:type="dxa"/>
            <w:vAlign w:val="bottom"/>
            <w:gridSpan w:val="3"/>
          </w:tcPr>
          <w:p>
            <w:pPr>
              <w:jc w:val="center"/>
              <w:ind w:right="620"/>
              <w:spacing w:after="0"/>
              <w:rPr>
                <w:sz w:val="20"/>
                <w:szCs w:val="20"/>
                <w:color w:val="auto"/>
              </w:rPr>
            </w:pPr>
            <w:r>
              <w:rPr>
                <w:rFonts w:ascii="Times New Roman" w:cs="Times New Roman" w:eastAsia="Times New Roman" w:hAnsi="Times New Roman"/>
                <w:sz w:val="14"/>
                <w:szCs w:val="14"/>
                <w:b w:val="1"/>
                <w:bCs w:val="1"/>
                <w:color w:val="auto"/>
              </w:rPr>
              <w:t>Exhibit</w:t>
            </w:r>
          </w:p>
        </w:tc>
        <w:tc>
          <w:tcPr>
            <w:tcW w:w="576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Description of Exhibit</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4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No.</w:t>
            </w:r>
          </w:p>
        </w:tc>
        <w:tc>
          <w:tcPr>
            <w:tcW w:w="620" w:type="dxa"/>
            <w:vAlign w:val="bottom"/>
          </w:tcPr>
          <w:p>
            <w:pPr>
              <w:spacing w:after="0"/>
              <w:rPr>
                <w:sz w:val="15"/>
                <w:szCs w:val="15"/>
                <w:color w:val="auto"/>
              </w:rPr>
            </w:pPr>
          </w:p>
        </w:tc>
        <w:tc>
          <w:tcPr>
            <w:tcW w:w="5760" w:type="dxa"/>
            <w:vAlign w:val="bottom"/>
            <w:gridSpan w:val="3"/>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340" w:type="dxa"/>
            <w:vAlign w:val="bottom"/>
            <w:shd w:val="clear" w:color="auto" w:fill="000000"/>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7"/>
        </w:trPr>
        <w:tc>
          <w:tcPr>
            <w:tcW w:w="20" w:type="dxa"/>
            <w:vAlign w:val="bottom"/>
          </w:tcPr>
          <w:p>
            <w:pPr>
              <w:spacing w:after="0"/>
              <w:rPr>
                <w:sz w:val="24"/>
                <w:szCs w:val="24"/>
                <w:color w:val="auto"/>
              </w:rPr>
            </w:pPr>
          </w:p>
        </w:tc>
        <w:tc>
          <w:tcPr>
            <w:tcW w:w="4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99.1</w:t>
            </w:r>
          </w:p>
        </w:tc>
        <w:tc>
          <w:tcPr>
            <w:tcW w:w="620" w:type="dxa"/>
            <w:vAlign w:val="bottom"/>
          </w:tcPr>
          <w:p>
            <w:pPr>
              <w:spacing w:after="0"/>
              <w:rPr>
                <w:sz w:val="24"/>
                <w:szCs w:val="24"/>
                <w:color w:val="auto"/>
              </w:rPr>
            </w:pPr>
          </w:p>
        </w:tc>
        <w:tc>
          <w:tcPr>
            <w:tcW w:w="5760" w:type="dxa"/>
            <w:vAlign w:val="bottom"/>
            <w:gridSpan w:val="3"/>
          </w:tcPr>
          <w:p>
            <w:pPr>
              <w:spacing w:after="0"/>
              <w:rPr>
                <w:rFonts w:ascii="Times New Roman" w:cs="Times New Roman" w:eastAsia="Times New Roman" w:hAnsi="Times New Roman"/>
                <w:sz w:val="18"/>
                <w:szCs w:val="18"/>
                <w:color w:val="0000EE"/>
              </w:rPr>
            </w:pPr>
            <w:hyperlink w:anchor="page4">
              <w:r>
                <w:rPr>
                  <w:rFonts w:ascii="Times New Roman" w:cs="Times New Roman" w:eastAsia="Times New Roman" w:hAnsi="Times New Roman"/>
                  <w:sz w:val="18"/>
                  <w:szCs w:val="18"/>
                  <w:color w:val="0000EE"/>
                </w:rPr>
                <w:t>Unaudited pro forma condensed consolidated financial information</w:t>
              </w:r>
            </w:hyperlink>
          </w:p>
        </w:tc>
        <w:tc>
          <w:tcPr>
            <w:tcW w:w="0" w:type="dxa"/>
            <w:vAlign w:val="bottom"/>
          </w:tcPr>
          <w:p>
            <w:pPr>
              <w:spacing w:after="0"/>
              <w:rPr>
                <w:sz w:val="1"/>
                <w:szCs w:val="1"/>
                <w:color w:val="auto"/>
              </w:rPr>
            </w:pPr>
          </w:p>
        </w:tc>
      </w:tr>
      <w:tr>
        <w:trPr>
          <w:trHeight w:val="20"/>
        </w:trPr>
        <w:tc>
          <w:tcPr>
            <w:tcW w:w="460" w:type="dxa"/>
            <w:vAlign w:val="bottom"/>
            <w:gridSpan w:val="2"/>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820" w:type="dxa"/>
            <w:vAlign w:val="bottom"/>
            <w:gridSpan w:val="2"/>
            <w:shd w:val="clear" w:color="auto" w:fill="0000EE"/>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460" w:type="dxa"/>
            <w:vAlign w:val="bottom"/>
            <w:gridSpan w:val="2"/>
          </w:tcPr>
          <w:p>
            <w:pPr>
              <w:ind w:left="60"/>
              <w:spacing w:after="0"/>
              <w:rPr>
                <w:sz w:val="20"/>
                <w:szCs w:val="20"/>
                <w:color w:val="auto"/>
              </w:rPr>
            </w:pPr>
            <w:r>
              <w:rPr>
                <w:rFonts w:ascii="Times New Roman" w:cs="Times New Roman" w:eastAsia="Times New Roman" w:hAnsi="Times New Roman"/>
                <w:sz w:val="18"/>
                <w:szCs w:val="18"/>
                <w:color w:val="auto"/>
              </w:rPr>
              <w:t>104</w:t>
            </w:r>
          </w:p>
        </w:tc>
        <w:tc>
          <w:tcPr>
            <w:tcW w:w="620" w:type="dxa"/>
            <w:vAlign w:val="bottom"/>
          </w:tcPr>
          <w:p>
            <w:pPr>
              <w:spacing w:after="0"/>
              <w:rPr>
                <w:sz w:val="24"/>
                <w:szCs w:val="24"/>
                <w:color w:val="auto"/>
              </w:rPr>
            </w:pPr>
          </w:p>
        </w:tc>
        <w:tc>
          <w:tcPr>
            <w:tcW w:w="5760" w:type="dxa"/>
            <w:vAlign w:val="bottom"/>
            <w:gridSpan w:val="3"/>
          </w:tcPr>
          <w:p>
            <w:pPr>
              <w:spacing w:after="0"/>
              <w:rPr>
                <w:sz w:val="20"/>
                <w:szCs w:val="20"/>
                <w:color w:val="auto"/>
              </w:rPr>
            </w:pPr>
            <w:r>
              <w:rPr>
                <w:rFonts w:ascii="Times New Roman" w:cs="Times New Roman" w:eastAsia="Times New Roman" w:hAnsi="Times New Roman"/>
                <w:sz w:val="18"/>
                <w:szCs w:val="18"/>
                <w:color w:val="auto"/>
                <w:w w:val="99"/>
              </w:rPr>
              <w:t>Cover Page Interactive Data File (embedded within the Inline XBRL document)</w:t>
            </w:r>
          </w:p>
        </w:tc>
        <w:tc>
          <w:tcPr>
            <w:tcW w:w="0" w:type="dxa"/>
            <w:vAlign w:val="bottom"/>
          </w:tcPr>
          <w:p>
            <w:pPr>
              <w:spacing w:after="0"/>
              <w:rPr>
                <w:sz w:val="1"/>
                <w:szCs w:val="1"/>
                <w:color w:val="auto"/>
              </w:rPr>
            </w:pPr>
          </w:p>
        </w:tc>
      </w:tr>
    </w:tbl>
    <w:p>
      <w:pPr>
        <w:sectPr>
          <w:pgSz w:w="11900" w:h="16838" w:orient="portrait"/>
          <w:cols w:equalWidth="0" w:num="1">
            <w:col w:w="11020"/>
          </w:cols>
          <w:pgMar w:left="440" w:top="293" w:right="439" w:bottom="1440" w:gutter="0" w:footer="0" w:header="0"/>
        </w:sectPr>
      </w:pPr>
    </w:p>
    <w:bookmarkStart w:id="2" w:name="page3"/>
    <w:bookmarkEnd w:id="2"/>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55880"/>
                    </a:xfrm>
                    <a:prstGeom prst="rect">
                      <a:avLst/>
                    </a:prstGeom>
                    <a:noFill/>
                  </pic:spPr>
                </pic:pic>
              </a:graphicData>
            </a:graphic>
          </wp:anchor>
        </w:drawing>
        <w:t>SIGNATURES</w:t>
      </w:r>
    </w:p>
    <w:p>
      <w:pPr>
        <w:spacing w:after="0" w:line="229" w:lineRule="exact"/>
        <w:rPr>
          <w:sz w:val="20"/>
          <w:szCs w:val="20"/>
          <w:color w:val="auto"/>
        </w:rPr>
      </w:pPr>
    </w:p>
    <w:p>
      <w:pPr>
        <w:ind w:right="320" w:firstLine="441"/>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the registrant has duly caused this report to be signed on its behalf by the undersigned hereunto duly authorized.</w:t>
      </w:r>
    </w:p>
    <w:p>
      <w:pPr>
        <w:spacing w:after="0" w:line="158" w:lineRule="exact"/>
        <w:rPr>
          <w:sz w:val="20"/>
          <w:szCs w:val="20"/>
          <w:color w:val="auto"/>
        </w:rPr>
      </w:pPr>
    </w:p>
    <w:tbl>
      <w:tblPr>
        <w:tblLayout w:type="fixed"/>
        <w:tblInd w:w="0" w:type="dxa"/>
        <w:tblCellMar>
          <w:top w:w="0" w:type="dxa"/>
          <w:left w:w="0" w:type="dxa"/>
          <w:bottom w:w="0" w:type="dxa"/>
          <w:right w:w="0" w:type="dxa"/>
        </w:tblCellMar>
      </w:tblPr>
      <w:tr>
        <w:trPr>
          <w:trHeight w:val="238"/>
        </w:trPr>
        <w:tc>
          <w:tcPr>
            <w:tcW w:w="3720" w:type="dxa"/>
            <w:vAlign w:val="bottom"/>
          </w:tcPr>
          <w:p>
            <w:pPr>
              <w:spacing w:after="0"/>
              <w:rPr>
                <w:sz w:val="20"/>
                <w:szCs w:val="20"/>
                <w:color w:val="auto"/>
              </w:rPr>
            </w:pPr>
            <w:r>
              <w:rPr>
                <w:rFonts w:ascii="Times New Roman" w:cs="Times New Roman" w:eastAsia="Times New Roman" w:hAnsi="Times New Roman"/>
                <w:sz w:val="18"/>
                <w:szCs w:val="18"/>
                <w:color w:val="auto"/>
              </w:rPr>
              <w:t>Dated: December 6, 2019</w:t>
            </w:r>
          </w:p>
        </w:tc>
        <w:tc>
          <w:tcPr>
            <w:tcW w:w="7320" w:type="dxa"/>
            <w:vAlign w:val="bottom"/>
            <w:gridSpan w:val="2"/>
          </w:tcPr>
          <w:p>
            <w:pPr>
              <w:ind w:left="186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tc>
      </w:tr>
      <w:tr>
        <w:trPr>
          <w:trHeight w:val="432"/>
        </w:trPr>
        <w:tc>
          <w:tcPr>
            <w:tcW w:w="3720" w:type="dxa"/>
            <w:vAlign w:val="bottom"/>
          </w:tcPr>
          <w:p>
            <w:pPr>
              <w:spacing w:after="0"/>
              <w:rPr>
                <w:sz w:val="24"/>
                <w:szCs w:val="24"/>
                <w:color w:val="auto"/>
              </w:rPr>
            </w:pPr>
          </w:p>
        </w:tc>
        <w:tc>
          <w:tcPr>
            <w:tcW w:w="2460" w:type="dxa"/>
            <w:vAlign w:val="bottom"/>
          </w:tcPr>
          <w:p>
            <w:pPr>
              <w:ind w:left="186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Mitchell Gaynor</w:t>
            </w:r>
          </w:p>
        </w:tc>
      </w:tr>
      <w:tr>
        <w:trPr>
          <w:trHeight w:val="205"/>
        </w:trPr>
        <w:tc>
          <w:tcPr>
            <w:tcW w:w="3720" w:type="dxa"/>
            <w:vAlign w:val="bottom"/>
          </w:tcPr>
          <w:p>
            <w:pPr>
              <w:spacing w:after="0"/>
              <w:rPr>
                <w:sz w:val="17"/>
                <w:szCs w:val="17"/>
                <w:color w:val="auto"/>
              </w:rPr>
            </w:pPr>
          </w:p>
        </w:tc>
        <w:tc>
          <w:tcPr>
            <w:tcW w:w="2460" w:type="dxa"/>
            <w:vAlign w:val="bottom"/>
          </w:tcPr>
          <w:p>
            <w:pPr>
              <w:ind w:left="186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Mitchell Gaynor</w:t>
            </w:r>
          </w:p>
        </w:tc>
      </w:tr>
      <w:tr>
        <w:trPr>
          <w:trHeight w:val="216"/>
        </w:trPr>
        <w:tc>
          <w:tcPr>
            <w:tcW w:w="3720" w:type="dxa"/>
            <w:vAlign w:val="bottom"/>
          </w:tcPr>
          <w:p>
            <w:pPr>
              <w:spacing w:after="0"/>
              <w:rPr>
                <w:sz w:val="18"/>
                <w:szCs w:val="18"/>
                <w:color w:val="auto"/>
              </w:rPr>
            </w:pPr>
          </w:p>
        </w:tc>
        <w:tc>
          <w:tcPr>
            <w:tcW w:w="2460" w:type="dxa"/>
            <w:vAlign w:val="bottom"/>
          </w:tcPr>
          <w:p>
            <w:pPr>
              <w:ind w:left="186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Executive Vice President, Chief</w:t>
            </w:r>
          </w:p>
        </w:tc>
      </w:tr>
      <w:tr>
        <w:trPr>
          <w:trHeight w:val="216"/>
        </w:trPr>
        <w:tc>
          <w:tcPr>
            <w:tcW w:w="3720" w:type="dxa"/>
            <w:vAlign w:val="bottom"/>
          </w:tcPr>
          <w:p>
            <w:pPr>
              <w:spacing w:after="0"/>
              <w:rPr>
                <w:sz w:val="18"/>
                <w:szCs w:val="18"/>
                <w:color w:val="auto"/>
              </w:rPr>
            </w:pPr>
          </w:p>
        </w:tc>
        <w:tc>
          <w:tcPr>
            <w:tcW w:w="2460" w:type="dxa"/>
            <w:vAlign w:val="bottom"/>
          </w:tcPr>
          <w:p>
            <w:pPr>
              <w:spacing w:after="0"/>
              <w:rPr>
                <w:sz w:val="18"/>
                <w:szCs w:val="18"/>
                <w:color w:val="auto"/>
              </w:rPr>
            </w:pP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Administration and Legal Officer</w:t>
            </w:r>
          </w:p>
        </w:tc>
      </w:tr>
      <w:tr>
        <w:trPr>
          <w:trHeight w:val="234"/>
        </w:trPr>
        <w:tc>
          <w:tcPr>
            <w:tcW w:w="3720" w:type="dxa"/>
            <w:vAlign w:val="bottom"/>
          </w:tcPr>
          <w:p>
            <w:pPr>
              <w:spacing w:after="0"/>
              <w:rPr>
                <w:sz w:val="20"/>
                <w:szCs w:val="20"/>
                <w:color w:val="auto"/>
              </w:rPr>
            </w:pPr>
          </w:p>
        </w:tc>
        <w:tc>
          <w:tcPr>
            <w:tcW w:w="2460" w:type="dxa"/>
            <w:vAlign w:val="bottom"/>
          </w:tcPr>
          <w:p>
            <w:pPr>
              <w:spacing w:after="0"/>
              <w:rPr>
                <w:sz w:val="20"/>
                <w:szCs w:val="20"/>
                <w:color w:val="auto"/>
              </w:rPr>
            </w:pP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and Secretary</w:t>
            </w:r>
          </w:p>
        </w:tc>
      </w:tr>
    </w:tbl>
    <w:p>
      <w:pPr>
        <w:sectPr>
          <w:pgSz w:w="11900" w:h="16838" w:orient="portrait"/>
          <w:cols w:equalWidth="0" w:num="1">
            <w:col w:w="11040"/>
          </w:cols>
          <w:pgMar w:left="440" w:top="293" w:right="41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Unaudited Pro Forma Condensed Consolidated Financial Statements</w:t>
      </w:r>
    </w:p>
    <w:p>
      <w:pPr>
        <w:spacing w:after="0" w:line="207" w:lineRule="exact"/>
        <w:rPr>
          <w:sz w:val="20"/>
          <w:szCs w:val="20"/>
          <w:color w:val="auto"/>
        </w:rPr>
      </w:pPr>
    </w:p>
    <w:p>
      <w:pPr>
        <w:ind w:right="80" w:firstLine="441"/>
        <w:spacing w:after="0" w:line="258" w:lineRule="auto"/>
        <w:rPr>
          <w:sz w:val="20"/>
          <w:szCs w:val="20"/>
          <w:color w:val="auto"/>
        </w:rPr>
      </w:pPr>
      <w:r>
        <w:rPr>
          <w:rFonts w:ascii="Times New Roman" w:cs="Times New Roman" w:eastAsia="Times New Roman" w:hAnsi="Times New Roman"/>
          <w:sz w:val="18"/>
          <w:szCs w:val="18"/>
          <w:color w:val="auto"/>
        </w:rPr>
        <w:t>On May 29, 2019, the Company announced its intent to sell its Wi-Fi connectivity business to NXP USA, Inc. for $1.76 billion in cash. At this time, the Company determined that the Wi-Fi Connectivity business met the held for sale criteria, as prescribed by FASB ASC 360-10-45-9, but did not meet the criteria to qualify as a discontinued operation. As such, the assets and liabilities of the Wi-Fi Connectivity business were presented as "Assets held for sale" and "Liabilities held for sale" in the Company's condensed consolidated balance sheet as of November 2, 2019, as filed within the Form 10-Q filed with the SEC on December 4, 2019.</w:t>
      </w:r>
    </w:p>
    <w:p>
      <w:pPr>
        <w:spacing w:after="0" w:line="184" w:lineRule="exact"/>
        <w:rPr>
          <w:sz w:val="20"/>
          <w:szCs w:val="20"/>
          <w:color w:val="auto"/>
        </w:rPr>
      </w:pPr>
    </w:p>
    <w:p>
      <w:pPr>
        <w:jc w:val="both"/>
        <w:ind w:right="160" w:firstLine="441"/>
        <w:spacing w:after="0" w:line="266" w:lineRule="auto"/>
        <w:rPr>
          <w:sz w:val="20"/>
          <w:szCs w:val="20"/>
          <w:color w:val="auto"/>
        </w:rPr>
      </w:pPr>
      <w:r>
        <w:rPr>
          <w:rFonts w:ascii="Times New Roman" w:cs="Times New Roman" w:eastAsia="Times New Roman" w:hAnsi="Times New Roman"/>
          <w:sz w:val="18"/>
          <w:szCs w:val="18"/>
          <w:color w:val="auto"/>
        </w:rPr>
        <w:t>On December 6, 2019, the Company completed the disposition. The disposition constituted a significant disposition for purposes of Item 2.01 of Form 8-K. As a result, the Company prepared the accompanying unaudited pro forma condensed consolidated financial statements in accordance with Article 11 of Regulation S-X.</w:t>
      </w:r>
    </w:p>
    <w:p>
      <w:pPr>
        <w:spacing w:after="0" w:line="176" w:lineRule="exact"/>
        <w:rPr>
          <w:sz w:val="20"/>
          <w:szCs w:val="20"/>
          <w:color w:val="auto"/>
        </w:rPr>
      </w:pPr>
    </w:p>
    <w:p>
      <w:pPr>
        <w:ind w:right="160" w:firstLine="441"/>
        <w:spacing w:after="0" w:line="258" w:lineRule="auto"/>
        <w:rPr>
          <w:sz w:val="20"/>
          <w:szCs w:val="20"/>
          <w:color w:val="auto"/>
        </w:rPr>
      </w:pPr>
      <w:r>
        <w:rPr>
          <w:rFonts w:ascii="Times New Roman" w:cs="Times New Roman" w:eastAsia="Times New Roman" w:hAnsi="Times New Roman"/>
          <w:sz w:val="18"/>
          <w:szCs w:val="18"/>
          <w:color w:val="auto"/>
        </w:rPr>
        <w:t>The accompanying unaudited pro forma condensed consolidated balance sheet as of November 2, 2019, gives effect to the disposition as if the transaction occurred on November 2, 2019. The accompanying unaudited condensed consolidated statements of income for the year ended February 2, 2019 and for the nine months ended November 2, 2019, give effect to the disposition as if the transaction had occurred on February 4, 2018. The pro forma adjustments are described in the accompanying notes and are based upon information and assumptions available at the time of the filing of this Current Report on Form 8-K.</w:t>
      </w:r>
    </w:p>
    <w:p>
      <w:pPr>
        <w:spacing w:after="0" w:line="184" w:lineRule="exact"/>
        <w:rPr>
          <w:sz w:val="20"/>
          <w:szCs w:val="20"/>
          <w:color w:val="auto"/>
        </w:rPr>
      </w:pPr>
    </w:p>
    <w:p>
      <w:pPr>
        <w:ind w:right="180" w:firstLine="441"/>
        <w:spacing w:after="0" w:line="253" w:lineRule="auto"/>
        <w:rPr>
          <w:sz w:val="20"/>
          <w:szCs w:val="20"/>
          <w:color w:val="auto"/>
        </w:rPr>
      </w:pPr>
      <w:r>
        <w:rPr>
          <w:rFonts w:ascii="Times New Roman" w:cs="Times New Roman" w:eastAsia="Times New Roman" w:hAnsi="Times New Roman"/>
          <w:sz w:val="18"/>
          <w:szCs w:val="18"/>
          <w:color w:val="auto"/>
        </w:rPr>
        <w:t>The unaudited pro forma financial information is based on financial statements prepared in accordance with U.S. generally accepted accounting principles, which are subject to change and interpretation. The unaudited pro forma condensed consolidated financial statements were based on and derived from our historical consolidated financial statements, adjusted for those amounts which were determined to be directly attributable to the disposition, factually supportable, and with respect to the unaudited pro forma condensed consolidated statements of income, expected to have a continuing impact on our consolidated results. Actual adjustments, however, may differ materially from the information presented. In addition, the unaudited pro forma financial information is based upon available information and assumptions that management considers to be reasonable, and such assumptions have been made solely for purposes of developing such unaudited pro forma financial information for illustrative purposes in compliance with the disclosure requirements of the SEC. The unaudited pro forma financial information is not necessarily indicative of what the financial position or income statement results would have actually been had the disposition occurred on the dates indicated. In addition, these unaudited pro forma condensed consolidated financial statements should not be considered to be indicative of our future consolidated financial performance and income statement results.</w:t>
      </w:r>
    </w:p>
    <w:p>
      <w:pPr>
        <w:spacing w:after="0" w:line="193" w:lineRule="exact"/>
        <w:rPr>
          <w:sz w:val="20"/>
          <w:szCs w:val="20"/>
          <w:color w:val="auto"/>
        </w:rPr>
      </w:pPr>
    </w:p>
    <w:p>
      <w:pPr>
        <w:ind w:right="140" w:firstLine="441"/>
        <w:spacing w:after="0" w:line="266" w:lineRule="auto"/>
        <w:rPr>
          <w:sz w:val="20"/>
          <w:szCs w:val="20"/>
          <w:color w:val="auto"/>
        </w:rPr>
      </w:pPr>
      <w:r>
        <w:rPr>
          <w:rFonts w:ascii="Times New Roman" w:cs="Times New Roman" w:eastAsia="Times New Roman" w:hAnsi="Times New Roman"/>
          <w:sz w:val="18"/>
          <w:szCs w:val="18"/>
          <w:color w:val="auto"/>
        </w:rPr>
        <w:t>The unaudited pro forma condensed combined financial statements have been developed from and should be read in conjunction with the Company’s historical audited consolidated financial statements and accompanying notes contained in the Company’s Annual Report on Form 10-K for its fiscal year ended February 2, 2019, and Quarterly Report on Form 10-Q as of and for the nine months ended November 2, 2019.</w:t>
      </w:r>
    </w:p>
    <w:p>
      <w:pPr>
        <w:sectPr>
          <w:pgSz w:w="11900" w:h="16838" w:orient="portrait"/>
          <w:cols w:equalWidth="0" w:num="1">
            <w:col w:w="11020"/>
          </w:cols>
          <w:pgMar w:left="440" w:top="117" w:right="439" w:bottom="1440" w:gutter="0" w:footer="0" w:header="0"/>
        </w:sectPr>
      </w:pPr>
    </w:p>
    <w:bookmarkStart w:id="4" w:name="page5"/>
    <w:bookmarkEnd w:id="4"/>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3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Pro Forma Condensed Consolidated Balance Sheet</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i w:val="1"/>
          <w:iCs w:val="1"/>
          <w:color w:val="auto"/>
        </w:rPr>
        <w:t>(in thousands)</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i w:val="1"/>
          <w:iCs w:val="1"/>
          <w:color w:val="auto"/>
        </w:rPr>
        <w:t>(unaudited)</w:t>
      </w:r>
    </w:p>
    <w:tbl>
      <w:tblPr>
        <w:tblLayout w:type="fixed"/>
        <w:tblInd w:w="0" w:type="dxa"/>
        <w:tblCellMar>
          <w:top w:w="0" w:type="dxa"/>
          <w:left w:w="0" w:type="dxa"/>
          <w:bottom w:w="0" w:type="dxa"/>
          <w:right w:w="0" w:type="dxa"/>
        </w:tblCellMar>
      </w:tblPr>
      <w:tr>
        <w:trPr>
          <w:trHeight w:val="158"/>
        </w:trPr>
        <w:tc>
          <w:tcPr>
            <w:tcW w:w="20" w:type="dxa"/>
            <w:vAlign w:val="bottom"/>
          </w:tcPr>
          <w:p>
            <w:pPr>
              <w:spacing w:after="0"/>
              <w:rPr>
                <w:sz w:val="13"/>
                <w:szCs w:val="13"/>
                <w:color w:val="auto"/>
              </w:rPr>
            </w:pPr>
          </w:p>
        </w:tc>
        <w:tc>
          <w:tcPr>
            <w:tcW w:w="63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820" w:type="dxa"/>
            <w:vAlign w:val="bottom"/>
            <w:tcBorders>
              <w:bottom w:val="single" w:sz="8" w:color="auto"/>
            </w:tcBorders>
          </w:tcPr>
          <w:p>
            <w:pPr>
              <w:spacing w:after="0"/>
              <w:rPr>
                <w:sz w:val="13"/>
                <w:szCs w:val="13"/>
                <w:color w:val="auto"/>
              </w:rPr>
            </w:pPr>
          </w:p>
        </w:tc>
        <w:tc>
          <w:tcPr>
            <w:tcW w:w="1480" w:type="dxa"/>
            <w:vAlign w:val="bottom"/>
            <w:tcBorders>
              <w:bottom w:val="single" w:sz="8" w:color="auto"/>
            </w:tcBorders>
            <w:gridSpan w:val="4"/>
          </w:tcPr>
          <w:p>
            <w:pPr>
              <w:ind w:left="240"/>
              <w:spacing w:after="0" w:line="158" w:lineRule="exact"/>
              <w:rPr>
                <w:sz w:val="20"/>
                <w:szCs w:val="20"/>
                <w:color w:val="auto"/>
              </w:rPr>
            </w:pPr>
            <w:r>
              <w:rPr>
                <w:rFonts w:ascii="Times New Roman" w:cs="Times New Roman" w:eastAsia="Times New Roman" w:hAnsi="Times New Roman"/>
                <w:sz w:val="14"/>
                <w:szCs w:val="14"/>
                <w:b w:val="1"/>
                <w:bCs w:val="1"/>
                <w:color w:val="auto"/>
              </w:rPr>
              <w:t>November 2, 2019</w:t>
            </w:r>
          </w:p>
        </w:tc>
        <w:tc>
          <w:tcPr>
            <w:tcW w:w="140" w:type="dxa"/>
            <w:vAlign w:val="bottom"/>
            <w:tcBorders>
              <w:bottom w:val="single" w:sz="8" w:color="auto"/>
            </w:tcBorders>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820" w:type="dxa"/>
            <w:vAlign w:val="bottom"/>
            <w:tcBorders>
              <w:bottom w:val="single" w:sz="8" w:color="auto"/>
            </w:tcBorders>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6300" w:type="dxa"/>
            <w:vAlign w:val="bottom"/>
          </w:tcPr>
          <w:p>
            <w:pPr>
              <w:spacing w:after="0"/>
              <w:rPr>
                <w:sz w:val="10"/>
                <w:szCs w:val="10"/>
                <w:color w:val="auto"/>
              </w:rPr>
            </w:pPr>
          </w:p>
        </w:tc>
        <w:tc>
          <w:tcPr>
            <w:tcW w:w="12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20" w:type="dxa"/>
            <w:vAlign w:val="bottom"/>
          </w:tcPr>
          <w:p>
            <w:pPr>
              <w:jc w:val="right"/>
              <w:ind w:right="72"/>
              <w:spacing w:after="0" w:line="118" w:lineRule="exact"/>
              <w:rPr>
                <w:sz w:val="20"/>
                <w:szCs w:val="20"/>
                <w:color w:val="auto"/>
              </w:rPr>
            </w:pPr>
            <w:r>
              <w:rPr>
                <w:rFonts w:ascii="Times New Roman" w:cs="Times New Roman" w:eastAsia="Times New Roman" w:hAnsi="Times New Roman"/>
                <w:sz w:val="13"/>
                <w:szCs w:val="13"/>
                <w:b w:val="1"/>
                <w:bCs w:val="1"/>
                <w:color w:val="auto"/>
              </w:rPr>
              <w:t>Historical</w:t>
            </w:r>
          </w:p>
        </w:tc>
        <w:tc>
          <w:tcPr>
            <w:tcW w:w="280" w:type="dxa"/>
            <w:vAlign w:val="bottom"/>
          </w:tcPr>
          <w:p>
            <w:pPr>
              <w:spacing w:after="0"/>
              <w:rPr>
                <w:sz w:val="10"/>
                <w:szCs w:val="10"/>
                <w:color w:val="auto"/>
              </w:rPr>
            </w:pPr>
          </w:p>
        </w:tc>
        <w:tc>
          <w:tcPr>
            <w:tcW w:w="1200" w:type="dxa"/>
            <w:vAlign w:val="bottom"/>
            <w:gridSpan w:val="3"/>
          </w:tcPr>
          <w:p>
            <w:pPr>
              <w:jc w:val="right"/>
              <w:ind w:right="460"/>
              <w:spacing w:after="0" w:line="118" w:lineRule="exact"/>
              <w:rPr>
                <w:sz w:val="20"/>
                <w:szCs w:val="20"/>
                <w:color w:val="auto"/>
              </w:rPr>
            </w:pPr>
            <w:r>
              <w:rPr>
                <w:rFonts w:ascii="Times New Roman" w:cs="Times New Roman" w:eastAsia="Times New Roman" w:hAnsi="Times New Roman"/>
                <w:sz w:val="13"/>
                <w:szCs w:val="13"/>
                <w:b w:val="1"/>
                <w:bCs w:val="1"/>
                <w:color w:val="auto"/>
              </w:rPr>
              <w:t>Pro Forma</w:t>
            </w:r>
          </w:p>
        </w:tc>
        <w:tc>
          <w:tcPr>
            <w:tcW w:w="1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20" w:type="dxa"/>
            <w:vAlign w:val="bottom"/>
          </w:tcPr>
          <w:p>
            <w:pPr>
              <w:jc w:val="center"/>
              <w:ind w:right="12"/>
              <w:spacing w:after="0" w:line="118" w:lineRule="exact"/>
              <w:rPr>
                <w:sz w:val="20"/>
                <w:szCs w:val="20"/>
                <w:color w:val="auto"/>
              </w:rPr>
            </w:pPr>
            <w:r>
              <w:rPr>
                <w:rFonts w:ascii="Times New Roman" w:cs="Times New Roman" w:eastAsia="Times New Roman" w:hAnsi="Times New Roman"/>
                <w:sz w:val="13"/>
                <w:szCs w:val="13"/>
                <w:b w:val="1"/>
                <w:bCs w:val="1"/>
                <w:color w:val="auto"/>
              </w:rPr>
              <w:t>Pro Forma</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6300" w:type="dxa"/>
            <w:vAlign w:val="bottom"/>
          </w:tcPr>
          <w:p>
            <w:pPr>
              <w:spacing w:after="0"/>
              <w:rPr>
                <w:sz w:val="15"/>
                <w:szCs w:val="15"/>
                <w:color w:val="auto"/>
              </w:rPr>
            </w:pPr>
          </w:p>
        </w:tc>
        <w:tc>
          <w:tcPr>
            <w:tcW w:w="12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20" w:type="dxa"/>
            <w:vAlign w:val="bottom"/>
          </w:tcPr>
          <w:p>
            <w:pPr>
              <w:jc w:val="right"/>
              <w:ind w:right="152"/>
              <w:spacing w:after="0"/>
              <w:rPr>
                <w:sz w:val="20"/>
                <w:szCs w:val="20"/>
                <w:color w:val="auto"/>
              </w:rPr>
            </w:pPr>
            <w:r>
              <w:rPr>
                <w:rFonts w:ascii="Times New Roman" w:cs="Times New Roman" w:eastAsia="Times New Roman" w:hAnsi="Times New Roman"/>
                <w:sz w:val="14"/>
                <w:szCs w:val="14"/>
                <w:b w:val="1"/>
                <w:bCs w:val="1"/>
                <w:color w:val="auto"/>
              </w:rPr>
              <w:t>Results</w:t>
            </w:r>
          </w:p>
        </w:tc>
        <w:tc>
          <w:tcPr>
            <w:tcW w:w="280" w:type="dxa"/>
            <w:vAlign w:val="bottom"/>
          </w:tcPr>
          <w:p>
            <w:pPr>
              <w:spacing w:after="0"/>
              <w:rPr>
                <w:sz w:val="15"/>
                <w:szCs w:val="15"/>
                <w:color w:val="auto"/>
              </w:rPr>
            </w:pPr>
          </w:p>
        </w:tc>
        <w:tc>
          <w:tcPr>
            <w:tcW w:w="1200" w:type="dxa"/>
            <w:vAlign w:val="bottom"/>
            <w:gridSpan w:val="3"/>
          </w:tcPr>
          <w:p>
            <w:pPr>
              <w:jc w:val="right"/>
              <w:ind w:right="400"/>
              <w:spacing w:after="0"/>
              <w:rPr>
                <w:sz w:val="20"/>
                <w:szCs w:val="20"/>
                <w:color w:val="auto"/>
              </w:rPr>
            </w:pPr>
            <w:r>
              <w:rPr>
                <w:rFonts w:ascii="Times New Roman" w:cs="Times New Roman" w:eastAsia="Times New Roman" w:hAnsi="Times New Roman"/>
                <w:sz w:val="14"/>
                <w:szCs w:val="14"/>
                <w:b w:val="1"/>
                <w:bCs w:val="1"/>
                <w:color w:val="auto"/>
              </w:rPr>
              <w:t>Adjustments</w:t>
            </w: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80" w:type="dxa"/>
            <w:vAlign w:val="bottom"/>
            <w:gridSpan w:val="2"/>
          </w:tcPr>
          <w:p>
            <w:pPr>
              <w:jc w:val="center"/>
              <w:ind w:right="160"/>
              <w:spacing w:after="0"/>
              <w:rPr>
                <w:sz w:val="20"/>
                <w:szCs w:val="20"/>
                <w:color w:val="auto"/>
              </w:rPr>
            </w:pPr>
            <w:r>
              <w:rPr>
                <w:rFonts w:ascii="Times New Roman" w:cs="Times New Roman" w:eastAsia="Times New Roman" w:hAnsi="Times New Roman"/>
                <w:sz w:val="14"/>
                <w:szCs w:val="14"/>
                <w:b w:val="1"/>
                <w:bCs w:val="1"/>
                <w:color w:val="auto"/>
              </w:rPr>
              <w:t>Results</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300" w:type="dxa"/>
            <w:vAlign w:val="bottom"/>
            <w:tcBorders>
              <w:top w:val="single" w:sz="8" w:color="CCEEFF"/>
            </w:tcBorders>
            <w:shd w:val="clear" w:color="auto" w:fill="CCEEFF"/>
          </w:tcPr>
          <w:p>
            <w:pPr>
              <w:ind w:left="3420"/>
              <w:spacing w:after="0" w:line="196" w:lineRule="exact"/>
              <w:rPr>
                <w:sz w:val="20"/>
                <w:szCs w:val="20"/>
                <w:color w:val="auto"/>
              </w:rPr>
            </w:pPr>
            <w:r>
              <w:rPr>
                <w:rFonts w:ascii="Times New Roman" w:cs="Times New Roman" w:eastAsia="Times New Roman" w:hAnsi="Times New Roman"/>
                <w:sz w:val="18"/>
                <w:szCs w:val="18"/>
                <w:b w:val="1"/>
                <w:bCs w:val="1"/>
                <w:color w:val="auto"/>
              </w:rPr>
              <w:t>Assets</w:t>
            </w:r>
          </w:p>
        </w:tc>
        <w:tc>
          <w:tcPr>
            <w:tcW w:w="12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jc w:val="right"/>
              <w:ind w:right="232"/>
              <w:spacing w:after="0"/>
              <w:rPr>
                <w:sz w:val="20"/>
                <w:szCs w:val="20"/>
                <w:color w:val="auto"/>
              </w:rPr>
            </w:pPr>
            <w:r>
              <w:rPr>
                <w:rFonts w:ascii="Times New Roman" w:cs="Times New Roman" w:eastAsia="Times New Roman" w:hAnsi="Times New Roman"/>
                <w:sz w:val="14"/>
                <w:szCs w:val="14"/>
                <w:b w:val="1"/>
                <w:bCs w:val="1"/>
                <w:color w:val="auto"/>
              </w:rPr>
              <w:t>(a)</w:t>
            </w:r>
          </w:p>
        </w:tc>
        <w:tc>
          <w:tcPr>
            <w:tcW w:w="28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spacing w:after="0"/>
              <w:rPr>
                <w:sz w:val="20"/>
                <w:szCs w:val="20"/>
                <w:color w:val="auto"/>
              </w:rPr>
            </w:pPr>
            <w:r>
              <w:rPr>
                <w:rFonts w:ascii="Times New Roman" w:cs="Times New Roman" w:eastAsia="Times New Roman" w:hAnsi="Times New Roman"/>
                <w:sz w:val="18"/>
                <w:szCs w:val="18"/>
                <w:color w:val="auto"/>
              </w:rPr>
              <w:t>Current assets:</w:t>
            </w:r>
          </w:p>
        </w:tc>
        <w:tc>
          <w:tcPr>
            <w:tcW w:w="1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Cash and cash equivalents</w:t>
            </w:r>
          </w:p>
        </w:tc>
        <w:tc>
          <w:tcPr>
            <w:tcW w:w="13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438,369</w:t>
            </w:r>
          </w:p>
        </w:tc>
        <w:tc>
          <w:tcPr>
            <w:tcW w:w="360" w:type="dxa"/>
            <w:vAlign w:val="bottom"/>
            <w:gridSpan w:val="2"/>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w w:val="88"/>
              </w:rPr>
              <w:t>$</w:t>
            </w:r>
          </w:p>
        </w:tc>
        <w:tc>
          <w:tcPr>
            <w:tcW w:w="1120" w:type="dxa"/>
            <w:vAlign w:val="bottom"/>
            <w:gridSpan w:val="2"/>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1,672,222 (e)</w:t>
            </w:r>
          </w:p>
        </w:tc>
        <w:tc>
          <w:tcPr>
            <w:tcW w:w="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2,110,591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Accounts receivable, net</w:t>
            </w:r>
          </w:p>
        </w:tc>
        <w:tc>
          <w:tcPr>
            <w:tcW w:w="1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495,216</w:t>
            </w: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2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495,216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Inventories</w:t>
            </w:r>
          </w:p>
        </w:tc>
        <w:tc>
          <w:tcPr>
            <w:tcW w:w="1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308,299</w:t>
            </w: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308,299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1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43,789</w:t>
            </w: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2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43,789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Assets held for sale</w:t>
            </w:r>
          </w:p>
        </w:tc>
        <w:tc>
          <w:tcPr>
            <w:tcW w:w="1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600,893</w:t>
            </w: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(600,893)(c)</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300" w:type="dxa"/>
            <w:vAlign w:val="bottom"/>
          </w:tcPr>
          <w:p>
            <w:pPr>
              <w:ind w:left="700"/>
              <w:spacing w:after="0"/>
              <w:rPr>
                <w:sz w:val="20"/>
                <w:szCs w:val="20"/>
                <w:color w:val="auto"/>
              </w:rPr>
            </w:pPr>
            <w:r>
              <w:rPr>
                <w:rFonts w:ascii="Times New Roman" w:cs="Times New Roman" w:eastAsia="Times New Roman" w:hAnsi="Times New Roman"/>
                <w:sz w:val="18"/>
                <w:szCs w:val="18"/>
                <w:color w:val="auto"/>
              </w:rPr>
              <w:t>Total current assets</w:t>
            </w:r>
          </w:p>
        </w:tc>
        <w:tc>
          <w:tcPr>
            <w:tcW w:w="12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1,886,566</w:t>
            </w:r>
          </w:p>
        </w:tc>
        <w:tc>
          <w:tcPr>
            <w:tcW w:w="2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1,071,329</w:t>
            </w:r>
          </w:p>
        </w:tc>
        <w:tc>
          <w:tcPr>
            <w:tcW w:w="3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2,957,895</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1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316,214</w:t>
            </w: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316,214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spacing w:after="0"/>
              <w:rPr>
                <w:sz w:val="20"/>
                <w:szCs w:val="20"/>
                <w:color w:val="auto"/>
              </w:rPr>
            </w:pPr>
            <w:r>
              <w:rPr>
                <w:rFonts w:ascii="Times New Roman" w:cs="Times New Roman" w:eastAsia="Times New Roman" w:hAnsi="Times New Roman"/>
                <w:sz w:val="18"/>
                <w:szCs w:val="18"/>
                <w:color w:val="auto"/>
              </w:rPr>
              <w:t>Goodwill</w:t>
            </w:r>
          </w:p>
        </w:tc>
        <w:tc>
          <w:tcPr>
            <w:tcW w:w="1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5,161,312</w:t>
            </w: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2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41,263 (g)</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5,202,575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Acquired intangible assets, net</w:t>
            </w:r>
          </w:p>
        </w:tc>
        <w:tc>
          <w:tcPr>
            <w:tcW w:w="1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2,500,215</w:t>
            </w: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2,500,215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300" w:type="dxa"/>
            <w:vAlign w:val="bottom"/>
          </w:tcPr>
          <w:p>
            <w:pPr>
              <w:spacing w:after="0"/>
              <w:rPr>
                <w:sz w:val="20"/>
                <w:szCs w:val="20"/>
                <w:color w:val="auto"/>
              </w:rPr>
            </w:pPr>
            <w:r>
              <w:rPr>
                <w:rFonts w:ascii="Times New Roman" w:cs="Times New Roman" w:eastAsia="Times New Roman" w:hAnsi="Times New Roman"/>
                <w:sz w:val="18"/>
                <w:szCs w:val="18"/>
                <w:color w:val="auto"/>
              </w:rPr>
              <w:t>Other non-current assets</w:t>
            </w:r>
          </w:p>
        </w:tc>
        <w:tc>
          <w:tcPr>
            <w:tcW w:w="12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438,955</w:t>
            </w:r>
          </w:p>
        </w:tc>
        <w:tc>
          <w:tcPr>
            <w:tcW w:w="2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438,955</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700"/>
              <w:spacing w:after="0"/>
              <w:rPr>
                <w:sz w:val="20"/>
                <w:szCs w:val="20"/>
                <w:color w:val="auto"/>
              </w:rPr>
            </w:pPr>
            <w:r>
              <w:rPr>
                <w:rFonts w:ascii="Times New Roman" w:cs="Times New Roman" w:eastAsia="Times New Roman" w:hAnsi="Times New Roman"/>
                <w:sz w:val="18"/>
                <w:szCs w:val="18"/>
                <w:color w:val="auto"/>
              </w:rPr>
              <w:t>Total assets</w:t>
            </w:r>
          </w:p>
        </w:tc>
        <w:tc>
          <w:tcPr>
            <w:tcW w:w="13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10,303,262</w:t>
            </w:r>
          </w:p>
        </w:tc>
        <w:tc>
          <w:tcPr>
            <w:tcW w:w="360" w:type="dxa"/>
            <w:vAlign w:val="bottom"/>
            <w:gridSpan w:val="2"/>
            <w:shd w:val="clear" w:color="auto" w:fill="CCEEFF"/>
          </w:tcPr>
          <w:p>
            <w:pPr>
              <w:ind w:left="260"/>
              <w:spacing w:after="0"/>
              <w:rPr>
                <w:sz w:val="20"/>
                <w:szCs w:val="20"/>
                <w:color w:val="auto"/>
              </w:rPr>
            </w:pPr>
            <w:r>
              <w:rPr>
                <w:rFonts w:ascii="Times New Roman" w:cs="Times New Roman" w:eastAsia="Times New Roman" w:hAnsi="Times New Roman"/>
                <w:sz w:val="18"/>
                <w:szCs w:val="18"/>
                <w:u w:val="single" w:color="auto"/>
                <w:color w:val="auto"/>
                <w:w w:val="88"/>
              </w:rPr>
              <w:t>$</w:t>
            </w: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1,112,592</w:t>
            </w:r>
          </w:p>
        </w:tc>
        <w:tc>
          <w:tcPr>
            <w:tcW w:w="3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11,415,854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300" w:type="dxa"/>
            <w:vAlign w:val="bottom"/>
            <w:vMerge w:val="restart"/>
          </w:tcPr>
          <w:p>
            <w:pPr>
              <w:ind w:left="2260"/>
              <w:spacing w:after="0"/>
              <w:rPr>
                <w:sz w:val="20"/>
                <w:szCs w:val="20"/>
                <w:color w:val="auto"/>
              </w:rPr>
            </w:pPr>
            <w:r>
              <w:rPr>
                <w:rFonts w:ascii="Times New Roman" w:cs="Times New Roman" w:eastAsia="Times New Roman" w:hAnsi="Times New Roman"/>
                <w:sz w:val="18"/>
                <w:szCs w:val="18"/>
                <w:b w:val="1"/>
                <w:bCs w:val="1"/>
                <w:color w:val="auto"/>
              </w:rPr>
              <w:t>Liabilities and Shareholders’ Equity</w:t>
            </w:r>
          </w:p>
        </w:tc>
        <w:tc>
          <w:tcPr>
            <w:tcW w:w="1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300" w:type="dxa"/>
            <w:vAlign w:val="bottom"/>
            <w:vMerge w:val="continue"/>
          </w:tcPr>
          <w:p>
            <w:pPr>
              <w:spacing w:after="0"/>
              <w:rPr>
                <w:sz w:val="18"/>
                <w:szCs w:val="18"/>
                <w:color w:val="auto"/>
              </w:rPr>
            </w:pPr>
          </w:p>
        </w:tc>
        <w:tc>
          <w:tcPr>
            <w:tcW w:w="1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Current liabilities:</w:t>
            </w:r>
          </w:p>
        </w:tc>
        <w:tc>
          <w:tcPr>
            <w:tcW w:w="1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Accounts payable</w:t>
            </w:r>
          </w:p>
        </w:tc>
        <w:tc>
          <w:tcPr>
            <w:tcW w:w="13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212,955</w:t>
            </w:r>
          </w:p>
        </w:tc>
        <w:tc>
          <w:tcPr>
            <w:tcW w:w="360" w:type="dxa"/>
            <w:vAlign w:val="bottom"/>
            <w:gridSpan w:val="2"/>
          </w:tcPr>
          <w:p>
            <w:pPr>
              <w:ind w:left="260"/>
              <w:spacing w:after="0"/>
              <w:rPr>
                <w:sz w:val="20"/>
                <w:szCs w:val="20"/>
                <w:color w:val="auto"/>
              </w:rPr>
            </w:pPr>
            <w:r>
              <w:rPr>
                <w:rFonts w:ascii="Times New Roman" w:cs="Times New Roman" w:eastAsia="Times New Roman" w:hAnsi="Times New Roman"/>
                <w:sz w:val="18"/>
                <w:szCs w:val="18"/>
                <w:color w:val="auto"/>
                <w:w w:val="88"/>
              </w:rPr>
              <w:t>$</w:t>
            </w:r>
          </w:p>
        </w:tc>
        <w:tc>
          <w:tcPr>
            <w:tcW w:w="112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212,955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Accrued liabilities</w:t>
            </w:r>
          </w:p>
        </w:tc>
        <w:tc>
          <w:tcPr>
            <w:tcW w:w="1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305,827</w:t>
            </w: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305,827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1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130,062</w:t>
            </w: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2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130,062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Liabilities held for sale</w:t>
            </w:r>
          </w:p>
        </w:tc>
        <w:tc>
          <w:tcPr>
            <w:tcW w:w="1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5,610</w:t>
            </w: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(5,610)(c)</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300" w:type="dxa"/>
            <w:vAlign w:val="bottom"/>
          </w:tcPr>
          <w:p>
            <w:pPr>
              <w:ind w:left="700"/>
              <w:spacing w:after="0"/>
              <w:rPr>
                <w:sz w:val="20"/>
                <w:szCs w:val="20"/>
                <w:color w:val="auto"/>
              </w:rPr>
            </w:pPr>
            <w:r>
              <w:rPr>
                <w:rFonts w:ascii="Times New Roman" w:cs="Times New Roman" w:eastAsia="Times New Roman" w:hAnsi="Times New Roman"/>
                <w:sz w:val="18"/>
                <w:szCs w:val="18"/>
                <w:color w:val="auto"/>
              </w:rPr>
              <w:t>Total current liabilities</w:t>
            </w:r>
          </w:p>
        </w:tc>
        <w:tc>
          <w:tcPr>
            <w:tcW w:w="12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654,454</w:t>
            </w:r>
          </w:p>
        </w:tc>
        <w:tc>
          <w:tcPr>
            <w:tcW w:w="2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(5,610)</w:t>
            </w:r>
          </w:p>
        </w:tc>
        <w:tc>
          <w:tcPr>
            <w:tcW w:w="3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648,844</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Long-term debt</w:t>
            </w:r>
          </w:p>
        </w:tc>
        <w:tc>
          <w:tcPr>
            <w:tcW w:w="1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2,036,441</w:t>
            </w: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2,036,441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spacing w:after="0"/>
              <w:rPr>
                <w:sz w:val="20"/>
                <w:szCs w:val="20"/>
                <w:color w:val="auto"/>
              </w:rPr>
            </w:pPr>
            <w:r>
              <w:rPr>
                <w:rFonts w:ascii="Times New Roman" w:cs="Times New Roman" w:eastAsia="Times New Roman" w:hAnsi="Times New Roman"/>
                <w:sz w:val="18"/>
                <w:szCs w:val="18"/>
                <w:color w:val="auto"/>
              </w:rPr>
              <w:t>Non-current income taxes payable</w:t>
            </w:r>
          </w:p>
        </w:tc>
        <w:tc>
          <w:tcPr>
            <w:tcW w:w="1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48,136</w:t>
            </w: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2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48,136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Deferred tax liabilities</w:t>
            </w:r>
          </w:p>
        </w:tc>
        <w:tc>
          <w:tcPr>
            <w:tcW w:w="1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214,492</w:t>
            </w: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214,492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300" w:type="dxa"/>
            <w:vAlign w:val="bottom"/>
          </w:tcPr>
          <w:p>
            <w:pPr>
              <w:spacing w:after="0"/>
              <w:rPr>
                <w:sz w:val="20"/>
                <w:szCs w:val="20"/>
                <w:color w:val="auto"/>
              </w:rPr>
            </w:pPr>
            <w:r>
              <w:rPr>
                <w:rFonts w:ascii="Times New Roman" w:cs="Times New Roman" w:eastAsia="Times New Roman" w:hAnsi="Times New Roman"/>
                <w:sz w:val="18"/>
                <w:szCs w:val="18"/>
                <w:color w:val="auto"/>
              </w:rPr>
              <w:t>Other non-current liabilities</w:t>
            </w:r>
          </w:p>
        </w:tc>
        <w:tc>
          <w:tcPr>
            <w:tcW w:w="12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183,921</w:t>
            </w:r>
          </w:p>
        </w:tc>
        <w:tc>
          <w:tcPr>
            <w:tcW w:w="2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183,921</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700"/>
              <w:spacing w:after="0"/>
              <w:rPr>
                <w:sz w:val="20"/>
                <w:szCs w:val="20"/>
                <w:color w:val="auto"/>
              </w:rPr>
            </w:pPr>
            <w:r>
              <w:rPr>
                <w:rFonts w:ascii="Times New Roman" w:cs="Times New Roman" w:eastAsia="Times New Roman" w:hAnsi="Times New Roman"/>
                <w:sz w:val="18"/>
                <w:szCs w:val="18"/>
                <w:color w:val="auto"/>
              </w:rPr>
              <w:t>Total liabilities</w:t>
            </w:r>
          </w:p>
        </w:tc>
        <w:tc>
          <w:tcPr>
            <w:tcW w:w="1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3,137,444</w:t>
            </w: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20"/>
              <w:spacing w:after="0"/>
              <w:rPr>
                <w:sz w:val="20"/>
                <w:szCs w:val="20"/>
                <w:color w:val="auto"/>
              </w:rPr>
            </w:pPr>
            <w:r>
              <w:rPr>
                <w:rFonts w:ascii="Times New Roman" w:cs="Times New Roman" w:eastAsia="Times New Roman" w:hAnsi="Times New Roman"/>
                <w:sz w:val="18"/>
                <w:szCs w:val="18"/>
                <w:color w:val="auto"/>
              </w:rPr>
              <w:t>(5,610)</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3,131,834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ind w:left="700"/>
              <w:spacing w:after="0"/>
              <w:rPr>
                <w:sz w:val="20"/>
                <w:szCs w:val="20"/>
                <w:color w:val="auto"/>
              </w:rPr>
            </w:pPr>
            <w:r>
              <w:rPr>
                <w:rFonts w:ascii="Times New Roman" w:cs="Times New Roman" w:eastAsia="Times New Roman" w:hAnsi="Times New Roman"/>
                <w:sz w:val="18"/>
                <w:szCs w:val="18"/>
                <w:color w:val="auto"/>
              </w:rPr>
              <w:t>Total shareholders’ equity</w:t>
            </w:r>
          </w:p>
        </w:tc>
        <w:tc>
          <w:tcPr>
            <w:tcW w:w="1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7,165,818</w:t>
            </w: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2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1,118,202 (f)</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8,284,020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3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700"/>
              <w:spacing w:after="0"/>
              <w:rPr>
                <w:sz w:val="20"/>
                <w:szCs w:val="20"/>
                <w:color w:val="auto"/>
              </w:rPr>
            </w:pPr>
            <w:r>
              <w:rPr>
                <w:rFonts w:ascii="Times New Roman" w:cs="Times New Roman" w:eastAsia="Times New Roman" w:hAnsi="Times New Roman"/>
                <w:sz w:val="18"/>
                <w:szCs w:val="18"/>
                <w:color w:val="auto"/>
              </w:rPr>
              <w:t>Total liabilities and shareholders’ equity</w:t>
            </w:r>
          </w:p>
        </w:tc>
        <w:tc>
          <w:tcPr>
            <w:tcW w:w="13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10,303,262</w:t>
            </w:r>
          </w:p>
        </w:tc>
        <w:tc>
          <w:tcPr>
            <w:tcW w:w="360" w:type="dxa"/>
            <w:vAlign w:val="bottom"/>
            <w:gridSpan w:val="2"/>
            <w:shd w:val="clear" w:color="auto" w:fill="CCEEFF"/>
          </w:tcPr>
          <w:p>
            <w:pPr>
              <w:ind w:left="260"/>
              <w:spacing w:after="0"/>
              <w:rPr>
                <w:sz w:val="20"/>
                <w:szCs w:val="20"/>
                <w:color w:val="auto"/>
              </w:rPr>
            </w:pPr>
            <w:r>
              <w:rPr>
                <w:rFonts w:ascii="Times New Roman" w:cs="Times New Roman" w:eastAsia="Times New Roman" w:hAnsi="Times New Roman"/>
                <w:sz w:val="18"/>
                <w:szCs w:val="18"/>
                <w:u w:val="single" w:color="auto"/>
                <w:color w:val="auto"/>
                <w:w w:val="88"/>
              </w:rPr>
              <w:t>$</w:t>
            </w: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1,112,592</w:t>
            </w:r>
          </w:p>
        </w:tc>
        <w:tc>
          <w:tcPr>
            <w:tcW w:w="3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11,415,854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30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040"/>
          </w:cols>
          <w:pgMar w:left="440" w:top="266" w:right="419" w:bottom="1440" w:gutter="0" w:footer="0" w:header="0"/>
        </w:sectPr>
      </w:pPr>
    </w:p>
    <w:bookmarkStart w:id="5" w:name="page6"/>
    <w:bookmarkEnd w:id="5"/>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3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Pro Forma Condensed Consolidated Statement of Income</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i w:val="1"/>
          <w:iCs w:val="1"/>
          <w:color w:val="auto"/>
        </w:rPr>
        <w:t>(in thousands, except per share amounts)</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i w:val="1"/>
          <w:iCs w:val="1"/>
          <w:color w:val="auto"/>
        </w:rPr>
        <w:t>(unaudited)</w:t>
      </w: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6460" w:type="dxa"/>
            <w:vAlign w:val="bottom"/>
          </w:tcPr>
          <w:p>
            <w:pPr>
              <w:spacing w:after="0"/>
              <w:rPr>
                <w:sz w:val="15"/>
                <w:szCs w:val="15"/>
                <w:color w:val="auto"/>
              </w:rPr>
            </w:pPr>
          </w:p>
        </w:tc>
        <w:tc>
          <w:tcPr>
            <w:tcW w:w="15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900" w:type="dxa"/>
            <w:vAlign w:val="bottom"/>
            <w:gridSpan w:val="10"/>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Nine Months Ended November 2, 2019</w:t>
            </w: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6460" w:type="dxa"/>
            <w:vAlign w:val="bottom"/>
          </w:tcPr>
          <w:p>
            <w:pPr>
              <w:spacing w:after="0"/>
              <w:rPr>
                <w:sz w:val="10"/>
                <w:szCs w:val="10"/>
                <w:color w:val="auto"/>
              </w:rPr>
            </w:pPr>
          </w:p>
        </w:tc>
        <w:tc>
          <w:tcPr>
            <w:tcW w:w="156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gridSpan w:val="2"/>
          </w:tcPr>
          <w:p>
            <w:pPr>
              <w:jc w:val="center"/>
              <w:ind w:right="200"/>
              <w:spacing w:after="0" w:line="118" w:lineRule="exact"/>
              <w:rPr>
                <w:sz w:val="20"/>
                <w:szCs w:val="20"/>
                <w:color w:val="auto"/>
              </w:rPr>
            </w:pPr>
            <w:r>
              <w:rPr>
                <w:rFonts w:ascii="Times New Roman" w:cs="Times New Roman" w:eastAsia="Times New Roman" w:hAnsi="Times New Roman"/>
                <w:sz w:val="13"/>
                <w:szCs w:val="13"/>
                <w:b w:val="1"/>
                <w:bCs w:val="1"/>
                <w:color w:val="auto"/>
              </w:rPr>
              <w:t>Historical</w:t>
            </w:r>
          </w:p>
        </w:tc>
        <w:tc>
          <w:tcPr>
            <w:tcW w:w="8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gridSpan w:val="3"/>
          </w:tcPr>
          <w:p>
            <w:pPr>
              <w:jc w:val="center"/>
              <w:ind w:right="60"/>
              <w:spacing w:after="0" w:line="118" w:lineRule="exact"/>
              <w:rPr>
                <w:sz w:val="20"/>
                <w:szCs w:val="20"/>
                <w:color w:val="auto"/>
              </w:rPr>
            </w:pPr>
            <w:r>
              <w:rPr>
                <w:rFonts w:ascii="Times New Roman" w:cs="Times New Roman" w:eastAsia="Times New Roman" w:hAnsi="Times New Roman"/>
                <w:sz w:val="13"/>
                <w:szCs w:val="13"/>
                <w:b w:val="1"/>
                <w:bCs w:val="1"/>
                <w:color w:val="auto"/>
              </w:rPr>
              <w:t>Pro Forma</w:t>
            </w:r>
          </w:p>
        </w:tc>
        <w:tc>
          <w:tcPr>
            <w:tcW w:w="8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gridSpan w:val="2"/>
          </w:tcPr>
          <w:p>
            <w:pPr>
              <w:jc w:val="right"/>
              <w:spacing w:after="0" w:line="118" w:lineRule="exact"/>
              <w:rPr>
                <w:sz w:val="20"/>
                <w:szCs w:val="20"/>
                <w:color w:val="auto"/>
              </w:rPr>
            </w:pPr>
            <w:r>
              <w:rPr>
                <w:rFonts w:ascii="Times New Roman" w:cs="Times New Roman" w:eastAsia="Times New Roman" w:hAnsi="Times New Roman"/>
                <w:sz w:val="13"/>
                <w:szCs w:val="13"/>
                <w:b w:val="1"/>
                <w:bCs w:val="1"/>
                <w:color w:val="auto"/>
              </w:rPr>
              <w:t>Pro Forma</w:t>
            </w: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6460" w:type="dxa"/>
            <w:vAlign w:val="bottom"/>
          </w:tcPr>
          <w:p>
            <w:pPr>
              <w:spacing w:after="0"/>
              <w:rPr>
                <w:sz w:val="15"/>
                <w:szCs w:val="15"/>
                <w:color w:val="auto"/>
              </w:rPr>
            </w:pPr>
          </w:p>
        </w:tc>
        <w:tc>
          <w:tcPr>
            <w:tcW w:w="15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6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Results</w:t>
            </w:r>
          </w:p>
        </w:tc>
        <w:tc>
          <w:tcPr>
            <w:tcW w:w="1020" w:type="dxa"/>
            <w:vAlign w:val="bottom"/>
            <w:gridSpan w:val="4"/>
          </w:tcPr>
          <w:p>
            <w:pPr>
              <w:jc w:val="center"/>
              <w:spacing w:after="0"/>
              <w:rPr>
                <w:sz w:val="20"/>
                <w:szCs w:val="20"/>
                <w:color w:val="auto"/>
              </w:rPr>
            </w:pPr>
            <w:r>
              <w:rPr>
                <w:rFonts w:ascii="Times New Roman" w:cs="Times New Roman" w:eastAsia="Times New Roman" w:hAnsi="Times New Roman"/>
                <w:sz w:val="14"/>
                <w:szCs w:val="14"/>
                <w:b w:val="1"/>
                <w:bCs w:val="1"/>
                <w:color w:val="auto"/>
              </w:rPr>
              <w:t>Adjustments</w:t>
            </w: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60" w:type="dxa"/>
            <w:vAlign w:val="bottom"/>
            <w:gridSpan w:val="2"/>
          </w:tcPr>
          <w:p>
            <w:pPr>
              <w:jc w:val="right"/>
              <w:ind w:right="240"/>
              <w:spacing w:after="0"/>
              <w:rPr>
                <w:sz w:val="20"/>
                <w:szCs w:val="20"/>
                <w:color w:val="auto"/>
              </w:rPr>
            </w:pPr>
            <w:r>
              <w:rPr>
                <w:rFonts w:ascii="Times New Roman" w:cs="Times New Roman" w:eastAsia="Times New Roman" w:hAnsi="Times New Roman"/>
                <w:sz w:val="14"/>
                <w:szCs w:val="14"/>
                <w:b w:val="1"/>
                <w:bCs w:val="1"/>
                <w:color w:val="auto"/>
              </w:rPr>
              <w:t>Results</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460" w:type="dxa"/>
            <w:vAlign w:val="bottom"/>
          </w:tcPr>
          <w:p>
            <w:pPr>
              <w:spacing w:after="0"/>
              <w:rPr>
                <w:sz w:val="12"/>
                <w:szCs w:val="12"/>
                <w:color w:val="auto"/>
              </w:rPr>
            </w:pPr>
          </w:p>
        </w:tc>
        <w:tc>
          <w:tcPr>
            <w:tcW w:w="156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jc w:val="center"/>
              <w:ind w:right="33"/>
              <w:spacing w:after="0" w:line="142" w:lineRule="exact"/>
              <w:rPr>
                <w:sz w:val="20"/>
                <w:szCs w:val="20"/>
                <w:color w:val="auto"/>
              </w:rPr>
            </w:pPr>
            <w:r>
              <w:rPr>
                <w:rFonts w:ascii="Times New Roman" w:cs="Times New Roman" w:eastAsia="Times New Roman" w:hAnsi="Times New Roman"/>
                <w:sz w:val="14"/>
                <w:szCs w:val="14"/>
                <w:b w:val="1"/>
                <w:bCs w:val="1"/>
                <w:color w:val="auto"/>
              </w:rPr>
              <w:t>(a)</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jc w:val="center"/>
              <w:ind w:right="51"/>
              <w:spacing w:after="0" w:line="142" w:lineRule="exact"/>
              <w:rPr>
                <w:sz w:val="20"/>
                <w:szCs w:val="20"/>
                <w:color w:val="auto"/>
              </w:rPr>
            </w:pPr>
            <w:r>
              <w:rPr>
                <w:rFonts w:ascii="Times New Roman" w:cs="Times New Roman" w:eastAsia="Times New Roman" w:hAnsi="Times New Roman"/>
                <w:sz w:val="14"/>
                <w:szCs w:val="14"/>
                <w:b w:val="1"/>
                <w:bCs w:val="1"/>
                <w:color w:val="auto"/>
              </w:rPr>
              <w:t>(d)</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revenue</w:t>
            </w:r>
          </w:p>
        </w:tc>
        <w:tc>
          <w:tcPr>
            <w:tcW w:w="16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1,981,490</w:t>
            </w:r>
          </w:p>
        </w:tc>
        <w:tc>
          <w:tcPr>
            <w:tcW w:w="1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(214,840)</w:t>
            </w:r>
          </w:p>
        </w:tc>
        <w:tc>
          <w:tcPr>
            <w:tcW w:w="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1,766,650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spacing w:after="0"/>
              <w:rPr>
                <w:sz w:val="20"/>
                <w:szCs w:val="20"/>
                <w:color w:val="auto"/>
              </w:rPr>
            </w:pPr>
            <w:r>
              <w:rPr>
                <w:rFonts w:ascii="Times New Roman" w:cs="Times New Roman" w:eastAsia="Times New Roman" w:hAnsi="Times New Roman"/>
                <w:sz w:val="18"/>
                <w:szCs w:val="18"/>
                <w:color w:val="auto"/>
              </w:rPr>
              <w:t>Cost of goods sold</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929,293</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(102,951)</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826,342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46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Gross profit</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1,052,197</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(111,889)</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940,308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64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Operating expenses:</w:t>
            </w:r>
          </w:p>
        </w:tc>
        <w:tc>
          <w:tcPr>
            <w:tcW w:w="15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Research and development</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801,002</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(83,358)</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717,644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342,988</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(13,208)</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329,780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37,070</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37,070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460" w:type="dxa"/>
            <w:vAlign w:val="bottom"/>
          </w:tcPr>
          <w:p>
            <w:pPr>
              <w:ind w:left="700"/>
              <w:spacing w:after="0"/>
              <w:rPr>
                <w:sz w:val="20"/>
                <w:szCs w:val="20"/>
                <w:color w:val="auto"/>
              </w:rPr>
            </w:pPr>
            <w:r>
              <w:rPr>
                <w:rFonts w:ascii="Times New Roman" w:cs="Times New Roman" w:eastAsia="Times New Roman" w:hAnsi="Times New Roman"/>
                <w:sz w:val="18"/>
                <w:szCs w:val="18"/>
                <w:color w:val="auto"/>
              </w:rPr>
              <w:t>Total operating expenses</w:t>
            </w:r>
          </w:p>
        </w:tc>
        <w:tc>
          <w:tcPr>
            <w:tcW w:w="15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7"/>
              </w:rPr>
              <w:t>1,181,060</w:t>
            </w: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(96,566)</w:t>
            </w:r>
          </w:p>
        </w:tc>
        <w:tc>
          <w:tcPr>
            <w:tcW w:w="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1,084,494</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Operating loss</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(128,863)</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(15,323)</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(144,186)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Interest income</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3,437</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3,437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Interest expense</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(62,975)</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(62,975)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Other loss, net</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(1,624)</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(1,624)</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46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700"/>
              <w:spacing w:after="0"/>
              <w:rPr>
                <w:sz w:val="20"/>
                <w:szCs w:val="20"/>
                <w:color w:val="auto"/>
              </w:rPr>
            </w:pPr>
            <w:r>
              <w:rPr>
                <w:rFonts w:ascii="Times New Roman" w:cs="Times New Roman" w:eastAsia="Times New Roman" w:hAnsi="Times New Roman"/>
                <w:sz w:val="18"/>
                <w:szCs w:val="18"/>
                <w:color w:val="auto"/>
              </w:rPr>
              <w:t>Interest and other loss, net</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(61,162)</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(61,162)</w:t>
            </w:r>
          </w:p>
        </w:tc>
        <w:tc>
          <w:tcPr>
            <w:tcW w:w="0" w:type="dxa"/>
            <w:vAlign w:val="bottom"/>
          </w:tcPr>
          <w:p>
            <w:pPr>
              <w:spacing w:after="0"/>
              <w:rPr>
                <w:sz w:val="1"/>
                <w:szCs w:val="1"/>
                <w:color w:val="auto"/>
              </w:rPr>
            </w:pPr>
          </w:p>
        </w:tc>
      </w:tr>
      <w:tr>
        <w:trPr>
          <w:trHeight w:val="223"/>
        </w:trPr>
        <w:tc>
          <w:tcPr>
            <w:tcW w:w="64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Loss before income taxes</w:t>
            </w:r>
          </w:p>
        </w:tc>
        <w:tc>
          <w:tcPr>
            <w:tcW w:w="15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(190,025)</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(15,323)</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(205,348)</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Provision for income taxes</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(1,743)</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(1,209)</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(2,952)</w:t>
            </w:r>
          </w:p>
        </w:tc>
        <w:tc>
          <w:tcPr>
            <w:tcW w:w="0" w:type="dxa"/>
            <w:vAlign w:val="bottom"/>
          </w:tcPr>
          <w:p>
            <w:pPr>
              <w:spacing w:after="0"/>
              <w:rPr>
                <w:sz w:val="1"/>
                <w:szCs w:val="1"/>
                <w:color w:val="auto"/>
              </w:rPr>
            </w:pPr>
          </w:p>
        </w:tc>
      </w:tr>
      <w:tr>
        <w:trPr>
          <w:trHeight w:val="223"/>
        </w:trPr>
        <w:tc>
          <w:tcPr>
            <w:tcW w:w="64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Net Loss</w:t>
            </w:r>
          </w:p>
        </w:tc>
        <w:tc>
          <w:tcPr>
            <w:tcW w:w="15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(188,282</w:t>
            </w:r>
          </w:p>
        </w:tc>
        <w:tc>
          <w:tcPr>
            <w:tcW w:w="120" w:type="dxa"/>
            <w:vAlign w:val="bottom"/>
          </w:tcPr>
          <w:p>
            <w:pPr>
              <w:jc w:val="right"/>
              <w:ind w:right="40"/>
              <w:spacing w:after="0"/>
              <w:rPr>
                <w:sz w:val="20"/>
                <w:szCs w:val="20"/>
                <w:color w:val="auto"/>
              </w:rPr>
            </w:pPr>
            <w:r>
              <w:rPr>
                <w:rFonts w:ascii="Times New Roman" w:cs="Times New Roman" w:eastAsia="Times New Roman" w:hAnsi="Times New Roman"/>
                <w:sz w:val="8"/>
                <w:szCs w:val="8"/>
                <w:color w:val="auto"/>
                <w:w w:val="73"/>
              </w:rPr>
              <w:t>)</w:t>
            </w:r>
          </w:p>
        </w:tc>
        <w:tc>
          <w:tcPr>
            <w:tcW w:w="8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(14,114</w:t>
            </w:r>
          </w:p>
        </w:tc>
        <w:tc>
          <w:tcPr>
            <w:tcW w:w="140" w:type="dxa"/>
            <w:vAlign w:val="bottom"/>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8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(202,396</w:t>
            </w:r>
          </w:p>
        </w:tc>
        <w:tc>
          <w:tcPr>
            <w:tcW w:w="120" w:type="dxa"/>
            <w:vAlign w:val="bottom"/>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Loss per share - Basic</w:t>
            </w:r>
          </w:p>
        </w:tc>
        <w:tc>
          <w:tcPr>
            <w:tcW w:w="16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(0.28)</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(0.30)</w:t>
            </w:r>
          </w:p>
        </w:tc>
        <w:tc>
          <w:tcPr>
            <w:tcW w:w="0" w:type="dxa"/>
            <w:vAlign w:val="bottom"/>
          </w:tcPr>
          <w:p>
            <w:pPr>
              <w:spacing w:after="0"/>
              <w:rPr>
                <w:sz w:val="1"/>
                <w:szCs w:val="1"/>
                <w:color w:val="auto"/>
              </w:rPr>
            </w:pPr>
          </w:p>
        </w:tc>
      </w:tr>
      <w:tr>
        <w:trPr>
          <w:trHeight w:val="20"/>
        </w:trPr>
        <w:tc>
          <w:tcPr>
            <w:tcW w:w="6480" w:type="dxa"/>
            <w:vAlign w:val="bottom"/>
            <w:gridSpan w:val="2"/>
            <w:vMerge w:val="restart"/>
          </w:tcPr>
          <w:p>
            <w:pPr>
              <w:spacing w:after="0"/>
              <w:rPr>
                <w:sz w:val="20"/>
                <w:szCs w:val="20"/>
                <w:color w:val="auto"/>
              </w:rPr>
            </w:pPr>
            <w:r>
              <w:rPr>
                <w:rFonts w:ascii="Times New Roman" w:cs="Times New Roman" w:eastAsia="Times New Roman" w:hAnsi="Times New Roman"/>
                <w:sz w:val="18"/>
                <w:szCs w:val="18"/>
                <w:color w:val="auto"/>
              </w:rPr>
              <w:t>Net Loss per share - Diluted</w:t>
            </w:r>
          </w:p>
        </w:tc>
        <w:tc>
          <w:tcPr>
            <w:tcW w:w="15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480" w:type="dxa"/>
            <w:vAlign w:val="bottom"/>
            <w:gridSpan w:val="2"/>
            <w:vMerge w:val="continue"/>
          </w:tcPr>
          <w:p>
            <w:pPr>
              <w:spacing w:after="0"/>
              <w:rPr>
                <w:sz w:val="18"/>
                <w:szCs w:val="18"/>
                <w:color w:val="auto"/>
              </w:rPr>
            </w:pPr>
          </w:p>
        </w:tc>
        <w:tc>
          <w:tcPr>
            <w:tcW w:w="156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(0.28)</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(0.30)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Weighted average shares used in the calculation of net loss per share</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Basic</w:t>
            </w:r>
          </w:p>
        </w:tc>
        <w:tc>
          <w:tcPr>
            <w:tcW w:w="156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667,184</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667,184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46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Diluted</w:t>
            </w:r>
          </w:p>
        </w:tc>
        <w:tc>
          <w:tcPr>
            <w:tcW w:w="1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667,184</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667,184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040"/>
          </w:cols>
          <w:pgMar w:left="440" w:top="266" w:right="419" w:bottom="1440" w:gutter="0" w:footer="0" w:header="0"/>
        </w:sectPr>
      </w:pPr>
    </w:p>
    <w:bookmarkStart w:id="6" w:name="page7"/>
    <w:bookmarkEnd w:id="6"/>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3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Pro Forma Condensed Consolidated Statement of Income</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i w:val="1"/>
          <w:iCs w:val="1"/>
          <w:color w:val="auto"/>
        </w:rPr>
        <w:t>(in thousands, except per share amounts)</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i w:val="1"/>
          <w:iCs w:val="1"/>
          <w:color w:val="auto"/>
        </w:rPr>
        <w:t>(unaudited)</w:t>
      </w: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6460" w:type="dxa"/>
            <w:vAlign w:val="bottom"/>
          </w:tcPr>
          <w:p>
            <w:pPr>
              <w:spacing w:after="0"/>
              <w:rPr>
                <w:sz w:val="15"/>
                <w:szCs w:val="15"/>
                <w:color w:val="auto"/>
              </w:rPr>
            </w:pPr>
          </w:p>
        </w:tc>
        <w:tc>
          <w:tcPr>
            <w:tcW w:w="15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900" w:type="dxa"/>
            <w:vAlign w:val="bottom"/>
            <w:gridSpan w:val="10"/>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Year Ended February 2, 2019</w:t>
            </w: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6460" w:type="dxa"/>
            <w:vAlign w:val="bottom"/>
          </w:tcPr>
          <w:p>
            <w:pPr>
              <w:spacing w:after="0"/>
              <w:rPr>
                <w:sz w:val="10"/>
                <w:szCs w:val="10"/>
                <w:color w:val="auto"/>
              </w:rPr>
            </w:pPr>
          </w:p>
        </w:tc>
        <w:tc>
          <w:tcPr>
            <w:tcW w:w="156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gridSpan w:val="2"/>
          </w:tcPr>
          <w:p>
            <w:pPr>
              <w:jc w:val="center"/>
              <w:ind w:right="200"/>
              <w:spacing w:after="0" w:line="118" w:lineRule="exact"/>
              <w:rPr>
                <w:sz w:val="20"/>
                <w:szCs w:val="20"/>
                <w:color w:val="auto"/>
              </w:rPr>
            </w:pPr>
            <w:r>
              <w:rPr>
                <w:rFonts w:ascii="Times New Roman" w:cs="Times New Roman" w:eastAsia="Times New Roman" w:hAnsi="Times New Roman"/>
                <w:sz w:val="13"/>
                <w:szCs w:val="13"/>
                <w:b w:val="1"/>
                <w:bCs w:val="1"/>
                <w:color w:val="auto"/>
              </w:rPr>
              <w:t>Historical</w:t>
            </w:r>
          </w:p>
        </w:tc>
        <w:tc>
          <w:tcPr>
            <w:tcW w:w="8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gridSpan w:val="3"/>
          </w:tcPr>
          <w:p>
            <w:pPr>
              <w:jc w:val="center"/>
              <w:ind w:right="60"/>
              <w:spacing w:after="0" w:line="118" w:lineRule="exact"/>
              <w:rPr>
                <w:sz w:val="20"/>
                <w:szCs w:val="20"/>
                <w:color w:val="auto"/>
              </w:rPr>
            </w:pPr>
            <w:r>
              <w:rPr>
                <w:rFonts w:ascii="Times New Roman" w:cs="Times New Roman" w:eastAsia="Times New Roman" w:hAnsi="Times New Roman"/>
                <w:sz w:val="13"/>
                <w:szCs w:val="13"/>
                <w:b w:val="1"/>
                <w:bCs w:val="1"/>
                <w:color w:val="auto"/>
              </w:rPr>
              <w:t>Pro Forma</w:t>
            </w:r>
          </w:p>
        </w:tc>
        <w:tc>
          <w:tcPr>
            <w:tcW w:w="8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gridSpan w:val="2"/>
          </w:tcPr>
          <w:p>
            <w:pPr>
              <w:jc w:val="right"/>
              <w:spacing w:after="0" w:line="118" w:lineRule="exact"/>
              <w:rPr>
                <w:sz w:val="20"/>
                <w:szCs w:val="20"/>
                <w:color w:val="auto"/>
              </w:rPr>
            </w:pPr>
            <w:r>
              <w:rPr>
                <w:rFonts w:ascii="Times New Roman" w:cs="Times New Roman" w:eastAsia="Times New Roman" w:hAnsi="Times New Roman"/>
                <w:sz w:val="13"/>
                <w:szCs w:val="13"/>
                <w:b w:val="1"/>
                <w:bCs w:val="1"/>
                <w:color w:val="auto"/>
              </w:rPr>
              <w:t>Pro Forma</w:t>
            </w: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6460" w:type="dxa"/>
            <w:vAlign w:val="bottom"/>
          </w:tcPr>
          <w:p>
            <w:pPr>
              <w:spacing w:after="0"/>
              <w:rPr>
                <w:sz w:val="15"/>
                <w:szCs w:val="15"/>
                <w:color w:val="auto"/>
              </w:rPr>
            </w:pPr>
          </w:p>
        </w:tc>
        <w:tc>
          <w:tcPr>
            <w:tcW w:w="15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6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Results</w:t>
            </w:r>
          </w:p>
        </w:tc>
        <w:tc>
          <w:tcPr>
            <w:tcW w:w="1020" w:type="dxa"/>
            <w:vAlign w:val="bottom"/>
            <w:gridSpan w:val="4"/>
          </w:tcPr>
          <w:p>
            <w:pPr>
              <w:jc w:val="center"/>
              <w:spacing w:after="0"/>
              <w:rPr>
                <w:sz w:val="20"/>
                <w:szCs w:val="20"/>
                <w:color w:val="auto"/>
              </w:rPr>
            </w:pPr>
            <w:r>
              <w:rPr>
                <w:rFonts w:ascii="Times New Roman" w:cs="Times New Roman" w:eastAsia="Times New Roman" w:hAnsi="Times New Roman"/>
                <w:sz w:val="14"/>
                <w:szCs w:val="14"/>
                <w:b w:val="1"/>
                <w:bCs w:val="1"/>
                <w:color w:val="auto"/>
              </w:rPr>
              <w:t>Adjustments</w:t>
            </w: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60" w:type="dxa"/>
            <w:vAlign w:val="bottom"/>
            <w:gridSpan w:val="2"/>
          </w:tcPr>
          <w:p>
            <w:pPr>
              <w:jc w:val="right"/>
              <w:ind w:right="240"/>
              <w:spacing w:after="0"/>
              <w:rPr>
                <w:sz w:val="20"/>
                <w:szCs w:val="20"/>
                <w:color w:val="auto"/>
              </w:rPr>
            </w:pPr>
            <w:r>
              <w:rPr>
                <w:rFonts w:ascii="Times New Roman" w:cs="Times New Roman" w:eastAsia="Times New Roman" w:hAnsi="Times New Roman"/>
                <w:sz w:val="14"/>
                <w:szCs w:val="14"/>
                <w:b w:val="1"/>
                <w:bCs w:val="1"/>
                <w:color w:val="auto"/>
              </w:rPr>
              <w:t>Results</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460" w:type="dxa"/>
            <w:vAlign w:val="bottom"/>
          </w:tcPr>
          <w:p>
            <w:pPr>
              <w:spacing w:after="0"/>
              <w:rPr>
                <w:sz w:val="12"/>
                <w:szCs w:val="12"/>
                <w:color w:val="auto"/>
              </w:rPr>
            </w:pPr>
          </w:p>
        </w:tc>
        <w:tc>
          <w:tcPr>
            <w:tcW w:w="156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jc w:val="center"/>
              <w:ind w:right="33"/>
              <w:spacing w:after="0" w:line="142" w:lineRule="exact"/>
              <w:rPr>
                <w:sz w:val="20"/>
                <w:szCs w:val="20"/>
                <w:color w:val="auto"/>
              </w:rPr>
            </w:pPr>
            <w:r>
              <w:rPr>
                <w:rFonts w:ascii="Times New Roman" w:cs="Times New Roman" w:eastAsia="Times New Roman" w:hAnsi="Times New Roman"/>
                <w:sz w:val="14"/>
                <w:szCs w:val="14"/>
                <w:b w:val="1"/>
                <w:bCs w:val="1"/>
                <w:color w:val="auto"/>
              </w:rPr>
              <w:t>(b)</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jc w:val="center"/>
              <w:ind w:right="51"/>
              <w:spacing w:after="0" w:line="142" w:lineRule="exact"/>
              <w:rPr>
                <w:sz w:val="20"/>
                <w:szCs w:val="20"/>
                <w:color w:val="auto"/>
              </w:rPr>
            </w:pPr>
            <w:r>
              <w:rPr>
                <w:rFonts w:ascii="Times New Roman" w:cs="Times New Roman" w:eastAsia="Times New Roman" w:hAnsi="Times New Roman"/>
                <w:sz w:val="14"/>
                <w:szCs w:val="14"/>
                <w:b w:val="1"/>
                <w:bCs w:val="1"/>
                <w:color w:val="auto"/>
              </w:rPr>
              <w:t>(d)</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revenue</w:t>
            </w:r>
          </w:p>
        </w:tc>
        <w:tc>
          <w:tcPr>
            <w:tcW w:w="16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2,865,791</w:t>
            </w:r>
          </w:p>
        </w:tc>
        <w:tc>
          <w:tcPr>
            <w:tcW w:w="1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(307,712)</w:t>
            </w:r>
          </w:p>
        </w:tc>
        <w:tc>
          <w:tcPr>
            <w:tcW w:w="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2,558,079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spacing w:after="0"/>
              <w:rPr>
                <w:sz w:val="20"/>
                <w:szCs w:val="20"/>
                <w:color w:val="auto"/>
              </w:rPr>
            </w:pPr>
            <w:r>
              <w:rPr>
                <w:rFonts w:ascii="Times New Roman" w:cs="Times New Roman" w:eastAsia="Times New Roman" w:hAnsi="Times New Roman"/>
                <w:sz w:val="18"/>
                <w:szCs w:val="18"/>
                <w:color w:val="auto"/>
              </w:rPr>
              <w:t>Cost of goods sold</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7"/>
              </w:rPr>
              <w:t>1,407,399</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(157,026)</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1,250,373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46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Gross profit</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1,458,392</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(150,686)</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1,307,706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64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Operating expenses:</w:t>
            </w:r>
          </w:p>
        </w:tc>
        <w:tc>
          <w:tcPr>
            <w:tcW w:w="15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Research and development</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914,009</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(113,726)</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800,283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424,360</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(16,440)</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407,920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76,753</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76,753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460" w:type="dxa"/>
            <w:vAlign w:val="bottom"/>
          </w:tcPr>
          <w:p>
            <w:pPr>
              <w:ind w:left="700"/>
              <w:spacing w:after="0"/>
              <w:rPr>
                <w:sz w:val="20"/>
                <w:szCs w:val="20"/>
                <w:color w:val="auto"/>
              </w:rPr>
            </w:pPr>
            <w:r>
              <w:rPr>
                <w:rFonts w:ascii="Times New Roman" w:cs="Times New Roman" w:eastAsia="Times New Roman" w:hAnsi="Times New Roman"/>
                <w:sz w:val="18"/>
                <w:szCs w:val="18"/>
                <w:color w:val="auto"/>
              </w:rPr>
              <w:t>Total operating expenses</w:t>
            </w:r>
          </w:p>
        </w:tc>
        <w:tc>
          <w:tcPr>
            <w:tcW w:w="15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7"/>
              </w:rPr>
              <w:t>1,415,122</w:t>
            </w: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3"/>
              </w:rPr>
              <w:t>(130,166)</w:t>
            </w:r>
          </w:p>
        </w:tc>
        <w:tc>
          <w:tcPr>
            <w:tcW w:w="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1,284,956</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Operating income</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43,270</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(20,520)</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22,750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Interest income</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11,926</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11,926</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Interest expense</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(60,362)</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(60,362)</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46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Other income, net</w:t>
            </w:r>
          </w:p>
        </w:tc>
        <w:tc>
          <w:tcPr>
            <w:tcW w:w="15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519</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80" w:type="dxa"/>
            <w:vAlign w:val="bottom"/>
            <w:tcBorders>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519</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700"/>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(47,917)</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(47,917)</w:t>
            </w:r>
          </w:p>
        </w:tc>
        <w:tc>
          <w:tcPr>
            <w:tcW w:w="0" w:type="dxa"/>
            <w:vAlign w:val="bottom"/>
          </w:tcPr>
          <w:p>
            <w:pPr>
              <w:spacing w:after="0"/>
              <w:rPr>
                <w:sz w:val="1"/>
                <w:szCs w:val="1"/>
                <w:color w:val="auto"/>
              </w:rPr>
            </w:pPr>
          </w:p>
        </w:tc>
      </w:tr>
      <w:tr>
        <w:trPr>
          <w:trHeight w:val="223"/>
        </w:trPr>
        <w:tc>
          <w:tcPr>
            <w:tcW w:w="64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Loss before income taxes</w:t>
            </w:r>
          </w:p>
        </w:tc>
        <w:tc>
          <w:tcPr>
            <w:tcW w:w="15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(4,647)</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(20,520)</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(25,167)</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Provision for income taxes</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174,447</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(1,844)</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172,603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64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Net Loss</w:t>
            </w:r>
          </w:p>
        </w:tc>
        <w:tc>
          <w:tcPr>
            <w:tcW w:w="15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(179,094</w:t>
            </w:r>
          </w:p>
        </w:tc>
        <w:tc>
          <w:tcPr>
            <w:tcW w:w="120" w:type="dxa"/>
            <w:vAlign w:val="bottom"/>
          </w:tcPr>
          <w:p>
            <w:pPr>
              <w:jc w:val="right"/>
              <w:ind w:right="40"/>
              <w:spacing w:after="0"/>
              <w:rPr>
                <w:sz w:val="20"/>
                <w:szCs w:val="20"/>
                <w:color w:val="auto"/>
              </w:rPr>
            </w:pPr>
            <w:r>
              <w:rPr>
                <w:rFonts w:ascii="Times New Roman" w:cs="Times New Roman" w:eastAsia="Times New Roman" w:hAnsi="Times New Roman"/>
                <w:sz w:val="8"/>
                <w:szCs w:val="8"/>
                <w:color w:val="auto"/>
                <w:w w:val="73"/>
              </w:rPr>
              <w:t>)</w:t>
            </w:r>
          </w:p>
        </w:tc>
        <w:tc>
          <w:tcPr>
            <w:tcW w:w="8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(18,676</w:t>
            </w:r>
          </w:p>
        </w:tc>
        <w:tc>
          <w:tcPr>
            <w:tcW w:w="140" w:type="dxa"/>
            <w:vAlign w:val="bottom"/>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8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(197,770</w:t>
            </w:r>
          </w:p>
        </w:tc>
        <w:tc>
          <w:tcPr>
            <w:tcW w:w="120" w:type="dxa"/>
            <w:vAlign w:val="bottom"/>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Loss per share - Basic</w:t>
            </w:r>
          </w:p>
        </w:tc>
        <w:tc>
          <w:tcPr>
            <w:tcW w:w="16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(0.30)</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(0.33)</w:t>
            </w:r>
          </w:p>
        </w:tc>
        <w:tc>
          <w:tcPr>
            <w:tcW w:w="0" w:type="dxa"/>
            <w:vAlign w:val="bottom"/>
          </w:tcPr>
          <w:p>
            <w:pPr>
              <w:spacing w:after="0"/>
              <w:rPr>
                <w:sz w:val="1"/>
                <w:szCs w:val="1"/>
                <w:color w:val="auto"/>
              </w:rPr>
            </w:pPr>
          </w:p>
        </w:tc>
      </w:tr>
      <w:tr>
        <w:trPr>
          <w:trHeight w:val="20"/>
        </w:trPr>
        <w:tc>
          <w:tcPr>
            <w:tcW w:w="6480" w:type="dxa"/>
            <w:vAlign w:val="bottom"/>
            <w:gridSpan w:val="2"/>
            <w:vMerge w:val="restart"/>
          </w:tcPr>
          <w:p>
            <w:pPr>
              <w:spacing w:after="0"/>
              <w:rPr>
                <w:sz w:val="20"/>
                <w:szCs w:val="20"/>
                <w:color w:val="auto"/>
              </w:rPr>
            </w:pPr>
            <w:r>
              <w:rPr>
                <w:rFonts w:ascii="Times New Roman" w:cs="Times New Roman" w:eastAsia="Times New Roman" w:hAnsi="Times New Roman"/>
                <w:sz w:val="18"/>
                <w:szCs w:val="18"/>
                <w:color w:val="auto"/>
              </w:rPr>
              <w:t>Net Loss per share - Diluted</w:t>
            </w:r>
          </w:p>
        </w:tc>
        <w:tc>
          <w:tcPr>
            <w:tcW w:w="15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480" w:type="dxa"/>
            <w:vAlign w:val="bottom"/>
            <w:gridSpan w:val="2"/>
            <w:vMerge w:val="continue"/>
          </w:tcPr>
          <w:p>
            <w:pPr>
              <w:spacing w:after="0"/>
              <w:rPr>
                <w:sz w:val="18"/>
                <w:szCs w:val="18"/>
                <w:color w:val="auto"/>
              </w:rPr>
            </w:pPr>
          </w:p>
        </w:tc>
        <w:tc>
          <w:tcPr>
            <w:tcW w:w="156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(0.30)</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(0.33)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Weighted average shares used in the calculation of net loss per share</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Basic</w:t>
            </w:r>
          </w:p>
        </w:tc>
        <w:tc>
          <w:tcPr>
            <w:tcW w:w="156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591,232</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591,232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46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Diluted</w:t>
            </w:r>
          </w:p>
        </w:tc>
        <w:tc>
          <w:tcPr>
            <w:tcW w:w="1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591,232</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591,232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23"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Notes to the Unaudited Pro Forma Condensed Consolidated Financial Statements</w:t>
      </w:r>
    </w:p>
    <w:p>
      <w:pPr>
        <w:spacing w:after="0" w:line="3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i w:val="1"/>
          <w:iCs w:val="1"/>
          <w:color w:val="auto"/>
        </w:rPr>
        <w:t>(unaudited)</w:t>
      </w:r>
    </w:p>
    <w:p>
      <w:pPr>
        <w:spacing w:after="0" w:line="31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1. Pro Forma Adjustments</w:t>
      </w:r>
    </w:p>
    <w:p>
      <w:pPr>
        <w:spacing w:after="0" w:line="121" w:lineRule="exact"/>
        <w:rPr>
          <w:sz w:val="20"/>
          <w:szCs w:val="20"/>
          <w:color w:val="auto"/>
        </w:rPr>
      </w:pPr>
    </w:p>
    <w:p>
      <w:pPr>
        <w:ind w:right="320"/>
        <w:spacing w:after="0" w:line="282" w:lineRule="auto"/>
        <w:rPr>
          <w:sz w:val="20"/>
          <w:szCs w:val="20"/>
          <w:color w:val="auto"/>
        </w:rPr>
      </w:pPr>
      <w:r>
        <w:rPr>
          <w:rFonts w:ascii="Times New Roman" w:cs="Times New Roman" w:eastAsia="Times New Roman" w:hAnsi="Times New Roman"/>
          <w:sz w:val="18"/>
          <w:szCs w:val="18"/>
          <w:color w:val="auto"/>
        </w:rPr>
        <w:t>The following is a summary of the pro forma adjustments reflected in the unaudited pro forma condensed consolidated financial statements based on preliminary estimates, which may change as additional information is obtained:</w:t>
      </w:r>
    </w:p>
    <w:p>
      <w:pPr>
        <w:spacing w:after="0" w:line="67" w:lineRule="exact"/>
        <w:rPr>
          <w:sz w:val="20"/>
          <w:szCs w:val="20"/>
          <w:color w:val="auto"/>
        </w:rPr>
      </w:pPr>
    </w:p>
    <w:p>
      <w:pPr>
        <w:ind w:left="440" w:right="80" w:hanging="436"/>
        <w:spacing w:after="0" w:line="282" w:lineRule="auto"/>
        <w:tabs>
          <w:tab w:leader="none" w:pos="44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Company's condensed consolidated balance sheet and statement of income as of and for the nine months ended November 2, 2019, as contained in the financial statements presented in the Company's Quarterly Report on Form 10-Q, as filed with the SEC on December 4, 2019.</w:t>
      </w:r>
    </w:p>
    <w:p>
      <w:pPr>
        <w:spacing w:after="0" w:line="67" w:lineRule="exact"/>
        <w:rPr>
          <w:rFonts w:ascii="Times New Roman" w:cs="Times New Roman" w:eastAsia="Times New Roman" w:hAnsi="Times New Roman"/>
          <w:sz w:val="18"/>
          <w:szCs w:val="18"/>
          <w:color w:val="auto"/>
        </w:rPr>
      </w:pPr>
    </w:p>
    <w:p>
      <w:pPr>
        <w:ind w:left="440" w:right="160" w:hanging="436"/>
        <w:spacing w:after="0" w:line="282" w:lineRule="auto"/>
        <w:tabs>
          <w:tab w:leader="none" w:pos="44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Company's consolidated statement of income for the year ended February 2, 2019, as contained in the financial statements presented in the Company's Annual Report on Form 10-K, as filed with the SEC on March 28, 2019.</w:t>
      </w:r>
    </w:p>
    <w:p>
      <w:pPr>
        <w:spacing w:after="0" w:line="67" w:lineRule="exact"/>
        <w:rPr>
          <w:rFonts w:ascii="Times New Roman" w:cs="Times New Roman" w:eastAsia="Times New Roman" w:hAnsi="Times New Roman"/>
          <w:sz w:val="18"/>
          <w:szCs w:val="18"/>
          <w:color w:val="auto"/>
        </w:rPr>
      </w:pPr>
    </w:p>
    <w:p>
      <w:pPr>
        <w:ind w:left="440" w:hanging="436"/>
        <w:spacing w:after="0"/>
        <w:tabs>
          <w:tab w:leader="none" w:pos="44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Represents the elimination of the assets and liabilities associated with the Wireless Connectivity Business as of November 2, 2019.</w:t>
      </w:r>
    </w:p>
    <w:p>
      <w:pPr>
        <w:spacing w:after="0" w:line="130" w:lineRule="exact"/>
        <w:rPr>
          <w:rFonts w:ascii="Times New Roman" w:cs="Times New Roman" w:eastAsia="Times New Roman" w:hAnsi="Times New Roman"/>
          <w:sz w:val="18"/>
          <w:szCs w:val="18"/>
          <w:color w:val="auto"/>
        </w:rPr>
      </w:pPr>
    </w:p>
    <w:p>
      <w:pPr>
        <w:ind w:left="440" w:right="160" w:hanging="436"/>
        <w:spacing w:after="0" w:line="282" w:lineRule="auto"/>
        <w:tabs>
          <w:tab w:leader="none" w:pos="44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Represents the elimination of revenues and expenses associated with the Wireless Connectivity Business for the nine months ended November 2, 2019 and for the year ended February 2, 2019.</w:t>
      </w:r>
    </w:p>
    <w:p>
      <w:pPr>
        <w:spacing w:after="0" w:line="67" w:lineRule="exact"/>
        <w:rPr>
          <w:rFonts w:ascii="Times New Roman" w:cs="Times New Roman" w:eastAsia="Times New Roman" w:hAnsi="Times New Roman"/>
          <w:sz w:val="18"/>
          <w:szCs w:val="18"/>
          <w:color w:val="auto"/>
        </w:rPr>
      </w:pPr>
    </w:p>
    <w:p>
      <w:pPr>
        <w:ind w:left="440" w:hanging="436"/>
        <w:spacing w:after="0"/>
        <w:tabs>
          <w:tab w:leader="none" w:pos="44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Represents the estimated cash received by the Company, net of closing costs and working capital adjustments.</w:t>
      </w:r>
    </w:p>
    <w:p>
      <w:pPr>
        <w:spacing w:after="0" w:line="130" w:lineRule="exact"/>
        <w:rPr>
          <w:rFonts w:ascii="Times New Roman" w:cs="Times New Roman" w:eastAsia="Times New Roman" w:hAnsi="Times New Roman"/>
          <w:sz w:val="18"/>
          <w:szCs w:val="18"/>
          <w:color w:val="auto"/>
        </w:rPr>
      </w:pPr>
    </w:p>
    <w:p>
      <w:pPr>
        <w:ind w:left="440" w:right="280" w:hanging="436"/>
        <w:spacing w:after="0" w:line="266" w:lineRule="auto"/>
        <w:tabs>
          <w:tab w:leader="none" w:pos="44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Represents the estimated gain on sale, net of closing costs and working capital adjustments. As the gain is directly attributable to the sale and is not expected to have a continuing impact on the Company’s operations, it is only reflected in retained earnings on the unaudited pro forma condensed consolidated balance sheet.</w:t>
      </w:r>
    </w:p>
    <w:p>
      <w:pPr>
        <w:spacing w:after="0" w:line="81" w:lineRule="exact"/>
        <w:rPr>
          <w:rFonts w:ascii="Times New Roman" w:cs="Times New Roman" w:eastAsia="Times New Roman" w:hAnsi="Times New Roman"/>
          <w:sz w:val="18"/>
          <w:szCs w:val="18"/>
          <w:color w:val="auto"/>
        </w:rPr>
      </w:pPr>
    </w:p>
    <w:p>
      <w:pPr>
        <w:ind w:left="440" w:hanging="436"/>
        <w:spacing w:after="0"/>
        <w:tabs>
          <w:tab w:leader="none" w:pos="44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Represents adjustment of goodwill allocation at close based on the relative fair value of the Wireless Connectivity Business.</w:t>
      </w:r>
    </w:p>
    <w:sectPr>
      <w:pgSz w:w="11900" w:h="16838" w:orient="portrait"/>
      <w:cols w:equalWidth="0" w:num="1">
        <w:col w:w="11040"/>
      </w:cols>
      <w:pgMar w:left="440" w:top="266" w:right="4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lowerLetter"/>
      <w:start w:val="2"/>
    </w:lvl>
  </w:abstractNum>
  <w:abstractNum w:abstractNumId="2">
    <w:nsid w:val="2AE8944A"/>
    <w:multiLevelType w:val="hybridMultilevel"/>
    <w:lvl w:ilvl="0">
      <w:lvlJc w:val="left"/>
      <w:lvlText w:val="(%1)"/>
      <w:numFmt w:val="lowerLetter"/>
      <w:start w:val="4"/>
    </w:lvl>
  </w:abstractNum>
  <w:abstractNum w:abstractNumId="3">
    <w:nsid w:val="625558EC"/>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2019-12-28T01:05:20Z</dcterms:created>
  <dcterms:modified xsi:type="dcterms:W3CDTF">2019-12-28T01:05:20Z</dcterms:modified>
</cp:coreProperties>
</file>