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-248920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22225</wp:posOffset>
            </wp:positionV>
            <wp:extent cx="7272020" cy="51708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17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0" w:right="239" w:bottom="1440" w:gutter="0" w:footer="0" w:header="0"/>
        </w:sectPr>
      </w:pP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2"/>
          <w:szCs w:val="22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2"/>
            <w:szCs w:val="22"/>
            <w:u w:val="single" w:color="auto"/>
            <w:color w:val="0000EE"/>
          </w:rPr>
          <w:t>Hussain Muhammad Raghib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6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  <w:w w:val="96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  <w:w w:val="96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 w:line="15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 w:line="15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12/31/2019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2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0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12/31/2019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G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6"/>
              </w:rPr>
              <w:t>12,000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0.00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8"/>
                <w:vertAlign w:val="superscript"/>
              </w:rPr>
              <w:t>(1)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671,747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right"/>
              <w:ind w:right="3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6"/>
              </w:rPr>
              <w:t>78,324</w:t>
            </w:r>
          </w:p>
        </w:tc>
        <w:tc>
          <w:tcPr>
            <w:tcW w:w="920" w:type="dxa"/>
            <w:vAlign w:val="bottom"/>
          </w:tcPr>
          <w:p>
            <w:pPr>
              <w:ind w:left="340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These shares were given as a Gift/Charitable Donation, therefore, no price has been reported.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Includes 350 shares acquired under the Marvell 2000 Employee Stock Purchase Plan on December 6, 2019, in an exempt transaction under Rule 16b-3(c) of the Securities Exchange Act of 1934.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Held in trusts of which the Reporting Person is the trustee, for the benefit of members of his immediate family.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37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-10160</wp:posOffset>
            </wp:positionV>
            <wp:extent cx="141478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01/03/2020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95707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9177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0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2020-01-03T13:02:28Z</dcterms:created>
  <dcterms:modified xsi:type="dcterms:W3CDTF">2020-01-03T13:02:28Z</dcterms:modified>
</cp:coreProperties>
</file>