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UNITED STATES</w:t>
      </w:r>
    </w:p>
    <w:p>
      <w:pPr>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spacing w:after="0"/>
        <w:rPr>
          <w:sz w:val="20"/>
          <w:szCs w:val="20"/>
          <w:color w:val="auto"/>
        </w:rPr>
      </w:pPr>
      <w:r>
        <w:rPr>
          <w:rFonts w:ascii="Courier New" w:cs="Courier New" w:eastAsia="Courier New" w:hAnsi="Courier New"/>
          <w:sz w:val="18"/>
          <w:szCs w:val="18"/>
          <w:color w:val="auto"/>
        </w:rPr>
        <w:t>Washington, D.C. 20549</w:t>
      </w:r>
    </w:p>
    <w:p>
      <w:pPr>
        <w:spacing w:after="0" w:line="237" w:lineRule="auto"/>
        <w:rPr>
          <w:sz w:val="20"/>
          <w:szCs w:val="20"/>
          <w:color w:val="auto"/>
        </w:rPr>
      </w:pPr>
      <w:r>
        <w:rPr>
          <w:rFonts w:ascii="Courier New" w:cs="Courier New" w:eastAsia="Courier New" w:hAnsi="Courier New"/>
          <w:sz w:val="18"/>
          <w:szCs w:val="18"/>
          <w:color w:val="auto"/>
        </w:rPr>
        <w:t>SCHEDULE 13G</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5)</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38" w:lineRule="auto"/>
        <w:rPr>
          <w:sz w:val="20"/>
          <w:szCs w:val="20"/>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2019</w:t>
      </w:r>
    </w:p>
    <w:p>
      <w:pPr>
        <w:spacing w:after="0" w:line="238" w:lineRule="auto"/>
        <w:rPr>
          <w:sz w:val="20"/>
          <w:szCs w:val="20"/>
          <w:color w:val="auto"/>
        </w:rPr>
      </w:pPr>
      <w:r>
        <w:rPr>
          <w:rFonts w:ascii="Courier New" w:cs="Courier New" w:eastAsia="Courier New" w:hAnsi="Courier New"/>
          <w:sz w:val="18"/>
          <w:szCs w:val="18"/>
          <w:color w:val="auto"/>
        </w:rPr>
        <w:t>(Date of Event which Requires Filing of Statement)</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5" w:lineRule="exact"/>
        <w:rPr>
          <w:sz w:val="24"/>
          <w:szCs w:val="24"/>
          <w:color w:val="auto"/>
        </w:rPr>
      </w:pPr>
    </w:p>
    <w:p>
      <w:pPr>
        <w:jc w:val="both"/>
        <w:ind w:left="540" w:right="8099" w:hanging="532"/>
        <w:spacing w:after="0" w:line="279" w:lineRule="auto"/>
        <w:tabs>
          <w:tab w:leader="none" w:pos="54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 - 1(b) Rule 13d - 1(c) Rule 13d - 1(d)</w:t>
      </w:r>
    </w:p>
    <w:p>
      <w:pPr>
        <w:spacing w:after="0" w:line="173" w:lineRule="exact"/>
        <w:rPr>
          <w:sz w:val="24"/>
          <w:szCs w:val="24"/>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 ROWE PRICE ASSOCIATES, INC.</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52-0556948</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6" w:lineRule="exact"/>
        <w:rPr>
          <w:rFonts w:ascii="Courier New" w:cs="Courier New" w:eastAsia="Courier New" w:hAnsi="Courier New"/>
          <w:sz w:val="18"/>
          <w:szCs w:val="18"/>
          <w:color w:val="auto"/>
        </w:rPr>
      </w:pPr>
    </w:p>
    <w:p>
      <w:pPr>
        <w:ind w:left="320" w:right="6099" w:hanging="312"/>
        <w:spacing w:after="0" w:line="235" w:lineRule="auto"/>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Maryland</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Number of Shares Beneficially Owned by Each Reporting Person With</w:t>
      </w:r>
    </w:p>
    <w:p>
      <w:pPr>
        <w:spacing w:after="0" w:line="201"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5.</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20" w:type="dxa"/>
            <w:vAlign w:val="bottom"/>
          </w:tcPr>
          <w:p>
            <w:pPr>
              <w:ind w:left="60"/>
              <w:spacing w:after="0"/>
              <w:rPr>
                <w:sz w:val="20"/>
                <w:szCs w:val="20"/>
                <w:color w:val="auto"/>
              </w:rPr>
            </w:pPr>
            <w:r>
              <w:rPr>
                <w:rFonts w:ascii="Courier New" w:cs="Courier New" w:eastAsia="Courier New" w:hAnsi="Courier New"/>
                <w:sz w:val="18"/>
                <w:szCs w:val="18"/>
                <w:color w:val="auto"/>
              </w:rPr>
              <w:t>Voting Power*</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40,411,059</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6.</w:t>
            </w:r>
          </w:p>
        </w:tc>
        <w:tc>
          <w:tcPr>
            <w:tcW w:w="274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 Voting Power*</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0</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7.</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20" w:type="dxa"/>
            <w:vAlign w:val="bottom"/>
          </w:tcPr>
          <w:p>
            <w:pPr>
              <w:ind w:left="60"/>
              <w:spacing w:after="0"/>
              <w:rPr>
                <w:sz w:val="20"/>
                <w:szCs w:val="20"/>
                <w:color w:val="auto"/>
              </w:rPr>
            </w:pPr>
            <w:r>
              <w:rPr>
                <w:rFonts w:ascii="Courier New" w:cs="Courier New" w:eastAsia="Courier New" w:hAnsi="Courier New"/>
                <w:sz w:val="18"/>
                <w:szCs w:val="18"/>
                <w:color w:val="auto"/>
              </w:rPr>
              <w:t>Dispositive Power*</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w w:val="95"/>
              </w:rPr>
              <w:t>101,996,216</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8.</w:t>
            </w:r>
          </w:p>
        </w:tc>
        <w:tc>
          <w:tcPr>
            <w:tcW w:w="274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 Dispositive Power</w:t>
            </w:r>
          </w:p>
        </w:tc>
        <w:tc>
          <w:tcPr>
            <w:tcW w:w="1300" w:type="dxa"/>
            <w:vAlign w:val="bottom"/>
          </w:tcPr>
          <w:p>
            <w:pPr>
              <w:ind w:left="140"/>
              <w:spacing w:after="0"/>
              <w:rPr>
                <w:sz w:val="20"/>
                <w:szCs w:val="20"/>
                <w:color w:val="auto"/>
              </w:rPr>
            </w:pPr>
            <w:r>
              <w:rPr>
                <w:rFonts w:ascii="Courier New" w:cs="Courier New" w:eastAsia="Courier New" w:hAnsi="Courier New"/>
                <w:sz w:val="18"/>
                <w:szCs w:val="18"/>
                <w:color w:val="auto"/>
              </w:rPr>
              <w:t>0</w:t>
            </w:r>
          </w:p>
        </w:tc>
      </w:tr>
    </w:tbl>
    <w:p>
      <w:pPr>
        <w:spacing w:after="0" w:line="207" w:lineRule="exact"/>
        <w:rPr>
          <w:sz w:val="24"/>
          <w:szCs w:val="24"/>
          <w:color w:val="auto"/>
        </w:rPr>
      </w:pPr>
    </w:p>
    <w:p>
      <w:pPr>
        <w:ind w:left="320" w:right="3579" w:hanging="312"/>
        <w:spacing w:after="0" w:line="235" w:lineRule="auto"/>
        <w:tabs>
          <w:tab w:leader="none" w:pos="3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101,996,216</w:t>
      </w:r>
    </w:p>
    <w:p>
      <w:pPr>
        <w:spacing w:after="0" w:line="208"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Check Box if the Aggregate Amount in Row (9) Excludes Certain Shares</w:t>
      </w:r>
    </w:p>
    <w:p>
      <w:pPr>
        <w:spacing w:after="0" w:line="16" w:lineRule="exact"/>
        <w:rPr>
          <w:rFonts w:ascii="Courier New" w:cs="Courier New" w:eastAsia="Courier New" w:hAnsi="Courier New"/>
          <w:sz w:val="16"/>
          <w:szCs w:val="16"/>
          <w:color w:val="auto"/>
        </w:rPr>
      </w:pPr>
    </w:p>
    <w:p>
      <w:pPr>
        <w:ind w:left="86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NOT APPLICABLE</w:t>
      </w:r>
    </w:p>
    <w:p>
      <w:pPr>
        <w:spacing w:after="0" w:line="201" w:lineRule="exact"/>
        <w:rPr>
          <w:rFonts w:ascii="Courier New" w:cs="Courier New" w:eastAsia="Courier New" w:hAnsi="Courier New"/>
          <w:sz w:val="16"/>
          <w:szCs w:val="16"/>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ind w:left="860"/>
        <w:spacing w:after="0" w:line="238" w:lineRule="auto"/>
        <w:rPr>
          <w:sz w:val="20"/>
          <w:szCs w:val="20"/>
          <w:color w:val="auto"/>
        </w:rPr>
      </w:pPr>
      <w:r>
        <w:rPr>
          <w:rFonts w:ascii="Courier New" w:cs="Courier New" w:eastAsia="Courier New" w:hAnsi="Courier New"/>
          <w:sz w:val="18"/>
          <w:szCs w:val="18"/>
          <w:color w:val="auto"/>
        </w:rPr>
        <w:t>15.2%</w:t>
      </w:r>
    </w:p>
    <w:p>
      <w:pPr>
        <w:spacing w:after="0" w:line="202"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ind w:left="8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*Any shares reported in Items 5 and 6 are also reported in Item 7.</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CANON'S COURT, 22 VICTORIA STREET, HAMILTON HM 12, BERMUDA NA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Person(s) Filing:</w:t>
      </w:r>
    </w:p>
    <w:p>
      <w:pPr>
        <w:spacing w:after="0" w:line="238" w:lineRule="auto"/>
        <w:rPr>
          <w:sz w:val="20"/>
          <w:szCs w:val="20"/>
          <w:color w:val="auto"/>
        </w:rPr>
      </w:pPr>
      <w:r>
        <w:rPr>
          <w:rFonts w:ascii="Courier New" w:cs="Courier New" w:eastAsia="Courier New" w:hAnsi="Courier New"/>
          <w:sz w:val="18"/>
          <w:szCs w:val="18"/>
          <w:color w:val="auto"/>
        </w:rPr>
        <w:t>(1) T. ROWE PRICE ASSOCIATES, INC. ("Price Associates")</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of Principal Business Office:</w:t>
      </w:r>
    </w:p>
    <w:p>
      <w:pPr>
        <w:spacing w:after="0" w:line="238" w:lineRule="auto"/>
        <w:rPr>
          <w:sz w:val="20"/>
          <w:szCs w:val="20"/>
          <w:color w:val="auto"/>
        </w:rPr>
      </w:pPr>
      <w:r>
        <w:rPr>
          <w:rFonts w:ascii="Courier New" w:cs="Courier New" w:eastAsia="Courier New" w:hAnsi="Courier New"/>
          <w:sz w:val="18"/>
          <w:szCs w:val="18"/>
          <w:color w:val="auto"/>
        </w:rPr>
        <w:t>100 E. Pratt Street, Baltimore, MD 21202</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 or Place of Organization:</w:t>
      </w:r>
    </w:p>
    <w:p>
      <w:pPr>
        <w:spacing w:after="0" w:line="238" w:lineRule="auto"/>
        <w:rPr>
          <w:sz w:val="20"/>
          <w:szCs w:val="20"/>
          <w:color w:val="auto"/>
        </w:rPr>
      </w:pPr>
      <w:r>
        <w:rPr>
          <w:rFonts w:ascii="Courier New" w:cs="Courier New" w:eastAsia="Courier New" w:hAnsi="Courier New"/>
          <w:sz w:val="18"/>
          <w:szCs w:val="18"/>
          <w:color w:val="auto"/>
        </w:rPr>
        <w:t>(1) Maryland</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 COMMON STOCK</w:t>
      </w:r>
    </w:p>
    <w:p>
      <w:pPr>
        <w:sectPr>
          <w:pgSz w:w="11900" w:h="16855" w:orient="portrait"/>
          <w:cols w:equalWidth="0" w:num="1">
            <w:col w:w="10219"/>
          </w:cols>
          <w:pgMar w:left="240" w:top="244" w:right="1440" w:bottom="0" w:gutter="0" w:footer="0" w:header="0"/>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 The person filing this Schedule 13G is an:</w:t>
      </w:r>
    </w:p>
    <w:p>
      <w:pPr>
        <w:spacing w:after="0" w:line="4" w:lineRule="exact"/>
        <w:rPr>
          <w:sz w:val="20"/>
          <w:szCs w:val="20"/>
          <w:color w:val="auto"/>
        </w:rPr>
      </w:pPr>
    </w:p>
    <w:p>
      <w:pPr>
        <w:ind w:left="420" w:right="2939" w:hanging="412"/>
        <w:spacing w:after="0" w:line="235" w:lineRule="auto"/>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Adviser registered under Section 203 of the Investment Advisers Act of 1940</w:t>
      </w:r>
    </w:p>
    <w:p>
      <w:pPr>
        <w:spacing w:after="0" w:line="208" w:lineRule="exact"/>
        <w:rPr>
          <w:sz w:val="20"/>
          <w:szCs w:val="20"/>
          <w:color w:val="auto"/>
        </w:rPr>
      </w:pPr>
    </w:p>
    <w:p>
      <w:pPr>
        <w:ind w:left="860" w:right="2839" w:hanging="842"/>
        <w:spacing w:after="0" w:line="235" w:lineRule="auto"/>
        <w:rPr>
          <w:sz w:val="20"/>
          <w:szCs w:val="20"/>
          <w:color w:val="auto"/>
        </w:rPr>
      </w:pPr>
      <w:r>
        <w:rPr>
          <w:rFonts w:ascii="Courier New" w:cs="Courier New" w:eastAsia="Courier New" w:hAnsi="Courier New"/>
          <w:sz w:val="18"/>
          <w:szCs w:val="18"/>
          <w:color w:val="auto"/>
        </w:rPr>
        <w:t>Item 4: Reference is made to Items 5-11 on the preceding pages of this Schedule 13G.</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ind w:left="860"/>
        <w:spacing w:after="0" w:line="238" w:lineRule="auto"/>
        <w:rPr>
          <w:sz w:val="20"/>
          <w:szCs w:val="20"/>
          <w:color w:val="auto"/>
        </w:rPr>
      </w:pPr>
      <w:r>
        <w:rPr>
          <w:rFonts w:ascii="Courier New" w:cs="Courier New" w:eastAsia="Courier New" w:hAnsi="Courier New"/>
          <w:sz w:val="18"/>
          <w:szCs w:val="18"/>
          <w:color w:val="auto"/>
        </w:rPr>
        <w:t>Not Applicable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7" w:lineRule="exact"/>
        <w:rPr>
          <w:sz w:val="20"/>
          <w:szCs w:val="20"/>
          <w:color w:val="auto"/>
        </w:rPr>
      </w:pPr>
    </w:p>
    <w:p>
      <w:pPr>
        <w:ind w:left="860" w:right="2099" w:hanging="852"/>
        <w:spacing w:after="0" w:line="275" w:lineRule="auto"/>
        <w:tabs>
          <w:tab w:leader="none" w:pos="86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182" w:lineRule="exact"/>
        <w:rPr>
          <w:rFonts w:ascii="Courier New" w:cs="Courier New" w:eastAsia="Courier New" w:hAnsi="Courier New"/>
          <w:sz w:val="16"/>
          <w:szCs w:val="16"/>
          <w:color w:val="auto"/>
        </w:rPr>
      </w:pPr>
    </w:p>
    <w:p>
      <w:pPr>
        <w:ind w:left="860" w:right="20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209" w:lineRule="exact"/>
        <w:rPr>
          <w:rFonts w:ascii="Courier New" w:cs="Courier New" w:eastAsia="Courier New" w:hAnsi="Courier New"/>
          <w:sz w:val="16"/>
          <w:szCs w:val="16"/>
          <w:color w:val="auto"/>
        </w:rPr>
      </w:pPr>
    </w:p>
    <w:p>
      <w:pPr>
        <w:ind w:left="860" w:right="19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208" w:lineRule="exact"/>
        <w:rPr>
          <w:rFonts w:ascii="Courier New" w:cs="Courier New" w:eastAsia="Courier New" w:hAnsi="Courier New"/>
          <w:sz w:val="16"/>
          <w:szCs w:val="16"/>
          <w:color w:val="auto"/>
        </w:rPr>
      </w:pPr>
    </w:p>
    <w:p>
      <w:pPr>
        <w:ind w:left="860" w:right="1999" w:hanging="852"/>
        <w:spacing w:after="0" w:line="237" w:lineRule="auto"/>
        <w:tabs>
          <w:tab w:leader="none" w:pos="8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securities owned by any one of the T. Rowe Price Funds, only the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210" w:lineRule="exact"/>
        <w:rPr>
          <w:sz w:val="20"/>
          <w:szCs w:val="20"/>
          <w:color w:val="auto"/>
        </w:rPr>
      </w:pPr>
    </w:p>
    <w:p>
      <w:pPr>
        <w:ind w:left="860" w:right="1999" w:hanging="842"/>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left="860" w:right="3359" w:hanging="842"/>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 Not Applicable</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ind w:left="860"/>
        <w:spacing w:after="0" w:line="238" w:lineRule="auto"/>
        <w:rPr>
          <w:sz w:val="20"/>
          <w:szCs w:val="20"/>
          <w:color w:val="auto"/>
        </w:rPr>
      </w:pPr>
      <w:r>
        <w:rPr>
          <w:rFonts w:ascii="Courier New" w:cs="Courier New" w:eastAsia="Courier New" w:hAnsi="Courier New"/>
          <w:sz w:val="18"/>
          <w:szCs w:val="18"/>
          <w:color w:val="auto"/>
        </w:rPr>
        <w:t>Not Applicable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4" w:lineRule="exact"/>
        <w:rPr>
          <w:sz w:val="20"/>
          <w:szCs w:val="20"/>
          <w:color w:val="auto"/>
        </w:rPr>
      </w:pPr>
    </w:p>
    <w:p>
      <w:pPr>
        <w:ind w:left="960" w:right="2099"/>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 T. Rowe Price Associates, Inc. hereby declares and affirms that the filing</w:t>
      </w:r>
    </w:p>
    <w:p>
      <w:pPr>
        <w:spacing w:after="0" w:line="10" w:lineRule="exact"/>
        <w:rPr>
          <w:sz w:val="20"/>
          <w:szCs w:val="20"/>
          <w:color w:val="auto"/>
        </w:rPr>
      </w:pPr>
    </w:p>
    <w:p>
      <w:pPr>
        <w:jc w:val="both"/>
        <w:ind w:left="960" w:right="2419"/>
        <w:spacing w:after="0" w:line="236" w:lineRule="auto"/>
        <w:rPr>
          <w:sz w:val="20"/>
          <w:szCs w:val="20"/>
          <w:color w:val="auto"/>
        </w:rPr>
      </w:pPr>
      <w:r>
        <w:rPr>
          <w:rFonts w:ascii="Courier New" w:cs="Courier New" w:eastAsia="Courier New" w:hAnsi="Courier New"/>
          <w:sz w:val="18"/>
          <w:szCs w:val="18"/>
          <w:color w:val="auto"/>
        </w:rPr>
        <w:t>of Schedule 13G shall not be construed as an admission that Price Associates is the beneficial owner of the securities referred to, which beneficial ownership is expressly denied.</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960" w:right="209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 ROWE PRICE ASSOCIATES, INC.</w:t>
      </w:r>
    </w:p>
    <w:p>
      <w:pPr>
        <w:spacing w:after="0" w:line="238" w:lineRule="auto"/>
        <w:rPr>
          <w:sz w:val="20"/>
          <w:szCs w:val="20"/>
          <w:color w:val="auto"/>
        </w:rPr>
      </w:pPr>
      <w:r>
        <w:rPr>
          <w:rFonts w:ascii="Courier New" w:cs="Courier New" w:eastAsia="Courier New" w:hAnsi="Courier New"/>
          <w:sz w:val="18"/>
          <w:szCs w:val="18"/>
          <w:color w:val="auto"/>
        </w:rPr>
        <w:t>Date: February 14, 2020</w:t>
      </w:r>
    </w:p>
    <w:p>
      <w:pPr>
        <w:spacing w:after="0"/>
        <w:rPr>
          <w:sz w:val="20"/>
          <w:szCs w:val="20"/>
          <w:color w:val="auto"/>
        </w:rPr>
      </w:pPr>
      <w:r>
        <w:rPr>
          <w:rFonts w:ascii="Courier New" w:cs="Courier New" w:eastAsia="Courier New" w:hAnsi="Courier New"/>
          <w:sz w:val="18"/>
          <w:szCs w:val="18"/>
          <w:color w:val="auto"/>
        </w:rPr>
        <w:t>Signature: /s/ David Oestreicher</w:t>
      </w:r>
    </w:p>
    <w:p>
      <w:pPr>
        <w:spacing w:after="0" w:line="237" w:lineRule="auto"/>
        <w:rPr>
          <w:sz w:val="20"/>
          <w:szCs w:val="20"/>
          <w:color w:val="auto"/>
        </w:rPr>
      </w:pPr>
      <w:r>
        <w:rPr>
          <w:rFonts w:ascii="Courier New" w:cs="Courier New" w:eastAsia="Courier New" w:hAnsi="Courier New"/>
          <w:sz w:val="18"/>
          <w:szCs w:val="18"/>
          <w:color w:val="auto"/>
        </w:rPr>
        <w:t>Name &amp; Title: David Oestreicher, Vice President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12/31/2019</w:t>
      </w:r>
    </w:p>
    <w:sectPr>
      <w:pgSz w:w="11900" w:h="16838" w:orient="portrait"/>
      <w:cols w:equalWidth="0" w:num="1">
        <w:col w:w="10219"/>
      </w:cols>
      <w:pgMar w:left="240" w:top="339" w:right="1440" w:bottom="943"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lowerRoman"/>
      <w:start w:val="10"/>
    </w:lvl>
  </w:abstractNum>
  <w:abstractNum w:abstractNumId="1">
    <w:nsid w:val="625558EC"/>
    <w:multiLevelType w:val="hybridMultilevel"/>
    <w:lvl w:ilvl="0">
      <w:lvlJc w:val="left"/>
      <w:lvlText w:val="%1."/>
      <w:numFmt w:val="decimal"/>
      <w:start w:val="1"/>
    </w:lvl>
  </w:abstractNum>
  <w:abstractNum w:abstractNumId="2">
    <w:nsid w:val="238E1F29"/>
    <w:multiLevelType w:val="hybridMultilevel"/>
    <w:lvl w:ilvl="0">
      <w:lvlJc w:val="left"/>
      <w:lvlText w:val="%1."/>
      <w:numFmt w:val="decimal"/>
      <w:start w:val="9"/>
    </w:lvl>
  </w:abstractNum>
  <w:abstractNum w:abstractNumId="3">
    <w:nsid w:val="46E87CCD"/>
    <w:multiLevelType w:val="hybridMultilevel"/>
    <w:lvl w:ilvl="0">
      <w:lvlJc w:val="left"/>
      <w:lvlText w:val="%1."/>
      <w:numFmt w:val="decimal"/>
      <w:start w:val="12"/>
    </w:lvl>
  </w:abstractNum>
  <w:abstractNum w:abstractNumId="4">
    <w:nsid w:val="3D1B58BA"/>
    <w:multiLevelType w:val="hybridMultilevel"/>
    <w:lvl w:ilvl="0">
      <w:lvlJc w:val="left"/>
      <w:lvlText w:val="X"/>
      <w:numFmt w:val="bullet"/>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2020-02-14T12:52:46Z</dcterms:created>
  <dcterms:modified xsi:type="dcterms:W3CDTF">2020-02-14T12:52:46Z</dcterms:modified>
</cp:coreProperties>
</file>