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0"/>
          <w:szCs w:val="30"/>
          <w:b w:val="1"/>
          <w:bCs w:val="1"/>
          <w:color w:val="auto"/>
        </w:rPr>
        <w:t>UNITED STATES</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30"/>
          <w:szCs w:val="30"/>
          <w:b w:val="1"/>
          <w:bCs w:val="1"/>
          <w:color w:val="auto"/>
        </w:rPr>
        <w:t>SECURITIES AND EXCHANGE COMMISSION</w:t>
      </w:r>
    </w:p>
    <w:p>
      <w:pPr>
        <w:jc w:val="center"/>
        <w:spacing w:after="0"/>
        <w:rPr>
          <w:sz w:val="20"/>
          <w:szCs w:val="20"/>
          <w:color w:val="auto"/>
        </w:rPr>
      </w:pPr>
      <w:r>
        <w:rPr>
          <w:rFonts w:ascii="Arial" w:cs="Arial" w:eastAsia="Arial" w:hAnsi="Arial"/>
          <w:sz w:val="20"/>
          <w:szCs w:val="20"/>
          <w:b w:val="1"/>
          <w:bCs w:val="1"/>
          <w:color w:val="auto"/>
        </w:rPr>
        <w:t>Washington, D.C. 20549</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30"/>
          <w:szCs w:val="30"/>
          <w:b w:val="1"/>
          <w:bCs w:val="1"/>
          <w:color w:val="auto"/>
        </w:rPr>
        <w:t>Form 10-K</w:t>
      </w:r>
    </w:p>
    <w:p>
      <w:pPr>
        <w:spacing w:after="0"/>
        <w:rPr>
          <w:sz w:val="20"/>
          <w:szCs w:val="20"/>
          <w:color w:val="auto"/>
        </w:rPr>
      </w:pPr>
      <w:r>
        <w:rPr>
          <w:rFonts w:ascii="Arial" w:cs="Arial" w:eastAsia="Arial" w:hAnsi="Arial"/>
          <w:sz w:val="13"/>
          <w:szCs w:val="13"/>
          <w:color w:val="auto"/>
        </w:rPr>
        <w:t>(Mark One)</w:t>
      </w:r>
    </w:p>
    <w:p>
      <w:pPr>
        <w:spacing w:after="0" w:line="43" w:lineRule="exact"/>
        <w:rPr>
          <w:sz w:val="24"/>
          <w:szCs w:val="24"/>
          <w:color w:val="auto"/>
        </w:rPr>
      </w:pPr>
    </w:p>
    <w:p>
      <w:pPr>
        <w:ind w:left="700" w:hanging="674"/>
        <w:spacing w:after="0"/>
        <w:tabs>
          <w:tab w:leader="none" w:pos="700" w:val="left"/>
        </w:tabs>
        <w:numPr>
          <w:ilvl w:val="0"/>
          <w:numId w:val="1"/>
        </w:numPr>
        <w:rPr>
          <w:rFonts w:ascii="MS PGothic" w:cs="MS PGothic" w:eastAsia="MS PGothic" w:hAnsi="MS PGothic"/>
          <w:sz w:val="16"/>
          <w:szCs w:val="16"/>
          <w:color w:val="auto"/>
        </w:rPr>
      </w:pPr>
      <w:r>
        <w:rPr>
          <w:rFonts w:ascii="Arial" w:cs="Arial" w:eastAsia="Arial" w:hAnsi="Arial"/>
          <w:sz w:val="16"/>
          <w:szCs w:val="16"/>
          <w:b w:val="1"/>
          <w:bCs w:val="1"/>
          <w:color w:val="auto"/>
        </w:rPr>
        <w:t>ANNUAL REPORT PURSUANT TO SECTION 13 OR 15(d) OF THE SECURITIES EXCHANGE ACT OF 1934</w:t>
      </w:r>
    </w:p>
    <w:p>
      <w:pPr>
        <w:spacing w:after="0" w:line="158" w:lineRule="exact"/>
        <w:rPr>
          <w:sz w:val="24"/>
          <w:szCs w:val="24"/>
          <w:color w:val="auto"/>
        </w:rPr>
      </w:pPr>
    </w:p>
    <w:p>
      <w:pPr>
        <w:jc w:val="center"/>
        <w:spacing w:after="0"/>
        <w:rPr>
          <w:sz w:val="20"/>
          <w:szCs w:val="20"/>
          <w:color w:val="auto"/>
        </w:rPr>
      </w:pPr>
      <w:r>
        <w:rPr>
          <w:rFonts w:ascii="Arial" w:cs="Arial" w:eastAsia="Arial" w:hAnsi="Arial"/>
          <w:sz w:val="16"/>
          <w:szCs w:val="16"/>
          <w:color w:val="auto"/>
        </w:rPr>
        <w:t>For the fiscal year ended February 1, 2020</w:t>
      </w:r>
    </w:p>
    <w:p>
      <w:pPr>
        <w:spacing w:after="0" w:line="59" w:lineRule="exact"/>
        <w:rPr>
          <w:sz w:val="24"/>
          <w:szCs w:val="24"/>
          <w:color w:val="auto"/>
        </w:rPr>
      </w:pPr>
    </w:p>
    <w:p>
      <w:pPr>
        <w:jc w:val="center"/>
        <w:spacing w:after="0"/>
        <w:rPr>
          <w:sz w:val="20"/>
          <w:szCs w:val="20"/>
          <w:color w:val="auto"/>
        </w:rPr>
      </w:pPr>
      <w:r>
        <w:rPr>
          <w:rFonts w:ascii="Arial" w:cs="Arial" w:eastAsia="Arial" w:hAnsi="Arial"/>
          <w:sz w:val="16"/>
          <w:szCs w:val="16"/>
          <w:color w:val="auto"/>
        </w:rPr>
        <w:t>or</w:t>
      </w:r>
    </w:p>
    <w:p>
      <w:pPr>
        <w:spacing w:after="0" w:line="55" w:lineRule="exact"/>
        <w:rPr>
          <w:sz w:val="24"/>
          <w:szCs w:val="24"/>
          <w:color w:val="auto"/>
        </w:rPr>
      </w:pPr>
    </w:p>
    <w:p>
      <w:pPr>
        <w:ind w:left="700" w:hanging="674"/>
        <w:spacing w:after="0"/>
        <w:tabs>
          <w:tab w:leader="none" w:pos="700" w:val="left"/>
        </w:tabs>
        <w:numPr>
          <w:ilvl w:val="0"/>
          <w:numId w:val="2"/>
        </w:numPr>
        <w:rPr>
          <w:rFonts w:ascii="MS PGothic" w:cs="MS PGothic" w:eastAsia="MS PGothic" w:hAnsi="MS PGothic"/>
          <w:sz w:val="16"/>
          <w:szCs w:val="16"/>
          <w:color w:val="auto"/>
        </w:rPr>
      </w:pPr>
      <w:r>
        <w:rPr>
          <w:rFonts w:ascii="Arial" w:cs="Arial" w:eastAsia="Arial" w:hAnsi="Arial"/>
          <w:sz w:val="16"/>
          <w:szCs w:val="16"/>
          <w:b w:val="1"/>
          <w:bCs w:val="1"/>
          <w:color w:val="auto"/>
        </w:rPr>
        <w:t>TRANSITION REPORT PURSUANT TO SECTION 13 OR 15(d) OF THE SECURITIES EXCHANGE ACT OF 1934</w:t>
      </w:r>
    </w:p>
    <w:p>
      <w:pPr>
        <w:sectPr>
          <w:pgSz w:w="11900" w:h="16838" w:orient="portrait"/>
          <w:cols w:equalWidth="0" w:num="1">
            <w:col w:w="11240"/>
          </w:cols>
          <w:pgMar w:left="320" w:top="786" w:right="339" w:bottom="1440" w:gutter="0" w:footer="0" w:header="0"/>
        </w:sectPr>
      </w:pPr>
    </w:p>
    <w:p>
      <w:pPr>
        <w:spacing w:after="0" w:line="158" w:lineRule="exact"/>
        <w:rPr>
          <w:sz w:val="24"/>
          <w:szCs w:val="24"/>
          <w:color w:val="auto"/>
        </w:rPr>
      </w:pPr>
    </w:p>
    <w:p>
      <w:pPr>
        <w:ind w:left="4060"/>
        <w:spacing w:after="0"/>
        <w:rPr>
          <w:sz w:val="20"/>
          <w:szCs w:val="20"/>
          <w:color w:val="auto"/>
        </w:rPr>
      </w:pPr>
      <w:r>
        <w:rPr>
          <w:rFonts w:ascii="Arial" w:cs="Arial" w:eastAsia="Arial" w:hAnsi="Arial"/>
          <w:sz w:val="14"/>
          <w:szCs w:val="14"/>
          <w:color w:val="auto"/>
        </w:rPr>
        <w:t>For the transition period from</w:t>
      </w:r>
    </w:p>
    <w:p>
      <w:pPr>
        <w:spacing w:after="0" w:line="20" w:lineRule="exact"/>
        <w:rPr>
          <w:sz w:val="24"/>
          <w:szCs w:val="24"/>
          <w:color w:val="auto"/>
        </w:rPr>
      </w:pPr>
      <w:r>
        <w:rPr>
          <w:sz w:val="24"/>
          <w:szCs w:val="24"/>
          <w:color w:val="auto"/>
        </w:rPr>
        <w:br w:type="column"/>
      </w:r>
    </w:p>
    <w:p>
      <w:pPr>
        <w:spacing w:after="0" w:line="138" w:lineRule="exact"/>
        <w:rPr>
          <w:sz w:val="24"/>
          <w:szCs w:val="24"/>
          <w:color w:val="auto"/>
        </w:rPr>
      </w:pPr>
    </w:p>
    <w:p>
      <w:pPr>
        <w:spacing w:after="0"/>
        <w:rPr>
          <w:sz w:val="20"/>
          <w:szCs w:val="20"/>
          <w:color w:val="auto"/>
        </w:rPr>
      </w:pPr>
      <w:r>
        <w:rPr>
          <w:rFonts w:ascii="Arial" w:cs="Arial" w:eastAsia="Arial" w:hAnsi="Arial"/>
          <w:sz w:val="16"/>
          <w:szCs w:val="16"/>
          <w:color w:val="auto"/>
        </w:rPr>
        <w:t>to</w:t>
      </w:r>
    </w:p>
    <w:p>
      <w:pPr>
        <w:spacing w:after="0" w:line="100" w:lineRule="exact"/>
        <w:rPr>
          <w:sz w:val="24"/>
          <w:szCs w:val="24"/>
          <w:color w:val="auto"/>
        </w:rPr>
      </w:pPr>
    </w:p>
    <w:p>
      <w:pPr>
        <w:sectPr>
          <w:pgSz w:w="11900" w:h="16838" w:orient="portrait"/>
          <w:cols w:equalWidth="0" w:num="2">
            <w:col w:w="5980" w:space="560"/>
            <w:col w:w="4700"/>
          </w:cols>
          <w:pgMar w:left="320" w:top="786" w:right="339" w:bottom="1440" w:gutter="0" w:footer="0" w:header="0"/>
          <w:type w:val="continuous"/>
        </w:sectPr>
      </w:pPr>
    </w:p>
    <w:p>
      <w:pPr>
        <w:jc w:val="center"/>
        <w:spacing w:after="0"/>
        <w:rPr>
          <w:sz w:val="20"/>
          <w:szCs w:val="20"/>
          <w:color w:val="auto"/>
        </w:rPr>
      </w:pPr>
      <w:r>
        <w:rPr>
          <w:rFonts w:ascii="Arial" w:cs="Arial" w:eastAsia="Arial" w:hAnsi="Arial"/>
          <w:sz w:val="14"/>
          <w:szCs w:val="14"/>
          <w:color w:val="auto"/>
        </w:rPr>
        <w:t>Commission file number 0-30877</w:t>
      </w:r>
    </w:p>
    <w:p>
      <w:pPr>
        <w:sectPr>
          <w:pgSz w:w="11900" w:h="16838" w:orient="portrait"/>
          <w:cols w:equalWidth="0" w:num="1">
            <w:col w:w="11240"/>
          </w:cols>
          <w:pgMar w:left="320" w:top="786" w:right="339" w:bottom="1440" w:gutter="0" w:footer="0" w:header="0"/>
          <w:type w:val="continuous"/>
        </w:sectPr>
      </w:pPr>
    </w:p>
    <w:p>
      <w:pPr>
        <w:spacing w:after="0" w:line="45" w:lineRule="exact"/>
        <w:rPr>
          <w:sz w:val="24"/>
          <w:szCs w:val="24"/>
          <w:color w:val="auto"/>
        </w:rPr>
      </w:pPr>
    </w:p>
    <w:p>
      <w:pPr>
        <w:jc w:val="center"/>
        <w:spacing w:after="0"/>
        <w:rPr>
          <w:sz w:val="20"/>
          <w:szCs w:val="20"/>
          <w:color w:val="auto"/>
        </w:rPr>
      </w:pPr>
      <w:r>
        <w:rPr>
          <w:rFonts w:ascii="Arial" w:cs="Arial" w:eastAsia="Arial" w:hAnsi="Arial"/>
          <w:sz w:val="27"/>
          <w:szCs w:val="27"/>
          <w:b w:val="1"/>
          <w:bCs w:val="1"/>
          <w:color w:val="auto"/>
        </w:rPr>
        <w:t>Marvell Technology Group Ltd.</w:t>
      </w:r>
    </w:p>
    <w:p>
      <w:pPr>
        <w:spacing w:after="0" w:line="100" w:lineRule="exact"/>
        <w:rPr>
          <w:sz w:val="24"/>
          <w:szCs w:val="24"/>
          <w:color w:val="auto"/>
        </w:rPr>
      </w:pPr>
    </w:p>
    <w:p>
      <w:pPr>
        <w:jc w:val="center"/>
        <w:spacing w:after="0"/>
        <w:rPr>
          <w:sz w:val="20"/>
          <w:szCs w:val="20"/>
          <w:color w:val="auto"/>
        </w:rPr>
      </w:pPr>
      <w:r>
        <w:rPr>
          <w:rFonts w:ascii="Arial" w:cs="Arial" w:eastAsia="Arial" w:hAnsi="Arial"/>
          <w:sz w:val="13"/>
          <w:szCs w:val="13"/>
          <w:b w:val="1"/>
          <w:bCs w:val="1"/>
          <w:i w:val="1"/>
          <w:iCs w:val="1"/>
          <w:color w:val="auto"/>
        </w:rPr>
        <w:t>(Exact name of registrant as specified in its charter)</w:t>
      </w:r>
    </w:p>
    <w:p>
      <w:pPr>
        <w:sectPr>
          <w:pgSz w:w="11900" w:h="16838" w:orient="portrait"/>
          <w:cols w:equalWidth="0" w:num="1">
            <w:col w:w="11240"/>
          </w:cols>
          <w:pgMar w:left="320" w:top="786" w:right="339" w:bottom="1440" w:gutter="0" w:footer="0" w:header="0"/>
          <w:type w:val="continuous"/>
        </w:sectPr>
      </w:pPr>
    </w:p>
    <w:p>
      <w:pPr>
        <w:spacing w:after="0" w:line="53" w:lineRule="exact"/>
        <w:rPr>
          <w:sz w:val="24"/>
          <w:szCs w:val="24"/>
          <w:color w:val="auto"/>
        </w:rPr>
      </w:pPr>
    </w:p>
    <w:p>
      <w:pPr>
        <w:ind w:left="2040"/>
        <w:spacing w:after="0"/>
        <w:rPr>
          <w:sz w:val="20"/>
          <w:szCs w:val="20"/>
          <w:color w:val="auto"/>
        </w:rPr>
      </w:pPr>
      <w:r>
        <w:rPr>
          <w:rFonts w:ascii="Arial" w:cs="Arial" w:eastAsia="Arial" w:hAnsi="Arial"/>
          <w:sz w:val="14"/>
          <w:szCs w:val="14"/>
          <w:b w:val="1"/>
          <w:bCs w:val="1"/>
          <w:color w:val="auto"/>
        </w:rPr>
        <w:t>Bermuda</w:t>
      </w:r>
    </w:p>
    <w:p>
      <w:pPr>
        <w:spacing w:after="0" w:line="20" w:lineRule="exact"/>
        <w:rPr>
          <w:sz w:val="24"/>
          <w:szCs w:val="24"/>
          <w:color w:val="auto"/>
        </w:rPr>
      </w:pPr>
      <w:r>
        <w:rPr>
          <w:sz w:val="24"/>
          <w:szCs w:val="24"/>
          <w:color w:val="auto"/>
        </w:rPr>
        <w:br w:type="column"/>
      </w:r>
    </w:p>
    <w:p>
      <w:pPr>
        <w:spacing w:after="0" w:line="33" w:lineRule="exact"/>
        <w:rPr>
          <w:sz w:val="24"/>
          <w:szCs w:val="24"/>
          <w:color w:val="auto"/>
        </w:rPr>
      </w:pPr>
    </w:p>
    <w:p>
      <w:pPr>
        <w:spacing w:after="0"/>
        <w:rPr>
          <w:sz w:val="20"/>
          <w:szCs w:val="20"/>
          <w:color w:val="auto"/>
        </w:rPr>
      </w:pPr>
      <w:r>
        <w:rPr>
          <w:rFonts w:ascii="Arial" w:cs="Arial" w:eastAsia="Arial" w:hAnsi="Arial"/>
          <w:sz w:val="14"/>
          <w:szCs w:val="14"/>
          <w:b w:val="1"/>
          <w:bCs w:val="1"/>
          <w:color w:val="auto"/>
        </w:rPr>
        <w:t>77-0481679</w:t>
      </w:r>
    </w:p>
    <w:p>
      <w:pPr>
        <w:spacing w:after="0" w:line="103" w:lineRule="exact"/>
        <w:rPr>
          <w:sz w:val="24"/>
          <w:szCs w:val="24"/>
          <w:color w:val="auto"/>
        </w:rPr>
      </w:pPr>
    </w:p>
    <w:p>
      <w:pPr>
        <w:sectPr>
          <w:pgSz w:w="11900" w:h="16838" w:orient="portrait"/>
          <w:cols w:equalWidth="0" w:num="2">
            <w:col w:w="7800" w:space="720"/>
            <w:col w:w="2720"/>
          </w:cols>
          <w:pgMar w:left="320" w:top="786" w:right="339" w:bottom="1440" w:gutter="0" w:footer="0" w:header="0"/>
          <w:type w:val="continuous"/>
        </w:sectPr>
      </w:pPr>
    </w:p>
    <w:p>
      <w:pPr>
        <w:ind w:left="1660"/>
        <w:spacing w:after="0"/>
        <w:rPr>
          <w:sz w:val="20"/>
          <w:szCs w:val="20"/>
          <w:color w:val="auto"/>
        </w:rPr>
      </w:pPr>
      <w:r>
        <w:rPr>
          <w:rFonts w:ascii="Arial" w:cs="Arial" w:eastAsia="Arial" w:hAnsi="Arial"/>
          <w:sz w:val="9"/>
          <w:szCs w:val="9"/>
          <w:b w:val="1"/>
          <w:bCs w:val="1"/>
          <w:i w:val="1"/>
          <w:iCs w:val="1"/>
          <w:color w:val="auto"/>
        </w:rPr>
        <w:t>(State or other jurisdiction of</w:t>
      </w:r>
    </w:p>
    <w:p>
      <w:pPr>
        <w:spacing w:after="0" w:line="42" w:lineRule="exact"/>
        <w:rPr>
          <w:sz w:val="24"/>
          <w:szCs w:val="24"/>
          <w:color w:val="auto"/>
        </w:rPr>
      </w:pPr>
    </w:p>
    <w:p>
      <w:pPr>
        <w:ind w:left="1620"/>
        <w:spacing w:after="0"/>
        <w:rPr>
          <w:sz w:val="20"/>
          <w:szCs w:val="20"/>
          <w:color w:val="auto"/>
        </w:rPr>
      </w:pPr>
      <w:r>
        <w:rPr>
          <w:rFonts w:ascii="Arial" w:cs="Arial" w:eastAsia="Arial" w:hAnsi="Arial"/>
          <w:sz w:val="9"/>
          <w:szCs w:val="9"/>
          <w:b w:val="1"/>
          <w:bCs w:val="1"/>
          <w:i w:val="1"/>
          <w:iCs w:val="1"/>
          <w:color w:val="auto"/>
        </w:rPr>
        <w:t>incorporation or organization)</w:t>
      </w:r>
    </w:p>
    <w:p>
      <w:pPr>
        <w:spacing w:after="0" w:line="20" w:lineRule="exact"/>
        <w:rPr>
          <w:sz w:val="24"/>
          <w:szCs w:val="24"/>
          <w:color w:val="auto"/>
        </w:rPr>
      </w:pPr>
      <w:r>
        <w:rPr>
          <w:sz w:val="24"/>
          <w:szCs w:val="24"/>
          <w:color w:val="auto"/>
        </w:rPr>
        <w:br w:type="column"/>
      </w:r>
    </w:p>
    <w:p>
      <w:pPr>
        <w:jc w:val="center"/>
        <w:ind w:right="1880"/>
        <w:spacing w:after="0"/>
        <w:rPr>
          <w:sz w:val="20"/>
          <w:szCs w:val="20"/>
          <w:color w:val="auto"/>
        </w:rPr>
      </w:pPr>
      <w:r>
        <w:rPr>
          <w:rFonts w:ascii="Arial" w:cs="Arial" w:eastAsia="Arial" w:hAnsi="Arial"/>
          <w:sz w:val="11"/>
          <w:szCs w:val="11"/>
          <w:b w:val="1"/>
          <w:bCs w:val="1"/>
          <w:i w:val="1"/>
          <w:iCs w:val="1"/>
          <w:color w:val="auto"/>
        </w:rPr>
        <w:t>(I.R.S. Employer</w:t>
      </w:r>
    </w:p>
    <w:p>
      <w:pPr>
        <w:spacing w:after="0" w:line="19" w:lineRule="exact"/>
        <w:rPr>
          <w:sz w:val="24"/>
          <w:szCs w:val="24"/>
          <w:color w:val="auto"/>
        </w:rPr>
      </w:pPr>
    </w:p>
    <w:p>
      <w:pPr>
        <w:jc w:val="center"/>
        <w:ind w:right="1880"/>
        <w:spacing w:after="0"/>
        <w:rPr>
          <w:sz w:val="20"/>
          <w:szCs w:val="20"/>
          <w:color w:val="auto"/>
        </w:rPr>
      </w:pPr>
      <w:r>
        <w:rPr>
          <w:rFonts w:ascii="Arial" w:cs="Arial" w:eastAsia="Arial" w:hAnsi="Arial"/>
          <w:sz w:val="9"/>
          <w:szCs w:val="9"/>
          <w:b w:val="1"/>
          <w:bCs w:val="1"/>
          <w:i w:val="1"/>
          <w:iCs w:val="1"/>
          <w:color w:val="auto"/>
        </w:rPr>
        <w:t>Identification No.)</w:t>
      </w:r>
    </w:p>
    <w:p>
      <w:pPr>
        <w:spacing w:after="0" w:line="149" w:lineRule="exact"/>
        <w:rPr>
          <w:sz w:val="24"/>
          <w:szCs w:val="24"/>
          <w:color w:val="auto"/>
        </w:rPr>
      </w:pPr>
    </w:p>
    <w:p>
      <w:pPr>
        <w:sectPr>
          <w:pgSz w:w="11900" w:h="16838" w:orient="portrait"/>
          <w:cols w:equalWidth="0" w:num="2">
            <w:col w:w="7740" w:space="720"/>
            <w:col w:w="2780"/>
          </w:cols>
          <w:pgMar w:left="320" w:top="786" w:right="339" w:bottom="1440" w:gutter="0" w:footer="0" w:header="0"/>
          <w:type w:val="continuous"/>
        </w:sectPr>
      </w:pPr>
    </w:p>
    <w:p>
      <w:pPr>
        <w:jc w:val="center"/>
        <w:ind w:right="-19"/>
        <w:spacing w:after="0"/>
        <w:rPr>
          <w:sz w:val="20"/>
          <w:szCs w:val="20"/>
          <w:color w:val="auto"/>
        </w:rPr>
      </w:pPr>
      <w:r>
        <w:rPr>
          <w:rFonts w:ascii="Arial" w:cs="Arial" w:eastAsia="Arial" w:hAnsi="Arial"/>
          <w:sz w:val="16"/>
          <w:szCs w:val="16"/>
          <w:b w:val="1"/>
          <w:bCs w:val="1"/>
          <w:color w:val="auto"/>
        </w:rPr>
        <w:t>Canon’s Court, 22 Victoria Street, Hamilton HM 12, Bermuda</w:t>
      </w:r>
    </w:p>
    <w:p>
      <w:pPr>
        <w:spacing w:after="0" w:line="15" w:lineRule="exact"/>
        <w:rPr>
          <w:sz w:val="24"/>
          <w:szCs w:val="24"/>
          <w:color w:val="auto"/>
        </w:rPr>
      </w:pPr>
    </w:p>
    <w:p>
      <w:pPr>
        <w:jc w:val="center"/>
        <w:ind w:right="-19"/>
        <w:spacing w:after="0"/>
        <w:rPr>
          <w:sz w:val="20"/>
          <w:szCs w:val="20"/>
          <w:color w:val="auto"/>
        </w:rPr>
      </w:pPr>
      <w:r>
        <w:rPr>
          <w:rFonts w:ascii="Arial" w:cs="Arial" w:eastAsia="Arial" w:hAnsi="Arial"/>
          <w:sz w:val="13"/>
          <w:szCs w:val="13"/>
          <w:b w:val="1"/>
          <w:bCs w:val="1"/>
          <w:i w:val="1"/>
          <w:iCs w:val="1"/>
          <w:color w:val="auto"/>
        </w:rPr>
        <w:t>(Address of principal executive offices)</w:t>
      </w:r>
    </w:p>
    <w:p>
      <w:pPr>
        <w:spacing w:after="0" w:line="1" w:lineRule="exact"/>
        <w:rPr>
          <w:sz w:val="24"/>
          <w:szCs w:val="24"/>
          <w:color w:val="auto"/>
        </w:rPr>
      </w:pPr>
    </w:p>
    <w:p>
      <w:pPr>
        <w:jc w:val="center"/>
        <w:ind w:right="-219"/>
        <w:spacing w:after="0"/>
        <w:rPr>
          <w:sz w:val="20"/>
          <w:szCs w:val="20"/>
          <w:color w:val="auto"/>
        </w:rPr>
      </w:pPr>
      <w:r>
        <w:rPr>
          <w:rFonts w:ascii="Arial" w:cs="Arial" w:eastAsia="Arial" w:hAnsi="Arial"/>
          <w:sz w:val="16"/>
          <w:szCs w:val="16"/>
          <w:b w:val="1"/>
          <w:bCs w:val="1"/>
          <w:color w:val="auto"/>
        </w:rPr>
        <w:t>(441) 296-6395</w:t>
      </w:r>
    </w:p>
    <w:p>
      <w:pPr>
        <w:spacing w:after="0" w:line="3" w:lineRule="exact"/>
        <w:rPr>
          <w:sz w:val="24"/>
          <w:szCs w:val="24"/>
          <w:color w:val="auto"/>
        </w:rPr>
      </w:pPr>
    </w:p>
    <w:p>
      <w:pPr>
        <w:jc w:val="center"/>
        <w:ind w:right="-19"/>
        <w:spacing w:after="0"/>
        <w:rPr>
          <w:sz w:val="20"/>
          <w:szCs w:val="20"/>
          <w:color w:val="auto"/>
        </w:rPr>
      </w:pPr>
      <w:r>
        <w:rPr>
          <w:rFonts w:ascii="Arial" w:cs="Arial" w:eastAsia="Arial" w:hAnsi="Arial"/>
          <w:sz w:val="13"/>
          <w:szCs w:val="13"/>
          <w:b w:val="1"/>
          <w:bCs w:val="1"/>
          <w:i w:val="1"/>
          <w:iCs w:val="1"/>
          <w:color w:val="auto"/>
        </w:rPr>
        <w:t>(Registrant’s telephone number, including area code)</w:t>
      </w:r>
    </w:p>
    <w:p>
      <w:pPr>
        <w:spacing w:after="0" w:line="43" w:lineRule="exact"/>
        <w:rPr>
          <w:sz w:val="24"/>
          <w:szCs w:val="24"/>
          <w:color w:val="auto"/>
        </w:rPr>
      </w:pPr>
    </w:p>
    <w:p>
      <w:pPr>
        <w:jc w:val="center"/>
        <w:ind w:right="-19"/>
        <w:spacing w:after="0"/>
        <w:rPr>
          <w:sz w:val="20"/>
          <w:szCs w:val="20"/>
          <w:color w:val="auto"/>
        </w:rPr>
      </w:pPr>
      <w:r>
        <w:rPr>
          <w:rFonts w:ascii="Arial" w:cs="Arial" w:eastAsia="Arial" w:hAnsi="Arial"/>
          <w:sz w:val="16"/>
          <w:szCs w:val="16"/>
          <w:b w:val="1"/>
          <w:bCs w:val="1"/>
          <w:color w:val="auto"/>
        </w:rPr>
        <w:t>Securities registered pursuant to Section 12(b) of the Act:</w:t>
      </w:r>
    </w:p>
    <w:p>
      <w:pPr>
        <w:spacing w:after="0" w:line="362" w:lineRule="exact"/>
        <w:rPr>
          <w:sz w:val="24"/>
          <w:szCs w:val="24"/>
          <w:color w:val="auto"/>
        </w:rPr>
      </w:pPr>
    </w:p>
    <w:tbl>
      <w:tblPr>
        <w:tblLayout w:type="fixed"/>
        <w:tblInd w:w="0" w:type="dxa"/>
        <w:tblCellMar>
          <w:top w:w="0" w:type="dxa"/>
          <w:left w:w="0" w:type="dxa"/>
          <w:bottom w:w="0" w:type="dxa"/>
          <w:right w:w="0" w:type="dxa"/>
        </w:tblCellMar>
      </w:tblPr>
      <w:tr>
        <w:trPr>
          <w:trHeight w:val="150"/>
        </w:trPr>
        <w:tc>
          <w:tcPr>
            <w:tcW w:w="4560" w:type="dxa"/>
            <w:vAlign w:val="bottom"/>
          </w:tcPr>
          <w:p>
            <w:pPr>
              <w:jc w:val="center"/>
              <w:ind w:left="84"/>
              <w:spacing w:after="0"/>
              <w:rPr>
                <w:sz w:val="20"/>
                <w:szCs w:val="20"/>
                <w:color w:val="auto"/>
              </w:rPr>
            </w:pPr>
            <w:r>
              <w:rPr>
                <w:rFonts w:ascii="Arial" w:cs="Arial" w:eastAsia="Arial" w:hAnsi="Arial"/>
                <w:sz w:val="12"/>
                <w:szCs w:val="12"/>
                <w:b w:val="1"/>
                <w:bCs w:val="1"/>
                <w:color w:val="auto"/>
                <w:w w:val="85"/>
              </w:rPr>
              <w:t>Title of each class</w:t>
            </w:r>
          </w:p>
        </w:tc>
        <w:tc>
          <w:tcPr>
            <w:tcW w:w="3200" w:type="dxa"/>
            <w:vAlign w:val="bottom"/>
          </w:tcPr>
          <w:p>
            <w:pPr>
              <w:jc w:val="center"/>
              <w:ind w:right="964"/>
              <w:spacing w:after="0"/>
              <w:rPr>
                <w:sz w:val="20"/>
                <w:szCs w:val="20"/>
                <w:color w:val="auto"/>
              </w:rPr>
            </w:pPr>
            <w:r>
              <w:rPr>
                <w:rFonts w:ascii="Arial" w:cs="Arial" w:eastAsia="Arial" w:hAnsi="Arial"/>
                <w:sz w:val="12"/>
                <w:szCs w:val="12"/>
                <w:b w:val="1"/>
                <w:bCs w:val="1"/>
                <w:color w:val="auto"/>
                <w:w w:val="88"/>
              </w:rPr>
              <w:t>Trading Symbol</w:t>
            </w:r>
          </w:p>
        </w:tc>
        <w:tc>
          <w:tcPr>
            <w:tcW w:w="2240" w:type="dxa"/>
            <w:vAlign w:val="bottom"/>
            <w:gridSpan w:val="2"/>
          </w:tcPr>
          <w:p>
            <w:pPr>
              <w:ind w:left="60"/>
              <w:spacing w:after="0"/>
              <w:rPr>
                <w:sz w:val="20"/>
                <w:szCs w:val="20"/>
                <w:color w:val="auto"/>
              </w:rPr>
            </w:pPr>
            <w:r>
              <w:rPr>
                <w:rFonts w:ascii="Arial" w:cs="Arial" w:eastAsia="Arial" w:hAnsi="Arial"/>
                <w:sz w:val="12"/>
                <w:szCs w:val="12"/>
                <w:b w:val="1"/>
                <w:bCs w:val="1"/>
                <w:color w:val="auto"/>
                <w:w w:val="85"/>
              </w:rPr>
              <w:t>Name of each exchange on which registered</w:t>
            </w:r>
          </w:p>
        </w:tc>
      </w:tr>
      <w:tr>
        <w:trPr>
          <w:trHeight w:val="263"/>
        </w:trPr>
        <w:tc>
          <w:tcPr>
            <w:tcW w:w="4560" w:type="dxa"/>
            <w:vAlign w:val="bottom"/>
          </w:tcPr>
          <w:p>
            <w:pPr>
              <w:jc w:val="center"/>
              <w:ind w:left="84"/>
              <w:spacing w:after="0"/>
              <w:rPr>
                <w:sz w:val="20"/>
                <w:szCs w:val="20"/>
                <w:color w:val="auto"/>
              </w:rPr>
            </w:pPr>
            <w:r>
              <w:rPr>
                <w:rFonts w:ascii="Arial" w:cs="Arial" w:eastAsia="Arial" w:hAnsi="Arial"/>
                <w:sz w:val="16"/>
                <w:szCs w:val="16"/>
                <w:b w:val="1"/>
                <w:bCs w:val="1"/>
                <w:color w:val="auto"/>
                <w:w w:val="90"/>
              </w:rPr>
              <w:t>Common shares, $0.002 par value per share</w:t>
            </w:r>
          </w:p>
        </w:tc>
        <w:tc>
          <w:tcPr>
            <w:tcW w:w="3200" w:type="dxa"/>
            <w:vAlign w:val="bottom"/>
          </w:tcPr>
          <w:p>
            <w:pPr>
              <w:jc w:val="center"/>
              <w:ind w:right="964"/>
              <w:spacing w:after="0"/>
              <w:rPr>
                <w:sz w:val="20"/>
                <w:szCs w:val="20"/>
                <w:color w:val="auto"/>
              </w:rPr>
            </w:pPr>
            <w:r>
              <w:rPr>
                <w:rFonts w:ascii="Arial" w:cs="Arial" w:eastAsia="Arial" w:hAnsi="Arial"/>
                <w:sz w:val="18"/>
                <w:szCs w:val="18"/>
                <w:color w:val="auto"/>
              </w:rPr>
              <w:t>MRVL</w:t>
            </w:r>
          </w:p>
        </w:tc>
        <w:tc>
          <w:tcPr>
            <w:tcW w:w="2240" w:type="dxa"/>
            <w:vAlign w:val="bottom"/>
            <w:gridSpan w:val="2"/>
          </w:tcPr>
          <w:p>
            <w:pPr>
              <w:ind w:left="40"/>
              <w:spacing w:after="0"/>
              <w:rPr>
                <w:sz w:val="20"/>
                <w:szCs w:val="20"/>
                <w:color w:val="auto"/>
              </w:rPr>
            </w:pPr>
            <w:r>
              <w:rPr>
                <w:rFonts w:ascii="Arial" w:cs="Arial" w:eastAsia="Arial" w:hAnsi="Arial"/>
                <w:sz w:val="16"/>
                <w:szCs w:val="16"/>
                <w:b w:val="1"/>
                <w:bCs w:val="1"/>
                <w:color w:val="auto"/>
                <w:w w:val="94"/>
              </w:rPr>
              <w:t>The Nasdaq Stock Market LLC</w:t>
            </w:r>
          </w:p>
        </w:tc>
      </w:tr>
      <w:tr>
        <w:trPr>
          <w:trHeight w:val="310"/>
        </w:trPr>
        <w:tc>
          <w:tcPr>
            <w:tcW w:w="7760" w:type="dxa"/>
            <w:vAlign w:val="bottom"/>
            <w:gridSpan w:val="2"/>
          </w:tcPr>
          <w:p>
            <w:pPr>
              <w:jc w:val="center"/>
              <w:ind w:left="3404"/>
              <w:spacing w:after="0"/>
              <w:rPr>
                <w:sz w:val="20"/>
                <w:szCs w:val="20"/>
                <w:color w:val="auto"/>
              </w:rPr>
            </w:pPr>
            <w:r>
              <w:rPr>
                <w:rFonts w:ascii="Arial" w:cs="Arial" w:eastAsia="Arial" w:hAnsi="Arial"/>
                <w:sz w:val="16"/>
                <w:szCs w:val="16"/>
                <w:b w:val="1"/>
                <w:bCs w:val="1"/>
                <w:color w:val="auto"/>
                <w:w w:val="90"/>
              </w:rPr>
              <w:t>Securities registered pursuant to Section 12(g) of the Act:</w:t>
            </w:r>
          </w:p>
        </w:tc>
        <w:tc>
          <w:tcPr>
            <w:tcW w:w="740" w:type="dxa"/>
            <w:vAlign w:val="bottom"/>
          </w:tcPr>
          <w:p>
            <w:pPr>
              <w:spacing w:after="0"/>
              <w:rPr>
                <w:sz w:val="24"/>
                <w:szCs w:val="24"/>
                <w:color w:val="auto"/>
              </w:rPr>
            </w:pPr>
          </w:p>
        </w:tc>
        <w:tc>
          <w:tcPr>
            <w:tcW w:w="1500" w:type="dxa"/>
            <w:vAlign w:val="bottom"/>
          </w:tcPr>
          <w:p>
            <w:pPr>
              <w:spacing w:after="0"/>
              <w:rPr>
                <w:sz w:val="24"/>
                <w:szCs w:val="24"/>
                <w:color w:val="auto"/>
              </w:rPr>
            </w:pPr>
          </w:p>
        </w:tc>
      </w:tr>
      <w:tr>
        <w:trPr>
          <w:trHeight w:val="210"/>
        </w:trPr>
        <w:tc>
          <w:tcPr>
            <w:tcW w:w="4560" w:type="dxa"/>
            <w:vAlign w:val="bottom"/>
          </w:tcPr>
          <w:p>
            <w:pPr>
              <w:spacing w:after="0"/>
              <w:rPr>
                <w:sz w:val="18"/>
                <w:szCs w:val="18"/>
                <w:color w:val="auto"/>
              </w:rPr>
            </w:pPr>
          </w:p>
        </w:tc>
        <w:tc>
          <w:tcPr>
            <w:tcW w:w="3200" w:type="dxa"/>
            <w:vAlign w:val="bottom"/>
          </w:tcPr>
          <w:p>
            <w:pPr>
              <w:jc w:val="center"/>
              <w:ind w:right="1004"/>
              <w:spacing w:after="0"/>
              <w:rPr>
                <w:sz w:val="20"/>
                <w:szCs w:val="20"/>
                <w:color w:val="auto"/>
              </w:rPr>
            </w:pPr>
            <w:r>
              <w:rPr>
                <w:rFonts w:ascii="Arial" w:cs="Arial" w:eastAsia="Arial" w:hAnsi="Arial"/>
                <w:sz w:val="16"/>
                <w:szCs w:val="16"/>
                <w:b w:val="1"/>
                <w:bCs w:val="1"/>
                <w:color w:val="auto"/>
                <w:w w:val="89"/>
              </w:rPr>
              <w:t>None</w:t>
            </w:r>
          </w:p>
        </w:tc>
        <w:tc>
          <w:tcPr>
            <w:tcW w:w="740" w:type="dxa"/>
            <w:vAlign w:val="bottom"/>
          </w:tcPr>
          <w:p>
            <w:pPr>
              <w:spacing w:after="0"/>
              <w:rPr>
                <w:sz w:val="18"/>
                <w:szCs w:val="18"/>
                <w:color w:val="auto"/>
              </w:rPr>
            </w:pPr>
          </w:p>
        </w:tc>
        <w:tc>
          <w:tcPr>
            <w:tcW w:w="1500" w:type="dxa"/>
            <w:vAlign w:val="bottom"/>
          </w:tcPr>
          <w:p>
            <w:pPr>
              <w:spacing w:after="0"/>
              <w:rPr>
                <w:sz w:val="18"/>
                <w:szCs w:val="18"/>
                <w:color w:val="auto"/>
              </w:rPr>
            </w:pPr>
          </w:p>
        </w:tc>
      </w:tr>
      <w:tr>
        <w:trPr>
          <w:trHeight w:val="250"/>
        </w:trPr>
        <w:tc>
          <w:tcPr>
            <w:tcW w:w="7760" w:type="dxa"/>
            <w:vAlign w:val="bottom"/>
            <w:gridSpan w:val="2"/>
          </w:tcPr>
          <w:p>
            <w:pPr>
              <w:spacing w:after="0"/>
              <w:rPr>
                <w:sz w:val="20"/>
                <w:szCs w:val="20"/>
                <w:color w:val="auto"/>
              </w:rPr>
            </w:pPr>
            <w:r>
              <w:rPr>
                <w:rFonts w:ascii="Arial" w:cs="Arial" w:eastAsia="Arial" w:hAnsi="Arial"/>
                <w:sz w:val="16"/>
                <w:szCs w:val="16"/>
                <w:color w:val="auto"/>
                <w:w w:val="93"/>
              </w:rPr>
              <w:t>Indicate by check mark if the registrant is a well-known seasoned issuer, as defined in Rule 405 of the Securities Act.</w:t>
            </w:r>
          </w:p>
        </w:tc>
        <w:tc>
          <w:tcPr>
            <w:tcW w:w="740" w:type="dxa"/>
            <w:vAlign w:val="bottom"/>
          </w:tcPr>
          <w:p>
            <w:pPr>
              <w:spacing w:after="0" w:line="184" w:lineRule="exact"/>
              <w:rPr>
                <w:sz w:val="20"/>
                <w:szCs w:val="20"/>
                <w:color w:val="auto"/>
              </w:rPr>
            </w:pPr>
            <w:r>
              <w:rPr>
                <w:rFonts w:ascii="Arial" w:cs="Arial" w:eastAsia="Arial" w:hAnsi="Arial"/>
                <w:sz w:val="16"/>
                <w:szCs w:val="16"/>
                <w:color w:val="auto"/>
                <w:w w:val="98"/>
              </w:rPr>
              <w:t xml:space="preserve">Yes </w:t>
            </w:r>
            <w:r>
              <w:rPr>
                <w:rFonts w:ascii="MS PGothic" w:cs="MS PGothic" w:eastAsia="MS PGothic" w:hAnsi="MS PGothic"/>
                <w:sz w:val="16"/>
                <w:szCs w:val="16"/>
                <w:color w:val="auto"/>
                <w:w w:val="98"/>
              </w:rPr>
              <w:t>☐</w:t>
            </w:r>
            <w:r>
              <w:rPr>
                <w:rFonts w:ascii="Arial" w:cs="Arial" w:eastAsia="Arial" w:hAnsi="Arial"/>
                <w:sz w:val="16"/>
                <w:szCs w:val="16"/>
                <w:color w:val="auto"/>
                <w:w w:val="98"/>
              </w:rPr>
              <w:t xml:space="preserve"> No</w:t>
            </w:r>
          </w:p>
        </w:tc>
        <w:tc>
          <w:tcPr>
            <w:tcW w:w="1500" w:type="dxa"/>
            <w:vAlign w:val="bottom"/>
          </w:tcPr>
          <w:p>
            <w:pPr>
              <w:ind w:left="60"/>
              <w:spacing w:after="0" w:line="161" w:lineRule="exact"/>
              <w:rPr>
                <w:sz w:val="20"/>
                <w:szCs w:val="20"/>
                <w:color w:val="auto"/>
              </w:rPr>
            </w:pPr>
            <w:r>
              <w:rPr>
                <w:rFonts w:ascii="MS PGothic" w:cs="MS PGothic" w:eastAsia="MS PGothic" w:hAnsi="MS PGothic"/>
                <w:sz w:val="16"/>
                <w:szCs w:val="16"/>
                <w:color w:val="auto"/>
              </w:rPr>
              <w:t>☒</w:t>
            </w:r>
          </w:p>
        </w:tc>
      </w:tr>
      <w:tr>
        <w:trPr>
          <w:trHeight w:val="254"/>
        </w:trPr>
        <w:tc>
          <w:tcPr>
            <w:tcW w:w="7760" w:type="dxa"/>
            <w:vAlign w:val="bottom"/>
            <w:gridSpan w:val="2"/>
          </w:tcPr>
          <w:p>
            <w:pPr>
              <w:spacing w:after="0"/>
              <w:rPr>
                <w:sz w:val="20"/>
                <w:szCs w:val="20"/>
                <w:color w:val="auto"/>
              </w:rPr>
            </w:pPr>
            <w:r>
              <w:rPr>
                <w:rFonts w:ascii="Arial" w:cs="Arial" w:eastAsia="Arial" w:hAnsi="Arial"/>
                <w:sz w:val="16"/>
                <w:szCs w:val="16"/>
                <w:color w:val="auto"/>
                <w:w w:val="92"/>
              </w:rPr>
              <w:t>Indicate by check mark if the registrant is not required to file reports pursuant to Section 13 or Section 15(d) of the Act.</w:t>
            </w:r>
          </w:p>
        </w:tc>
        <w:tc>
          <w:tcPr>
            <w:tcW w:w="740" w:type="dxa"/>
            <w:vAlign w:val="bottom"/>
          </w:tcPr>
          <w:p>
            <w:pPr>
              <w:ind w:left="160"/>
              <w:spacing w:after="0" w:line="184" w:lineRule="exact"/>
              <w:rPr>
                <w:sz w:val="20"/>
                <w:szCs w:val="20"/>
                <w:color w:val="auto"/>
              </w:rPr>
            </w:pPr>
            <w:r>
              <w:rPr>
                <w:rFonts w:ascii="Arial" w:cs="Arial" w:eastAsia="Arial" w:hAnsi="Arial"/>
                <w:sz w:val="16"/>
                <w:szCs w:val="16"/>
                <w:color w:val="auto"/>
              </w:rPr>
              <w:t xml:space="preserve">Yes </w:t>
            </w:r>
            <w:r>
              <w:rPr>
                <w:rFonts w:ascii="MS PGothic" w:cs="MS PGothic" w:eastAsia="MS PGothic" w:hAnsi="MS PGothic"/>
                <w:sz w:val="16"/>
                <w:szCs w:val="16"/>
                <w:color w:val="auto"/>
              </w:rPr>
              <w:t>☐</w:t>
            </w:r>
          </w:p>
        </w:tc>
        <w:tc>
          <w:tcPr>
            <w:tcW w:w="1500" w:type="dxa"/>
            <w:vAlign w:val="bottom"/>
          </w:tcPr>
          <w:p>
            <w:pPr>
              <w:ind w:left="40"/>
              <w:spacing w:after="0" w:line="184" w:lineRule="exact"/>
              <w:rPr>
                <w:sz w:val="20"/>
                <w:szCs w:val="20"/>
                <w:color w:val="auto"/>
              </w:rPr>
            </w:pPr>
            <w:r>
              <w:rPr>
                <w:rFonts w:ascii="Arial" w:cs="Arial" w:eastAsia="Arial" w:hAnsi="Arial"/>
                <w:sz w:val="16"/>
                <w:szCs w:val="16"/>
                <w:color w:val="auto"/>
              </w:rPr>
              <w:t xml:space="preserve">No </w:t>
            </w:r>
            <w:r>
              <w:rPr>
                <w:rFonts w:ascii="MS PGothic" w:cs="MS PGothic" w:eastAsia="MS PGothic" w:hAnsi="MS PGothic"/>
                <w:sz w:val="16"/>
                <w:szCs w:val="16"/>
                <w:color w:val="auto"/>
              </w:rPr>
              <w:t>☒</w:t>
            </w:r>
          </w:p>
        </w:tc>
      </w:tr>
    </w:tbl>
    <w:p>
      <w:pPr>
        <w:spacing w:after="0" w:line="19" w:lineRule="exact"/>
        <w:rPr>
          <w:sz w:val="24"/>
          <w:szCs w:val="24"/>
          <w:color w:val="auto"/>
        </w:rPr>
      </w:pPr>
    </w:p>
    <w:p>
      <w:pPr>
        <w:spacing w:after="0" w:line="268" w:lineRule="auto"/>
        <w:rPr>
          <w:sz w:val="20"/>
          <w:szCs w:val="20"/>
          <w:color w:val="auto"/>
        </w:rPr>
      </w:pPr>
      <w:r>
        <w:rPr>
          <w:rFonts w:ascii="Arial" w:cs="Arial" w:eastAsia="Arial" w:hAnsi="Arial"/>
          <w:sz w:val="15"/>
          <w:szCs w:val="15"/>
          <w:color w:val="auto"/>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w:t>
      </w:r>
    </w:p>
    <w:p>
      <w:pPr>
        <w:spacing w:after="0" w:line="1" w:lineRule="exact"/>
        <w:rPr>
          <w:sz w:val="24"/>
          <w:szCs w:val="24"/>
          <w:color w:val="auto"/>
        </w:rPr>
      </w:pPr>
    </w:p>
    <w:p>
      <w:pPr>
        <w:spacing w:after="0" w:line="184" w:lineRule="exact"/>
        <w:tabs>
          <w:tab w:leader="none" w:pos="680" w:val="left"/>
          <w:tab w:leader="none" w:pos="1320" w:val="left"/>
        </w:tabs>
        <w:rPr>
          <w:sz w:val="20"/>
          <w:szCs w:val="20"/>
          <w:color w:val="auto"/>
        </w:rPr>
      </w:pPr>
      <w:r>
        <w:rPr>
          <w:rFonts w:ascii="Arial" w:cs="Arial" w:eastAsia="Arial" w:hAnsi="Arial"/>
          <w:sz w:val="16"/>
          <w:szCs w:val="16"/>
          <w:color w:val="auto"/>
        </w:rPr>
        <w:t>90 days.</w:t>
        <w:tab/>
        <w:t xml:space="preserve">Yes </w:t>
      </w:r>
      <w:r>
        <w:rPr>
          <w:rFonts w:ascii="MS PGothic" w:cs="MS PGothic" w:eastAsia="MS PGothic" w:hAnsi="MS PGothic"/>
          <w:sz w:val="16"/>
          <w:szCs w:val="16"/>
          <w:color w:val="auto"/>
        </w:rPr>
        <w:t>☒</w:t>
      </w:r>
      <w:r>
        <w:rPr>
          <w:rFonts w:ascii="Arial" w:cs="Arial" w:eastAsia="Arial" w:hAnsi="Arial"/>
          <w:sz w:val="16"/>
          <w:szCs w:val="16"/>
          <w:color w:val="auto"/>
        </w:rPr>
        <w:tab/>
        <w:t xml:space="preserve">No </w:t>
      </w:r>
      <w:r>
        <w:rPr>
          <w:rFonts w:ascii="MS PGothic" w:cs="MS PGothic" w:eastAsia="MS PGothic" w:hAnsi="MS PGothic"/>
          <w:sz w:val="16"/>
          <w:szCs w:val="16"/>
          <w:color w:val="auto"/>
        </w:rPr>
        <w:t>☐</w:t>
      </w:r>
    </w:p>
    <w:p>
      <w:pPr>
        <w:spacing w:after="0" w:line="51" w:lineRule="exact"/>
        <w:rPr>
          <w:sz w:val="24"/>
          <w:szCs w:val="24"/>
          <w:color w:val="auto"/>
        </w:rPr>
      </w:pPr>
    </w:p>
    <w:p>
      <w:pPr>
        <w:ind w:right="400"/>
        <w:spacing w:after="0" w:line="207" w:lineRule="exact"/>
        <w:rPr>
          <w:sz w:val="20"/>
          <w:szCs w:val="20"/>
          <w:color w:val="auto"/>
        </w:rPr>
      </w:pPr>
      <w:r>
        <w:rPr>
          <w:rFonts w:ascii="Arial" w:cs="Arial" w:eastAsia="Arial" w:hAnsi="Arial"/>
          <w:sz w:val="15"/>
          <w:szCs w:val="15"/>
          <w:color w:val="auto"/>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Yes </w:t>
      </w:r>
      <w:r>
        <w:rPr>
          <w:rFonts w:ascii="MS PGothic" w:cs="MS PGothic" w:eastAsia="MS PGothic" w:hAnsi="MS PGothic"/>
          <w:sz w:val="15"/>
          <w:szCs w:val="15"/>
          <w:color w:val="auto"/>
        </w:rPr>
        <w:t>☒</w:t>
      </w:r>
      <w:r>
        <w:rPr>
          <w:rFonts w:ascii="Arial" w:cs="Arial" w:eastAsia="Arial" w:hAnsi="Arial"/>
          <w:sz w:val="15"/>
          <w:szCs w:val="15"/>
          <w:color w:val="auto"/>
        </w:rPr>
        <w:t xml:space="preserve"> No </w:t>
      </w:r>
      <w:r>
        <w:rPr>
          <w:rFonts w:ascii="MS PGothic" w:cs="MS PGothic" w:eastAsia="MS PGothic" w:hAnsi="MS PGothic"/>
          <w:sz w:val="15"/>
          <w:szCs w:val="15"/>
          <w:color w:val="auto"/>
        </w:rPr>
        <w:t>☐</w:t>
      </w:r>
    </w:p>
    <w:p>
      <w:pPr>
        <w:spacing w:after="0" w:line="262" w:lineRule="exact"/>
        <w:rPr>
          <w:sz w:val="24"/>
          <w:szCs w:val="24"/>
          <w:color w:val="auto"/>
        </w:rPr>
      </w:pPr>
    </w:p>
    <w:p>
      <w:pPr>
        <w:ind w:right="120"/>
        <w:spacing w:after="0" w:line="260"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tbl>
      <w:tblPr>
        <w:tblLayout w:type="fixed"/>
        <w:tblInd w:w="660" w:type="dxa"/>
        <w:tblCellMar>
          <w:top w:w="0" w:type="dxa"/>
          <w:left w:w="0" w:type="dxa"/>
          <w:bottom w:w="0" w:type="dxa"/>
          <w:right w:w="0" w:type="dxa"/>
        </w:tblCellMar>
      </w:tblPr>
      <w:tr>
        <w:trPr>
          <w:trHeight w:val="141"/>
        </w:trPr>
        <w:tc>
          <w:tcPr>
            <w:tcW w:w="1740" w:type="dxa"/>
            <w:vAlign w:val="bottom"/>
          </w:tcPr>
          <w:p>
            <w:pPr>
              <w:spacing w:after="0"/>
              <w:rPr>
                <w:sz w:val="12"/>
                <w:szCs w:val="12"/>
                <w:color w:val="auto"/>
              </w:rPr>
            </w:pPr>
          </w:p>
        </w:tc>
        <w:tc>
          <w:tcPr>
            <w:tcW w:w="2020" w:type="dxa"/>
            <w:vAlign w:val="bottom"/>
          </w:tcPr>
          <w:p>
            <w:pPr>
              <w:spacing w:after="0"/>
              <w:rPr>
                <w:sz w:val="12"/>
                <w:szCs w:val="12"/>
                <w:color w:val="auto"/>
              </w:rPr>
            </w:pPr>
          </w:p>
        </w:tc>
        <w:tc>
          <w:tcPr>
            <w:tcW w:w="2700" w:type="dxa"/>
            <w:vAlign w:val="bottom"/>
          </w:tcPr>
          <w:p>
            <w:pPr>
              <w:spacing w:after="0"/>
              <w:rPr>
                <w:sz w:val="12"/>
                <w:szCs w:val="12"/>
                <w:color w:val="auto"/>
              </w:rPr>
            </w:pPr>
          </w:p>
        </w:tc>
        <w:tc>
          <w:tcPr>
            <w:tcW w:w="2680" w:type="dxa"/>
            <w:vAlign w:val="bottom"/>
          </w:tcPr>
          <w:p>
            <w:pPr>
              <w:spacing w:after="0"/>
              <w:rPr>
                <w:sz w:val="12"/>
                <w:szCs w:val="12"/>
                <w:color w:val="auto"/>
              </w:rPr>
            </w:pPr>
          </w:p>
        </w:tc>
        <w:tc>
          <w:tcPr>
            <w:tcW w:w="940" w:type="dxa"/>
            <w:vAlign w:val="bottom"/>
          </w:tcPr>
          <w:p>
            <w:pPr>
              <w:jc w:val="center"/>
              <w:ind w:left="168"/>
              <w:spacing w:after="0" w:line="141" w:lineRule="exact"/>
              <w:rPr>
                <w:sz w:val="20"/>
                <w:szCs w:val="20"/>
                <w:color w:val="auto"/>
              </w:rPr>
            </w:pPr>
            <w:r>
              <w:rPr>
                <w:rFonts w:ascii="Arial" w:cs="Arial" w:eastAsia="Arial" w:hAnsi="Arial"/>
                <w:sz w:val="14"/>
                <w:szCs w:val="14"/>
                <w:color w:val="auto"/>
                <w:w w:val="96"/>
              </w:rPr>
              <w:t>Emerging</w:t>
            </w:r>
          </w:p>
        </w:tc>
        <w:tc>
          <w:tcPr>
            <w:tcW w:w="0" w:type="dxa"/>
            <w:vAlign w:val="bottom"/>
          </w:tcPr>
          <w:p>
            <w:pPr>
              <w:spacing w:after="0"/>
              <w:rPr>
                <w:sz w:val="1"/>
                <w:szCs w:val="1"/>
                <w:color w:val="auto"/>
              </w:rPr>
            </w:pPr>
          </w:p>
        </w:tc>
      </w:tr>
      <w:tr>
        <w:trPr>
          <w:trHeight w:val="135"/>
        </w:trPr>
        <w:tc>
          <w:tcPr>
            <w:tcW w:w="1740" w:type="dxa"/>
            <w:vAlign w:val="bottom"/>
            <w:vMerge w:val="restart"/>
          </w:tcPr>
          <w:p>
            <w:pPr>
              <w:spacing w:after="0" w:line="161" w:lineRule="exact"/>
              <w:rPr>
                <w:sz w:val="20"/>
                <w:szCs w:val="20"/>
                <w:color w:val="auto"/>
              </w:rPr>
            </w:pPr>
            <w:r>
              <w:rPr>
                <w:rFonts w:ascii="Arial" w:cs="Arial" w:eastAsia="Arial" w:hAnsi="Arial"/>
                <w:sz w:val="14"/>
                <w:szCs w:val="14"/>
                <w:color w:val="auto"/>
              </w:rPr>
              <w:t xml:space="preserve">Large accelerated filer </w:t>
            </w:r>
            <w:r>
              <w:rPr>
                <w:rFonts w:ascii="MS PGothic" w:cs="MS PGothic" w:eastAsia="MS PGothic" w:hAnsi="MS PGothic"/>
                <w:sz w:val="14"/>
                <w:szCs w:val="14"/>
                <w:color w:val="auto"/>
              </w:rPr>
              <w:t>☒</w:t>
            </w:r>
          </w:p>
        </w:tc>
        <w:tc>
          <w:tcPr>
            <w:tcW w:w="2020" w:type="dxa"/>
            <w:vAlign w:val="bottom"/>
            <w:vMerge w:val="restart"/>
          </w:tcPr>
          <w:p>
            <w:pPr>
              <w:ind w:left="240"/>
              <w:spacing w:after="0" w:line="161" w:lineRule="exact"/>
              <w:rPr>
                <w:sz w:val="20"/>
                <w:szCs w:val="20"/>
                <w:color w:val="auto"/>
              </w:rPr>
            </w:pPr>
            <w:r>
              <w:rPr>
                <w:rFonts w:ascii="Arial" w:cs="Arial" w:eastAsia="Arial" w:hAnsi="Arial"/>
                <w:sz w:val="14"/>
                <w:szCs w:val="14"/>
                <w:color w:val="auto"/>
              </w:rPr>
              <w:t xml:space="preserve">Accelerated filer </w:t>
            </w:r>
            <w:r>
              <w:rPr>
                <w:rFonts w:ascii="MS PGothic" w:cs="MS PGothic" w:eastAsia="MS PGothic" w:hAnsi="MS PGothic"/>
                <w:sz w:val="14"/>
                <w:szCs w:val="14"/>
                <w:color w:val="auto"/>
              </w:rPr>
              <w:t>☐</w:t>
            </w:r>
          </w:p>
        </w:tc>
        <w:tc>
          <w:tcPr>
            <w:tcW w:w="2700" w:type="dxa"/>
            <w:vAlign w:val="bottom"/>
            <w:vMerge w:val="restart"/>
          </w:tcPr>
          <w:p>
            <w:pPr>
              <w:ind w:left="600"/>
              <w:spacing w:after="0" w:line="161" w:lineRule="exact"/>
              <w:rPr>
                <w:sz w:val="20"/>
                <w:szCs w:val="20"/>
                <w:color w:val="auto"/>
              </w:rPr>
            </w:pPr>
            <w:r>
              <w:rPr>
                <w:rFonts w:ascii="Arial" w:cs="Arial" w:eastAsia="Arial" w:hAnsi="Arial"/>
                <w:sz w:val="14"/>
                <w:szCs w:val="14"/>
                <w:color w:val="auto"/>
              </w:rPr>
              <w:t xml:space="preserve">Non-accelerated filer </w:t>
            </w:r>
            <w:r>
              <w:rPr>
                <w:rFonts w:ascii="MS PGothic" w:cs="MS PGothic" w:eastAsia="MS PGothic" w:hAnsi="MS PGothic"/>
                <w:sz w:val="14"/>
                <w:szCs w:val="14"/>
                <w:color w:val="auto"/>
              </w:rPr>
              <w:t>☐</w:t>
            </w:r>
          </w:p>
        </w:tc>
        <w:tc>
          <w:tcPr>
            <w:tcW w:w="2680" w:type="dxa"/>
            <w:vAlign w:val="bottom"/>
            <w:vMerge w:val="restart"/>
          </w:tcPr>
          <w:p>
            <w:pPr>
              <w:ind w:left="680"/>
              <w:spacing w:after="0" w:line="161" w:lineRule="exact"/>
              <w:rPr>
                <w:sz w:val="20"/>
                <w:szCs w:val="20"/>
                <w:color w:val="auto"/>
              </w:rPr>
            </w:pPr>
            <w:r>
              <w:rPr>
                <w:rFonts w:ascii="Arial" w:cs="Arial" w:eastAsia="Arial" w:hAnsi="Arial"/>
                <w:sz w:val="14"/>
                <w:szCs w:val="14"/>
                <w:color w:val="auto"/>
              </w:rPr>
              <w:t xml:space="preserve">Smaller reporting company </w:t>
            </w:r>
            <w:r>
              <w:rPr>
                <w:rFonts w:ascii="MS PGothic" w:cs="MS PGothic" w:eastAsia="MS PGothic" w:hAnsi="MS PGothic"/>
                <w:sz w:val="14"/>
                <w:szCs w:val="14"/>
                <w:color w:val="auto"/>
              </w:rPr>
              <w:t>☐</w:t>
            </w:r>
          </w:p>
        </w:tc>
        <w:tc>
          <w:tcPr>
            <w:tcW w:w="940" w:type="dxa"/>
            <w:vAlign w:val="bottom"/>
          </w:tcPr>
          <w:p>
            <w:pPr>
              <w:jc w:val="center"/>
              <w:ind w:left="168"/>
              <w:spacing w:after="0" w:line="135" w:lineRule="exact"/>
              <w:rPr>
                <w:sz w:val="20"/>
                <w:szCs w:val="20"/>
                <w:color w:val="auto"/>
              </w:rPr>
            </w:pPr>
            <w:r>
              <w:rPr>
                <w:rFonts w:ascii="Arial" w:cs="Arial" w:eastAsia="Arial" w:hAnsi="Arial"/>
                <w:sz w:val="14"/>
                <w:szCs w:val="14"/>
                <w:color w:val="auto"/>
                <w:w w:val="99"/>
              </w:rPr>
              <w:t>growth</w:t>
            </w:r>
          </w:p>
        </w:tc>
        <w:tc>
          <w:tcPr>
            <w:tcW w:w="0" w:type="dxa"/>
            <w:vAlign w:val="bottom"/>
          </w:tcPr>
          <w:p>
            <w:pPr>
              <w:spacing w:after="0"/>
              <w:rPr>
                <w:sz w:val="1"/>
                <w:szCs w:val="1"/>
                <w:color w:val="auto"/>
              </w:rPr>
            </w:pPr>
          </w:p>
        </w:tc>
      </w:tr>
      <w:tr>
        <w:trPr>
          <w:trHeight w:val="226"/>
        </w:trPr>
        <w:tc>
          <w:tcPr>
            <w:tcW w:w="1740" w:type="dxa"/>
            <w:vAlign w:val="bottom"/>
            <w:vMerge w:val="continue"/>
          </w:tcPr>
          <w:p>
            <w:pPr>
              <w:spacing w:after="0"/>
              <w:rPr>
                <w:sz w:val="19"/>
                <w:szCs w:val="19"/>
                <w:color w:val="auto"/>
              </w:rPr>
            </w:pPr>
          </w:p>
        </w:tc>
        <w:tc>
          <w:tcPr>
            <w:tcW w:w="2020" w:type="dxa"/>
            <w:vAlign w:val="bottom"/>
            <w:vMerge w:val="continue"/>
          </w:tcPr>
          <w:p>
            <w:pPr>
              <w:spacing w:after="0"/>
              <w:rPr>
                <w:sz w:val="19"/>
                <w:szCs w:val="19"/>
                <w:color w:val="auto"/>
              </w:rPr>
            </w:pPr>
          </w:p>
        </w:tc>
        <w:tc>
          <w:tcPr>
            <w:tcW w:w="2700" w:type="dxa"/>
            <w:vAlign w:val="bottom"/>
            <w:vMerge w:val="continue"/>
          </w:tcPr>
          <w:p>
            <w:pPr>
              <w:spacing w:after="0"/>
              <w:rPr>
                <w:sz w:val="19"/>
                <w:szCs w:val="19"/>
                <w:color w:val="auto"/>
              </w:rPr>
            </w:pPr>
          </w:p>
        </w:tc>
        <w:tc>
          <w:tcPr>
            <w:tcW w:w="2680" w:type="dxa"/>
            <w:vAlign w:val="bottom"/>
            <w:vMerge w:val="continue"/>
          </w:tcPr>
          <w:p>
            <w:pPr>
              <w:spacing w:after="0"/>
              <w:rPr>
                <w:sz w:val="19"/>
                <w:szCs w:val="19"/>
                <w:color w:val="auto"/>
              </w:rPr>
            </w:pPr>
          </w:p>
        </w:tc>
        <w:tc>
          <w:tcPr>
            <w:tcW w:w="940" w:type="dxa"/>
            <w:vAlign w:val="bottom"/>
          </w:tcPr>
          <w:p>
            <w:pPr>
              <w:jc w:val="center"/>
              <w:ind w:left="168"/>
              <w:spacing w:after="0" w:line="161" w:lineRule="exact"/>
              <w:rPr>
                <w:sz w:val="20"/>
                <w:szCs w:val="20"/>
                <w:color w:val="auto"/>
              </w:rPr>
            </w:pPr>
            <w:r>
              <w:rPr>
                <w:rFonts w:ascii="Arial" w:cs="Arial" w:eastAsia="Arial" w:hAnsi="Arial"/>
                <w:sz w:val="14"/>
                <w:szCs w:val="14"/>
                <w:color w:val="auto"/>
                <w:w w:val="93"/>
              </w:rPr>
              <w:t xml:space="preserve">company </w:t>
            </w:r>
            <w:r>
              <w:rPr>
                <w:rFonts w:ascii="MS PGothic" w:cs="MS PGothic" w:eastAsia="MS PGothic" w:hAnsi="MS PGothic"/>
                <w:sz w:val="14"/>
                <w:szCs w:val="14"/>
                <w:color w:val="auto"/>
                <w:w w:val="93"/>
              </w:rPr>
              <w:t>☐</w:t>
            </w:r>
          </w:p>
        </w:tc>
        <w:tc>
          <w:tcPr>
            <w:tcW w:w="0" w:type="dxa"/>
            <w:vAlign w:val="bottom"/>
          </w:tcPr>
          <w:p>
            <w:pPr>
              <w:spacing w:after="0"/>
              <w:rPr>
                <w:sz w:val="1"/>
                <w:szCs w:val="1"/>
                <w:color w:val="auto"/>
              </w:rPr>
            </w:pPr>
          </w:p>
        </w:tc>
      </w:tr>
    </w:tbl>
    <w:p>
      <w:pPr>
        <w:spacing w:after="0" w:line="264" w:lineRule="exact"/>
        <w:rPr>
          <w:sz w:val="24"/>
          <w:szCs w:val="24"/>
          <w:color w:val="auto"/>
        </w:rPr>
      </w:pPr>
    </w:p>
    <w:p>
      <w:pPr>
        <w:ind w:right="580"/>
        <w:spacing w:after="0" w:line="207" w:lineRule="exact"/>
        <w:rPr>
          <w:sz w:val="20"/>
          <w:szCs w:val="20"/>
          <w:color w:val="auto"/>
        </w:rPr>
      </w:pPr>
      <w:r>
        <w:rPr>
          <w:rFonts w:ascii="Arial" w:cs="Arial" w:eastAsia="Arial" w:hAnsi="Arial"/>
          <w:sz w:val="16"/>
          <w:szCs w:val="16"/>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6"/>
          <w:szCs w:val="16"/>
          <w:color w:val="auto"/>
        </w:rPr>
        <w:t>☐</w:t>
      </w:r>
    </w:p>
    <w:p>
      <w:pPr>
        <w:spacing w:after="0" w:line="233" w:lineRule="exact"/>
        <w:rPr>
          <w:sz w:val="24"/>
          <w:szCs w:val="24"/>
          <w:color w:val="auto"/>
        </w:rPr>
      </w:pPr>
    </w:p>
    <w:p>
      <w:pPr>
        <w:spacing w:after="0" w:line="184" w:lineRule="exact"/>
        <w:tabs>
          <w:tab w:leader="none" w:pos="7500" w:val="left"/>
          <w:tab w:leader="none" w:pos="8100" w:val="left"/>
        </w:tabs>
        <w:rPr>
          <w:sz w:val="20"/>
          <w:szCs w:val="20"/>
          <w:color w:val="auto"/>
        </w:rPr>
      </w:pPr>
      <w:r>
        <w:rPr>
          <w:rFonts w:ascii="Arial" w:cs="Arial" w:eastAsia="Arial" w:hAnsi="Arial"/>
          <w:sz w:val="15"/>
          <w:szCs w:val="15"/>
          <w:color w:val="auto"/>
        </w:rPr>
        <w:t>Indicate by check mark whether the registrant is a shell company (as defined in Rule 12b-2 of the Exchange Act).</w:t>
      </w:r>
      <w:r>
        <w:rPr>
          <w:sz w:val="20"/>
          <w:szCs w:val="20"/>
          <w:color w:val="auto"/>
        </w:rPr>
        <w:tab/>
      </w:r>
      <w:r>
        <w:rPr>
          <w:rFonts w:ascii="Arial" w:cs="Arial" w:eastAsia="Arial" w:hAnsi="Arial"/>
          <w:sz w:val="16"/>
          <w:szCs w:val="16"/>
          <w:color w:val="auto"/>
        </w:rPr>
        <w:t xml:space="preserve">Yes </w:t>
      </w:r>
      <w:r>
        <w:rPr>
          <w:rFonts w:ascii="MS PGothic" w:cs="MS PGothic" w:eastAsia="MS PGothic" w:hAnsi="MS PGothic"/>
          <w:sz w:val="16"/>
          <w:szCs w:val="16"/>
          <w:color w:val="auto"/>
        </w:rPr>
        <w:t>☐</w:t>
      </w:r>
      <w:r>
        <w:rPr>
          <w:rFonts w:ascii="Arial" w:cs="Arial" w:eastAsia="Arial" w:hAnsi="Arial"/>
          <w:sz w:val="16"/>
          <w:szCs w:val="16"/>
          <w:color w:val="auto"/>
        </w:rPr>
        <w:tab/>
        <w:t xml:space="preserve">No </w:t>
      </w:r>
      <w:r>
        <w:rPr>
          <w:rFonts w:ascii="MS PGothic" w:cs="MS PGothic" w:eastAsia="MS PGothic" w:hAnsi="MS PGothic"/>
          <w:sz w:val="16"/>
          <w:szCs w:val="16"/>
          <w:color w:val="auto"/>
        </w:rPr>
        <w:t>☒</w:t>
      </w:r>
    </w:p>
    <w:p>
      <w:pPr>
        <w:spacing w:after="0" w:line="89" w:lineRule="exact"/>
        <w:rPr>
          <w:sz w:val="24"/>
          <w:szCs w:val="24"/>
          <w:color w:val="auto"/>
        </w:rPr>
      </w:pPr>
    </w:p>
    <w:p>
      <w:pPr>
        <w:ind w:right="100"/>
        <w:spacing w:after="0" w:line="275" w:lineRule="auto"/>
        <w:rPr>
          <w:sz w:val="20"/>
          <w:szCs w:val="20"/>
          <w:color w:val="auto"/>
        </w:rPr>
      </w:pPr>
      <w:r>
        <w:rPr>
          <w:rFonts w:ascii="Arial" w:cs="Arial" w:eastAsia="Arial" w:hAnsi="Arial"/>
          <w:sz w:val="16"/>
          <w:szCs w:val="16"/>
          <w:color w:val="auto"/>
        </w:rPr>
        <w:t>The aggregate market value of the registrant’s common shares held by non-affiliates of the registrant was $16,535,444,225 based upon the closing price of $25.03 per share on the Nasdaq Global Select Market on August 2, 2019 (the last business day of the registrant’s most recently completed second quarter).</w:t>
      </w:r>
    </w:p>
    <w:p>
      <w:pPr>
        <w:spacing w:after="0" w:line="10" w:lineRule="exact"/>
        <w:rPr>
          <w:sz w:val="24"/>
          <w:szCs w:val="24"/>
          <w:color w:val="auto"/>
        </w:rPr>
      </w:pPr>
    </w:p>
    <w:p>
      <w:pPr>
        <w:spacing w:after="0"/>
        <w:rPr>
          <w:sz w:val="20"/>
          <w:szCs w:val="20"/>
          <w:color w:val="auto"/>
        </w:rPr>
      </w:pPr>
      <w:r>
        <w:rPr>
          <w:rFonts w:ascii="Arial" w:cs="Arial" w:eastAsia="Arial" w:hAnsi="Arial"/>
          <w:sz w:val="16"/>
          <w:szCs w:val="16"/>
          <w:color w:val="auto"/>
        </w:rPr>
        <w:t>As of March 16, 2020, there were 663.1 million common shares of the registrant outstanding.</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523875</wp:posOffset>
            </wp:positionV>
            <wp:extent cx="7132320" cy="171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786" w:right="339" w:bottom="1440" w:gutter="0" w:footer="0" w:header="0"/>
          <w:type w:val="continuous"/>
        </w:sectPr>
      </w:pPr>
    </w:p>
    <w:bookmarkStart w:id="1" w:name="page2"/>
    <w:bookmarkEnd w:id="1"/>
    <w:p>
      <w:pPr>
        <w:jc w:val="center"/>
        <w:ind w:right="-19"/>
        <w:spacing w:after="0"/>
        <w:rPr>
          <w:sz w:val="20"/>
          <w:szCs w:val="20"/>
          <w:color w:val="auto"/>
        </w:rPr>
      </w:pPr>
      <w:r>
        <w:rPr>
          <w:rFonts w:ascii="Arial" w:cs="Arial" w:eastAsia="Arial" w:hAnsi="Arial"/>
          <w:sz w:val="16"/>
          <w:szCs w:val="16"/>
          <w:b w:val="1"/>
          <w:bCs w:val="1"/>
          <w:color w:val="auto"/>
        </w:rPr>
        <w:t>DOCUMENTS INCORPORATED BY REFERENCE</w:t>
      </w:r>
    </w:p>
    <w:p>
      <w:pPr>
        <w:spacing w:after="0" w:line="50" w:lineRule="exact"/>
        <w:rPr>
          <w:sz w:val="20"/>
          <w:szCs w:val="20"/>
          <w:color w:val="auto"/>
        </w:rPr>
      </w:pPr>
    </w:p>
    <w:p>
      <w:pPr>
        <w:ind w:firstLine="324"/>
        <w:spacing w:after="0" w:line="286" w:lineRule="auto"/>
        <w:rPr>
          <w:sz w:val="20"/>
          <w:szCs w:val="20"/>
          <w:color w:val="auto"/>
        </w:rPr>
      </w:pPr>
      <w:r>
        <w:rPr>
          <w:rFonts w:ascii="Arial" w:cs="Arial" w:eastAsia="Arial" w:hAnsi="Arial"/>
          <w:sz w:val="15"/>
          <w:szCs w:val="15"/>
          <w:color w:val="auto"/>
        </w:rPr>
        <w:t>Portions of Part III of this Form 10-K are incorporated by reference from the registrant’s definitive proxy statement for its 2020 annual general meeting of shareholders, which proxy statement will be filed with the Securities and Exchange Commission within 120 days after the end of the fiscal year covered by this Form 10-K. Except with respect to information specifically incorporated by reference in this Form 10-K, the proxy statement is not deemed to be filed as part of this Form 10-K.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300355</wp:posOffset>
            </wp:positionV>
            <wp:extent cx="7132320" cy="17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152" w:right="359"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2" w:lineRule="exact"/>
        <w:rPr>
          <w:sz w:val="20"/>
          <w:szCs w:val="20"/>
          <w:color w:val="auto"/>
        </w:rPr>
      </w:pPr>
    </w:p>
    <w:p>
      <w:pPr>
        <w:spacing w:after="0"/>
        <w:rPr>
          <w:sz w:val="20"/>
          <w:szCs w:val="20"/>
          <w:color w:val="auto"/>
        </w:rPr>
      </w:pPr>
      <w:r>
        <w:rPr>
          <w:rFonts w:ascii="Arial" w:cs="Arial" w:eastAsia="Arial" w:hAnsi="Arial"/>
          <w:sz w:val="18"/>
          <w:szCs w:val="18"/>
          <w:color w:val="auto"/>
        </w:rPr>
        <w:t>Item 1.</w:t>
      </w:r>
    </w:p>
    <w:p>
      <w:pPr>
        <w:spacing w:after="0" w:line="63" w:lineRule="exact"/>
        <w:rPr>
          <w:sz w:val="20"/>
          <w:szCs w:val="20"/>
          <w:color w:val="auto"/>
        </w:rPr>
      </w:pPr>
    </w:p>
    <w:p>
      <w:pPr>
        <w:spacing w:after="0"/>
        <w:rPr>
          <w:sz w:val="20"/>
          <w:szCs w:val="20"/>
          <w:color w:val="auto"/>
        </w:rPr>
      </w:pPr>
      <w:r>
        <w:rPr>
          <w:rFonts w:ascii="Arial" w:cs="Arial" w:eastAsia="Arial" w:hAnsi="Arial"/>
          <w:sz w:val="17"/>
          <w:szCs w:val="17"/>
          <w:color w:val="auto"/>
        </w:rPr>
        <w:t>Item 1A.</w:t>
      </w:r>
    </w:p>
    <w:p>
      <w:pPr>
        <w:spacing w:after="0" w:line="75" w:lineRule="exact"/>
        <w:rPr>
          <w:sz w:val="20"/>
          <w:szCs w:val="20"/>
          <w:color w:val="auto"/>
        </w:rPr>
      </w:pPr>
    </w:p>
    <w:p>
      <w:pPr>
        <w:spacing w:after="0"/>
        <w:rPr>
          <w:sz w:val="20"/>
          <w:szCs w:val="20"/>
          <w:color w:val="auto"/>
        </w:rPr>
      </w:pPr>
      <w:r>
        <w:rPr>
          <w:rFonts w:ascii="Arial" w:cs="Arial" w:eastAsia="Arial" w:hAnsi="Arial"/>
          <w:sz w:val="17"/>
          <w:szCs w:val="17"/>
          <w:color w:val="auto"/>
        </w:rPr>
        <w:t>Item 1B.</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color w:val="auto"/>
        </w:rPr>
        <w:t>Item 2.</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Item 3.</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Item 4.</w:t>
      </w: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p>
      <w:pPr>
        <w:spacing w:after="0"/>
        <w:rPr>
          <w:sz w:val="20"/>
          <w:szCs w:val="20"/>
          <w:color w:val="auto"/>
        </w:rPr>
      </w:pPr>
      <w:r>
        <w:rPr>
          <w:rFonts w:ascii="Arial" w:cs="Arial" w:eastAsia="Arial" w:hAnsi="Arial"/>
          <w:sz w:val="18"/>
          <w:szCs w:val="18"/>
          <w:color w:val="auto"/>
        </w:rPr>
        <w:t>Item 5.</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Item 6.</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Item 7.</w:t>
      </w:r>
    </w:p>
    <w:p>
      <w:pPr>
        <w:spacing w:after="0" w:line="63" w:lineRule="exact"/>
        <w:rPr>
          <w:sz w:val="20"/>
          <w:szCs w:val="20"/>
          <w:color w:val="auto"/>
        </w:rPr>
      </w:pPr>
    </w:p>
    <w:p>
      <w:pPr>
        <w:spacing w:after="0"/>
        <w:rPr>
          <w:sz w:val="20"/>
          <w:szCs w:val="20"/>
          <w:color w:val="auto"/>
        </w:rPr>
      </w:pPr>
      <w:r>
        <w:rPr>
          <w:rFonts w:ascii="Arial" w:cs="Arial" w:eastAsia="Arial" w:hAnsi="Arial"/>
          <w:sz w:val="17"/>
          <w:szCs w:val="17"/>
          <w:color w:val="auto"/>
        </w:rPr>
        <w:t>Item 7A.</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color w:val="auto"/>
        </w:rPr>
        <w:t>Item 8.</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Item 9.</w:t>
      </w:r>
    </w:p>
    <w:p>
      <w:pPr>
        <w:spacing w:after="0" w:line="63" w:lineRule="exact"/>
        <w:rPr>
          <w:sz w:val="20"/>
          <w:szCs w:val="20"/>
          <w:color w:val="auto"/>
        </w:rPr>
      </w:pPr>
    </w:p>
    <w:p>
      <w:pPr>
        <w:spacing w:after="0"/>
        <w:rPr>
          <w:sz w:val="20"/>
          <w:szCs w:val="20"/>
          <w:color w:val="auto"/>
        </w:rPr>
      </w:pPr>
      <w:r>
        <w:rPr>
          <w:rFonts w:ascii="Arial" w:cs="Arial" w:eastAsia="Arial" w:hAnsi="Arial"/>
          <w:sz w:val="17"/>
          <w:szCs w:val="17"/>
          <w:color w:val="auto"/>
        </w:rPr>
        <w:t>Item 9A.</w:t>
      </w:r>
    </w:p>
    <w:p>
      <w:pPr>
        <w:spacing w:after="0" w:line="75" w:lineRule="exact"/>
        <w:rPr>
          <w:sz w:val="20"/>
          <w:szCs w:val="20"/>
          <w:color w:val="auto"/>
        </w:rPr>
      </w:pPr>
    </w:p>
    <w:p>
      <w:pPr>
        <w:spacing w:after="0"/>
        <w:rPr>
          <w:sz w:val="20"/>
          <w:szCs w:val="20"/>
          <w:color w:val="auto"/>
        </w:rPr>
      </w:pPr>
      <w:r>
        <w:rPr>
          <w:rFonts w:ascii="Arial" w:cs="Arial" w:eastAsia="Arial" w:hAnsi="Arial"/>
          <w:sz w:val="17"/>
          <w:szCs w:val="17"/>
          <w:color w:val="auto"/>
        </w:rPr>
        <w:t>Item 9B.</w:t>
      </w: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spacing w:after="0"/>
        <w:rPr>
          <w:sz w:val="20"/>
          <w:szCs w:val="20"/>
          <w:color w:val="auto"/>
        </w:rPr>
      </w:pPr>
      <w:r>
        <w:rPr>
          <w:rFonts w:ascii="Arial" w:cs="Arial" w:eastAsia="Arial" w:hAnsi="Arial"/>
          <w:sz w:val="17"/>
          <w:szCs w:val="17"/>
          <w:color w:val="auto"/>
        </w:rPr>
        <w:t>Item 10.</w:t>
      </w:r>
    </w:p>
    <w:p>
      <w:pPr>
        <w:spacing w:after="0" w:line="75" w:lineRule="exact"/>
        <w:rPr>
          <w:sz w:val="20"/>
          <w:szCs w:val="20"/>
          <w:color w:val="auto"/>
        </w:rPr>
      </w:pPr>
    </w:p>
    <w:p>
      <w:pPr>
        <w:spacing w:after="0"/>
        <w:rPr>
          <w:sz w:val="20"/>
          <w:szCs w:val="20"/>
          <w:color w:val="auto"/>
        </w:rPr>
      </w:pPr>
      <w:r>
        <w:rPr>
          <w:rFonts w:ascii="Arial" w:cs="Arial" w:eastAsia="Arial" w:hAnsi="Arial"/>
          <w:sz w:val="17"/>
          <w:szCs w:val="17"/>
          <w:color w:val="auto"/>
        </w:rPr>
        <w:t>Item 11.</w:t>
      </w:r>
    </w:p>
    <w:p>
      <w:pPr>
        <w:spacing w:after="0" w:line="75" w:lineRule="exact"/>
        <w:rPr>
          <w:sz w:val="20"/>
          <w:szCs w:val="20"/>
          <w:color w:val="auto"/>
        </w:rPr>
      </w:pPr>
    </w:p>
    <w:p>
      <w:pPr>
        <w:spacing w:after="0"/>
        <w:rPr>
          <w:sz w:val="20"/>
          <w:szCs w:val="20"/>
          <w:color w:val="auto"/>
        </w:rPr>
      </w:pPr>
      <w:r>
        <w:rPr>
          <w:rFonts w:ascii="Arial" w:cs="Arial" w:eastAsia="Arial" w:hAnsi="Arial"/>
          <w:sz w:val="17"/>
          <w:szCs w:val="17"/>
          <w:color w:val="auto"/>
        </w:rPr>
        <w:t>Item 12.</w:t>
      </w:r>
    </w:p>
    <w:p>
      <w:pPr>
        <w:spacing w:after="0" w:line="75" w:lineRule="exact"/>
        <w:rPr>
          <w:sz w:val="20"/>
          <w:szCs w:val="20"/>
          <w:color w:val="auto"/>
        </w:rPr>
      </w:pPr>
    </w:p>
    <w:p>
      <w:pPr>
        <w:spacing w:after="0"/>
        <w:rPr>
          <w:sz w:val="20"/>
          <w:szCs w:val="20"/>
          <w:color w:val="auto"/>
        </w:rPr>
      </w:pPr>
      <w:r>
        <w:rPr>
          <w:rFonts w:ascii="Arial" w:cs="Arial" w:eastAsia="Arial" w:hAnsi="Arial"/>
          <w:sz w:val="17"/>
          <w:szCs w:val="17"/>
          <w:color w:val="auto"/>
        </w:rPr>
        <w:t>Item 13.</w:t>
      </w:r>
    </w:p>
    <w:p>
      <w:pPr>
        <w:spacing w:after="0" w:line="75" w:lineRule="exact"/>
        <w:rPr>
          <w:sz w:val="20"/>
          <w:szCs w:val="20"/>
          <w:color w:val="auto"/>
        </w:rPr>
      </w:pPr>
    </w:p>
    <w:p>
      <w:pPr>
        <w:spacing w:after="0"/>
        <w:rPr>
          <w:sz w:val="20"/>
          <w:szCs w:val="20"/>
          <w:color w:val="auto"/>
        </w:rPr>
      </w:pPr>
      <w:r>
        <w:rPr>
          <w:rFonts w:ascii="Arial" w:cs="Arial" w:eastAsia="Arial" w:hAnsi="Arial"/>
          <w:sz w:val="17"/>
          <w:szCs w:val="17"/>
          <w:color w:val="auto"/>
        </w:rPr>
        <w:t>Item 14.</w:t>
      </w:r>
    </w:p>
    <w:p>
      <w:pPr>
        <w:spacing w:after="0" w:line="200" w:lineRule="exact"/>
        <w:rPr>
          <w:sz w:val="20"/>
          <w:szCs w:val="20"/>
          <w:color w:val="auto"/>
        </w:rPr>
      </w:pPr>
    </w:p>
    <w:p>
      <w:pPr>
        <w:spacing w:after="0" w:line="200" w:lineRule="exact"/>
        <w:rPr>
          <w:sz w:val="20"/>
          <w:szCs w:val="20"/>
          <w:color w:val="auto"/>
        </w:rPr>
      </w:pPr>
    </w:p>
    <w:p>
      <w:pPr>
        <w:spacing w:after="0" w:line="269" w:lineRule="exact"/>
        <w:rPr>
          <w:sz w:val="20"/>
          <w:szCs w:val="20"/>
          <w:color w:val="auto"/>
        </w:rPr>
      </w:pPr>
    </w:p>
    <w:p>
      <w:pPr>
        <w:spacing w:after="0"/>
        <w:rPr>
          <w:sz w:val="20"/>
          <w:szCs w:val="20"/>
          <w:color w:val="auto"/>
        </w:rPr>
      </w:pPr>
      <w:r>
        <w:rPr>
          <w:rFonts w:ascii="Arial" w:cs="Arial" w:eastAsia="Arial" w:hAnsi="Arial"/>
          <w:sz w:val="17"/>
          <w:szCs w:val="17"/>
          <w:color w:val="auto"/>
        </w:rPr>
        <w:t>Item 15.</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4"/>
        </w:trPr>
        <w:tc>
          <w:tcPr>
            <w:tcW w:w="6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6040" w:type="dxa"/>
            <w:vAlign w:val="bottom"/>
            <w:gridSpan w:val="16"/>
          </w:tcPr>
          <w:p>
            <w:pPr>
              <w:jc w:val="center"/>
              <w:ind w:right="3480"/>
              <w:spacing w:after="0"/>
              <w:rPr>
                <w:sz w:val="20"/>
                <w:szCs w:val="20"/>
                <w:color w:val="auto"/>
              </w:rPr>
            </w:pPr>
            <w:r>
              <w:rPr>
                <w:rFonts w:ascii="Arial" w:cs="Arial" w:eastAsia="Arial" w:hAnsi="Arial"/>
                <w:sz w:val="18"/>
                <w:szCs w:val="18"/>
                <w:b w:val="1"/>
                <w:bCs w:val="1"/>
                <w:color w:val="auto"/>
                <w:w w:val="98"/>
              </w:rPr>
              <w:t>TABLE OF CONTENTS</w:t>
            </w:r>
          </w:p>
        </w:tc>
        <w:tc>
          <w:tcPr>
            <w:tcW w:w="5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223"/>
        </w:trPr>
        <w:tc>
          <w:tcPr>
            <w:tcW w:w="6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860" w:type="dxa"/>
            <w:vAlign w:val="bottom"/>
            <w:tcBorders>
              <w:bottom w:val="single" w:sz="8" w:color="auto"/>
            </w:tcBorders>
            <w:gridSpan w:val="5"/>
          </w:tcPr>
          <w:p>
            <w:pPr>
              <w:jc w:val="right"/>
              <w:ind w:right="280"/>
              <w:spacing w:after="0"/>
              <w:rPr>
                <w:sz w:val="20"/>
                <w:szCs w:val="20"/>
                <w:color w:val="auto"/>
              </w:rPr>
            </w:pPr>
            <w:r>
              <w:rPr>
                <w:rFonts w:ascii="Arial" w:cs="Arial" w:eastAsia="Arial" w:hAnsi="Arial"/>
                <w:sz w:val="14"/>
                <w:szCs w:val="14"/>
                <w:b w:val="1"/>
                <w:bCs w:val="1"/>
                <w:color w:val="auto"/>
              </w:rPr>
              <w:t>Page</w:t>
            </w:r>
          </w:p>
        </w:tc>
      </w:tr>
      <w:tr>
        <w:trPr>
          <w:trHeight w:val="176"/>
        </w:trPr>
        <w:tc>
          <w:tcPr>
            <w:tcW w:w="6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080" w:type="dxa"/>
            <w:vAlign w:val="bottom"/>
            <w:gridSpan w:val="12"/>
          </w:tcPr>
          <w:p>
            <w:pPr>
              <w:jc w:val="center"/>
              <w:ind w:right="4420"/>
              <w:spacing w:after="0" w:line="176" w:lineRule="exact"/>
              <w:rPr>
                <w:rFonts w:ascii="Arial" w:cs="Arial" w:eastAsia="Arial" w:hAnsi="Arial"/>
                <w:sz w:val="18"/>
                <w:szCs w:val="18"/>
                <w:b w:val="1"/>
                <w:bCs w:val="1"/>
                <w:color w:val="0000FF"/>
                <w:w w:val="98"/>
              </w:rPr>
            </w:pPr>
            <w:hyperlink w:anchor="page4">
              <w:r>
                <w:rPr>
                  <w:rFonts w:ascii="Arial" w:cs="Arial" w:eastAsia="Arial" w:hAnsi="Arial"/>
                  <w:sz w:val="18"/>
                  <w:szCs w:val="18"/>
                  <w:b w:val="1"/>
                  <w:bCs w:val="1"/>
                  <w:color w:val="0000FF"/>
                  <w:w w:val="98"/>
                </w:rPr>
                <w:t>PART I</w:t>
              </w:r>
            </w:hyperlink>
          </w:p>
        </w:tc>
        <w:tc>
          <w:tcPr>
            <w:tcW w:w="5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r>
      <w:tr>
        <w:trPr>
          <w:trHeight w:val="466"/>
        </w:trPr>
        <w:tc>
          <w:tcPr>
            <w:tcW w:w="640" w:type="dxa"/>
            <w:vAlign w:val="bottom"/>
          </w:tcPr>
          <w:p>
            <w:pPr>
              <w:spacing w:after="0"/>
              <w:rPr>
                <w:rFonts w:ascii="Arial" w:cs="Arial" w:eastAsia="Arial" w:hAnsi="Arial"/>
                <w:sz w:val="18"/>
                <w:szCs w:val="18"/>
                <w:color w:val="0000FF"/>
                <w:w w:val="84"/>
              </w:rPr>
            </w:pPr>
            <w:hyperlink w:anchor="page5">
              <w:r>
                <w:rPr>
                  <w:rFonts w:ascii="Arial" w:cs="Arial" w:eastAsia="Arial" w:hAnsi="Arial"/>
                  <w:sz w:val="18"/>
                  <w:szCs w:val="18"/>
                  <w:color w:val="0000FF"/>
                  <w:w w:val="84"/>
                </w:rPr>
                <w:t>Business</w:t>
              </w:r>
            </w:hyperlink>
          </w:p>
        </w:tc>
        <w:tc>
          <w:tcPr>
            <w:tcW w:w="3680" w:type="dxa"/>
            <w:vAlign w:val="bottom"/>
            <w:gridSpan w:val="16"/>
          </w:tcPr>
          <w:p>
            <w:pPr>
              <w:spacing w:after="0"/>
              <w:rPr>
                <w:sz w:val="24"/>
                <w:szCs w:val="24"/>
                <w:color w:val="auto"/>
              </w:rPr>
            </w:pPr>
          </w:p>
        </w:tc>
        <w:tc>
          <w:tcPr>
            <w:tcW w:w="580" w:type="dxa"/>
            <w:vAlign w:val="bottom"/>
            <w:tcBorders>
              <w:top w:val="single" w:sz="8" w:color="0000FF"/>
            </w:tcBorders>
            <w:gridSpan w:val="2"/>
          </w:tcPr>
          <w:p>
            <w:pPr>
              <w:spacing w:after="0"/>
              <w:rPr>
                <w:sz w:val="24"/>
                <w:szCs w:val="24"/>
                <w:color w:val="auto"/>
              </w:rPr>
            </w:pPr>
          </w:p>
        </w:tc>
        <w:tc>
          <w:tcPr>
            <w:tcW w:w="4460" w:type="dxa"/>
            <w:vAlign w:val="bottom"/>
            <w:gridSpan w:val="9"/>
          </w:tcPr>
          <w:p>
            <w:pPr>
              <w:spacing w:after="0"/>
              <w:rPr>
                <w:sz w:val="24"/>
                <w:szCs w:val="24"/>
                <w:color w:val="auto"/>
              </w:rPr>
            </w:pPr>
          </w:p>
        </w:tc>
        <w:tc>
          <w:tcPr>
            <w:tcW w:w="860" w:type="dxa"/>
            <w:vAlign w:val="bottom"/>
            <w:gridSpan w:val="5"/>
          </w:tcPr>
          <w:p>
            <w:pPr>
              <w:jc w:val="right"/>
              <w:ind w:right="20"/>
              <w:spacing w:after="0"/>
              <w:rPr>
                <w:rFonts w:ascii="Arial" w:cs="Arial" w:eastAsia="Arial" w:hAnsi="Arial"/>
                <w:sz w:val="18"/>
                <w:szCs w:val="18"/>
                <w:color w:val="0000FF"/>
              </w:rPr>
            </w:pPr>
            <w:hyperlink w:anchor="page5">
              <w:r>
                <w:rPr>
                  <w:rFonts w:ascii="Arial" w:cs="Arial" w:eastAsia="Arial" w:hAnsi="Arial"/>
                  <w:sz w:val="18"/>
                  <w:szCs w:val="18"/>
                  <w:color w:val="0000FF"/>
                </w:rPr>
                <w:t>2</w:t>
              </w:r>
            </w:hyperlink>
          </w:p>
        </w:tc>
      </w:tr>
      <w:tr>
        <w:trPr>
          <w:trHeight w:val="20"/>
        </w:trPr>
        <w:tc>
          <w:tcPr>
            <w:tcW w:w="640" w:type="dxa"/>
            <w:vAlign w:val="bottom"/>
            <w:shd w:val="clear" w:color="auto" w:fill="0000FF"/>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00" w:type="dxa"/>
            <w:vAlign w:val="bottom"/>
            <w:gridSpan w:val="4"/>
          </w:tcPr>
          <w:p>
            <w:pPr>
              <w:spacing w:after="0"/>
              <w:rPr>
                <w:rFonts w:ascii="Arial" w:cs="Arial" w:eastAsia="Arial" w:hAnsi="Arial"/>
                <w:sz w:val="18"/>
                <w:szCs w:val="18"/>
                <w:color w:val="0000FF"/>
                <w:w w:val="87"/>
              </w:rPr>
            </w:pPr>
            <w:hyperlink w:anchor="page10">
              <w:r>
                <w:rPr>
                  <w:rFonts w:ascii="Arial" w:cs="Arial" w:eastAsia="Arial" w:hAnsi="Arial"/>
                  <w:sz w:val="18"/>
                  <w:szCs w:val="18"/>
                  <w:color w:val="0000FF"/>
                  <w:w w:val="87"/>
                </w:rPr>
                <w:t>Risk Factors</w:t>
              </w:r>
            </w:hyperlink>
          </w:p>
        </w:tc>
        <w:tc>
          <w:tcPr>
            <w:tcW w:w="8460" w:type="dxa"/>
            <w:vAlign w:val="bottom"/>
            <w:gridSpan w:val="24"/>
          </w:tcPr>
          <w:p>
            <w:pPr>
              <w:spacing w:after="0"/>
              <w:rPr>
                <w:sz w:val="21"/>
                <w:szCs w:val="21"/>
                <w:color w:val="auto"/>
              </w:rPr>
            </w:pPr>
          </w:p>
        </w:tc>
        <w:tc>
          <w:tcPr>
            <w:tcW w:w="860" w:type="dxa"/>
            <w:vAlign w:val="bottom"/>
            <w:gridSpan w:val="5"/>
          </w:tcPr>
          <w:p>
            <w:pPr>
              <w:jc w:val="right"/>
              <w:ind w:right="20"/>
              <w:spacing w:after="0"/>
              <w:rPr>
                <w:rFonts w:ascii="Arial" w:cs="Arial" w:eastAsia="Arial" w:hAnsi="Arial"/>
                <w:sz w:val="18"/>
                <w:szCs w:val="18"/>
                <w:color w:val="0000FF"/>
              </w:rPr>
            </w:pPr>
            <w:hyperlink w:anchor="page10">
              <w:r>
                <w:rPr>
                  <w:rFonts w:ascii="Arial" w:cs="Arial" w:eastAsia="Arial" w:hAnsi="Arial"/>
                  <w:sz w:val="18"/>
                  <w:szCs w:val="18"/>
                  <w:color w:val="0000FF"/>
                </w:rPr>
                <w:t>8</w:t>
              </w:r>
            </w:hyperlink>
          </w:p>
        </w:tc>
      </w:tr>
      <w:tr>
        <w:trPr>
          <w:trHeight w:val="20"/>
        </w:trPr>
        <w:tc>
          <w:tcPr>
            <w:tcW w:w="720" w:type="dxa"/>
            <w:vAlign w:val="bottom"/>
            <w:gridSpan w:val="2"/>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40" w:type="dxa"/>
            <w:vAlign w:val="bottom"/>
            <w:tcBorders>
              <w:left w:val="single" w:sz="8" w:color="0000FF"/>
            </w:tcBorders>
            <w:shd w:val="clear" w:color="auto" w:fill="0000FF"/>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2040" w:type="dxa"/>
            <w:vAlign w:val="bottom"/>
            <w:tcBorders>
              <w:bottom w:val="single" w:sz="8" w:color="0000FF"/>
            </w:tcBorders>
            <w:gridSpan w:val="9"/>
          </w:tcPr>
          <w:p>
            <w:pPr>
              <w:spacing w:after="0"/>
              <w:rPr>
                <w:rFonts w:ascii="Arial" w:cs="Arial" w:eastAsia="Arial" w:hAnsi="Arial"/>
                <w:sz w:val="18"/>
                <w:szCs w:val="18"/>
                <w:color w:val="0000FF"/>
                <w:w w:val="89"/>
              </w:rPr>
            </w:pPr>
            <w:hyperlink w:anchor="page32">
              <w:r>
                <w:rPr>
                  <w:rFonts w:ascii="Arial" w:cs="Arial" w:eastAsia="Arial" w:hAnsi="Arial"/>
                  <w:sz w:val="18"/>
                  <w:szCs w:val="18"/>
                  <w:color w:val="0000FF"/>
                  <w:w w:val="89"/>
                </w:rPr>
                <w:t>Unresolved Staff Comments</w:t>
              </w:r>
            </w:hyperlink>
          </w:p>
        </w:tc>
        <w:tc>
          <w:tcPr>
            <w:tcW w:w="7320" w:type="dxa"/>
            <w:vAlign w:val="bottom"/>
            <w:gridSpan w:val="19"/>
          </w:tcPr>
          <w:p>
            <w:pPr>
              <w:spacing w:after="0"/>
              <w:rPr>
                <w:sz w:val="21"/>
                <w:szCs w:val="21"/>
                <w:color w:val="auto"/>
              </w:rPr>
            </w:pPr>
          </w:p>
        </w:tc>
        <w:tc>
          <w:tcPr>
            <w:tcW w:w="660" w:type="dxa"/>
            <w:vAlign w:val="bottom"/>
            <w:gridSpan w:val="2"/>
          </w:tcPr>
          <w:p>
            <w:pPr>
              <w:spacing w:after="0"/>
              <w:rPr>
                <w:sz w:val="21"/>
                <w:szCs w:val="21"/>
                <w:color w:val="auto"/>
              </w:rPr>
            </w:pPr>
          </w:p>
        </w:tc>
        <w:tc>
          <w:tcPr>
            <w:tcW w:w="180" w:type="dxa"/>
            <w:vAlign w:val="bottom"/>
            <w:tcBorders>
              <w:bottom w:val="single" w:sz="8" w:color="0000FF"/>
            </w:tcBorders>
            <w:gridSpan w:val="2"/>
          </w:tcPr>
          <w:p>
            <w:pPr>
              <w:jc w:val="right"/>
              <w:spacing w:after="0"/>
              <w:rPr>
                <w:rFonts w:ascii="Arial" w:cs="Arial" w:eastAsia="Arial" w:hAnsi="Arial"/>
                <w:sz w:val="18"/>
                <w:szCs w:val="18"/>
                <w:color w:val="0000FF"/>
                <w:w w:val="79"/>
              </w:rPr>
            </w:pPr>
            <w:hyperlink w:anchor="page32">
              <w:r>
                <w:rPr>
                  <w:rFonts w:ascii="Arial" w:cs="Arial" w:eastAsia="Arial" w:hAnsi="Arial"/>
                  <w:sz w:val="18"/>
                  <w:szCs w:val="18"/>
                  <w:color w:val="0000FF"/>
                  <w:w w:val="79"/>
                </w:rPr>
                <w:t>29</w:t>
              </w:r>
            </w:hyperlink>
          </w:p>
        </w:tc>
        <w:tc>
          <w:tcPr>
            <w:tcW w:w="20" w:type="dxa"/>
            <w:vAlign w:val="bottom"/>
          </w:tcPr>
          <w:p>
            <w:pPr>
              <w:spacing w:after="0"/>
              <w:rPr>
                <w:sz w:val="21"/>
                <w:szCs w:val="21"/>
                <w:color w:val="auto"/>
              </w:rPr>
            </w:pPr>
          </w:p>
        </w:tc>
      </w:tr>
      <w:tr>
        <w:trPr>
          <w:trHeight w:val="250"/>
        </w:trPr>
        <w:tc>
          <w:tcPr>
            <w:tcW w:w="9360" w:type="dxa"/>
            <w:vAlign w:val="bottom"/>
            <w:gridSpan w:val="28"/>
          </w:tcPr>
          <w:p>
            <w:pPr>
              <w:spacing w:after="0"/>
              <w:rPr>
                <w:rFonts w:ascii="Arial" w:cs="Arial" w:eastAsia="Arial" w:hAnsi="Arial"/>
                <w:sz w:val="18"/>
                <w:szCs w:val="18"/>
                <w:color w:val="0000FF"/>
              </w:rPr>
            </w:pPr>
            <w:hyperlink w:anchor="page32">
              <w:r>
                <w:rPr>
                  <w:rFonts w:ascii="Arial" w:cs="Arial" w:eastAsia="Arial" w:hAnsi="Arial"/>
                  <w:sz w:val="18"/>
                  <w:szCs w:val="18"/>
                  <w:color w:val="0000FF"/>
                </w:rPr>
                <w:t>Properties</w:t>
              </w:r>
            </w:hyperlink>
          </w:p>
        </w:tc>
        <w:tc>
          <w:tcPr>
            <w:tcW w:w="840" w:type="dxa"/>
            <w:vAlign w:val="bottom"/>
            <w:gridSpan w:val="4"/>
          </w:tcPr>
          <w:p>
            <w:pPr>
              <w:jc w:val="right"/>
              <w:spacing w:after="0"/>
              <w:rPr>
                <w:rFonts w:ascii="Arial" w:cs="Arial" w:eastAsia="Arial" w:hAnsi="Arial"/>
                <w:sz w:val="18"/>
                <w:szCs w:val="18"/>
                <w:color w:val="0000FF"/>
              </w:rPr>
            </w:pPr>
            <w:hyperlink w:anchor="page32">
              <w:r>
                <w:rPr>
                  <w:rFonts w:ascii="Arial" w:cs="Arial" w:eastAsia="Arial" w:hAnsi="Arial"/>
                  <w:sz w:val="18"/>
                  <w:szCs w:val="18"/>
                  <w:color w:val="0000FF"/>
                </w:rPr>
                <w:t>30</w:t>
              </w:r>
            </w:hyperlink>
          </w:p>
        </w:tc>
        <w:tc>
          <w:tcPr>
            <w:tcW w:w="20" w:type="dxa"/>
            <w:vAlign w:val="bottom"/>
          </w:tcPr>
          <w:p>
            <w:pPr>
              <w:spacing w:after="0"/>
              <w:rPr>
                <w:sz w:val="21"/>
                <w:szCs w:val="21"/>
                <w:color w:val="auto"/>
              </w:rPr>
            </w:pPr>
          </w:p>
        </w:tc>
      </w:tr>
      <w:tr>
        <w:trPr>
          <w:trHeight w:val="20"/>
        </w:trPr>
        <w:tc>
          <w:tcPr>
            <w:tcW w:w="6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360" w:type="dxa"/>
            <w:vAlign w:val="bottom"/>
            <w:gridSpan w:val="28"/>
          </w:tcPr>
          <w:p>
            <w:pPr>
              <w:spacing w:after="0"/>
              <w:rPr>
                <w:rFonts w:ascii="Arial" w:cs="Arial" w:eastAsia="Arial" w:hAnsi="Arial"/>
                <w:sz w:val="18"/>
                <w:szCs w:val="18"/>
                <w:color w:val="0000FF"/>
              </w:rPr>
            </w:pPr>
            <w:hyperlink w:anchor="page33">
              <w:r>
                <w:rPr>
                  <w:rFonts w:ascii="Arial" w:cs="Arial" w:eastAsia="Arial" w:hAnsi="Arial"/>
                  <w:sz w:val="18"/>
                  <w:szCs w:val="18"/>
                  <w:color w:val="0000FF"/>
                </w:rPr>
                <w:t>Legal Proceedings</w:t>
              </w:r>
            </w:hyperlink>
          </w:p>
        </w:tc>
        <w:tc>
          <w:tcPr>
            <w:tcW w:w="840" w:type="dxa"/>
            <w:vAlign w:val="bottom"/>
            <w:gridSpan w:val="4"/>
          </w:tcPr>
          <w:p>
            <w:pPr>
              <w:jc w:val="right"/>
              <w:spacing w:after="0"/>
              <w:rPr>
                <w:rFonts w:ascii="Arial" w:cs="Arial" w:eastAsia="Arial" w:hAnsi="Arial"/>
                <w:sz w:val="18"/>
                <w:szCs w:val="18"/>
                <w:color w:val="0000FF"/>
              </w:rPr>
            </w:pPr>
            <w:hyperlink w:anchor="page33">
              <w:r>
                <w:rPr>
                  <w:rFonts w:ascii="Arial" w:cs="Arial" w:eastAsia="Arial" w:hAnsi="Arial"/>
                  <w:sz w:val="18"/>
                  <w:szCs w:val="18"/>
                  <w:color w:val="0000FF"/>
                </w:rPr>
                <w:t>30</w:t>
              </w:r>
            </w:hyperlink>
          </w:p>
        </w:tc>
        <w:tc>
          <w:tcPr>
            <w:tcW w:w="20" w:type="dxa"/>
            <w:vAlign w:val="bottom"/>
          </w:tcPr>
          <w:p>
            <w:pPr>
              <w:spacing w:after="0"/>
              <w:rPr>
                <w:sz w:val="21"/>
                <w:szCs w:val="21"/>
                <w:color w:val="auto"/>
              </w:rPr>
            </w:pPr>
          </w:p>
        </w:tc>
      </w:tr>
      <w:tr>
        <w:trPr>
          <w:trHeight w:val="20"/>
        </w:trPr>
        <w:tc>
          <w:tcPr>
            <w:tcW w:w="6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40" w:type="dxa"/>
            <w:vAlign w:val="bottom"/>
            <w:tcBorders>
              <w:left w:val="single" w:sz="8" w:color="0000FF"/>
            </w:tcBorders>
            <w:shd w:val="clear" w:color="auto" w:fill="0000FF"/>
          </w:tcPr>
          <w:p>
            <w:pPr>
              <w:spacing w:after="0" w:line="20" w:lineRule="exact"/>
              <w:rPr>
                <w:sz w:val="1"/>
                <w:szCs w:val="1"/>
                <w:color w:val="auto"/>
              </w:rPr>
            </w:pPr>
          </w:p>
        </w:tc>
        <w:tc>
          <w:tcPr>
            <w:tcW w:w="420" w:type="dxa"/>
            <w:vAlign w:val="bottom"/>
            <w:tcBorders>
              <w:right w:val="single" w:sz="8" w:color="0000FF"/>
            </w:tcBorders>
            <w:shd w:val="clear" w:color="auto" w:fill="0000FF"/>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360" w:type="dxa"/>
            <w:vAlign w:val="bottom"/>
            <w:gridSpan w:val="28"/>
          </w:tcPr>
          <w:p>
            <w:pPr>
              <w:spacing w:after="0"/>
              <w:rPr>
                <w:rFonts w:ascii="Arial" w:cs="Arial" w:eastAsia="Arial" w:hAnsi="Arial"/>
                <w:sz w:val="18"/>
                <w:szCs w:val="18"/>
                <w:color w:val="0000FF"/>
              </w:rPr>
            </w:pPr>
            <w:hyperlink w:anchor="page33">
              <w:r>
                <w:rPr>
                  <w:rFonts w:ascii="Arial" w:cs="Arial" w:eastAsia="Arial" w:hAnsi="Arial"/>
                  <w:sz w:val="18"/>
                  <w:szCs w:val="18"/>
                  <w:color w:val="0000FF"/>
                </w:rPr>
                <w:t>Mine Safety Disclosures</w:t>
              </w:r>
            </w:hyperlink>
          </w:p>
        </w:tc>
        <w:tc>
          <w:tcPr>
            <w:tcW w:w="840" w:type="dxa"/>
            <w:vAlign w:val="bottom"/>
            <w:gridSpan w:val="4"/>
          </w:tcPr>
          <w:p>
            <w:pPr>
              <w:jc w:val="right"/>
              <w:spacing w:after="0"/>
              <w:rPr>
                <w:rFonts w:ascii="Arial" w:cs="Arial" w:eastAsia="Arial" w:hAnsi="Arial"/>
                <w:sz w:val="18"/>
                <w:szCs w:val="18"/>
                <w:color w:val="0000FF"/>
              </w:rPr>
            </w:pPr>
            <w:hyperlink w:anchor="page33">
              <w:r>
                <w:rPr>
                  <w:rFonts w:ascii="Arial" w:cs="Arial" w:eastAsia="Arial" w:hAnsi="Arial"/>
                  <w:sz w:val="18"/>
                  <w:szCs w:val="18"/>
                  <w:color w:val="0000FF"/>
                </w:rPr>
                <w:t>30</w:t>
              </w:r>
            </w:hyperlink>
          </w:p>
        </w:tc>
        <w:tc>
          <w:tcPr>
            <w:tcW w:w="20" w:type="dxa"/>
            <w:vAlign w:val="bottom"/>
          </w:tcPr>
          <w:p>
            <w:pPr>
              <w:spacing w:after="0"/>
              <w:rPr>
                <w:sz w:val="21"/>
                <w:szCs w:val="21"/>
                <w:color w:val="auto"/>
              </w:rPr>
            </w:pPr>
          </w:p>
        </w:tc>
      </w:tr>
      <w:tr>
        <w:trPr>
          <w:trHeight w:val="426"/>
        </w:trPr>
        <w:tc>
          <w:tcPr>
            <w:tcW w:w="64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20" w:type="dxa"/>
            <w:vAlign w:val="bottom"/>
            <w:tcBorders>
              <w:top w:val="single" w:sz="8" w:color="0000FF"/>
            </w:tcBorders>
          </w:tcPr>
          <w:p>
            <w:pPr>
              <w:spacing w:after="0"/>
              <w:rPr>
                <w:sz w:val="24"/>
                <w:szCs w:val="24"/>
                <w:color w:val="auto"/>
              </w:rPr>
            </w:pPr>
          </w:p>
        </w:tc>
        <w:tc>
          <w:tcPr>
            <w:tcW w:w="38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60" w:type="dxa"/>
            <w:vAlign w:val="bottom"/>
            <w:tcBorders>
              <w:bottom w:val="single" w:sz="8" w:color="0000FF"/>
            </w:tcBorders>
            <w:gridSpan w:val="4"/>
          </w:tcPr>
          <w:p>
            <w:pPr>
              <w:jc w:val="center"/>
              <w:spacing w:after="0"/>
              <w:rPr>
                <w:rFonts w:ascii="Arial" w:cs="Arial" w:eastAsia="Arial" w:hAnsi="Arial"/>
                <w:sz w:val="18"/>
                <w:szCs w:val="18"/>
                <w:b w:val="1"/>
                <w:bCs w:val="1"/>
                <w:color w:val="0000FF"/>
              </w:rPr>
            </w:pPr>
            <w:hyperlink w:anchor="page33">
              <w:r>
                <w:rPr>
                  <w:rFonts w:ascii="Arial" w:cs="Arial" w:eastAsia="Arial" w:hAnsi="Arial"/>
                  <w:sz w:val="18"/>
                  <w:szCs w:val="18"/>
                  <w:b w:val="1"/>
                  <w:bCs w:val="1"/>
                  <w:color w:val="0000FF"/>
                </w:rPr>
                <w:t>PART II</w:t>
              </w:r>
            </w:hyperlink>
          </w:p>
        </w:tc>
        <w:tc>
          <w:tcPr>
            <w:tcW w:w="4420" w:type="dxa"/>
            <w:vAlign w:val="bottom"/>
            <w:gridSpan w:val="8"/>
          </w:tcPr>
          <w:p>
            <w:pPr>
              <w:spacing w:after="0"/>
              <w:rPr>
                <w:sz w:val="24"/>
                <w:szCs w:val="24"/>
                <w:color w:val="auto"/>
              </w:rPr>
            </w:pPr>
          </w:p>
        </w:tc>
        <w:tc>
          <w:tcPr>
            <w:tcW w:w="5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r>
      <w:tr>
        <w:trPr>
          <w:trHeight w:val="466"/>
        </w:trPr>
        <w:tc>
          <w:tcPr>
            <w:tcW w:w="9360" w:type="dxa"/>
            <w:vAlign w:val="bottom"/>
            <w:gridSpan w:val="28"/>
          </w:tcPr>
          <w:p>
            <w:pPr>
              <w:spacing w:after="0"/>
              <w:rPr>
                <w:rFonts w:ascii="Arial" w:cs="Arial" w:eastAsia="Arial" w:hAnsi="Arial"/>
                <w:sz w:val="18"/>
                <w:szCs w:val="18"/>
                <w:color w:val="0000FF"/>
              </w:rPr>
            </w:pPr>
            <w:hyperlink w:anchor="page34">
              <w:r>
                <w:rPr>
                  <w:rFonts w:ascii="Arial" w:cs="Arial" w:eastAsia="Arial" w:hAnsi="Arial"/>
                  <w:sz w:val="18"/>
                  <w:szCs w:val="18"/>
                  <w:color w:val="0000FF"/>
                </w:rPr>
                <w:t>Market for Registrant’s Common Equity, Related Shareholder Matters and Issuer Purchases of Equity Securities</w:t>
              </w:r>
            </w:hyperlink>
          </w:p>
        </w:tc>
        <w:tc>
          <w:tcPr>
            <w:tcW w:w="840" w:type="dxa"/>
            <w:vAlign w:val="bottom"/>
            <w:gridSpan w:val="4"/>
          </w:tcPr>
          <w:p>
            <w:pPr>
              <w:jc w:val="right"/>
              <w:spacing w:after="0"/>
              <w:rPr>
                <w:rFonts w:ascii="Arial" w:cs="Arial" w:eastAsia="Arial" w:hAnsi="Arial"/>
                <w:sz w:val="18"/>
                <w:szCs w:val="18"/>
                <w:color w:val="0000FF"/>
              </w:rPr>
            </w:pPr>
            <w:hyperlink w:anchor="page34">
              <w:r>
                <w:rPr>
                  <w:rFonts w:ascii="Arial" w:cs="Arial" w:eastAsia="Arial" w:hAnsi="Arial"/>
                  <w:sz w:val="18"/>
                  <w:szCs w:val="18"/>
                  <w:color w:val="0000FF"/>
                </w:rPr>
                <w:t>31</w:t>
              </w:r>
            </w:hyperlink>
          </w:p>
        </w:tc>
        <w:tc>
          <w:tcPr>
            <w:tcW w:w="20" w:type="dxa"/>
            <w:vAlign w:val="bottom"/>
          </w:tcPr>
          <w:p>
            <w:pPr>
              <w:spacing w:after="0"/>
              <w:rPr>
                <w:sz w:val="24"/>
                <w:szCs w:val="24"/>
                <w:color w:val="auto"/>
              </w:rPr>
            </w:pPr>
          </w:p>
        </w:tc>
      </w:tr>
      <w:tr>
        <w:trPr>
          <w:trHeight w:val="250"/>
        </w:trPr>
        <w:tc>
          <w:tcPr>
            <w:tcW w:w="1700" w:type="dxa"/>
            <w:vAlign w:val="bottom"/>
            <w:tcBorders>
              <w:top w:val="single" w:sz="8" w:color="0000FF"/>
              <w:bottom w:val="single" w:sz="8" w:color="0000FF"/>
            </w:tcBorders>
            <w:gridSpan w:val="6"/>
          </w:tcPr>
          <w:p>
            <w:pPr>
              <w:spacing w:after="0"/>
              <w:rPr>
                <w:rFonts w:ascii="Arial" w:cs="Arial" w:eastAsia="Arial" w:hAnsi="Arial"/>
                <w:sz w:val="18"/>
                <w:szCs w:val="18"/>
                <w:color w:val="0000FF"/>
                <w:w w:val="88"/>
              </w:rPr>
            </w:pPr>
            <w:hyperlink w:anchor="page35">
              <w:r>
                <w:rPr>
                  <w:rFonts w:ascii="Arial" w:cs="Arial" w:eastAsia="Arial" w:hAnsi="Arial"/>
                  <w:sz w:val="18"/>
                  <w:szCs w:val="18"/>
                  <w:color w:val="0000FF"/>
                  <w:w w:val="88"/>
                </w:rPr>
                <w:t>Selected Financial Data</w:t>
              </w:r>
            </w:hyperlink>
          </w:p>
        </w:tc>
        <w:tc>
          <w:tcPr>
            <w:tcW w:w="6360" w:type="dxa"/>
            <w:vAlign w:val="bottom"/>
            <w:tcBorders>
              <w:top w:val="single" w:sz="8" w:color="0000FF"/>
            </w:tcBorders>
            <w:gridSpan w:val="21"/>
          </w:tcPr>
          <w:p>
            <w:pPr>
              <w:spacing w:after="0"/>
              <w:rPr>
                <w:sz w:val="21"/>
                <w:szCs w:val="21"/>
                <w:color w:val="auto"/>
              </w:rPr>
            </w:pPr>
          </w:p>
        </w:tc>
        <w:tc>
          <w:tcPr>
            <w:tcW w:w="1300" w:type="dxa"/>
            <w:vAlign w:val="bottom"/>
          </w:tcPr>
          <w:p>
            <w:pPr>
              <w:spacing w:after="0"/>
              <w:rPr>
                <w:sz w:val="21"/>
                <w:szCs w:val="21"/>
                <w:color w:val="auto"/>
              </w:rPr>
            </w:pPr>
          </w:p>
        </w:tc>
        <w:tc>
          <w:tcPr>
            <w:tcW w:w="660" w:type="dxa"/>
            <w:vAlign w:val="bottom"/>
            <w:gridSpan w:val="2"/>
          </w:tcPr>
          <w:p>
            <w:pPr>
              <w:spacing w:after="0"/>
              <w:rPr>
                <w:sz w:val="21"/>
                <w:szCs w:val="21"/>
                <w:color w:val="auto"/>
              </w:rPr>
            </w:pPr>
          </w:p>
        </w:tc>
        <w:tc>
          <w:tcPr>
            <w:tcW w:w="180" w:type="dxa"/>
            <w:vAlign w:val="bottom"/>
            <w:tcBorders>
              <w:top w:val="single" w:sz="8" w:color="0000FF"/>
              <w:bottom w:val="single" w:sz="8" w:color="0000FF"/>
            </w:tcBorders>
            <w:gridSpan w:val="2"/>
          </w:tcPr>
          <w:p>
            <w:pPr>
              <w:jc w:val="right"/>
              <w:spacing w:after="0"/>
              <w:rPr>
                <w:rFonts w:ascii="Arial" w:cs="Arial" w:eastAsia="Arial" w:hAnsi="Arial"/>
                <w:sz w:val="18"/>
                <w:szCs w:val="18"/>
                <w:color w:val="0000FF"/>
                <w:w w:val="79"/>
              </w:rPr>
            </w:pPr>
            <w:hyperlink w:anchor="page35">
              <w:r>
                <w:rPr>
                  <w:rFonts w:ascii="Arial" w:cs="Arial" w:eastAsia="Arial" w:hAnsi="Arial"/>
                  <w:sz w:val="18"/>
                  <w:szCs w:val="18"/>
                  <w:color w:val="0000FF"/>
                  <w:w w:val="79"/>
                </w:rPr>
                <w:t>33</w:t>
              </w:r>
            </w:hyperlink>
          </w:p>
        </w:tc>
        <w:tc>
          <w:tcPr>
            <w:tcW w:w="20" w:type="dxa"/>
            <w:vAlign w:val="bottom"/>
          </w:tcPr>
          <w:p>
            <w:pPr>
              <w:spacing w:after="0"/>
              <w:rPr>
                <w:sz w:val="21"/>
                <w:szCs w:val="21"/>
                <w:color w:val="auto"/>
              </w:rPr>
            </w:pPr>
          </w:p>
        </w:tc>
      </w:tr>
      <w:tr>
        <w:trPr>
          <w:trHeight w:val="250"/>
        </w:trPr>
        <w:tc>
          <w:tcPr>
            <w:tcW w:w="9360" w:type="dxa"/>
            <w:vAlign w:val="bottom"/>
            <w:gridSpan w:val="28"/>
          </w:tcPr>
          <w:p>
            <w:pPr>
              <w:spacing w:after="0"/>
              <w:rPr>
                <w:rFonts w:ascii="Arial" w:cs="Arial" w:eastAsia="Arial" w:hAnsi="Arial"/>
                <w:sz w:val="18"/>
                <w:szCs w:val="18"/>
                <w:color w:val="0000FF"/>
              </w:rPr>
            </w:pPr>
            <w:hyperlink w:anchor="page37">
              <w:r>
                <w:rPr>
                  <w:rFonts w:ascii="Arial" w:cs="Arial" w:eastAsia="Arial" w:hAnsi="Arial"/>
                  <w:sz w:val="18"/>
                  <w:szCs w:val="18"/>
                  <w:color w:val="0000FF"/>
                </w:rPr>
                <w:t>Management’s Discussion and Analysis of Financial Condition and Results of Operations</w:t>
              </w:r>
            </w:hyperlink>
          </w:p>
        </w:tc>
        <w:tc>
          <w:tcPr>
            <w:tcW w:w="840" w:type="dxa"/>
            <w:vAlign w:val="bottom"/>
            <w:gridSpan w:val="4"/>
          </w:tcPr>
          <w:p>
            <w:pPr>
              <w:jc w:val="right"/>
              <w:spacing w:after="0"/>
              <w:rPr>
                <w:rFonts w:ascii="Arial" w:cs="Arial" w:eastAsia="Arial" w:hAnsi="Arial"/>
                <w:sz w:val="18"/>
                <w:szCs w:val="18"/>
                <w:color w:val="0000FF"/>
              </w:rPr>
            </w:pPr>
            <w:hyperlink w:anchor="page37">
              <w:r>
                <w:rPr>
                  <w:rFonts w:ascii="Arial" w:cs="Arial" w:eastAsia="Arial" w:hAnsi="Arial"/>
                  <w:sz w:val="18"/>
                  <w:szCs w:val="18"/>
                  <w:color w:val="0000FF"/>
                </w:rPr>
                <w:t>34</w:t>
              </w:r>
            </w:hyperlink>
          </w:p>
        </w:tc>
        <w:tc>
          <w:tcPr>
            <w:tcW w:w="20" w:type="dxa"/>
            <w:vAlign w:val="bottom"/>
          </w:tcPr>
          <w:p>
            <w:pPr>
              <w:spacing w:after="0"/>
              <w:rPr>
                <w:sz w:val="21"/>
                <w:szCs w:val="21"/>
                <w:color w:val="auto"/>
              </w:rPr>
            </w:pPr>
          </w:p>
        </w:tc>
      </w:tr>
      <w:tr>
        <w:trPr>
          <w:trHeight w:val="250"/>
        </w:trPr>
        <w:tc>
          <w:tcPr>
            <w:tcW w:w="6440" w:type="dxa"/>
            <w:vAlign w:val="bottom"/>
            <w:tcBorders>
              <w:top w:val="single" w:sz="8" w:color="0000FF"/>
            </w:tcBorders>
            <w:gridSpan w:val="24"/>
          </w:tcPr>
          <w:p>
            <w:pPr>
              <w:spacing w:after="0"/>
              <w:rPr>
                <w:rFonts w:ascii="Arial" w:cs="Arial" w:eastAsia="Arial" w:hAnsi="Arial"/>
                <w:sz w:val="18"/>
                <w:szCs w:val="18"/>
                <w:color w:val="0000FF"/>
              </w:rPr>
            </w:pPr>
            <w:hyperlink w:anchor="page47">
              <w:r>
                <w:rPr>
                  <w:rFonts w:ascii="Arial" w:cs="Arial" w:eastAsia="Arial" w:hAnsi="Arial"/>
                  <w:sz w:val="18"/>
                  <w:szCs w:val="18"/>
                  <w:color w:val="0000FF"/>
                </w:rPr>
                <w:t>Quantitative and Qualitative Disclosures About Market Risk</w:t>
              </w:r>
            </w:hyperlink>
          </w:p>
        </w:tc>
        <w:tc>
          <w:tcPr>
            <w:tcW w:w="2920" w:type="dxa"/>
            <w:vAlign w:val="bottom"/>
            <w:gridSpan w:val="4"/>
          </w:tcPr>
          <w:p>
            <w:pPr>
              <w:spacing w:after="0"/>
              <w:rPr>
                <w:sz w:val="21"/>
                <w:szCs w:val="21"/>
                <w:color w:val="auto"/>
              </w:rPr>
            </w:pPr>
          </w:p>
        </w:tc>
        <w:tc>
          <w:tcPr>
            <w:tcW w:w="660" w:type="dxa"/>
            <w:vAlign w:val="bottom"/>
            <w:gridSpan w:val="2"/>
          </w:tcPr>
          <w:p>
            <w:pPr>
              <w:spacing w:after="0"/>
              <w:rPr>
                <w:sz w:val="21"/>
                <w:szCs w:val="21"/>
                <w:color w:val="auto"/>
              </w:rPr>
            </w:pPr>
          </w:p>
        </w:tc>
        <w:tc>
          <w:tcPr>
            <w:tcW w:w="180" w:type="dxa"/>
            <w:vAlign w:val="bottom"/>
            <w:tcBorders>
              <w:top w:val="single" w:sz="8" w:color="0000FF"/>
            </w:tcBorders>
            <w:gridSpan w:val="2"/>
          </w:tcPr>
          <w:p>
            <w:pPr>
              <w:jc w:val="right"/>
              <w:spacing w:after="0"/>
              <w:rPr>
                <w:rFonts w:ascii="Arial" w:cs="Arial" w:eastAsia="Arial" w:hAnsi="Arial"/>
                <w:sz w:val="18"/>
                <w:szCs w:val="18"/>
                <w:color w:val="0000FF"/>
                <w:w w:val="79"/>
              </w:rPr>
            </w:pPr>
            <w:hyperlink w:anchor="page47">
              <w:r>
                <w:rPr>
                  <w:rFonts w:ascii="Arial" w:cs="Arial" w:eastAsia="Arial" w:hAnsi="Arial"/>
                  <w:sz w:val="18"/>
                  <w:szCs w:val="18"/>
                  <w:color w:val="0000FF"/>
                  <w:w w:val="79"/>
                </w:rPr>
                <w:t>44</w:t>
              </w:r>
            </w:hyperlink>
          </w:p>
        </w:tc>
        <w:tc>
          <w:tcPr>
            <w:tcW w:w="20" w:type="dxa"/>
            <w:vAlign w:val="bottom"/>
          </w:tcPr>
          <w:p>
            <w:pPr>
              <w:spacing w:after="0"/>
              <w:rPr>
                <w:sz w:val="21"/>
                <w:szCs w:val="21"/>
                <w:color w:val="auto"/>
              </w:rPr>
            </w:pPr>
          </w:p>
        </w:tc>
      </w:tr>
      <w:tr>
        <w:trPr>
          <w:trHeight w:val="250"/>
        </w:trPr>
        <w:tc>
          <w:tcPr>
            <w:tcW w:w="3320" w:type="dxa"/>
            <w:vAlign w:val="bottom"/>
            <w:tcBorders>
              <w:top w:val="single" w:sz="8" w:color="0000FF"/>
              <w:bottom w:val="single" w:sz="8" w:color="0000FF"/>
            </w:tcBorders>
            <w:gridSpan w:val="12"/>
          </w:tcPr>
          <w:p>
            <w:pPr>
              <w:spacing w:after="0"/>
              <w:rPr>
                <w:rFonts w:ascii="Arial" w:cs="Arial" w:eastAsia="Arial" w:hAnsi="Arial"/>
                <w:sz w:val="18"/>
                <w:szCs w:val="18"/>
                <w:color w:val="0000FF"/>
                <w:w w:val="88"/>
              </w:rPr>
            </w:pPr>
            <w:hyperlink w:anchor="page48">
              <w:r>
                <w:rPr>
                  <w:rFonts w:ascii="Arial" w:cs="Arial" w:eastAsia="Arial" w:hAnsi="Arial"/>
                  <w:sz w:val="18"/>
                  <w:szCs w:val="18"/>
                  <w:color w:val="0000FF"/>
                  <w:w w:val="88"/>
                </w:rPr>
                <w:t>Financial Statements and Supplementary Data</w:t>
              </w:r>
            </w:hyperlink>
          </w:p>
        </w:tc>
        <w:tc>
          <w:tcPr>
            <w:tcW w:w="1020" w:type="dxa"/>
            <w:vAlign w:val="bottom"/>
            <w:tcBorders>
              <w:top w:val="single" w:sz="8" w:color="0000FF"/>
            </w:tcBorders>
            <w:gridSpan w:val="6"/>
          </w:tcPr>
          <w:p>
            <w:pPr>
              <w:spacing w:after="0"/>
              <w:rPr>
                <w:sz w:val="21"/>
                <w:szCs w:val="21"/>
                <w:color w:val="auto"/>
              </w:rPr>
            </w:pPr>
          </w:p>
        </w:tc>
        <w:tc>
          <w:tcPr>
            <w:tcW w:w="5020" w:type="dxa"/>
            <w:vAlign w:val="bottom"/>
            <w:gridSpan w:val="10"/>
          </w:tcPr>
          <w:p>
            <w:pPr>
              <w:spacing w:after="0"/>
              <w:rPr>
                <w:sz w:val="21"/>
                <w:szCs w:val="21"/>
                <w:color w:val="auto"/>
              </w:rPr>
            </w:pPr>
          </w:p>
        </w:tc>
        <w:tc>
          <w:tcPr>
            <w:tcW w:w="660" w:type="dxa"/>
            <w:vAlign w:val="bottom"/>
            <w:gridSpan w:val="2"/>
          </w:tcPr>
          <w:p>
            <w:pPr>
              <w:spacing w:after="0"/>
              <w:rPr>
                <w:sz w:val="21"/>
                <w:szCs w:val="21"/>
                <w:color w:val="auto"/>
              </w:rPr>
            </w:pPr>
          </w:p>
        </w:tc>
        <w:tc>
          <w:tcPr>
            <w:tcW w:w="180" w:type="dxa"/>
            <w:vAlign w:val="bottom"/>
            <w:tcBorders>
              <w:top w:val="single" w:sz="8" w:color="0000FF"/>
              <w:bottom w:val="single" w:sz="8" w:color="0000FF"/>
            </w:tcBorders>
            <w:gridSpan w:val="2"/>
          </w:tcPr>
          <w:p>
            <w:pPr>
              <w:jc w:val="right"/>
              <w:spacing w:after="0"/>
              <w:rPr>
                <w:rFonts w:ascii="Arial" w:cs="Arial" w:eastAsia="Arial" w:hAnsi="Arial"/>
                <w:sz w:val="18"/>
                <w:szCs w:val="18"/>
                <w:color w:val="0000FF"/>
                <w:w w:val="79"/>
              </w:rPr>
            </w:pPr>
            <w:hyperlink w:anchor="page48">
              <w:r>
                <w:rPr>
                  <w:rFonts w:ascii="Arial" w:cs="Arial" w:eastAsia="Arial" w:hAnsi="Arial"/>
                  <w:sz w:val="18"/>
                  <w:szCs w:val="18"/>
                  <w:color w:val="0000FF"/>
                  <w:w w:val="79"/>
                </w:rPr>
                <w:t>46</w:t>
              </w:r>
            </w:hyperlink>
          </w:p>
        </w:tc>
        <w:tc>
          <w:tcPr>
            <w:tcW w:w="20" w:type="dxa"/>
            <w:vAlign w:val="bottom"/>
          </w:tcPr>
          <w:p>
            <w:pPr>
              <w:spacing w:after="0"/>
              <w:rPr>
                <w:sz w:val="21"/>
                <w:szCs w:val="21"/>
                <w:color w:val="auto"/>
              </w:rPr>
            </w:pPr>
          </w:p>
        </w:tc>
      </w:tr>
      <w:tr>
        <w:trPr>
          <w:trHeight w:val="250"/>
        </w:trPr>
        <w:tc>
          <w:tcPr>
            <w:tcW w:w="9360" w:type="dxa"/>
            <w:vAlign w:val="bottom"/>
            <w:gridSpan w:val="28"/>
          </w:tcPr>
          <w:p>
            <w:pPr>
              <w:spacing w:after="0"/>
              <w:rPr>
                <w:rFonts w:ascii="Arial" w:cs="Arial" w:eastAsia="Arial" w:hAnsi="Arial"/>
                <w:sz w:val="18"/>
                <w:szCs w:val="18"/>
                <w:color w:val="0000FF"/>
              </w:rPr>
            </w:pPr>
            <w:hyperlink w:anchor="page97">
              <w:r>
                <w:rPr>
                  <w:rFonts w:ascii="Arial" w:cs="Arial" w:eastAsia="Arial" w:hAnsi="Arial"/>
                  <w:sz w:val="18"/>
                  <w:szCs w:val="18"/>
                  <w:color w:val="0000FF"/>
                </w:rPr>
                <w:t>Changes in and Disagreements with Accountants on Accounting and Financial Disclosure</w:t>
              </w:r>
            </w:hyperlink>
          </w:p>
        </w:tc>
        <w:tc>
          <w:tcPr>
            <w:tcW w:w="840" w:type="dxa"/>
            <w:vAlign w:val="bottom"/>
            <w:gridSpan w:val="4"/>
          </w:tcPr>
          <w:p>
            <w:pPr>
              <w:jc w:val="right"/>
              <w:spacing w:after="0"/>
              <w:rPr>
                <w:rFonts w:ascii="Arial" w:cs="Arial" w:eastAsia="Arial" w:hAnsi="Arial"/>
                <w:sz w:val="18"/>
                <w:szCs w:val="18"/>
                <w:color w:val="0000FF"/>
              </w:rPr>
            </w:pPr>
            <w:hyperlink w:anchor="page97">
              <w:r>
                <w:rPr>
                  <w:rFonts w:ascii="Arial" w:cs="Arial" w:eastAsia="Arial" w:hAnsi="Arial"/>
                  <w:sz w:val="18"/>
                  <w:szCs w:val="18"/>
                  <w:color w:val="0000FF"/>
                </w:rPr>
                <w:t>95</w:t>
              </w:r>
            </w:hyperlink>
          </w:p>
        </w:tc>
        <w:tc>
          <w:tcPr>
            <w:tcW w:w="20" w:type="dxa"/>
            <w:vAlign w:val="bottom"/>
          </w:tcPr>
          <w:p>
            <w:pPr>
              <w:spacing w:after="0"/>
              <w:rPr>
                <w:sz w:val="21"/>
                <w:szCs w:val="21"/>
                <w:color w:val="auto"/>
              </w:rPr>
            </w:pPr>
          </w:p>
        </w:tc>
      </w:tr>
      <w:tr>
        <w:trPr>
          <w:trHeight w:val="250"/>
        </w:trPr>
        <w:tc>
          <w:tcPr>
            <w:tcW w:w="6460" w:type="dxa"/>
            <w:vAlign w:val="bottom"/>
            <w:tcBorders>
              <w:top w:val="single" w:sz="8" w:color="0000FF"/>
            </w:tcBorders>
            <w:gridSpan w:val="25"/>
          </w:tcPr>
          <w:p>
            <w:pPr>
              <w:spacing w:after="0"/>
              <w:rPr>
                <w:rFonts w:ascii="Arial" w:cs="Arial" w:eastAsia="Arial" w:hAnsi="Arial"/>
                <w:sz w:val="18"/>
                <w:szCs w:val="18"/>
                <w:color w:val="0000FF"/>
              </w:rPr>
            </w:pPr>
            <w:hyperlink w:anchor="page98">
              <w:r>
                <w:rPr>
                  <w:rFonts w:ascii="Arial" w:cs="Arial" w:eastAsia="Arial" w:hAnsi="Arial"/>
                  <w:sz w:val="18"/>
                  <w:szCs w:val="18"/>
                  <w:color w:val="0000FF"/>
                </w:rPr>
                <w:t>Controls and Procedures</w:t>
              </w:r>
            </w:hyperlink>
          </w:p>
        </w:tc>
        <w:tc>
          <w:tcPr>
            <w:tcW w:w="2900" w:type="dxa"/>
            <w:vAlign w:val="bottom"/>
            <w:gridSpan w:val="3"/>
          </w:tcPr>
          <w:p>
            <w:pPr>
              <w:spacing w:after="0"/>
              <w:rPr>
                <w:sz w:val="21"/>
                <w:szCs w:val="21"/>
                <w:color w:val="auto"/>
              </w:rPr>
            </w:pPr>
          </w:p>
        </w:tc>
        <w:tc>
          <w:tcPr>
            <w:tcW w:w="660" w:type="dxa"/>
            <w:vAlign w:val="bottom"/>
            <w:gridSpan w:val="2"/>
          </w:tcPr>
          <w:p>
            <w:pPr>
              <w:spacing w:after="0"/>
              <w:rPr>
                <w:sz w:val="21"/>
                <w:szCs w:val="21"/>
                <w:color w:val="auto"/>
              </w:rPr>
            </w:pPr>
          </w:p>
        </w:tc>
        <w:tc>
          <w:tcPr>
            <w:tcW w:w="180" w:type="dxa"/>
            <w:vAlign w:val="bottom"/>
            <w:tcBorders>
              <w:top w:val="single" w:sz="8" w:color="0000FF"/>
            </w:tcBorders>
            <w:gridSpan w:val="2"/>
          </w:tcPr>
          <w:p>
            <w:pPr>
              <w:jc w:val="right"/>
              <w:spacing w:after="0"/>
              <w:rPr>
                <w:rFonts w:ascii="Arial" w:cs="Arial" w:eastAsia="Arial" w:hAnsi="Arial"/>
                <w:sz w:val="18"/>
                <w:szCs w:val="18"/>
                <w:color w:val="0000FF"/>
                <w:w w:val="79"/>
              </w:rPr>
            </w:pPr>
            <w:hyperlink w:anchor="page98">
              <w:r>
                <w:rPr>
                  <w:rFonts w:ascii="Arial" w:cs="Arial" w:eastAsia="Arial" w:hAnsi="Arial"/>
                  <w:sz w:val="18"/>
                  <w:szCs w:val="18"/>
                  <w:color w:val="0000FF"/>
                  <w:w w:val="79"/>
                </w:rPr>
                <w:t>95</w:t>
              </w:r>
            </w:hyperlink>
          </w:p>
        </w:tc>
        <w:tc>
          <w:tcPr>
            <w:tcW w:w="20" w:type="dxa"/>
            <w:vAlign w:val="bottom"/>
          </w:tcPr>
          <w:p>
            <w:pPr>
              <w:spacing w:after="0"/>
              <w:rPr>
                <w:sz w:val="21"/>
                <w:szCs w:val="21"/>
                <w:color w:val="auto"/>
              </w:rPr>
            </w:pPr>
          </w:p>
        </w:tc>
      </w:tr>
      <w:tr>
        <w:trPr>
          <w:trHeight w:val="250"/>
        </w:trPr>
        <w:tc>
          <w:tcPr>
            <w:tcW w:w="1760" w:type="dxa"/>
            <w:vAlign w:val="bottom"/>
            <w:tcBorders>
              <w:top w:val="single" w:sz="8" w:color="0000FF"/>
            </w:tcBorders>
            <w:gridSpan w:val="7"/>
          </w:tcPr>
          <w:p>
            <w:pPr>
              <w:spacing w:after="0"/>
              <w:rPr>
                <w:rFonts w:ascii="Arial" w:cs="Arial" w:eastAsia="Arial" w:hAnsi="Arial"/>
                <w:sz w:val="18"/>
                <w:szCs w:val="18"/>
                <w:color w:val="0000FF"/>
              </w:rPr>
            </w:pPr>
            <w:hyperlink w:anchor="page99">
              <w:r>
                <w:rPr>
                  <w:rFonts w:ascii="Arial" w:cs="Arial" w:eastAsia="Arial" w:hAnsi="Arial"/>
                  <w:sz w:val="18"/>
                  <w:szCs w:val="18"/>
                  <w:color w:val="0000FF"/>
                </w:rPr>
                <w:t>Other Information</w:t>
              </w:r>
            </w:hyperlink>
          </w:p>
        </w:tc>
        <w:tc>
          <w:tcPr>
            <w:tcW w:w="7600" w:type="dxa"/>
            <w:vAlign w:val="bottom"/>
            <w:gridSpan w:val="21"/>
          </w:tcPr>
          <w:p>
            <w:pPr>
              <w:spacing w:after="0"/>
              <w:rPr>
                <w:sz w:val="21"/>
                <w:szCs w:val="21"/>
                <w:color w:val="auto"/>
              </w:rPr>
            </w:pPr>
          </w:p>
        </w:tc>
        <w:tc>
          <w:tcPr>
            <w:tcW w:w="660" w:type="dxa"/>
            <w:vAlign w:val="bottom"/>
            <w:gridSpan w:val="2"/>
          </w:tcPr>
          <w:p>
            <w:pPr>
              <w:spacing w:after="0"/>
              <w:rPr>
                <w:sz w:val="21"/>
                <w:szCs w:val="21"/>
                <w:color w:val="auto"/>
              </w:rPr>
            </w:pPr>
          </w:p>
        </w:tc>
        <w:tc>
          <w:tcPr>
            <w:tcW w:w="180" w:type="dxa"/>
            <w:vAlign w:val="bottom"/>
            <w:tcBorders>
              <w:top w:val="single" w:sz="8" w:color="0000FF"/>
            </w:tcBorders>
            <w:gridSpan w:val="2"/>
          </w:tcPr>
          <w:p>
            <w:pPr>
              <w:jc w:val="right"/>
              <w:spacing w:after="0"/>
              <w:rPr>
                <w:rFonts w:ascii="Arial" w:cs="Arial" w:eastAsia="Arial" w:hAnsi="Arial"/>
                <w:sz w:val="18"/>
                <w:szCs w:val="18"/>
                <w:color w:val="0000FF"/>
                <w:w w:val="79"/>
              </w:rPr>
            </w:pPr>
            <w:hyperlink w:anchor="page99">
              <w:r>
                <w:rPr>
                  <w:rFonts w:ascii="Arial" w:cs="Arial" w:eastAsia="Arial" w:hAnsi="Arial"/>
                  <w:sz w:val="18"/>
                  <w:szCs w:val="18"/>
                  <w:color w:val="0000FF"/>
                  <w:w w:val="79"/>
                </w:rPr>
                <w:t>96</w:t>
              </w:r>
            </w:hyperlink>
          </w:p>
        </w:tc>
        <w:tc>
          <w:tcPr>
            <w:tcW w:w="20" w:type="dxa"/>
            <w:vAlign w:val="bottom"/>
          </w:tcPr>
          <w:p>
            <w:pPr>
              <w:spacing w:after="0"/>
              <w:rPr>
                <w:sz w:val="21"/>
                <w:szCs w:val="21"/>
                <w:color w:val="auto"/>
              </w:rPr>
            </w:pPr>
          </w:p>
        </w:tc>
      </w:tr>
      <w:tr>
        <w:trPr>
          <w:trHeight w:val="372"/>
        </w:trPr>
        <w:tc>
          <w:tcPr>
            <w:tcW w:w="64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20" w:type="dxa"/>
            <w:vAlign w:val="bottom"/>
            <w:tcBorders>
              <w:top w:val="single" w:sz="8" w:color="0000FF"/>
            </w:tcBorders>
          </w:tcPr>
          <w:p>
            <w:pPr>
              <w:spacing w:after="0"/>
              <w:rPr>
                <w:sz w:val="24"/>
                <w:szCs w:val="24"/>
                <w:color w:val="auto"/>
              </w:rPr>
            </w:pPr>
          </w:p>
        </w:tc>
        <w:tc>
          <w:tcPr>
            <w:tcW w:w="3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40" w:type="dxa"/>
            <w:vAlign w:val="bottom"/>
            <w:tcBorders>
              <w:bottom w:val="single" w:sz="8" w:color="0000FF"/>
            </w:tcBorders>
            <w:gridSpan w:val="8"/>
          </w:tcPr>
          <w:p>
            <w:pPr>
              <w:jc w:val="center"/>
              <w:ind w:right="20"/>
              <w:spacing w:after="0"/>
              <w:rPr>
                <w:rFonts w:ascii="Arial" w:cs="Arial" w:eastAsia="Arial" w:hAnsi="Arial"/>
                <w:sz w:val="18"/>
                <w:szCs w:val="18"/>
                <w:b w:val="1"/>
                <w:bCs w:val="1"/>
                <w:color w:val="0000FF"/>
              </w:rPr>
            </w:pPr>
            <w:hyperlink w:anchor="page100">
              <w:r>
                <w:rPr>
                  <w:rFonts w:ascii="Arial" w:cs="Arial" w:eastAsia="Arial" w:hAnsi="Arial"/>
                  <w:sz w:val="18"/>
                  <w:szCs w:val="18"/>
                  <w:b w:val="1"/>
                  <w:bCs w:val="1"/>
                  <w:color w:val="0000FF"/>
                </w:rPr>
                <w:t>PART III</w:t>
              </w:r>
            </w:hyperlink>
          </w:p>
        </w:tc>
        <w:tc>
          <w:tcPr>
            <w:tcW w:w="4380" w:type="dxa"/>
            <w:vAlign w:val="bottom"/>
            <w:gridSpan w:val="6"/>
          </w:tcPr>
          <w:p>
            <w:pPr>
              <w:spacing w:after="0"/>
              <w:rPr>
                <w:sz w:val="24"/>
                <w:szCs w:val="24"/>
                <w:color w:val="auto"/>
              </w:rPr>
            </w:pPr>
          </w:p>
        </w:tc>
        <w:tc>
          <w:tcPr>
            <w:tcW w:w="5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r>
      <w:tr>
        <w:trPr>
          <w:trHeight w:val="466"/>
        </w:trPr>
        <w:tc>
          <w:tcPr>
            <w:tcW w:w="9360" w:type="dxa"/>
            <w:vAlign w:val="bottom"/>
            <w:gridSpan w:val="28"/>
          </w:tcPr>
          <w:p>
            <w:pPr>
              <w:spacing w:after="0"/>
              <w:rPr>
                <w:rFonts w:ascii="Arial" w:cs="Arial" w:eastAsia="Arial" w:hAnsi="Arial"/>
                <w:sz w:val="18"/>
                <w:szCs w:val="18"/>
                <w:color w:val="0000FF"/>
              </w:rPr>
            </w:pPr>
            <w:hyperlink w:anchor="page101">
              <w:r>
                <w:rPr>
                  <w:rFonts w:ascii="Arial" w:cs="Arial" w:eastAsia="Arial" w:hAnsi="Arial"/>
                  <w:sz w:val="18"/>
                  <w:szCs w:val="18"/>
                  <w:color w:val="0000FF"/>
                </w:rPr>
                <w:t>Directors, Executive Officers and Corporate Governance</w:t>
              </w:r>
            </w:hyperlink>
          </w:p>
        </w:tc>
        <w:tc>
          <w:tcPr>
            <w:tcW w:w="840" w:type="dxa"/>
            <w:vAlign w:val="bottom"/>
            <w:gridSpan w:val="4"/>
          </w:tcPr>
          <w:p>
            <w:pPr>
              <w:jc w:val="right"/>
              <w:spacing w:after="0"/>
              <w:rPr>
                <w:rFonts w:ascii="Arial" w:cs="Arial" w:eastAsia="Arial" w:hAnsi="Arial"/>
                <w:sz w:val="18"/>
                <w:szCs w:val="18"/>
                <w:color w:val="0000FF"/>
              </w:rPr>
            </w:pPr>
            <w:hyperlink w:anchor="page101">
              <w:r>
                <w:rPr>
                  <w:rFonts w:ascii="Arial" w:cs="Arial" w:eastAsia="Arial" w:hAnsi="Arial"/>
                  <w:sz w:val="18"/>
                  <w:szCs w:val="18"/>
                  <w:color w:val="0000FF"/>
                </w:rPr>
                <w:t>98</w:t>
              </w:r>
            </w:hyperlink>
          </w:p>
        </w:tc>
        <w:tc>
          <w:tcPr>
            <w:tcW w:w="20" w:type="dxa"/>
            <w:vAlign w:val="bottom"/>
          </w:tcPr>
          <w:p>
            <w:pPr>
              <w:spacing w:after="0"/>
              <w:rPr>
                <w:sz w:val="24"/>
                <w:szCs w:val="24"/>
                <w:color w:val="auto"/>
              </w:rPr>
            </w:pPr>
          </w:p>
        </w:tc>
      </w:tr>
      <w:tr>
        <w:trPr>
          <w:trHeight w:val="250"/>
        </w:trPr>
        <w:tc>
          <w:tcPr>
            <w:tcW w:w="1800" w:type="dxa"/>
            <w:vAlign w:val="bottom"/>
            <w:tcBorders>
              <w:top w:val="single" w:sz="8" w:color="0000FF"/>
              <w:bottom w:val="single" w:sz="8" w:color="0000FF"/>
            </w:tcBorders>
            <w:gridSpan w:val="8"/>
          </w:tcPr>
          <w:p>
            <w:pPr>
              <w:spacing w:after="0"/>
              <w:rPr>
                <w:rFonts w:ascii="Arial" w:cs="Arial" w:eastAsia="Arial" w:hAnsi="Arial"/>
                <w:sz w:val="18"/>
                <w:szCs w:val="18"/>
                <w:color w:val="0000FF"/>
                <w:w w:val="89"/>
              </w:rPr>
            </w:pPr>
            <w:hyperlink w:anchor="page101">
              <w:r>
                <w:rPr>
                  <w:rFonts w:ascii="Arial" w:cs="Arial" w:eastAsia="Arial" w:hAnsi="Arial"/>
                  <w:sz w:val="18"/>
                  <w:szCs w:val="18"/>
                  <w:color w:val="0000FF"/>
                  <w:w w:val="89"/>
                </w:rPr>
                <w:t>Executive Compensation</w:t>
              </w:r>
            </w:hyperlink>
          </w:p>
        </w:tc>
        <w:tc>
          <w:tcPr>
            <w:tcW w:w="2280" w:type="dxa"/>
            <w:vAlign w:val="bottom"/>
            <w:tcBorders>
              <w:top w:val="single" w:sz="8" w:color="0000FF"/>
            </w:tcBorders>
            <w:gridSpan w:val="5"/>
          </w:tcPr>
          <w:p>
            <w:pPr>
              <w:spacing w:after="0"/>
              <w:rPr>
                <w:sz w:val="21"/>
                <w:szCs w:val="21"/>
                <w:color w:val="auto"/>
              </w:rPr>
            </w:pPr>
          </w:p>
        </w:tc>
        <w:tc>
          <w:tcPr>
            <w:tcW w:w="5280" w:type="dxa"/>
            <w:vAlign w:val="bottom"/>
            <w:gridSpan w:val="15"/>
          </w:tcPr>
          <w:p>
            <w:pPr>
              <w:spacing w:after="0"/>
              <w:rPr>
                <w:sz w:val="21"/>
                <w:szCs w:val="21"/>
                <w:color w:val="auto"/>
              </w:rPr>
            </w:pPr>
          </w:p>
        </w:tc>
        <w:tc>
          <w:tcPr>
            <w:tcW w:w="660" w:type="dxa"/>
            <w:vAlign w:val="bottom"/>
            <w:gridSpan w:val="2"/>
          </w:tcPr>
          <w:p>
            <w:pPr>
              <w:spacing w:after="0"/>
              <w:rPr>
                <w:sz w:val="21"/>
                <w:szCs w:val="21"/>
                <w:color w:val="auto"/>
              </w:rPr>
            </w:pPr>
          </w:p>
        </w:tc>
        <w:tc>
          <w:tcPr>
            <w:tcW w:w="180" w:type="dxa"/>
            <w:vAlign w:val="bottom"/>
            <w:tcBorders>
              <w:top w:val="single" w:sz="8" w:color="0000FF"/>
              <w:bottom w:val="single" w:sz="8" w:color="0000FF"/>
            </w:tcBorders>
            <w:gridSpan w:val="2"/>
          </w:tcPr>
          <w:p>
            <w:pPr>
              <w:jc w:val="right"/>
              <w:spacing w:after="0"/>
              <w:rPr>
                <w:rFonts w:ascii="Arial" w:cs="Arial" w:eastAsia="Arial" w:hAnsi="Arial"/>
                <w:sz w:val="18"/>
                <w:szCs w:val="18"/>
                <w:color w:val="0000FF"/>
                <w:w w:val="79"/>
              </w:rPr>
            </w:pPr>
            <w:hyperlink w:anchor="page101">
              <w:r>
                <w:rPr>
                  <w:rFonts w:ascii="Arial" w:cs="Arial" w:eastAsia="Arial" w:hAnsi="Arial"/>
                  <w:sz w:val="18"/>
                  <w:szCs w:val="18"/>
                  <w:color w:val="0000FF"/>
                  <w:w w:val="79"/>
                </w:rPr>
                <w:t>98</w:t>
              </w:r>
            </w:hyperlink>
          </w:p>
        </w:tc>
        <w:tc>
          <w:tcPr>
            <w:tcW w:w="20" w:type="dxa"/>
            <w:vAlign w:val="bottom"/>
          </w:tcPr>
          <w:p>
            <w:pPr>
              <w:spacing w:after="0"/>
              <w:rPr>
                <w:sz w:val="21"/>
                <w:szCs w:val="21"/>
                <w:color w:val="auto"/>
              </w:rPr>
            </w:pPr>
          </w:p>
        </w:tc>
      </w:tr>
      <w:tr>
        <w:trPr>
          <w:trHeight w:val="250"/>
        </w:trPr>
        <w:tc>
          <w:tcPr>
            <w:tcW w:w="9360" w:type="dxa"/>
            <w:vAlign w:val="bottom"/>
            <w:gridSpan w:val="28"/>
          </w:tcPr>
          <w:p>
            <w:pPr>
              <w:spacing w:after="0"/>
              <w:rPr>
                <w:rFonts w:ascii="Arial" w:cs="Arial" w:eastAsia="Arial" w:hAnsi="Arial"/>
                <w:sz w:val="18"/>
                <w:szCs w:val="18"/>
                <w:color w:val="0000FF"/>
              </w:rPr>
            </w:pPr>
            <w:hyperlink w:anchor="page101">
              <w:r>
                <w:rPr>
                  <w:rFonts w:ascii="Arial" w:cs="Arial" w:eastAsia="Arial" w:hAnsi="Arial"/>
                  <w:sz w:val="18"/>
                  <w:szCs w:val="18"/>
                  <w:color w:val="0000FF"/>
                </w:rPr>
                <w:t>Security Ownership of Certain Beneficial Owners and Management and Related Shareholder Matters</w:t>
              </w:r>
            </w:hyperlink>
          </w:p>
        </w:tc>
        <w:tc>
          <w:tcPr>
            <w:tcW w:w="840" w:type="dxa"/>
            <w:vAlign w:val="bottom"/>
            <w:gridSpan w:val="4"/>
          </w:tcPr>
          <w:p>
            <w:pPr>
              <w:jc w:val="right"/>
              <w:spacing w:after="0"/>
              <w:rPr>
                <w:rFonts w:ascii="Arial" w:cs="Arial" w:eastAsia="Arial" w:hAnsi="Arial"/>
                <w:sz w:val="18"/>
                <w:szCs w:val="18"/>
                <w:color w:val="0000FF"/>
              </w:rPr>
            </w:pPr>
            <w:hyperlink w:anchor="page101">
              <w:r>
                <w:rPr>
                  <w:rFonts w:ascii="Arial" w:cs="Arial" w:eastAsia="Arial" w:hAnsi="Arial"/>
                  <w:sz w:val="18"/>
                  <w:szCs w:val="18"/>
                  <w:color w:val="0000FF"/>
                </w:rPr>
                <w:t>98</w:t>
              </w:r>
            </w:hyperlink>
          </w:p>
        </w:tc>
        <w:tc>
          <w:tcPr>
            <w:tcW w:w="20" w:type="dxa"/>
            <w:vAlign w:val="bottom"/>
          </w:tcPr>
          <w:p>
            <w:pPr>
              <w:spacing w:after="0"/>
              <w:rPr>
                <w:sz w:val="21"/>
                <w:szCs w:val="21"/>
                <w:color w:val="auto"/>
              </w:rPr>
            </w:pPr>
          </w:p>
        </w:tc>
      </w:tr>
      <w:tr>
        <w:trPr>
          <w:trHeight w:val="250"/>
        </w:trPr>
        <w:tc>
          <w:tcPr>
            <w:tcW w:w="7280" w:type="dxa"/>
            <w:vAlign w:val="bottom"/>
            <w:tcBorders>
              <w:top w:val="single" w:sz="8" w:color="0000FF"/>
            </w:tcBorders>
            <w:gridSpan w:val="26"/>
          </w:tcPr>
          <w:p>
            <w:pPr>
              <w:spacing w:after="0"/>
              <w:rPr>
                <w:rFonts w:ascii="Arial" w:cs="Arial" w:eastAsia="Arial" w:hAnsi="Arial"/>
                <w:sz w:val="18"/>
                <w:szCs w:val="18"/>
                <w:color w:val="0000FF"/>
              </w:rPr>
            </w:pPr>
            <w:hyperlink w:anchor="page102">
              <w:r>
                <w:rPr>
                  <w:rFonts w:ascii="Arial" w:cs="Arial" w:eastAsia="Arial" w:hAnsi="Arial"/>
                  <w:sz w:val="18"/>
                  <w:szCs w:val="18"/>
                  <w:color w:val="0000FF"/>
                </w:rPr>
                <w:t>Certain Relationships and Related Transactions, and Director Independence</w:t>
              </w:r>
            </w:hyperlink>
          </w:p>
        </w:tc>
        <w:tc>
          <w:tcPr>
            <w:tcW w:w="2080" w:type="dxa"/>
            <w:vAlign w:val="bottom"/>
            <w:gridSpan w:val="2"/>
          </w:tcPr>
          <w:p>
            <w:pPr>
              <w:spacing w:after="0"/>
              <w:rPr>
                <w:sz w:val="21"/>
                <w:szCs w:val="21"/>
                <w:color w:val="auto"/>
              </w:rPr>
            </w:pPr>
          </w:p>
        </w:tc>
        <w:tc>
          <w:tcPr>
            <w:tcW w:w="660" w:type="dxa"/>
            <w:vAlign w:val="bottom"/>
            <w:gridSpan w:val="2"/>
          </w:tcPr>
          <w:p>
            <w:pPr>
              <w:spacing w:after="0"/>
              <w:rPr>
                <w:sz w:val="21"/>
                <w:szCs w:val="21"/>
                <w:color w:val="auto"/>
              </w:rPr>
            </w:pPr>
          </w:p>
        </w:tc>
        <w:tc>
          <w:tcPr>
            <w:tcW w:w="180" w:type="dxa"/>
            <w:vAlign w:val="bottom"/>
            <w:tcBorders>
              <w:top w:val="single" w:sz="8" w:color="0000FF"/>
            </w:tcBorders>
            <w:gridSpan w:val="2"/>
          </w:tcPr>
          <w:p>
            <w:pPr>
              <w:jc w:val="right"/>
              <w:spacing w:after="0"/>
              <w:rPr>
                <w:rFonts w:ascii="Arial" w:cs="Arial" w:eastAsia="Arial" w:hAnsi="Arial"/>
                <w:sz w:val="18"/>
                <w:szCs w:val="18"/>
                <w:color w:val="0000FF"/>
                <w:w w:val="79"/>
              </w:rPr>
            </w:pPr>
            <w:hyperlink w:anchor="page102">
              <w:r>
                <w:rPr>
                  <w:rFonts w:ascii="Arial" w:cs="Arial" w:eastAsia="Arial" w:hAnsi="Arial"/>
                  <w:sz w:val="18"/>
                  <w:szCs w:val="18"/>
                  <w:color w:val="0000FF"/>
                  <w:w w:val="79"/>
                </w:rPr>
                <w:t>99</w:t>
              </w:r>
            </w:hyperlink>
          </w:p>
        </w:tc>
        <w:tc>
          <w:tcPr>
            <w:tcW w:w="20" w:type="dxa"/>
            <w:vAlign w:val="bottom"/>
          </w:tcPr>
          <w:p>
            <w:pPr>
              <w:spacing w:after="0"/>
              <w:rPr>
                <w:sz w:val="21"/>
                <w:szCs w:val="21"/>
                <w:color w:val="auto"/>
              </w:rPr>
            </w:pPr>
          </w:p>
        </w:tc>
      </w:tr>
      <w:tr>
        <w:trPr>
          <w:trHeight w:val="250"/>
        </w:trPr>
        <w:tc>
          <w:tcPr>
            <w:tcW w:w="5440" w:type="dxa"/>
            <w:vAlign w:val="bottom"/>
            <w:tcBorders>
              <w:top w:val="single" w:sz="8" w:color="0000FF"/>
            </w:tcBorders>
            <w:gridSpan w:val="23"/>
          </w:tcPr>
          <w:p>
            <w:pPr>
              <w:spacing w:after="0"/>
              <w:rPr>
                <w:rFonts w:ascii="Arial" w:cs="Arial" w:eastAsia="Arial" w:hAnsi="Arial"/>
                <w:sz w:val="18"/>
                <w:szCs w:val="18"/>
                <w:color w:val="0000FF"/>
              </w:rPr>
            </w:pPr>
            <w:hyperlink w:anchor="page102">
              <w:r>
                <w:rPr>
                  <w:rFonts w:ascii="Arial" w:cs="Arial" w:eastAsia="Arial" w:hAnsi="Arial"/>
                  <w:sz w:val="18"/>
                  <w:szCs w:val="18"/>
                  <w:color w:val="0000FF"/>
                </w:rPr>
                <w:t>Principal Accounting Fees and Services</w:t>
              </w:r>
            </w:hyperlink>
          </w:p>
        </w:tc>
        <w:tc>
          <w:tcPr>
            <w:tcW w:w="3920" w:type="dxa"/>
            <w:vAlign w:val="bottom"/>
            <w:gridSpan w:val="5"/>
          </w:tcPr>
          <w:p>
            <w:pPr>
              <w:spacing w:after="0"/>
              <w:rPr>
                <w:sz w:val="21"/>
                <w:szCs w:val="21"/>
                <w:color w:val="auto"/>
              </w:rPr>
            </w:pPr>
          </w:p>
        </w:tc>
        <w:tc>
          <w:tcPr>
            <w:tcW w:w="660" w:type="dxa"/>
            <w:vAlign w:val="bottom"/>
            <w:gridSpan w:val="2"/>
          </w:tcPr>
          <w:p>
            <w:pPr>
              <w:spacing w:after="0"/>
              <w:rPr>
                <w:sz w:val="21"/>
                <w:szCs w:val="21"/>
                <w:color w:val="auto"/>
              </w:rPr>
            </w:pPr>
          </w:p>
        </w:tc>
        <w:tc>
          <w:tcPr>
            <w:tcW w:w="180" w:type="dxa"/>
            <w:vAlign w:val="bottom"/>
            <w:tcBorders>
              <w:top w:val="single" w:sz="8" w:color="0000FF"/>
            </w:tcBorders>
            <w:gridSpan w:val="2"/>
          </w:tcPr>
          <w:p>
            <w:pPr>
              <w:jc w:val="right"/>
              <w:spacing w:after="0"/>
              <w:rPr>
                <w:rFonts w:ascii="Arial" w:cs="Arial" w:eastAsia="Arial" w:hAnsi="Arial"/>
                <w:sz w:val="18"/>
                <w:szCs w:val="18"/>
                <w:color w:val="0000FF"/>
                <w:w w:val="79"/>
              </w:rPr>
            </w:pPr>
            <w:hyperlink w:anchor="page102">
              <w:r>
                <w:rPr>
                  <w:rFonts w:ascii="Arial" w:cs="Arial" w:eastAsia="Arial" w:hAnsi="Arial"/>
                  <w:sz w:val="18"/>
                  <w:szCs w:val="18"/>
                  <w:color w:val="0000FF"/>
                  <w:w w:val="79"/>
                </w:rPr>
                <w:t>99</w:t>
              </w:r>
            </w:hyperlink>
          </w:p>
        </w:tc>
        <w:tc>
          <w:tcPr>
            <w:tcW w:w="20" w:type="dxa"/>
            <w:vAlign w:val="bottom"/>
          </w:tcPr>
          <w:p>
            <w:pPr>
              <w:spacing w:after="0"/>
              <w:rPr>
                <w:sz w:val="21"/>
                <w:szCs w:val="21"/>
                <w:color w:val="auto"/>
              </w:rPr>
            </w:pPr>
          </w:p>
        </w:tc>
      </w:tr>
      <w:tr>
        <w:trPr>
          <w:trHeight w:val="372"/>
        </w:trPr>
        <w:tc>
          <w:tcPr>
            <w:tcW w:w="64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20" w:type="dxa"/>
            <w:vAlign w:val="bottom"/>
            <w:tcBorders>
              <w:top w:val="single" w:sz="8" w:color="0000FF"/>
            </w:tcBorders>
          </w:tcPr>
          <w:p>
            <w:pPr>
              <w:spacing w:after="0"/>
              <w:rPr>
                <w:sz w:val="24"/>
                <w:szCs w:val="24"/>
                <w:color w:val="auto"/>
              </w:rPr>
            </w:pPr>
          </w:p>
        </w:tc>
        <w:tc>
          <w:tcPr>
            <w:tcW w:w="38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40" w:type="dxa"/>
            <w:vAlign w:val="bottom"/>
            <w:tcBorders>
              <w:top w:val="single" w:sz="8" w:color="0000FF"/>
            </w:tcBorders>
          </w:tcPr>
          <w:p>
            <w:pPr>
              <w:spacing w:after="0"/>
              <w:rPr>
                <w:sz w:val="24"/>
                <w:szCs w:val="24"/>
                <w:color w:val="auto"/>
              </w:rPr>
            </w:pPr>
          </w:p>
        </w:tc>
        <w:tc>
          <w:tcPr>
            <w:tcW w:w="82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120" w:type="dxa"/>
            <w:vAlign w:val="bottom"/>
            <w:gridSpan w:val="14"/>
          </w:tcPr>
          <w:p>
            <w:pPr>
              <w:jc w:val="center"/>
              <w:ind w:right="4400"/>
              <w:spacing w:after="0"/>
              <w:rPr>
                <w:rFonts w:ascii="Arial" w:cs="Arial" w:eastAsia="Arial" w:hAnsi="Arial"/>
                <w:sz w:val="18"/>
                <w:szCs w:val="18"/>
                <w:b w:val="1"/>
                <w:bCs w:val="1"/>
                <w:color w:val="0000FF"/>
              </w:rPr>
            </w:pPr>
            <w:hyperlink w:anchor="page102">
              <w:r>
                <w:rPr>
                  <w:rFonts w:ascii="Arial" w:cs="Arial" w:eastAsia="Arial" w:hAnsi="Arial"/>
                  <w:sz w:val="18"/>
                  <w:szCs w:val="18"/>
                  <w:b w:val="1"/>
                  <w:bCs w:val="1"/>
                  <w:color w:val="0000FF"/>
                </w:rPr>
                <w:t>PART IV</w:t>
              </w:r>
            </w:hyperlink>
          </w:p>
        </w:tc>
        <w:tc>
          <w:tcPr>
            <w:tcW w:w="5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4260" w:type="dxa"/>
            <w:vAlign w:val="bottom"/>
            <w:gridSpan w:val="15"/>
          </w:tcPr>
          <w:p>
            <w:pPr>
              <w:spacing w:after="0"/>
              <w:rPr>
                <w:rFonts w:ascii="Arial" w:cs="Arial" w:eastAsia="Arial" w:hAnsi="Arial"/>
                <w:sz w:val="18"/>
                <w:szCs w:val="18"/>
                <w:color w:val="0000FF"/>
              </w:rPr>
            </w:pPr>
            <w:hyperlink w:anchor="page103">
              <w:r>
                <w:rPr>
                  <w:rFonts w:ascii="Arial" w:cs="Arial" w:eastAsia="Arial" w:hAnsi="Arial"/>
                  <w:sz w:val="18"/>
                  <w:szCs w:val="18"/>
                  <w:color w:val="0000FF"/>
                </w:rPr>
                <w:t>Exhibits, Financial Statement Schedules</w:t>
              </w:r>
            </w:hyperlink>
          </w:p>
        </w:tc>
        <w:tc>
          <w:tcPr>
            <w:tcW w:w="700" w:type="dxa"/>
            <w:vAlign w:val="bottom"/>
            <w:tcBorders>
              <w:top w:val="single" w:sz="8" w:color="0000FF"/>
            </w:tcBorders>
            <w:gridSpan w:val="6"/>
          </w:tcPr>
          <w:p>
            <w:pPr>
              <w:spacing w:after="0"/>
              <w:rPr>
                <w:sz w:val="24"/>
                <w:szCs w:val="24"/>
                <w:color w:val="auto"/>
              </w:rPr>
            </w:pPr>
          </w:p>
        </w:tc>
        <w:tc>
          <w:tcPr>
            <w:tcW w:w="4400" w:type="dxa"/>
            <w:vAlign w:val="bottom"/>
            <w:gridSpan w:val="7"/>
          </w:tcPr>
          <w:p>
            <w:pPr>
              <w:spacing w:after="0"/>
              <w:rPr>
                <w:sz w:val="24"/>
                <w:szCs w:val="24"/>
                <w:color w:val="auto"/>
              </w:rPr>
            </w:pPr>
          </w:p>
        </w:tc>
        <w:tc>
          <w:tcPr>
            <w:tcW w:w="860" w:type="dxa"/>
            <w:vAlign w:val="bottom"/>
            <w:gridSpan w:val="5"/>
          </w:tcPr>
          <w:p>
            <w:pPr>
              <w:jc w:val="right"/>
              <w:ind w:right="20"/>
              <w:spacing w:after="0"/>
              <w:rPr>
                <w:rFonts w:ascii="Arial" w:cs="Arial" w:eastAsia="Arial" w:hAnsi="Arial"/>
                <w:sz w:val="18"/>
                <w:szCs w:val="18"/>
                <w:color w:val="0000FF"/>
              </w:rPr>
            </w:pPr>
            <w:hyperlink w:anchor="page103">
              <w:r>
                <w:rPr>
                  <w:rFonts w:ascii="Arial" w:cs="Arial" w:eastAsia="Arial" w:hAnsi="Arial"/>
                  <w:sz w:val="18"/>
                  <w:szCs w:val="18"/>
                  <w:color w:val="0000FF"/>
                </w:rPr>
                <w:t>100</w:t>
              </w:r>
            </w:hyperlink>
          </w:p>
        </w:tc>
      </w:tr>
      <w:tr>
        <w:trPr>
          <w:trHeight w:val="20"/>
        </w:trPr>
        <w:tc>
          <w:tcPr>
            <w:tcW w:w="760" w:type="dxa"/>
            <w:vAlign w:val="bottom"/>
            <w:gridSpan w:val="3"/>
            <w:shd w:val="clear" w:color="auto" w:fill="0000FF"/>
          </w:tcPr>
          <w:p>
            <w:pPr>
              <w:spacing w:after="0" w:line="20" w:lineRule="exact"/>
              <w:rPr>
                <w:sz w:val="1"/>
                <w:szCs w:val="1"/>
                <w:color w:val="auto"/>
              </w:rPr>
            </w:pPr>
          </w:p>
        </w:tc>
        <w:tc>
          <w:tcPr>
            <w:tcW w:w="2120" w:type="dxa"/>
            <w:vAlign w:val="bottom"/>
            <w:tcBorders>
              <w:left w:val="single" w:sz="8" w:color="0000FF"/>
            </w:tcBorders>
            <w:gridSpan w:val="8"/>
            <w:shd w:val="clear" w:color="auto" w:fill="0000FF"/>
          </w:tcPr>
          <w:p>
            <w:pPr>
              <w:spacing w:after="0" w:line="20" w:lineRule="exact"/>
              <w:rPr>
                <w:sz w:val="1"/>
                <w:szCs w:val="1"/>
                <w:color w:val="auto"/>
              </w:rPr>
            </w:pPr>
          </w:p>
        </w:tc>
        <w:tc>
          <w:tcPr>
            <w:tcW w:w="6480" w:type="dxa"/>
            <w:vAlign w:val="bottom"/>
            <w:gridSpan w:val="17"/>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10"/>
        </w:trPr>
        <w:tc>
          <w:tcPr>
            <w:tcW w:w="760" w:type="dxa"/>
            <w:vAlign w:val="bottom"/>
            <w:gridSpan w:val="3"/>
          </w:tcPr>
          <w:p>
            <w:pPr>
              <w:spacing w:after="0"/>
              <w:rPr>
                <w:rFonts w:ascii="Arial" w:cs="Arial" w:eastAsia="Arial" w:hAnsi="Arial"/>
                <w:sz w:val="18"/>
                <w:szCs w:val="18"/>
                <w:color w:val="0000FF"/>
                <w:w w:val="83"/>
              </w:rPr>
            </w:pPr>
            <w:hyperlink w:anchor="page107">
              <w:r>
                <w:rPr>
                  <w:rFonts w:ascii="Arial" w:cs="Arial" w:eastAsia="Arial" w:hAnsi="Arial"/>
                  <w:sz w:val="18"/>
                  <w:szCs w:val="18"/>
                  <w:color w:val="0000FF"/>
                  <w:w w:val="83"/>
                </w:rPr>
                <w:t>Signatures</w:t>
              </w:r>
            </w:hyperlink>
          </w:p>
        </w:tc>
        <w:tc>
          <w:tcPr>
            <w:tcW w:w="2120" w:type="dxa"/>
            <w:vAlign w:val="bottom"/>
            <w:gridSpan w:val="8"/>
          </w:tcPr>
          <w:p>
            <w:pPr>
              <w:spacing w:after="0"/>
              <w:rPr>
                <w:sz w:val="18"/>
                <w:szCs w:val="18"/>
                <w:color w:val="auto"/>
              </w:rPr>
            </w:pPr>
          </w:p>
        </w:tc>
        <w:tc>
          <w:tcPr>
            <w:tcW w:w="6480" w:type="dxa"/>
            <w:vAlign w:val="bottom"/>
            <w:gridSpan w:val="17"/>
          </w:tcPr>
          <w:p>
            <w:pPr>
              <w:spacing w:after="0"/>
              <w:rPr>
                <w:sz w:val="18"/>
                <w:szCs w:val="18"/>
                <w:color w:val="auto"/>
              </w:rPr>
            </w:pPr>
          </w:p>
        </w:tc>
        <w:tc>
          <w:tcPr>
            <w:tcW w:w="860" w:type="dxa"/>
            <w:vAlign w:val="bottom"/>
            <w:gridSpan w:val="5"/>
          </w:tcPr>
          <w:p>
            <w:pPr>
              <w:jc w:val="right"/>
              <w:ind w:right="20"/>
              <w:spacing w:after="0"/>
              <w:rPr>
                <w:rFonts w:ascii="Arial" w:cs="Arial" w:eastAsia="Arial" w:hAnsi="Arial"/>
                <w:sz w:val="18"/>
                <w:szCs w:val="18"/>
                <w:color w:val="0000FF"/>
              </w:rPr>
            </w:pPr>
            <w:hyperlink w:anchor="page107">
              <w:r>
                <w:rPr>
                  <w:rFonts w:ascii="Arial" w:cs="Arial" w:eastAsia="Arial" w:hAnsi="Arial"/>
                  <w:sz w:val="18"/>
                  <w:szCs w:val="18"/>
                  <w:color w:val="0000FF"/>
                </w:rPr>
                <w:t>105</w:t>
              </w:r>
            </w:hyperlink>
          </w:p>
        </w:tc>
      </w:tr>
      <w:tr>
        <w:trPr>
          <w:trHeight w:val="20"/>
        </w:trPr>
        <w:tc>
          <w:tcPr>
            <w:tcW w:w="760" w:type="dxa"/>
            <w:vAlign w:val="bottom"/>
            <w:gridSpan w:val="3"/>
            <w:shd w:val="clear" w:color="auto" w:fill="0000FF"/>
          </w:tcPr>
          <w:p>
            <w:pPr>
              <w:spacing w:after="0" w:line="20" w:lineRule="exact"/>
              <w:rPr>
                <w:sz w:val="1"/>
                <w:szCs w:val="1"/>
                <w:color w:val="auto"/>
              </w:rPr>
            </w:pPr>
          </w:p>
        </w:tc>
        <w:tc>
          <w:tcPr>
            <w:tcW w:w="8600" w:type="dxa"/>
            <w:vAlign w:val="bottom"/>
            <w:gridSpan w:val="25"/>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09"/>
        </w:trPr>
        <w:tc>
          <w:tcPr>
            <w:tcW w:w="760" w:type="dxa"/>
            <w:vAlign w:val="bottom"/>
            <w:gridSpan w:val="3"/>
          </w:tcPr>
          <w:p>
            <w:pPr>
              <w:spacing w:after="0"/>
              <w:rPr>
                <w:rFonts w:ascii="Arial" w:cs="Arial" w:eastAsia="Arial" w:hAnsi="Arial"/>
                <w:sz w:val="18"/>
                <w:szCs w:val="18"/>
                <w:color w:val="0000FF"/>
                <w:w w:val="79"/>
              </w:rPr>
            </w:pPr>
            <w:hyperlink w:anchor="page109">
              <w:r>
                <w:rPr>
                  <w:rFonts w:ascii="Arial" w:cs="Arial" w:eastAsia="Arial" w:hAnsi="Arial"/>
                  <w:sz w:val="18"/>
                  <w:szCs w:val="18"/>
                  <w:color w:val="0000FF"/>
                  <w:w w:val="79"/>
                </w:rPr>
                <w:t>Schedule II</w:t>
              </w:r>
            </w:hyperlink>
          </w:p>
        </w:tc>
        <w:tc>
          <w:tcPr>
            <w:tcW w:w="8600" w:type="dxa"/>
            <w:vAlign w:val="bottom"/>
            <w:gridSpan w:val="25"/>
          </w:tcPr>
          <w:p>
            <w:pPr>
              <w:spacing w:after="0"/>
              <w:rPr>
                <w:sz w:val="18"/>
                <w:szCs w:val="18"/>
                <w:color w:val="auto"/>
              </w:rPr>
            </w:pPr>
          </w:p>
        </w:tc>
        <w:tc>
          <w:tcPr>
            <w:tcW w:w="860" w:type="dxa"/>
            <w:vAlign w:val="bottom"/>
            <w:gridSpan w:val="5"/>
          </w:tcPr>
          <w:p>
            <w:pPr>
              <w:jc w:val="right"/>
              <w:ind w:right="20"/>
              <w:spacing w:after="0"/>
              <w:rPr>
                <w:rFonts w:ascii="Arial" w:cs="Arial" w:eastAsia="Arial" w:hAnsi="Arial"/>
                <w:sz w:val="18"/>
                <w:szCs w:val="18"/>
                <w:color w:val="0000FF"/>
              </w:rPr>
            </w:pPr>
            <w:hyperlink w:anchor="page109">
              <w:r>
                <w:rPr>
                  <w:rFonts w:ascii="Arial" w:cs="Arial" w:eastAsia="Arial" w:hAnsi="Arial"/>
                  <w:sz w:val="18"/>
                  <w:szCs w:val="18"/>
                  <w:color w:val="0000FF"/>
                </w:rPr>
                <w:t>107</w:t>
              </w:r>
            </w:hyperlink>
          </w:p>
        </w:tc>
      </w:tr>
      <w:tr>
        <w:trPr>
          <w:trHeight w:val="20"/>
        </w:trPr>
        <w:tc>
          <w:tcPr>
            <w:tcW w:w="6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40" w:type="dxa"/>
            <w:vAlign w:val="bottom"/>
            <w:tcBorders>
              <w:left w:val="single" w:sz="8" w:color="0000FF"/>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-641985</wp:posOffset>
            </wp:positionH>
            <wp:positionV relativeFrom="paragraph">
              <wp:posOffset>857250</wp:posOffset>
            </wp:positionV>
            <wp:extent cx="7132320" cy="17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2">
            <w:col w:w="640" w:space="360"/>
            <w:col w:w="10220"/>
          </w:cols>
          <w:pgMar w:left="340" w:top="1282" w:right="339" w:bottom="1440" w:gutter="0" w:footer="0" w:header="0"/>
        </w:sectPr>
      </w:pPr>
    </w:p>
    <w:bookmarkStart w:id="3" w:name="page4"/>
    <w:bookmarkEnd w:id="3"/>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104"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Forward-Looking Statements</w:t>
      </w:r>
    </w:p>
    <w:p>
      <w:pPr>
        <w:spacing w:after="0" w:line="175" w:lineRule="exact"/>
        <w:rPr>
          <w:sz w:val="20"/>
          <w:szCs w:val="20"/>
          <w:color w:val="auto"/>
        </w:rPr>
      </w:pPr>
    </w:p>
    <w:p>
      <w:pPr>
        <w:ind w:right="20" w:firstLine="445"/>
        <w:spacing w:after="0" w:line="296" w:lineRule="auto"/>
        <w:rPr>
          <w:sz w:val="20"/>
          <w:szCs w:val="20"/>
          <w:color w:val="auto"/>
        </w:rPr>
      </w:pPr>
      <w:r>
        <w:rPr>
          <w:rFonts w:ascii="Arial" w:cs="Arial" w:eastAsia="Arial" w:hAnsi="Arial"/>
          <w:sz w:val="16"/>
          <w:szCs w:val="16"/>
          <w:i w:val="1"/>
          <w:iCs w:val="1"/>
          <w:color w:val="auto"/>
        </w:rPr>
        <w:t>This Annual Report on Form 10-K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"forecasts," "targets," “may,” “can,” “will,” “would” and similar expressions identify such forward-looking statements.</w:t>
      </w:r>
    </w:p>
    <w:p>
      <w:pPr>
        <w:spacing w:after="0" w:line="107" w:lineRule="exact"/>
        <w:rPr>
          <w:sz w:val="20"/>
          <w:szCs w:val="20"/>
          <w:color w:val="auto"/>
        </w:rPr>
      </w:pPr>
    </w:p>
    <w:p>
      <w:pPr>
        <w:ind w:right="380" w:firstLine="445"/>
        <w:spacing w:after="0" w:line="308"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73"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of actual or potential public health emergencies such as the Novel Coronavirus (COVID-19);</w:t>
      </w:r>
    </w:p>
    <w:p>
      <w:pPr>
        <w:spacing w:after="0" w:line="11" w:lineRule="exact"/>
        <w:rPr>
          <w:rFonts w:ascii="Arial" w:cs="Arial" w:eastAsia="Arial" w:hAnsi="Arial"/>
          <w:sz w:val="18"/>
          <w:szCs w:val="18"/>
          <w:color w:val="auto"/>
        </w:rPr>
      </w:pPr>
    </w:p>
    <w:p>
      <w:pPr>
        <w:ind w:left="660" w:right="120" w:hanging="328"/>
        <w:spacing w:after="0" w:line="249" w:lineRule="auto"/>
        <w:tabs>
          <w:tab w:leader="none" w:pos="655"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implement our plans, forecasts and other expectations with respect to our acquisitions and to fully realize the anticipated synergies and cost savings in the time frame anticipated;</w:t>
      </w:r>
    </w:p>
    <w:p>
      <w:pPr>
        <w:ind w:left="660" w:right="300" w:hanging="328"/>
        <w:spacing w:after="0" w:line="250" w:lineRule="auto"/>
        <w:tabs>
          <w:tab w:leader="none" w:pos="655"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define, design and develop products for the infrastructure and 5G market and to market and sell those products to infrastructure customers;</w:t>
      </w: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dependence on a small number of customers;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severe financial hardship or bankruptcy of one or more of our major customers;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any potential future acquisitions, strategic investments, divestitures, mergers or joint ventures;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risks associated with acquisition and consolidation activity in the semiconductor industry;</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storage market, which is highly cyclical and intensely competitive;</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7"/>
          <w:szCs w:val="17"/>
          <w:i w:val="1"/>
          <w:iCs w:val="1"/>
          <w:color w:val="auto"/>
        </w:rPr>
      </w:pPr>
      <w:r>
        <w:rPr>
          <w:rFonts w:ascii="Arial" w:cs="Arial" w:eastAsia="Arial" w:hAnsi="Arial"/>
          <w:sz w:val="17"/>
          <w:szCs w:val="17"/>
          <w:i w:val="1"/>
          <w:iCs w:val="1"/>
          <w:color w:val="auto"/>
        </w:rPr>
        <w:t>the risks associated with manufacturing and selling a majority of our products and our customers’ products outside of the United States;</w:t>
      </w:r>
    </w:p>
    <w:p>
      <w:pPr>
        <w:spacing w:after="0" w:line="20" w:lineRule="exact"/>
        <w:rPr>
          <w:rFonts w:ascii="Arial" w:cs="Arial" w:eastAsia="Arial" w:hAnsi="Arial"/>
          <w:sz w:val="17"/>
          <w:szCs w:val="17"/>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limit costs related to defective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7"/>
          <w:szCs w:val="17"/>
          <w:i w:val="1"/>
          <w:iCs w:val="1"/>
          <w:color w:val="auto"/>
        </w:rPr>
      </w:pPr>
      <w:r>
        <w:rPr>
          <w:rFonts w:ascii="Arial" w:cs="Arial" w:eastAsia="Arial" w:hAnsi="Arial"/>
          <w:sz w:val="17"/>
          <w:szCs w:val="17"/>
          <w:i w:val="1"/>
          <w:iCs w:val="1"/>
          <w:color w:val="auto"/>
        </w:rPr>
        <w:t>our ability to recruit and retain experienced executive management as well as highly-skilled engineering and sales and marketing personnel;</w:t>
      </w:r>
    </w:p>
    <w:p>
      <w:pPr>
        <w:spacing w:after="0" w:line="20" w:lineRule="exact"/>
        <w:rPr>
          <w:rFonts w:ascii="Arial" w:cs="Arial" w:eastAsia="Arial" w:hAnsi="Arial"/>
          <w:sz w:val="17"/>
          <w:szCs w:val="17"/>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mitigate risks related to our information technology systems;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protect our intellectual property, particularly outside of the U.S.;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estimate customer demand and future sales accurately;</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reliance on third-party distributors and manufacturers' representatives to sell our products;</w:t>
      </w:r>
    </w:p>
    <w:p>
      <w:pPr>
        <w:spacing w:after="0" w:line="9" w:lineRule="exact"/>
        <w:rPr>
          <w:rFonts w:ascii="Arial" w:cs="Arial" w:eastAsia="Arial" w:hAnsi="Arial"/>
          <w:sz w:val="18"/>
          <w:szCs w:val="18"/>
          <w:color w:val="auto"/>
        </w:rPr>
      </w:pPr>
    </w:p>
    <w:p>
      <w:pPr>
        <w:ind w:left="660" w:right="100" w:hanging="328"/>
        <w:spacing w:after="0" w:line="250" w:lineRule="auto"/>
        <w:tabs>
          <w:tab w:leader="none" w:pos="655"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of international conflict, trade relations between the U.S. and other countries, and continued economic volatility in either domestic or foreign markets;</w:t>
      </w:r>
    </w:p>
    <w:p>
      <w:pPr>
        <w:ind w:left="660" w:right="380" w:hanging="328"/>
        <w:spacing w:after="0" w:line="250" w:lineRule="auto"/>
        <w:tabs>
          <w:tab w:leader="none" w:pos="655"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and costs associated with changes in international financial and regulatory conditions such as the addition of new trade tariffs or embargos;</w:t>
      </w:r>
    </w:p>
    <w:p>
      <w:pPr>
        <w:ind w:left="660" w:right="440" w:hanging="328"/>
        <w:spacing w:after="0" w:line="250" w:lineRule="auto"/>
        <w:tabs>
          <w:tab w:leader="none" w:pos="655"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maintenance of an effective system of internal controls;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realize expected benefits from restructuring activities;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natural disasters and other catastrophic events; and</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outcome of pending or future litigation and legal proceedings.</w:t>
      </w:r>
    </w:p>
    <w:p>
      <w:pPr>
        <w:spacing w:after="0" w:line="157" w:lineRule="exact"/>
        <w:rPr>
          <w:sz w:val="20"/>
          <w:szCs w:val="20"/>
          <w:color w:val="auto"/>
        </w:rPr>
      </w:pPr>
    </w:p>
    <w:p>
      <w:pPr>
        <w:ind w:firstLine="445"/>
        <w:spacing w:after="0" w:line="342" w:lineRule="auto"/>
        <w:rPr>
          <w:sz w:val="20"/>
          <w:szCs w:val="20"/>
          <w:color w:val="auto"/>
        </w:rPr>
      </w:pPr>
      <w:r>
        <w:rPr>
          <w:rFonts w:ascii="Arial" w:cs="Arial" w:eastAsia="Arial" w:hAnsi="Arial"/>
          <w:sz w:val="16"/>
          <w:szCs w:val="16"/>
          <w:i w:val="1"/>
          <w:iCs w:val="1"/>
          <w:color w:val="auto"/>
        </w:rPr>
        <w:t>Additional factors that could cause actual results to differ materially include the risks discussed in Part I, Item 1A, “Risk Factors.” These forward-looking statements speak only as of the date hereof. Unless required by law, we undertake no obligation to update publicly any forward-looking statements.</w:t>
      </w:r>
    </w:p>
    <w:p>
      <w:pPr>
        <w:spacing w:after="0" w:line="200" w:lineRule="exact"/>
        <w:rPr>
          <w:sz w:val="20"/>
          <w:szCs w:val="20"/>
          <w:color w:val="auto"/>
        </w:rPr>
      </w:pPr>
    </w:p>
    <w:p>
      <w:pPr>
        <w:spacing w:after="0" w:line="30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1282" w:right="399" w:bottom="1440" w:gutter="0" w:footer="0" w:header="0"/>
        </w:sectPr>
      </w:pPr>
    </w:p>
    <w:bookmarkStart w:id="4" w:name="page5"/>
    <w:bookmarkEnd w:id="4"/>
    <w:p>
      <w:pPr>
        <w:jc w:val="center"/>
        <w:ind w:right="-39"/>
        <w:spacing w:after="0"/>
        <w:rPr>
          <w:sz w:val="20"/>
          <w:szCs w:val="20"/>
          <w:color w:val="auto"/>
        </w:rPr>
      </w:pPr>
      <w:r>
        <w:rPr>
          <w:rFonts w:ascii="Arial" w:cs="Arial" w:eastAsia="Arial" w:hAnsi="Arial"/>
          <w:sz w:val="18"/>
          <w:szCs w:val="18"/>
          <w:b w:val="1"/>
          <w:bCs w:val="1"/>
          <w:color w:val="auto"/>
        </w:rPr>
        <w:t>PART I</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Business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Company</w:t>
      </w:r>
    </w:p>
    <w:p>
      <w:pPr>
        <w:spacing w:after="0" w:line="121" w:lineRule="exact"/>
        <w:rPr>
          <w:sz w:val="20"/>
          <w:szCs w:val="20"/>
          <w:color w:val="auto"/>
        </w:rPr>
      </w:pPr>
    </w:p>
    <w:p>
      <w:pPr>
        <w:ind w:right="60" w:firstLine="405"/>
        <w:spacing w:after="0" w:line="254" w:lineRule="auto"/>
        <w:rPr>
          <w:sz w:val="20"/>
          <w:szCs w:val="20"/>
          <w:color w:val="auto"/>
        </w:rPr>
      </w:pPr>
      <w:r>
        <w:rPr>
          <w:rFonts w:ascii="Arial" w:cs="Arial" w:eastAsia="Arial" w:hAnsi="Arial"/>
          <w:sz w:val="18"/>
          <w:szCs w:val="18"/>
          <w:color w:val="auto"/>
        </w:rPr>
        <w:t>Marvell Technology Group Ltd., together with its consolidated subsidiaries (“Marvell,” the “Company,” “we,” or “us”) is a global fabless semiconductor solutions provider of high-performance data infrastructure products. We leverage our extensive and growing technology portfolio of intellectual property in the areas of analog, mixed-signal, compute, digital signal processing, networking, security, and storage to address critical data infrastructure bottlenecks spanning performance, power, latency and scalability. Our semiconductor solutions are architected and designed to move, store, process and secure the world’s data faster and more reliably than anyone else. We offer essential technology to service the mounting compute, networking, security and storage requirements of the automotive, carrier, data center and enterprise data infrastructure markets. We were incorporated in Bermuda in January 1995.</w:t>
      </w:r>
    </w:p>
    <w:p>
      <w:pPr>
        <w:spacing w:after="0" w:line="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Developments</w:t>
      </w:r>
    </w:p>
    <w:p>
      <w:pPr>
        <w:spacing w:after="0" w:line="121" w:lineRule="exact"/>
        <w:rPr>
          <w:sz w:val="20"/>
          <w:szCs w:val="20"/>
          <w:color w:val="auto"/>
        </w:rPr>
      </w:pPr>
    </w:p>
    <w:p>
      <w:pPr>
        <w:ind w:right="100" w:firstLine="405"/>
        <w:spacing w:after="0" w:line="301" w:lineRule="auto"/>
        <w:rPr>
          <w:sz w:val="20"/>
          <w:szCs w:val="20"/>
          <w:color w:val="auto"/>
        </w:rPr>
      </w:pPr>
      <w:r>
        <w:rPr>
          <w:rFonts w:ascii="Arial" w:cs="Arial" w:eastAsia="Arial" w:hAnsi="Arial"/>
          <w:sz w:val="16"/>
          <w:szCs w:val="16"/>
          <w:color w:val="auto"/>
        </w:rPr>
        <w:t>On September 19, 2019, we completed the acquisition of Aquantia Corp. (“Aquantia”). Aquantia is a manufacturer of high speed transceivers which includes copper and optical physical layer products. The merger consideration was funded with a combination of cash on hand and funds from our revolving line of credit (“Revolving Credit Facility”). See “Note 3 - Business Combinations” for discussion of the acquisition and “Note 12- Debt” for discussion of the debt financing in the Notes to Consolidated Financial Statements set forth in Part II, Item 8 of the Annual Report on Form 10-K.</w:t>
      </w:r>
    </w:p>
    <w:p>
      <w:pPr>
        <w:spacing w:after="0" w:line="49" w:lineRule="exact"/>
        <w:rPr>
          <w:sz w:val="20"/>
          <w:szCs w:val="20"/>
          <w:color w:val="auto"/>
        </w:rPr>
      </w:pPr>
    </w:p>
    <w:p>
      <w:pPr>
        <w:ind w:right="120" w:firstLine="405"/>
        <w:spacing w:after="0" w:line="296" w:lineRule="auto"/>
        <w:rPr>
          <w:sz w:val="20"/>
          <w:szCs w:val="20"/>
          <w:color w:val="auto"/>
        </w:rPr>
      </w:pPr>
      <w:r>
        <w:rPr>
          <w:rFonts w:ascii="Arial" w:cs="Arial" w:eastAsia="Arial" w:hAnsi="Arial"/>
          <w:sz w:val="16"/>
          <w:szCs w:val="16"/>
          <w:color w:val="auto"/>
        </w:rPr>
        <w:t>On November 5, 2019, we acquired Avera Semiconductor (“Avera”), the Application Specific Integrated Circuit (“ASIC”) business of GlobalFoundries for $593.5 million in cash. An additional $90 million in cash will be paid to acquire additional assets if certain conditions are satisfied within the next 10 months. Avera is a leading provider of ASIC semiconductor solutions. We acquired Avera to expand our ASIC design capabilities. The merger consideration was funded with new debt financing. See “Note 3 - Business Combinations” for discussion of the acquisition and “Note 12 - Debt” for discussion of the debt financing in the Notes to the Consolidated Financial Statements set forth in Part II, Item 8 of the Annual Report on Form 10-K.</w:t>
      </w:r>
    </w:p>
    <w:p>
      <w:pPr>
        <w:spacing w:after="0" w:line="53"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On December 6, 2019, we completed the sale of our Wi-Fi Connectivity business to NXP USA, Inc, a subsidiary of NXP Semiconductors, N.V. (“NXP”). The divestiture encompasses our portfolio of connectivity solutions, including Wi-Fi, and Wi-Fi/Bluetooth integrated SOCs and related assets. See “Note 1 - Basis of Presentation” for discussion of the divestiture in the Notes to the Consolidated Financial Statements set forth in Part II, Item 8 of the Annual Report on Form 10-K.</w:t>
      </w:r>
    </w:p>
    <w:p>
      <w:pPr>
        <w:spacing w:after="0" w:line="79" w:lineRule="exact"/>
        <w:rPr>
          <w:sz w:val="20"/>
          <w:szCs w:val="20"/>
          <w:color w:val="auto"/>
        </w:rPr>
      </w:pPr>
    </w:p>
    <w:p>
      <w:pPr>
        <w:ind w:right="120" w:firstLine="405"/>
        <w:spacing w:after="0" w:line="259" w:lineRule="auto"/>
        <w:rPr>
          <w:sz w:val="20"/>
          <w:szCs w:val="20"/>
          <w:color w:val="auto"/>
        </w:rPr>
      </w:pPr>
      <w:r>
        <w:rPr>
          <w:rFonts w:ascii="Arial" w:cs="Arial" w:eastAsia="Arial" w:hAnsi="Arial"/>
          <w:sz w:val="18"/>
          <w:szCs w:val="18"/>
          <w:color w:val="auto"/>
        </w:rPr>
        <w:t>On December 31, 2019, we completed an intra-entity asset transfer of certain of our intellectual property to a subsidiary in Singapore. The internal restructuring aligns the global economic ownership of our intellectual property rights with our current and future business operations. See “Note 16 - Income Taxes” for discussion of such tax effects in the Notes to the Consolidated Financial Statements set forth in Part II, Item 8 of the Annual Report on Form 10-K.</w:t>
      </w:r>
    </w:p>
    <w:p>
      <w:pPr>
        <w:spacing w:after="0" w:line="79" w:lineRule="exact"/>
        <w:rPr>
          <w:sz w:val="20"/>
          <w:szCs w:val="20"/>
          <w:color w:val="auto"/>
        </w:rPr>
      </w:pPr>
    </w:p>
    <w:p>
      <w:pPr>
        <w:ind w:right="160" w:firstLine="405"/>
        <w:spacing w:after="0" w:line="259" w:lineRule="auto"/>
        <w:rPr>
          <w:sz w:val="20"/>
          <w:szCs w:val="20"/>
          <w:color w:val="auto"/>
        </w:rPr>
      </w:pPr>
      <w:r>
        <w:rPr>
          <w:rFonts w:ascii="Arial" w:cs="Arial" w:eastAsia="Arial" w:hAnsi="Arial"/>
          <w:sz w:val="18"/>
          <w:szCs w:val="18"/>
          <w:color w:val="auto"/>
        </w:rPr>
        <w:t>Our registered and mailing address is Canon’s Court, 22 Victoria Street, Hamilton HM 12, Bermuda, and our telephone number there is (441) 296-6395. The address of our U.S. operating subsidiary is Marvell Semiconductor, Inc., 5488 Marvell Lane, Santa Clara, California 95054, and our telephone number there is (408) 222-2500. We also have operations in many countries, including China, India, Israel, Japan, Singapore, South Korea, Taiwan and Vietnam. Our fiscal year ends on the Saturday nearest January 31.</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121"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Our website address is www.marvell.com. The information contained on any website referred to in this Form 10-K does not form any part of this Annual Report on Form 10-K and is not incorporated by reference herein unless expressly noted. We make available free of charge through our website our annual reports on Form 10-K, our quarterly reports on Form 10-Q, our current reports on Form 8-K and amendments to those reports filed or furnished pursuant to Section 13(a) or 15(d) of the Securities Exchange Act of 1934, as amended (the “Exchange Act”), as soon as reasonably practicable after we electronically file this material with, or furnish it to, the U.S. Securities and Exchange Commission (“SEC”). In addition, the SEC’s website, www.sec.gov, contains reports, proxy statements, and other information that we file electronically with the SEC.</w:t>
      </w:r>
    </w:p>
    <w:p>
      <w:pPr>
        <w:spacing w:after="0" w:line="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Markets and Products</w:t>
      </w:r>
    </w:p>
    <w:p>
      <w:pPr>
        <w:spacing w:after="0" w:line="121" w:lineRule="exact"/>
        <w:rPr>
          <w:sz w:val="20"/>
          <w:szCs w:val="20"/>
          <w:color w:val="auto"/>
        </w:rPr>
      </w:pPr>
    </w:p>
    <w:p>
      <w:pPr>
        <w:jc w:val="both"/>
        <w:ind w:right="100" w:firstLine="405"/>
        <w:spacing w:after="0" w:line="263" w:lineRule="auto"/>
        <w:rPr>
          <w:sz w:val="20"/>
          <w:szCs w:val="20"/>
          <w:color w:val="auto"/>
        </w:rPr>
      </w:pPr>
      <w:r>
        <w:rPr>
          <w:rFonts w:ascii="Arial" w:cs="Arial" w:eastAsia="Arial" w:hAnsi="Arial"/>
          <w:sz w:val="18"/>
          <w:szCs w:val="18"/>
          <w:color w:val="auto"/>
        </w:rPr>
        <w:t>Our products address the data infrastructure market with our four focus markets being automotive, carrier, data center and enterprise. Our compute, networking, security and storage technologies are essential and differentiating for these markets. The data infrastructure market has several very attractive attributes including long product lifecycles, deep customer relationships and are typically sole-sourced.</w:t>
      </w:r>
    </w:p>
    <w:p>
      <w:pPr>
        <w:spacing w:after="0" w:line="27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999" w:right="379" w:bottom="1440" w:gutter="0" w:footer="0" w:header="0"/>
        </w:sectPr>
      </w:pPr>
    </w:p>
    <w:bookmarkStart w:id="5" w:name="page6"/>
    <w:bookmarkEnd w:id="5"/>
    <w:p>
      <w:pPr>
        <w:ind w:right="40" w:firstLine="405"/>
        <w:spacing w:after="0" w:line="255" w:lineRule="auto"/>
        <w:rPr>
          <w:sz w:val="20"/>
          <w:szCs w:val="20"/>
          <w:color w:val="auto"/>
        </w:rPr>
      </w:pPr>
      <w:r>
        <w:rPr>
          <w:rFonts w:ascii="Arial" w:cs="Arial" w:eastAsia="Arial" w:hAnsi="Arial"/>
          <w:sz w:val="18"/>
          <w:szCs w:val="18"/>
          <w:color w:val="auto"/>
        </w:rPr>
        <w:t>Our portfolio of solutions integrate multiple analog, mixed-signal and digital intellectual property components incorporating -hardware, firmware and software technologies and our system knowledge to provide our customers highly-integrated optimized solutions for their end products. In addition to selling standard product solutions, where the exact same product is sold to multiple customers, we also offer customized solutions which are tailored to a specific customer's requirements. The acquisition of Avera has extended our ability to offer custom semiconductor solutions for our data infrastructure customers. The demand for custom solutions has been increasing as our customers seek greater optimizations and differentiation for their products and services.</w:t>
      </w:r>
    </w:p>
    <w:p>
      <w:pPr>
        <w:spacing w:after="0" w:line="84"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Our current product offerings are primarily in two broad product categories: storage and networking. In storage, we are a market leader in fibre channel products and data storage controller solutions primarily addressing data center, enterprise, and edge computing markets. Our networking products include custom ASICs, ethernet solutions and processors. These products address all four of our focus data infrastructure markets: automotive, carrier, data center and enterprise.</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000" w:type="dxa"/>
            <w:vAlign w:val="bottom"/>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8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gridSpan w:val="2"/>
          </w:tcPr>
          <w:p>
            <w:pPr>
              <w:ind w:left="740"/>
              <w:spacing w:after="0"/>
              <w:rPr>
                <w:sz w:val="20"/>
                <w:szCs w:val="20"/>
                <w:color w:val="auto"/>
              </w:rPr>
            </w:pPr>
            <w:r>
              <w:rPr>
                <w:rFonts w:ascii="Arial" w:cs="Arial" w:eastAsia="Arial" w:hAnsi="Arial"/>
                <w:sz w:val="14"/>
                <w:szCs w:val="14"/>
                <w:b w:val="1"/>
                <w:bCs w:val="1"/>
                <w:color w:val="auto"/>
              </w:rPr>
              <w:t>Year Ended</w:t>
            </w:r>
          </w:p>
        </w:tc>
        <w:tc>
          <w:tcPr>
            <w:tcW w:w="660" w:type="dxa"/>
            <w:vAlign w:val="bottom"/>
            <w:tcBorders>
              <w:bottom w:val="single" w:sz="8" w:color="auto"/>
            </w:tcBorders>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80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spacing w:after="0"/>
              <w:rPr>
                <w:sz w:val="16"/>
                <w:szCs w:val="16"/>
                <w:color w:val="auto"/>
              </w:rPr>
            </w:pPr>
          </w:p>
        </w:tc>
      </w:tr>
      <w:tr>
        <w:trPr>
          <w:trHeight w:val="196"/>
        </w:trPr>
        <w:tc>
          <w:tcPr>
            <w:tcW w:w="4000" w:type="dxa"/>
            <w:vAlign w:val="bottom"/>
          </w:tcPr>
          <w:p>
            <w:pPr>
              <w:spacing w:after="0"/>
              <w:rPr>
                <w:sz w:val="17"/>
                <w:szCs w:val="17"/>
                <w:color w:val="auto"/>
              </w:rPr>
            </w:pPr>
          </w:p>
        </w:tc>
        <w:tc>
          <w:tcPr>
            <w:tcW w:w="11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9"/>
              </w:rPr>
              <w:t>February 1, 2020</w:t>
            </w:r>
          </w:p>
        </w:tc>
        <w:tc>
          <w:tcPr>
            <w:tcW w:w="1240" w:type="dxa"/>
            <w:vAlign w:val="bottom"/>
            <w:tcBorders>
              <w:bottom w:val="single" w:sz="8" w:color="auto"/>
            </w:tcBorders>
          </w:tcPr>
          <w:p>
            <w:pPr>
              <w:spacing w:after="0"/>
              <w:rPr>
                <w:sz w:val="17"/>
                <w:szCs w:val="17"/>
                <w:color w:val="auto"/>
              </w:rPr>
            </w:pPr>
          </w:p>
        </w:tc>
        <w:tc>
          <w:tcPr>
            <w:tcW w:w="1720" w:type="dxa"/>
            <w:vAlign w:val="bottom"/>
            <w:tcBorders>
              <w:bottom w:val="single" w:sz="8" w:color="auto"/>
            </w:tcBorders>
            <w:gridSpan w:val="3"/>
          </w:tcPr>
          <w:p>
            <w:pPr>
              <w:ind w:left="40"/>
              <w:spacing w:after="0"/>
              <w:rPr>
                <w:sz w:val="20"/>
                <w:szCs w:val="20"/>
                <w:color w:val="auto"/>
              </w:rPr>
            </w:pPr>
            <w:r>
              <w:rPr>
                <w:rFonts w:ascii="Arial" w:cs="Arial" w:eastAsia="Arial" w:hAnsi="Arial"/>
                <w:sz w:val="14"/>
                <w:szCs w:val="14"/>
                <w:b w:val="1"/>
                <w:bCs w:val="1"/>
                <w:color w:val="auto"/>
              </w:rPr>
              <w:t>February 2, 2019</w:t>
            </w:r>
          </w:p>
        </w:tc>
        <w:tc>
          <w:tcPr>
            <w:tcW w:w="660" w:type="dxa"/>
            <w:vAlign w:val="bottom"/>
            <w:tcBorders>
              <w:bottom w:val="single" w:sz="8" w:color="auto"/>
            </w:tcBorders>
          </w:tcPr>
          <w:p>
            <w:pPr>
              <w:spacing w:after="0"/>
              <w:rPr>
                <w:sz w:val="17"/>
                <w:szCs w:val="17"/>
                <w:color w:val="auto"/>
              </w:rPr>
            </w:pPr>
          </w:p>
        </w:tc>
        <w:tc>
          <w:tcPr>
            <w:tcW w:w="11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7"/>
              </w:rPr>
              <w:t>February 3, 2018</w:t>
            </w:r>
          </w:p>
        </w:tc>
        <w:tc>
          <w:tcPr>
            <w:tcW w:w="1300" w:type="dxa"/>
            <w:vAlign w:val="bottom"/>
            <w:tcBorders>
              <w:bottom w:val="single" w:sz="8" w:color="auto"/>
            </w:tcBorders>
          </w:tcPr>
          <w:p>
            <w:pPr>
              <w:spacing w:after="0"/>
              <w:rPr>
                <w:sz w:val="17"/>
                <w:szCs w:val="17"/>
                <w:color w:val="auto"/>
              </w:rPr>
            </w:pPr>
          </w:p>
        </w:tc>
      </w:tr>
      <w:tr>
        <w:trPr>
          <w:trHeight w:val="196"/>
        </w:trPr>
        <w:tc>
          <w:tcPr>
            <w:tcW w:w="400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60" w:type="dxa"/>
            <w:vAlign w:val="bottom"/>
            <w:gridSpan w:val="3"/>
          </w:tcPr>
          <w:p>
            <w:pPr>
              <w:jc w:val="right"/>
              <w:spacing w:after="0"/>
              <w:rPr>
                <w:sz w:val="20"/>
                <w:szCs w:val="20"/>
                <w:color w:val="auto"/>
              </w:rPr>
            </w:pPr>
            <w:r>
              <w:rPr>
                <w:rFonts w:ascii="Arial" w:cs="Arial" w:eastAsia="Arial" w:hAnsi="Arial"/>
                <w:sz w:val="14"/>
                <w:szCs w:val="14"/>
                <w:b w:val="1"/>
                <w:bCs w:val="1"/>
                <w:color w:val="auto"/>
                <w:w w:val="90"/>
              </w:rPr>
              <w:t>(in millions, except for percentages)</w:t>
            </w:r>
          </w:p>
        </w:tc>
        <w:tc>
          <w:tcPr>
            <w:tcW w:w="36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300" w:type="dxa"/>
            <w:vAlign w:val="bottom"/>
          </w:tcPr>
          <w:p>
            <w:pPr>
              <w:spacing w:after="0"/>
              <w:rPr>
                <w:sz w:val="17"/>
                <w:szCs w:val="17"/>
                <w:color w:val="auto"/>
              </w:rPr>
            </w:pPr>
          </w:p>
        </w:tc>
      </w:tr>
      <w:tr>
        <w:trPr>
          <w:trHeight w:val="256"/>
        </w:trPr>
        <w:tc>
          <w:tcPr>
            <w:tcW w:w="40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Networking</w:t>
            </w:r>
          </w:p>
        </w:tc>
        <w:tc>
          <w:tcPr>
            <w:tcW w:w="360" w:type="dxa"/>
            <w:vAlign w:val="bottom"/>
            <w:tcBorders>
              <w:bottom w:val="single" w:sz="8" w:color="CCEEFF"/>
            </w:tcBorders>
            <w:shd w:val="clear" w:color="auto" w:fill="CCEEFF"/>
          </w:tcPr>
          <w:p>
            <w:pPr>
              <w:jc w:val="right"/>
              <w:ind w:right="156"/>
              <w:spacing w:after="0"/>
              <w:rPr>
                <w:sz w:val="20"/>
                <w:szCs w:val="20"/>
                <w:color w:val="auto"/>
              </w:rPr>
            </w:pPr>
            <w:r>
              <w:rPr>
                <w:rFonts w:ascii="Arial" w:cs="Arial" w:eastAsia="Arial" w:hAnsi="Arial"/>
                <w:sz w:val="18"/>
                <w:szCs w:val="18"/>
                <w:color w:val="auto"/>
                <w:w w:val="99"/>
              </w:rPr>
              <w:t>$</w:t>
            </w:r>
          </w:p>
        </w:tc>
        <w:tc>
          <w:tcPr>
            <w:tcW w:w="80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1,377</w:t>
            </w:r>
          </w:p>
        </w:tc>
        <w:tc>
          <w:tcPr>
            <w:tcW w:w="13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51% $</w:t>
            </w:r>
          </w:p>
        </w:tc>
        <w:tc>
          <w:tcPr>
            <w:tcW w:w="102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1,313</w:t>
            </w:r>
          </w:p>
        </w:tc>
        <w:tc>
          <w:tcPr>
            <w:tcW w:w="580" w:type="dxa"/>
            <w:vAlign w:val="bottom"/>
            <w:tcBorders>
              <w:bottom w:val="single" w:sz="8" w:color="CCEEFF"/>
            </w:tcBorders>
            <w:shd w:val="clear" w:color="auto" w:fill="CCEEFF"/>
          </w:tcPr>
          <w:p>
            <w:pPr>
              <w:spacing w:after="0"/>
              <w:rPr>
                <w:sz w:val="22"/>
                <w:szCs w:val="22"/>
                <w:color w:val="auto"/>
              </w:rPr>
            </w:pPr>
          </w:p>
        </w:tc>
        <w:tc>
          <w:tcPr>
            <w:tcW w:w="6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46 %</w:t>
            </w:r>
          </w:p>
        </w:tc>
        <w:tc>
          <w:tcPr>
            <w:tcW w:w="360" w:type="dxa"/>
            <w:vAlign w:val="bottom"/>
            <w:tcBorders>
              <w:bottom w:val="single" w:sz="8" w:color="CCEEFF"/>
            </w:tcBorders>
            <w:shd w:val="clear" w:color="auto" w:fill="CCEEFF"/>
          </w:tcPr>
          <w:p>
            <w:pPr>
              <w:jc w:val="right"/>
              <w:ind w:right="156"/>
              <w:spacing w:after="0"/>
              <w:rPr>
                <w:sz w:val="20"/>
                <w:szCs w:val="20"/>
                <w:color w:val="auto"/>
              </w:rPr>
            </w:pPr>
            <w:r>
              <w:rPr>
                <w:rFonts w:ascii="Arial" w:cs="Arial" w:eastAsia="Arial" w:hAnsi="Arial"/>
                <w:sz w:val="18"/>
                <w:szCs w:val="18"/>
                <w:color w:val="auto"/>
                <w:w w:val="99"/>
              </w:rPr>
              <w:t>$</w:t>
            </w:r>
          </w:p>
        </w:tc>
        <w:tc>
          <w:tcPr>
            <w:tcW w:w="8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962</w:t>
            </w: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40 %</w:t>
            </w:r>
          </w:p>
        </w:tc>
      </w:tr>
      <w:tr>
        <w:trPr>
          <w:trHeight w:val="243"/>
        </w:trPr>
        <w:tc>
          <w:tcPr>
            <w:tcW w:w="4000" w:type="dxa"/>
            <w:vAlign w:val="bottom"/>
          </w:tcPr>
          <w:p>
            <w:pPr>
              <w:ind w:left="20"/>
              <w:spacing w:after="0"/>
              <w:rPr>
                <w:sz w:val="20"/>
                <w:szCs w:val="20"/>
                <w:color w:val="auto"/>
              </w:rPr>
            </w:pPr>
            <w:r>
              <w:rPr>
                <w:rFonts w:ascii="Arial" w:cs="Arial" w:eastAsia="Arial" w:hAnsi="Arial"/>
                <w:sz w:val="18"/>
                <w:szCs w:val="18"/>
                <w:color w:val="auto"/>
              </w:rPr>
              <w:t>Storage</w:t>
            </w:r>
          </w:p>
        </w:tc>
        <w:tc>
          <w:tcPr>
            <w:tcW w:w="360" w:type="dxa"/>
            <w:vAlign w:val="bottom"/>
          </w:tcPr>
          <w:p>
            <w:pPr>
              <w:spacing w:after="0"/>
              <w:rPr>
                <w:sz w:val="21"/>
                <w:szCs w:val="21"/>
                <w:color w:val="auto"/>
              </w:rPr>
            </w:pPr>
          </w:p>
        </w:tc>
        <w:tc>
          <w:tcPr>
            <w:tcW w:w="800" w:type="dxa"/>
            <w:vAlign w:val="bottom"/>
          </w:tcPr>
          <w:p>
            <w:pPr>
              <w:jc w:val="right"/>
              <w:ind w:right="50"/>
              <w:spacing w:after="0"/>
              <w:rPr>
                <w:sz w:val="20"/>
                <w:szCs w:val="20"/>
                <w:color w:val="auto"/>
              </w:rPr>
            </w:pPr>
            <w:r>
              <w:rPr>
                <w:rFonts w:ascii="Arial" w:cs="Arial" w:eastAsia="Arial" w:hAnsi="Arial"/>
                <w:sz w:val="18"/>
                <w:szCs w:val="18"/>
                <w:color w:val="auto"/>
              </w:rPr>
              <w:t>1,138</w:t>
            </w:r>
          </w:p>
        </w:tc>
        <w:tc>
          <w:tcPr>
            <w:tcW w:w="1240" w:type="dxa"/>
            <w:vAlign w:val="bottom"/>
          </w:tcPr>
          <w:p>
            <w:pPr>
              <w:jc w:val="right"/>
              <w:ind w:right="50"/>
              <w:spacing w:after="0"/>
              <w:rPr>
                <w:sz w:val="20"/>
                <w:szCs w:val="20"/>
                <w:color w:val="auto"/>
              </w:rPr>
            </w:pPr>
            <w:r>
              <w:rPr>
                <w:rFonts w:ascii="Arial" w:cs="Arial" w:eastAsia="Arial" w:hAnsi="Arial"/>
                <w:sz w:val="18"/>
                <w:szCs w:val="18"/>
                <w:color w:val="auto"/>
              </w:rPr>
              <w:t>42 %</w:t>
            </w:r>
          </w:p>
        </w:tc>
        <w:tc>
          <w:tcPr>
            <w:tcW w:w="120" w:type="dxa"/>
            <w:vAlign w:val="bottom"/>
          </w:tcPr>
          <w:p>
            <w:pPr>
              <w:spacing w:after="0"/>
              <w:rPr>
                <w:sz w:val="21"/>
                <w:szCs w:val="21"/>
                <w:color w:val="auto"/>
              </w:rPr>
            </w:pPr>
          </w:p>
        </w:tc>
        <w:tc>
          <w:tcPr>
            <w:tcW w:w="1020" w:type="dxa"/>
            <w:vAlign w:val="bottom"/>
          </w:tcPr>
          <w:p>
            <w:pPr>
              <w:jc w:val="right"/>
              <w:ind w:right="76"/>
              <w:spacing w:after="0"/>
              <w:rPr>
                <w:sz w:val="20"/>
                <w:szCs w:val="20"/>
                <w:color w:val="auto"/>
              </w:rPr>
            </w:pPr>
            <w:r>
              <w:rPr>
                <w:rFonts w:ascii="Arial" w:cs="Arial" w:eastAsia="Arial" w:hAnsi="Arial"/>
                <w:sz w:val="18"/>
                <w:szCs w:val="18"/>
                <w:color w:val="auto"/>
              </w:rPr>
              <w:t>1,377</w:t>
            </w:r>
          </w:p>
        </w:tc>
        <w:tc>
          <w:tcPr>
            <w:tcW w:w="580" w:type="dxa"/>
            <w:vAlign w:val="bottom"/>
          </w:tcPr>
          <w:p>
            <w:pPr>
              <w:spacing w:after="0"/>
              <w:rPr>
                <w:sz w:val="21"/>
                <w:szCs w:val="21"/>
                <w:color w:val="auto"/>
              </w:rPr>
            </w:pPr>
          </w:p>
        </w:tc>
        <w:tc>
          <w:tcPr>
            <w:tcW w:w="660" w:type="dxa"/>
            <w:vAlign w:val="bottom"/>
          </w:tcPr>
          <w:p>
            <w:pPr>
              <w:jc w:val="right"/>
              <w:ind w:right="30"/>
              <w:spacing w:after="0"/>
              <w:rPr>
                <w:sz w:val="20"/>
                <w:szCs w:val="20"/>
                <w:color w:val="auto"/>
              </w:rPr>
            </w:pPr>
            <w:r>
              <w:rPr>
                <w:rFonts w:ascii="Arial" w:cs="Arial" w:eastAsia="Arial" w:hAnsi="Arial"/>
                <w:sz w:val="18"/>
                <w:szCs w:val="18"/>
                <w:color w:val="auto"/>
              </w:rPr>
              <w:t>48 %</w:t>
            </w:r>
          </w:p>
        </w:tc>
        <w:tc>
          <w:tcPr>
            <w:tcW w:w="360" w:type="dxa"/>
            <w:vAlign w:val="bottom"/>
          </w:tcPr>
          <w:p>
            <w:pPr>
              <w:spacing w:after="0"/>
              <w:rPr>
                <w:sz w:val="21"/>
                <w:szCs w:val="21"/>
                <w:color w:val="auto"/>
              </w:rPr>
            </w:pPr>
          </w:p>
        </w:tc>
        <w:tc>
          <w:tcPr>
            <w:tcW w:w="800" w:type="dxa"/>
            <w:vAlign w:val="bottom"/>
          </w:tcPr>
          <w:p>
            <w:pPr>
              <w:jc w:val="right"/>
              <w:ind w:right="70"/>
              <w:spacing w:after="0"/>
              <w:rPr>
                <w:sz w:val="20"/>
                <w:szCs w:val="20"/>
                <w:color w:val="auto"/>
              </w:rPr>
            </w:pPr>
            <w:r>
              <w:rPr>
                <w:rFonts w:ascii="Arial" w:cs="Arial" w:eastAsia="Arial" w:hAnsi="Arial"/>
                <w:sz w:val="18"/>
                <w:szCs w:val="18"/>
                <w:color w:val="auto"/>
              </w:rPr>
              <w:t>1,254</w:t>
            </w:r>
          </w:p>
        </w:tc>
        <w:tc>
          <w:tcPr>
            <w:tcW w:w="1300" w:type="dxa"/>
            <w:vAlign w:val="bottom"/>
          </w:tcPr>
          <w:p>
            <w:pPr>
              <w:jc w:val="right"/>
              <w:spacing w:after="0"/>
              <w:rPr>
                <w:sz w:val="20"/>
                <w:szCs w:val="20"/>
                <w:color w:val="auto"/>
              </w:rPr>
            </w:pPr>
            <w:r>
              <w:rPr>
                <w:rFonts w:ascii="Arial" w:cs="Arial" w:eastAsia="Arial" w:hAnsi="Arial"/>
                <w:sz w:val="18"/>
                <w:szCs w:val="18"/>
                <w:color w:val="auto"/>
              </w:rPr>
              <w:t>52 %</w:t>
            </w:r>
          </w:p>
        </w:tc>
      </w:tr>
      <w:tr>
        <w:trPr>
          <w:trHeight w:val="27"/>
        </w:trPr>
        <w:tc>
          <w:tcPr>
            <w:tcW w:w="4000" w:type="dxa"/>
            <w:vAlign w:val="bottom"/>
          </w:tcPr>
          <w:p>
            <w:pPr>
              <w:spacing w:after="0"/>
              <w:rPr>
                <w:sz w:val="2"/>
                <w:szCs w:val="2"/>
                <w:color w:val="auto"/>
              </w:rPr>
            </w:pPr>
          </w:p>
        </w:tc>
        <w:tc>
          <w:tcPr>
            <w:tcW w:w="36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360" w:type="dxa"/>
            <w:vAlign w:val="bottom"/>
          </w:tcPr>
          <w:p>
            <w:pPr>
              <w:spacing w:after="0"/>
              <w:rPr>
                <w:sz w:val="2"/>
                <w:szCs w:val="2"/>
                <w:color w:val="auto"/>
              </w:rPr>
            </w:pPr>
          </w:p>
        </w:tc>
        <w:tc>
          <w:tcPr>
            <w:tcW w:w="80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70"/>
        </w:trPr>
        <w:tc>
          <w:tcPr>
            <w:tcW w:w="40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w:t>
            </w:r>
          </w:p>
        </w:tc>
        <w:tc>
          <w:tcPr>
            <w:tcW w:w="360" w:type="dxa"/>
            <w:vAlign w:val="bottom"/>
            <w:tcBorders>
              <w:bottom w:val="single" w:sz="8" w:color="CCEEFF"/>
            </w:tcBorders>
            <w:shd w:val="clear" w:color="auto" w:fill="CCEEFF"/>
          </w:tcPr>
          <w:p>
            <w:pPr>
              <w:spacing w:after="0"/>
              <w:rPr>
                <w:sz w:val="23"/>
                <w:szCs w:val="23"/>
                <w:color w:val="auto"/>
              </w:rPr>
            </w:pPr>
          </w:p>
        </w:tc>
        <w:tc>
          <w:tcPr>
            <w:tcW w:w="80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184</w:t>
            </w:r>
          </w:p>
        </w:tc>
        <w:tc>
          <w:tcPr>
            <w:tcW w:w="1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7 %</w:t>
            </w:r>
          </w:p>
        </w:tc>
        <w:tc>
          <w:tcPr>
            <w:tcW w:w="12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176</w:t>
            </w:r>
          </w:p>
        </w:tc>
        <w:tc>
          <w:tcPr>
            <w:tcW w:w="580" w:type="dxa"/>
            <w:vAlign w:val="bottom"/>
            <w:tcBorders>
              <w:bottom w:val="single" w:sz="8" w:color="CCEEFF"/>
            </w:tcBorders>
            <w:shd w:val="clear" w:color="auto" w:fill="CCEEFF"/>
          </w:tcPr>
          <w:p>
            <w:pPr>
              <w:spacing w:after="0"/>
              <w:rPr>
                <w:sz w:val="23"/>
                <w:szCs w:val="23"/>
                <w:color w:val="auto"/>
              </w:rPr>
            </w:pPr>
          </w:p>
        </w:tc>
        <w:tc>
          <w:tcPr>
            <w:tcW w:w="6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6 %</w:t>
            </w:r>
          </w:p>
        </w:tc>
        <w:tc>
          <w:tcPr>
            <w:tcW w:w="360" w:type="dxa"/>
            <w:vAlign w:val="bottom"/>
            <w:tcBorders>
              <w:bottom w:val="single" w:sz="8" w:color="CCEEFF"/>
            </w:tcBorders>
            <w:shd w:val="clear" w:color="auto" w:fill="CCEEFF"/>
          </w:tcPr>
          <w:p>
            <w:pPr>
              <w:spacing w:after="0"/>
              <w:rPr>
                <w:sz w:val="23"/>
                <w:szCs w:val="23"/>
                <w:color w:val="auto"/>
              </w:rPr>
            </w:pPr>
          </w:p>
        </w:tc>
        <w:tc>
          <w:tcPr>
            <w:tcW w:w="8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193</w:t>
            </w: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8 %</w:t>
            </w:r>
          </w:p>
        </w:tc>
      </w:tr>
      <w:tr>
        <w:trPr>
          <w:trHeight w:val="237"/>
        </w:trPr>
        <w:tc>
          <w:tcPr>
            <w:tcW w:w="4000" w:type="dxa"/>
            <w:vAlign w:val="bottom"/>
          </w:tcPr>
          <w:p>
            <w:pPr>
              <w:ind w:left="340"/>
              <w:spacing w:after="0"/>
              <w:rPr>
                <w:sz w:val="20"/>
                <w:szCs w:val="20"/>
                <w:color w:val="auto"/>
              </w:rPr>
            </w:pPr>
            <w:r>
              <w:rPr>
                <w:rFonts w:ascii="Arial" w:cs="Arial" w:eastAsia="Arial" w:hAnsi="Arial"/>
                <w:sz w:val="18"/>
                <w:szCs w:val="18"/>
                <w:color w:val="auto"/>
              </w:rPr>
              <w:t>Total</w:t>
            </w:r>
          </w:p>
        </w:tc>
        <w:tc>
          <w:tcPr>
            <w:tcW w:w="360" w:type="dxa"/>
            <w:vAlign w:val="bottom"/>
            <w:tcBorders>
              <w:top w:val="single" w:sz="8" w:color="auto"/>
            </w:tcBorders>
          </w:tcPr>
          <w:p>
            <w:pPr>
              <w:jc w:val="right"/>
              <w:ind w:right="156"/>
              <w:spacing w:after="0"/>
              <w:rPr>
                <w:sz w:val="20"/>
                <w:szCs w:val="20"/>
                <w:color w:val="auto"/>
              </w:rPr>
            </w:pPr>
            <w:r>
              <w:rPr>
                <w:rFonts w:ascii="Arial" w:cs="Arial" w:eastAsia="Arial" w:hAnsi="Arial"/>
                <w:sz w:val="18"/>
                <w:szCs w:val="18"/>
                <w:color w:val="auto"/>
                <w:w w:val="99"/>
              </w:rPr>
              <w:t>$</w:t>
            </w:r>
          </w:p>
        </w:tc>
        <w:tc>
          <w:tcPr>
            <w:tcW w:w="80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rPr>
              <w:t>2,699</w:t>
            </w:r>
          </w:p>
        </w:tc>
        <w:tc>
          <w:tcPr>
            <w:tcW w:w="124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2,866</w:t>
            </w:r>
          </w:p>
        </w:tc>
        <w:tc>
          <w:tcPr>
            <w:tcW w:w="5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360" w:type="dxa"/>
            <w:vAlign w:val="bottom"/>
            <w:tcBorders>
              <w:top w:val="single" w:sz="8" w:color="auto"/>
            </w:tcBorders>
          </w:tcPr>
          <w:p>
            <w:pPr>
              <w:jc w:val="right"/>
              <w:ind w:right="156"/>
              <w:spacing w:after="0"/>
              <w:rPr>
                <w:sz w:val="20"/>
                <w:szCs w:val="20"/>
                <w:color w:val="auto"/>
              </w:rPr>
            </w:pPr>
            <w:r>
              <w:rPr>
                <w:rFonts w:ascii="Arial" w:cs="Arial" w:eastAsia="Arial" w:hAnsi="Arial"/>
                <w:sz w:val="18"/>
                <w:szCs w:val="18"/>
                <w:color w:val="auto"/>
                <w:w w:val="99"/>
              </w:rPr>
              <w:t>$</w:t>
            </w:r>
          </w:p>
        </w:tc>
        <w:tc>
          <w:tcPr>
            <w:tcW w:w="80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2,409</w:t>
            </w:r>
          </w:p>
        </w:tc>
        <w:tc>
          <w:tcPr>
            <w:tcW w:w="1300" w:type="dxa"/>
            <w:vAlign w:val="bottom"/>
          </w:tcPr>
          <w:p>
            <w:pPr>
              <w:spacing w:after="0"/>
              <w:rPr>
                <w:sz w:val="20"/>
                <w:szCs w:val="20"/>
                <w:color w:val="auto"/>
              </w:rPr>
            </w:pPr>
          </w:p>
        </w:tc>
      </w:tr>
      <w:tr>
        <w:trPr>
          <w:trHeight w:val="27"/>
        </w:trPr>
        <w:tc>
          <w:tcPr>
            <w:tcW w:w="4000" w:type="dxa"/>
            <w:vAlign w:val="bottom"/>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300" w:type="dxa"/>
            <w:vAlign w:val="bottom"/>
          </w:tcPr>
          <w:p>
            <w:pPr>
              <w:spacing w:after="0"/>
              <w:rPr>
                <w:sz w:val="2"/>
                <w:szCs w:val="2"/>
                <w:color w:val="auto"/>
              </w:rPr>
            </w:pPr>
          </w:p>
        </w:tc>
      </w:tr>
      <w:tr>
        <w:trPr>
          <w:trHeight w:val="20"/>
        </w:trPr>
        <w:tc>
          <w:tcPr>
            <w:tcW w:w="400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r>
    </w:tbl>
    <w:p>
      <w:pPr>
        <w:spacing w:after="0" w:line="33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Networking</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Ethernet Solutions</w:t>
      </w:r>
    </w:p>
    <w:p>
      <w:pPr>
        <w:spacing w:after="0" w:line="131" w:lineRule="exact"/>
        <w:rPr>
          <w:sz w:val="20"/>
          <w:szCs w:val="20"/>
          <w:color w:val="auto"/>
        </w:rPr>
      </w:pPr>
    </w:p>
    <w:p>
      <w:pPr>
        <w:ind w:right="280" w:firstLine="405"/>
        <w:spacing w:after="0" w:line="263" w:lineRule="auto"/>
        <w:rPr>
          <w:sz w:val="20"/>
          <w:szCs w:val="20"/>
          <w:color w:val="auto"/>
        </w:rPr>
      </w:pPr>
      <w:r>
        <w:rPr>
          <w:rFonts w:ascii="Arial" w:cs="Arial" w:eastAsia="Arial" w:hAnsi="Arial"/>
          <w:sz w:val="18"/>
          <w:szCs w:val="18"/>
          <w:color w:val="auto"/>
        </w:rPr>
        <w:t>We offer a broad portfolio of Ethernet solutions spanning controllers, network adapters, physical transceivers and switches. Our Ethernet solutions address a wide variety of end-customer data infrastructure products from small, high-reliability automotive sub-systems to large, high-performance modular enterprise and data center solutions.</w:t>
      </w:r>
    </w:p>
    <w:p>
      <w:pPr>
        <w:spacing w:after="0" w:line="76" w:lineRule="exact"/>
        <w:rPr>
          <w:sz w:val="20"/>
          <w:szCs w:val="20"/>
          <w:color w:val="auto"/>
        </w:rPr>
      </w:pPr>
    </w:p>
    <w:p>
      <w:pPr>
        <w:ind w:right="80" w:firstLine="405"/>
        <w:spacing w:after="0" w:line="263" w:lineRule="auto"/>
        <w:rPr>
          <w:sz w:val="20"/>
          <w:szCs w:val="20"/>
          <w:color w:val="auto"/>
        </w:rPr>
      </w:pPr>
      <w:r>
        <w:rPr>
          <w:rFonts w:ascii="Arial" w:cs="Arial" w:eastAsia="Arial" w:hAnsi="Arial"/>
          <w:sz w:val="18"/>
          <w:szCs w:val="18"/>
          <w:color w:val="auto"/>
        </w:rPr>
        <w:t>Our Ethernet controllers and network adapters are optimized to accelerate and simplify data center and enterprise networking. Our family of products provide exceptional value features and performance enabling the most agile and data-intensive applications. They deliver Ethernet connectivity for enterprise-class workstations all the way up to enterprise and cloud data centers.</w:t>
      </w:r>
    </w:p>
    <w:p>
      <w:pPr>
        <w:spacing w:after="0" w:line="76" w:lineRule="exact"/>
        <w:rPr>
          <w:sz w:val="20"/>
          <w:szCs w:val="20"/>
          <w:color w:val="auto"/>
        </w:rPr>
      </w:pPr>
    </w:p>
    <w:p>
      <w:pPr>
        <w:ind w:right="400" w:firstLine="405"/>
        <w:spacing w:after="0" w:line="259" w:lineRule="auto"/>
        <w:rPr>
          <w:sz w:val="20"/>
          <w:szCs w:val="20"/>
          <w:color w:val="auto"/>
        </w:rPr>
      </w:pPr>
      <w:r>
        <w:rPr>
          <w:rFonts w:ascii="Arial" w:cs="Arial" w:eastAsia="Arial" w:hAnsi="Arial"/>
          <w:sz w:val="18"/>
          <w:szCs w:val="18"/>
          <w:color w:val="auto"/>
        </w:rPr>
        <w:t>Our Ethernet switches integrate market-optimized innovative features, such as advanced tunneling and routing, high throughput forwarding, and packet processing that make networks more effective at delivering content with low-latency and high-reliability. Our Ethernet switch product portfolio ranges from low-power, five-port switches to highly integrated, multi-terabit Ethernet devices that can be interconnected to form massive network solutions.</w:t>
      </w:r>
    </w:p>
    <w:p>
      <w:pPr>
        <w:spacing w:after="0" w:line="79" w:lineRule="exact"/>
        <w:rPr>
          <w:sz w:val="20"/>
          <w:szCs w:val="20"/>
          <w:color w:val="auto"/>
        </w:rPr>
      </w:pPr>
    </w:p>
    <w:p>
      <w:pPr>
        <w:ind w:right="160" w:firstLine="405"/>
        <w:spacing w:after="0" w:line="263" w:lineRule="auto"/>
        <w:rPr>
          <w:sz w:val="20"/>
          <w:szCs w:val="20"/>
          <w:color w:val="auto"/>
        </w:rPr>
      </w:pPr>
      <w:r>
        <w:rPr>
          <w:rFonts w:ascii="Arial" w:cs="Arial" w:eastAsia="Arial" w:hAnsi="Arial"/>
          <w:sz w:val="18"/>
          <w:szCs w:val="18"/>
          <w:color w:val="auto"/>
        </w:rPr>
        <w:t>We complement our Ethernet switch and infrastructure processors with a broad selection of Ethernet physical-layer transceivers for both fiber and copper interconnect with advanced power management, link security, and time synchronization features. With the acquisition of Aquantia, we have added their multi-gigabit ethernet transceivers to our ethernet product portfolio.</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Processors</w:t>
      </w:r>
    </w:p>
    <w:p>
      <w:pPr>
        <w:spacing w:after="0" w:line="117" w:lineRule="exact"/>
        <w:rPr>
          <w:sz w:val="20"/>
          <w:szCs w:val="20"/>
          <w:color w:val="auto"/>
        </w:rPr>
      </w:pPr>
    </w:p>
    <w:p>
      <w:pPr>
        <w:jc w:val="both"/>
        <w:ind w:right="60" w:firstLine="405"/>
        <w:spacing w:after="0" w:line="259" w:lineRule="auto"/>
        <w:rPr>
          <w:sz w:val="20"/>
          <w:szCs w:val="20"/>
          <w:color w:val="auto"/>
        </w:rPr>
      </w:pPr>
      <w:r>
        <w:rPr>
          <w:rFonts w:ascii="Arial" w:cs="Arial" w:eastAsia="Arial" w:hAnsi="Arial"/>
          <w:sz w:val="18"/>
          <w:szCs w:val="18"/>
          <w:color w:val="auto"/>
        </w:rPr>
        <w:t>We offer highly integrated semiconductors that provide single or multiple core processors, along with intelligent Layer 2 through 7 processing of the OSI (Open Systems Interconnection) stack which is the framework that governs network communications within enterprise, datacenter, storage, and carrier markets. All of our products are compatible with standards-based operating systems and general-purpose software to enable ease of programming, and are supported by our ecosystem partners.</w:t>
      </w:r>
    </w:p>
    <w:p>
      <w:pPr>
        <w:spacing w:after="0" w:line="79" w:lineRule="exact"/>
        <w:rPr>
          <w:sz w:val="20"/>
          <w:szCs w:val="20"/>
          <w:color w:val="auto"/>
        </w:rPr>
      </w:pPr>
    </w:p>
    <w:p>
      <w:pPr>
        <w:ind w:right="20" w:firstLine="405"/>
        <w:spacing w:after="0" w:line="293" w:lineRule="auto"/>
        <w:rPr>
          <w:sz w:val="20"/>
          <w:szCs w:val="20"/>
          <w:color w:val="auto"/>
        </w:rPr>
      </w:pPr>
      <w:r>
        <w:rPr>
          <w:rFonts w:ascii="Arial" w:cs="Arial" w:eastAsia="Arial" w:hAnsi="Arial"/>
          <w:sz w:val="16"/>
          <w:szCs w:val="16"/>
          <w:color w:val="auto"/>
        </w:rPr>
        <w:t>Our OCTEON multi-core infrastructure processor families provide integrated Layer 4 through 7 data and security processing with additional capabilities at Layers 2 and 3 at line speeds. These software-compatible processors integrate next-generation networking I/Os along with advanced security, storage, and application hardware accelerators, offering programmability for the Layer 2 through Layer 7 processing requirements of intelligent networks. The OCTEON processors are targeted for use in a wide variety of carrier, data center, and enterprise equipment, including routers, switches, security UTM appliances, content-aware switches, application-aware gateways, wireless access points, 3G/4G/5G wireless base stations, storage arrays, smart network interface controllers, network functions virtualization (NFV) and software-defined networking (SDN) infrastructure.</w:t>
      </w:r>
    </w:p>
    <w:p>
      <w:pPr>
        <w:spacing w:after="0" w:line="25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111" w:right="339" w:bottom="1440" w:gutter="0" w:footer="0" w:header="0"/>
        </w:sectPr>
      </w:pPr>
    </w:p>
    <w:bookmarkStart w:id="6" w:name="page7"/>
    <w:bookmarkEnd w:id="6"/>
    <w:p>
      <w:pPr>
        <w:ind w:firstLine="405"/>
        <w:spacing w:after="0" w:line="257" w:lineRule="auto"/>
        <w:rPr>
          <w:sz w:val="20"/>
          <w:szCs w:val="20"/>
          <w:color w:val="auto"/>
        </w:rPr>
      </w:pPr>
      <w:r>
        <w:rPr>
          <w:rFonts w:ascii="Arial" w:cs="Arial" w:eastAsia="Arial" w:hAnsi="Arial"/>
          <w:sz w:val="18"/>
          <w:szCs w:val="18"/>
          <w:color w:val="auto"/>
        </w:rPr>
        <w:t>Our OCTEON Fusion-M family of wireless baseband infrastructure processors is a highly scalable product family supporting enterprise small cells, high capacity outdoor picocells and microcells all the way up to multi-sector macrocells for multiple wireless protocols including 5G. The key features include highly optimized processor cores, a highly efficient caching subsystem, high memory bandwidth digital signal processing engines along with a host of hardware accelerators. Additionally, multiple OCTEON Fusion-M chips can be cascaded for even denser deployments or higher order multiple-input and multiple-output, or MIMO.</w:t>
      </w:r>
    </w:p>
    <w:p>
      <w:pPr>
        <w:spacing w:after="0" w:line="80" w:lineRule="exact"/>
        <w:rPr>
          <w:sz w:val="20"/>
          <w:szCs w:val="20"/>
          <w:color w:val="auto"/>
        </w:rPr>
      </w:pPr>
    </w:p>
    <w:p>
      <w:pPr>
        <w:ind w:right="200" w:firstLine="405"/>
        <w:spacing w:after="0" w:line="275" w:lineRule="auto"/>
        <w:rPr>
          <w:sz w:val="20"/>
          <w:szCs w:val="20"/>
          <w:color w:val="auto"/>
        </w:rPr>
      </w:pPr>
      <w:r>
        <w:rPr>
          <w:rFonts w:ascii="Arial" w:cs="Arial" w:eastAsia="Arial" w:hAnsi="Arial"/>
          <w:sz w:val="17"/>
          <w:szCs w:val="17"/>
          <w:color w:val="auto"/>
        </w:rPr>
        <w:t>Our NITROX security processor family provides the functionality required for Layer 3 to Layer 5 secure communication in a single chip. These single chip, custom-designed processors provide complete security protocol processing, encryption, authentication and compression algorithms to reduce the load on the system processor and increase total system throughput. The LiquidSecurity product family is a high-performance hardware-based transaction security solution for data center and enterprise applications. It addresses the high-performance security requirements for private key management and administration. This family is available as an adapter with complete software or as a standalone appliance.</w:t>
      </w:r>
    </w:p>
    <w:p>
      <w:pPr>
        <w:spacing w:after="0" w:line="68"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Our LiquidIO Server Adapter family is a high-performance, general-purpose programmable adapter platform that enables data centers and enterprises to offload their server processors for higher performance and power efficiencies. The LiquidIO Server Adapter family is supported by a feature rich software development kit that allows customers and partners to develop high-performance SDN (software defined networking) applications with packet processing, switching, security, tunneling, quality of service, and metering.</w:t>
      </w:r>
    </w:p>
    <w:p>
      <w:pPr>
        <w:spacing w:after="0" w:line="79"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Our ThunderX server processor family is a highly integrated, scalable family of multi-core SoC processors optimized for cloud and datacenter servers. These processors incorporate highly optimized, full custom cores based on 64-bit ARMv8 instruction set architecture targeting data center and enterprise workloads. ThunderX2 is the second-generation workload optimized ARMv8 processor targeting high-performance cloud data centers and high-performance computing server applications.</w:t>
      </w:r>
    </w:p>
    <w:p>
      <w:pPr>
        <w:spacing w:after="0" w:line="7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Custom ASICs</w:t>
      </w:r>
    </w:p>
    <w:p>
      <w:pPr>
        <w:spacing w:after="0" w:line="117" w:lineRule="exact"/>
        <w:rPr>
          <w:sz w:val="20"/>
          <w:szCs w:val="20"/>
          <w:color w:val="auto"/>
        </w:rPr>
      </w:pPr>
    </w:p>
    <w:p>
      <w:pPr>
        <w:ind w:right="100" w:firstLine="405"/>
        <w:spacing w:after="0" w:line="263" w:lineRule="auto"/>
        <w:rPr>
          <w:sz w:val="20"/>
          <w:szCs w:val="20"/>
          <w:color w:val="auto"/>
        </w:rPr>
      </w:pPr>
      <w:r>
        <w:rPr>
          <w:rFonts w:ascii="Arial" w:cs="Arial" w:eastAsia="Arial" w:hAnsi="Arial"/>
          <w:sz w:val="18"/>
          <w:szCs w:val="18"/>
          <w:color w:val="auto"/>
        </w:rPr>
        <w:t>We develop custom product solutions tailored to individual customer specifications that deliver system-level differentiation for next-generation carrier, networking, data center, machine learning, automotive, aerospace and defense applications. These custom offerings leverage our broad portfolio of technologies being used in our standard products.</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Storage</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Storage Controllers</w:t>
      </w:r>
    </w:p>
    <w:p>
      <w:pPr>
        <w:spacing w:after="0" w:line="117" w:lineRule="exact"/>
        <w:rPr>
          <w:sz w:val="20"/>
          <w:szCs w:val="20"/>
          <w:color w:val="auto"/>
        </w:rPr>
      </w:pPr>
    </w:p>
    <w:p>
      <w:pPr>
        <w:ind w:firstLine="405"/>
        <w:spacing w:after="0" w:line="290" w:lineRule="auto"/>
        <w:rPr>
          <w:sz w:val="20"/>
          <w:szCs w:val="20"/>
          <w:color w:val="auto"/>
        </w:rPr>
      </w:pPr>
      <w:r>
        <w:rPr>
          <w:rFonts w:ascii="Arial" w:cs="Arial" w:eastAsia="Arial" w:hAnsi="Arial"/>
          <w:sz w:val="16"/>
          <w:szCs w:val="16"/>
          <w:color w:val="auto"/>
        </w:rPr>
        <w:t>We offer a broad portfolio of storage controllers for hard disk drives (“HDDs”) and solid-state-drives (“SSDs”) across all high-volume markets. Our controllers integrate several key Marvell technologies spanning compute, networking, security and storage. These key technologies enable our controllers to be optimized performance-power solutions and help our customers high-efficient storage products. Our HDD controllers integrate Marvell’s industry-leading read channel technologies to enable higher volumetric densities at low power profiles and are being used by all the current HDD makers. Our technology density and power differentiators are critical for addressing the fast-growing high-capacity, nearline HDD data center and enterprise markets. To further enhance our HDD controller differentiation and value propositions, we offer customers preamplifier products as part of a chipset with our HDD controllers to increase our customers’ product efficiencies. Our HDD controllers support all the high-volume host system interfaces, including Serial Advanced Technology Attachment (“SATA”) and Serial Attached SCSI (“SAS”), which are critical for the data center and enterprise markets.</w:t>
      </w:r>
    </w:p>
    <w:p>
      <w:pPr>
        <w:spacing w:after="0" w:line="57" w:lineRule="exact"/>
        <w:rPr>
          <w:sz w:val="20"/>
          <w:szCs w:val="20"/>
          <w:color w:val="auto"/>
        </w:rPr>
      </w:pPr>
    </w:p>
    <w:p>
      <w:pPr>
        <w:ind w:right="40" w:firstLine="405"/>
        <w:spacing w:after="0" w:line="275" w:lineRule="auto"/>
        <w:rPr>
          <w:sz w:val="20"/>
          <w:szCs w:val="20"/>
          <w:color w:val="auto"/>
        </w:rPr>
      </w:pPr>
      <w:r>
        <w:rPr>
          <w:rFonts w:ascii="Arial" w:cs="Arial" w:eastAsia="Arial" w:hAnsi="Arial"/>
          <w:sz w:val="17"/>
          <w:szCs w:val="17"/>
          <w:color w:val="auto"/>
        </w:rPr>
        <w:t>Our SSD” controller products leverage our strong HDD controller know-how and system-level expertise. We integrate several of our HDD controller IPs with our flash technologies to deliver optimal solutions for data center, enterprise and client computing markets. Our SSD controller products integrate hardware and firmware components to help accelerate our customers’ time to market and maximize the capabilities of our solutions. Like our HDD controllers, our SSD controllers support all the high-volume SSD host system interfaces, including SAS, SATA, peripheral component interconnect express (“PCIe”), non-volatile memory express (“NVMe”) and NVMe over Fabrics (“NVMe-oF”).</w:t>
      </w:r>
    </w:p>
    <w:p>
      <w:pPr>
        <w:spacing w:after="0" w:line="68" w:lineRule="exact"/>
        <w:rPr>
          <w:sz w:val="20"/>
          <w:szCs w:val="20"/>
          <w:color w:val="auto"/>
        </w:rPr>
      </w:pPr>
    </w:p>
    <w:p>
      <w:pPr>
        <w:jc w:val="both"/>
        <w:ind w:right="240" w:firstLine="405"/>
        <w:spacing w:after="0" w:line="263" w:lineRule="auto"/>
        <w:rPr>
          <w:sz w:val="20"/>
          <w:szCs w:val="20"/>
          <w:color w:val="auto"/>
        </w:rPr>
      </w:pPr>
      <w:r>
        <w:rPr>
          <w:rFonts w:ascii="Arial" w:cs="Arial" w:eastAsia="Arial" w:hAnsi="Arial"/>
          <w:sz w:val="18"/>
          <w:szCs w:val="18"/>
          <w:color w:val="auto"/>
        </w:rPr>
        <w:t>Recently, we have introduced new controller chipset products to enable innovative flash-based storage architectures in data centers and enterprises. These solutions increase overall data center performance, density and scalability while lowering overall power, resulting in lower total cost of ownership for the infrastructure organizations.</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Fibre Channel Products</w:t>
      </w:r>
    </w:p>
    <w:p>
      <w:pPr>
        <w:spacing w:after="0" w:line="117"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Our QLogic Fibre Channel product family comprises of host bus adapters (HBAs) and controllers for server and storage system connectivity. These products accelerate enterprise and data center applications, deliver a highly resilient infrastructure, enable greater server virtualization density along with an advanced set of data center diagnostic, orchestration and quality of service capabilities to optimize IT productivity. Our latest Fibre Channel products are well-suited for use with all-flash arrays by offering best-in-class latency and performance.</w:t>
      </w:r>
    </w:p>
    <w:p>
      <w:pPr>
        <w:spacing w:after="0" w:line="2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111" w:right="339" w:bottom="1440" w:gutter="0" w:footer="0" w:header="0"/>
        </w:sectPr>
      </w:pPr>
    </w:p>
    <w:bookmarkStart w:id="7" w:name="page8"/>
    <w:bookmarkEnd w:id="7"/>
    <w:p>
      <w:pPr>
        <w:ind w:left="420"/>
        <w:spacing w:after="0"/>
        <w:rPr>
          <w:sz w:val="20"/>
          <w:szCs w:val="20"/>
          <w:color w:val="auto"/>
        </w:rPr>
      </w:pPr>
      <w:r>
        <w:rPr>
          <w:rFonts w:ascii="Arial" w:cs="Arial" w:eastAsia="Arial" w:hAnsi="Arial"/>
          <w:sz w:val="18"/>
          <w:szCs w:val="18"/>
          <w:b w:val="1"/>
          <w:bCs w:val="1"/>
          <w:i w:val="1"/>
          <w:iCs w:val="1"/>
          <w:color w:val="auto"/>
        </w:rPr>
        <w:t>Other Products</w:t>
      </w:r>
    </w:p>
    <w:p>
      <w:pPr>
        <w:spacing w:after="0" w:line="117" w:lineRule="exact"/>
        <w:rPr>
          <w:sz w:val="20"/>
          <w:szCs w:val="20"/>
          <w:color w:val="auto"/>
        </w:rPr>
      </w:pPr>
    </w:p>
    <w:p>
      <w:pPr>
        <w:ind w:right="220" w:firstLine="405"/>
        <w:spacing w:after="0" w:line="277" w:lineRule="auto"/>
        <w:rPr>
          <w:sz w:val="20"/>
          <w:szCs w:val="20"/>
          <w:color w:val="auto"/>
        </w:rPr>
      </w:pPr>
      <w:r>
        <w:rPr>
          <w:rFonts w:ascii="Arial" w:cs="Arial" w:eastAsia="Arial" w:hAnsi="Arial"/>
          <w:sz w:val="18"/>
          <w:szCs w:val="18"/>
          <w:color w:val="auto"/>
        </w:rPr>
        <w:t>Our other products include printer SoC products and application processors. Our printer SoC products power many of today’s laser and ink printers and multi-function peripherals.</w:t>
      </w:r>
    </w:p>
    <w:p>
      <w:pPr>
        <w:spacing w:after="0" w:line="62" w:lineRule="exact"/>
        <w:rPr>
          <w:sz w:val="20"/>
          <w:szCs w:val="20"/>
          <w:color w:val="auto"/>
        </w:rPr>
      </w:pPr>
    </w:p>
    <w:p>
      <w:pPr>
        <w:ind w:right="480" w:firstLine="405"/>
        <w:spacing w:after="0" w:line="277" w:lineRule="auto"/>
        <w:rPr>
          <w:sz w:val="20"/>
          <w:szCs w:val="20"/>
          <w:color w:val="auto"/>
        </w:rPr>
      </w:pPr>
      <w:r>
        <w:rPr>
          <w:rFonts w:ascii="Arial" w:cs="Arial" w:eastAsia="Arial" w:hAnsi="Arial"/>
          <w:sz w:val="18"/>
          <w:szCs w:val="18"/>
          <w:color w:val="auto"/>
        </w:rPr>
        <w:t>Our application processors are targeted for non-mobile applications and deliver leading-edge performance for today’s embedded and Internet of Things solutions.</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Financial Information about Segments and Geographic Areas</w:t>
      </w:r>
    </w:p>
    <w:p>
      <w:pPr>
        <w:spacing w:after="0" w:line="121" w:lineRule="exact"/>
        <w:rPr>
          <w:sz w:val="20"/>
          <w:szCs w:val="20"/>
          <w:color w:val="auto"/>
        </w:rPr>
      </w:pPr>
    </w:p>
    <w:p>
      <w:pPr>
        <w:ind w:right="40" w:firstLine="405"/>
        <w:spacing w:after="0" w:line="279" w:lineRule="auto"/>
        <w:rPr>
          <w:sz w:val="20"/>
          <w:szCs w:val="20"/>
          <w:color w:val="auto"/>
        </w:rPr>
      </w:pPr>
      <w:r>
        <w:rPr>
          <w:rFonts w:ascii="Arial" w:cs="Arial" w:eastAsia="Arial" w:hAnsi="Arial"/>
          <w:sz w:val="17"/>
          <w:szCs w:val="17"/>
          <w:color w:val="auto"/>
        </w:rPr>
        <w:t>We have determined that we operate in one reportable segment: the design, development and sale of integrated circuits. For information regarding our revenue by geographic area, and property and equipment by geographic area, please see “Note 18 - Segment and Geographic Information” in our Notes to the Consolidated Financial Statements set forth in Part II, Item 8 of this Annual Report on Form 10-K. See “Risk Factors” under Item 1A of this Annual Report on Form 10-K for a discussion of the risks associated with our international operations.</w:t>
      </w:r>
    </w:p>
    <w:p>
      <w:pPr>
        <w:spacing w:after="0" w:line="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121" w:lineRule="exact"/>
        <w:rPr>
          <w:sz w:val="20"/>
          <w:szCs w:val="20"/>
          <w:color w:val="auto"/>
        </w:rPr>
      </w:pPr>
    </w:p>
    <w:p>
      <w:pPr>
        <w:ind w:right="80" w:firstLine="405"/>
        <w:spacing w:after="0" w:line="272" w:lineRule="auto"/>
        <w:rPr>
          <w:sz w:val="20"/>
          <w:szCs w:val="20"/>
          <w:color w:val="auto"/>
        </w:rPr>
      </w:pPr>
      <w:r>
        <w:rPr>
          <w:rFonts w:ascii="Arial" w:cs="Arial" w:eastAsia="Arial" w:hAnsi="Arial"/>
          <w:sz w:val="17"/>
          <w:szCs w:val="17"/>
          <w:color w:val="auto"/>
        </w:rPr>
        <w:t>Our target customers are original equipment manufacturers and original design manufacturers, both of which design and manufacture end market devices. Our sales force is strategically aligned along key customer lines in order to offer fully integrated platforms to our customers. In this way, we believe we can more effectively offer a broader set of content into our key customers’ end products, without having multiple product groups separately engage the same customer. We complement and support our direct sales force with manufacturers’ representatives for our products in North America, Europe and Asia. In addition, we have distributors who support our sales and marketing activities in the United States, Europe and Asia. We also use third-party logistics providers who maintain warehouses in close proximity to our customers’ facilities. We expect that a significant percentage of our sales will continue to come from direct sales to key customers.</w:t>
      </w:r>
    </w:p>
    <w:p>
      <w:pPr>
        <w:spacing w:after="0" w:line="69" w:lineRule="exact"/>
        <w:rPr>
          <w:sz w:val="20"/>
          <w:szCs w:val="20"/>
          <w:color w:val="auto"/>
        </w:rPr>
      </w:pPr>
    </w:p>
    <w:p>
      <w:pPr>
        <w:ind w:right="80" w:firstLine="405"/>
        <w:spacing w:after="0" w:line="263" w:lineRule="auto"/>
        <w:rPr>
          <w:sz w:val="20"/>
          <w:szCs w:val="20"/>
          <w:color w:val="auto"/>
        </w:rPr>
      </w:pPr>
      <w:r>
        <w:rPr>
          <w:rFonts w:ascii="Arial" w:cs="Arial" w:eastAsia="Arial" w:hAnsi="Arial"/>
          <w:sz w:val="18"/>
          <w:szCs w:val="18"/>
          <w:color w:val="auto"/>
        </w:rPr>
        <w:t>We use field application engineers to provide technical support and assistance to existing and potential customers in designing, testing and qualifying systems designs that incorporate our products. Our marketing team works in conjunction with our field sales and application engineering force, and is organized around our product groups.</w:t>
      </w:r>
    </w:p>
    <w:p>
      <w:pPr>
        <w:spacing w:after="0" w:line="76"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net revenue. During fiscal year 2020, there was no net revenue attributable to a customer, other than one distributor, whose revenues as a percentage of net revenue was 10% or greater of total net revenues. Net revenue attributable to significant customers whose revenues as a percentage of net revenue was 10% or greater of total net revenues is presented in the following table:</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148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96"/>
              <w:spacing w:after="0"/>
              <w:rPr>
                <w:sz w:val="20"/>
                <w:szCs w:val="20"/>
                <w:color w:val="auto"/>
              </w:rPr>
            </w:pPr>
            <w:r>
              <w:rPr>
                <w:rFonts w:ascii="Arial" w:cs="Arial" w:eastAsia="Arial" w:hAnsi="Arial"/>
                <w:sz w:val="14"/>
                <w:szCs w:val="14"/>
                <w:b w:val="1"/>
                <w:bCs w:val="1"/>
                <w:color w:val="auto"/>
              </w:rPr>
              <w:t>Year Ended</w:t>
            </w:r>
          </w:p>
        </w:tc>
        <w:tc>
          <w:tcPr>
            <w:tcW w:w="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500" w:type="dxa"/>
            <w:vAlign w:val="bottom"/>
            <w:tcBorders>
              <w:bottom w:val="single" w:sz="8" w:color="auto"/>
            </w:tcBorders>
          </w:tcPr>
          <w:p>
            <w:pPr>
              <w:spacing w:after="0"/>
              <w:rPr>
                <w:sz w:val="16"/>
                <w:szCs w:val="16"/>
                <w:color w:val="auto"/>
              </w:rPr>
            </w:pPr>
          </w:p>
        </w:tc>
      </w:tr>
      <w:tr>
        <w:trPr>
          <w:trHeight w:val="196"/>
        </w:trPr>
        <w:tc>
          <w:tcPr>
            <w:tcW w:w="6540" w:type="dxa"/>
            <w:vAlign w:val="bottom"/>
          </w:tcPr>
          <w:p>
            <w:pPr>
              <w:spacing w:after="0"/>
              <w:rPr>
                <w:sz w:val="17"/>
                <w:szCs w:val="17"/>
                <w:color w:val="auto"/>
              </w:rPr>
            </w:pPr>
          </w:p>
        </w:tc>
        <w:tc>
          <w:tcPr>
            <w:tcW w:w="1600" w:type="dxa"/>
            <w:vAlign w:val="bottom"/>
            <w:gridSpan w:val="2"/>
          </w:tcPr>
          <w:p>
            <w:pPr>
              <w:ind w:left="220"/>
              <w:spacing w:after="0"/>
              <w:rPr>
                <w:sz w:val="20"/>
                <w:szCs w:val="20"/>
                <w:color w:val="auto"/>
              </w:rPr>
            </w:pPr>
            <w:r>
              <w:rPr>
                <w:rFonts w:ascii="Arial" w:cs="Arial" w:eastAsia="Arial" w:hAnsi="Arial"/>
                <w:sz w:val="14"/>
                <w:szCs w:val="14"/>
                <w:b w:val="1"/>
                <w:bCs w:val="1"/>
                <w:color w:val="auto"/>
              </w:rPr>
              <w:t>February 1, 2020</w:t>
            </w:r>
          </w:p>
        </w:tc>
        <w:tc>
          <w:tcPr>
            <w:tcW w:w="1280" w:type="dxa"/>
            <w:vAlign w:val="bottom"/>
          </w:tcPr>
          <w:p>
            <w:pPr>
              <w:jc w:val="right"/>
              <w:spacing w:after="0"/>
              <w:rPr>
                <w:sz w:val="20"/>
                <w:szCs w:val="20"/>
                <w:color w:val="auto"/>
              </w:rPr>
            </w:pPr>
            <w:r>
              <w:rPr>
                <w:rFonts w:ascii="Arial" w:cs="Arial" w:eastAsia="Arial" w:hAnsi="Arial"/>
                <w:sz w:val="14"/>
                <w:szCs w:val="14"/>
                <w:b w:val="1"/>
                <w:bCs w:val="1"/>
                <w:color w:val="auto"/>
              </w:rPr>
              <w:t>February 2, 2019</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500" w:type="dxa"/>
            <w:vAlign w:val="bottom"/>
          </w:tcPr>
          <w:p>
            <w:pPr>
              <w:jc w:val="right"/>
              <w:ind w:right="134"/>
              <w:spacing w:after="0"/>
              <w:rPr>
                <w:sz w:val="20"/>
                <w:szCs w:val="20"/>
                <w:color w:val="auto"/>
              </w:rPr>
            </w:pPr>
            <w:r>
              <w:rPr>
                <w:rFonts w:ascii="Arial" w:cs="Arial" w:eastAsia="Arial" w:hAnsi="Arial"/>
                <w:sz w:val="14"/>
                <w:szCs w:val="14"/>
                <w:b w:val="1"/>
                <w:bCs w:val="1"/>
                <w:color w:val="auto"/>
              </w:rPr>
              <w:t>February 3, 2018</w:t>
            </w:r>
          </w:p>
        </w:tc>
      </w:tr>
      <w:tr>
        <w:trPr>
          <w:trHeight w:val="236"/>
        </w:trPr>
        <w:tc>
          <w:tcPr>
            <w:tcW w:w="65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Customer:</w:t>
            </w:r>
          </w:p>
        </w:tc>
        <w:tc>
          <w:tcPr>
            <w:tcW w:w="1480" w:type="dxa"/>
            <w:vAlign w:val="bottom"/>
            <w:tcBorders>
              <w:top w:val="single" w:sz="8" w:color="auto"/>
              <w:bottom w:val="single" w:sz="8" w:color="CCEEFF"/>
            </w:tcBorders>
            <w:shd w:val="clear" w:color="auto" w:fill="CCEEFF"/>
          </w:tcPr>
          <w:p>
            <w:pPr>
              <w:spacing w:after="0"/>
              <w:rPr>
                <w:sz w:val="20"/>
                <w:szCs w:val="20"/>
                <w:color w:val="auto"/>
              </w:rPr>
            </w:pP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128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1500" w:type="dxa"/>
            <w:vAlign w:val="bottom"/>
            <w:tcBorders>
              <w:top w:val="single" w:sz="8" w:color="auto"/>
              <w:bottom w:val="single" w:sz="8" w:color="CCEEFF"/>
            </w:tcBorders>
            <w:shd w:val="clear" w:color="auto" w:fill="CCEEFF"/>
          </w:tcPr>
          <w:p>
            <w:pPr>
              <w:spacing w:after="0"/>
              <w:rPr>
                <w:sz w:val="20"/>
                <w:szCs w:val="20"/>
                <w:color w:val="auto"/>
              </w:rPr>
            </w:pPr>
          </w:p>
        </w:tc>
      </w:tr>
      <w:tr>
        <w:trPr>
          <w:trHeight w:val="243"/>
        </w:trPr>
        <w:tc>
          <w:tcPr>
            <w:tcW w:w="6540" w:type="dxa"/>
            <w:vAlign w:val="bottom"/>
          </w:tcPr>
          <w:p>
            <w:pPr>
              <w:ind w:left="340"/>
              <w:spacing w:after="0"/>
              <w:rPr>
                <w:sz w:val="20"/>
                <w:szCs w:val="20"/>
                <w:color w:val="auto"/>
              </w:rPr>
            </w:pPr>
            <w:r>
              <w:rPr>
                <w:rFonts w:ascii="Arial" w:cs="Arial" w:eastAsia="Arial" w:hAnsi="Arial"/>
                <w:sz w:val="18"/>
                <w:szCs w:val="18"/>
                <w:color w:val="auto"/>
              </w:rPr>
              <w:t>Western Digital</w:t>
            </w:r>
          </w:p>
        </w:tc>
        <w:tc>
          <w:tcPr>
            <w:tcW w:w="1480" w:type="dxa"/>
            <w:vAlign w:val="bottom"/>
          </w:tcPr>
          <w:p>
            <w:pPr>
              <w:jc w:val="right"/>
              <w:ind w:right="134"/>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12</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0" w:type="dxa"/>
            <w:vAlign w:val="bottom"/>
          </w:tcPr>
          <w:p>
            <w:pPr>
              <w:spacing w:after="0"/>
              <w:rPr>
                <w:sz w:val="21"/>
                <w:szCs w:val="21"/>
                <w:color w:val="auto"/>
              </w:rPr>
            </w:pPr>
          </w:p>
        </w:tc>
        <w:tc>
          <w:tcPr>
            <w:tcW w:w="1500" w:type="dxa"/>
            <w:vAlign w:val="bottom"/>
          </w:tcPr>
          <w:p>
            <w:pPr>
              <w:jc w:val="right"/>
              <w:spacing w:after="0"/>
              <w:rPr>
                <w:sz w:val="20"/>
                <w:szCs w:val="20"/>
                <w:color w:val="auto"/>
              </w:rPr>
            </w:pPr>
            <w:r>
              <w:rPr>
                <w:rFonts w:ascii="Arial" w:cs="Arial" w:eastAsia="Arial" w:hAnsi="Arial"/>
                <w:sz w:val="18"/>
                <w:szCs w:val="18"/>
                <w:color w:val="auto"/>
              </w:rPr>
              <w:t>20 %</w:t>
            </w:r>
          </w:p>
        </w:tc>
      </w:tr>
      <w:tr>
        <w:trPr>
          <w:trHeight w:val="27"/>
        </w:trPr>
        <w:tc>
          <w:tcPr>
            <w:tcW w:w="6540" w:type="dxa"/>
            <w:vAlign w:val="bottom"/>
          </w:tcPr>
          <w:p>
            <w:pPr>
              <w:spacing w:after="0"/>
              <w:rPr>
                <w:sz w:val="2"/>
                <w:szCs w:val="2"/>
                <w:color w:val="auto"/>
              </w:rPr>
            </w:pPr>
          </w:p>
        </w:tc>
        <w:tc>
          <w:tcPr>
            <w:tcW w:w="14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80" w:type="dxa"/>
            <w:vAlign w:val="bottom"/>
            <w:gridSpan w:val="2"/>
          </w:tcPr>
          <w:p>
            <w:pPr>
              <w:spacing w:after="0"/>
              <w:rPr>
                <w:sz w:val="2"/>
                <w:szCs w:val="2"/>
                <w:color w:val="auto"/>
              </w:rPr>
            </w:pPr>
          </w:p>
        </w:tc>
        <w:tc>
          <w:tcPr>
            <w:tcW w:w="10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0"/>
        </w:trPr>
        <w:tc>
          <w:tcPr>
            <w:tcW w:w="65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Toshiba **</w:t>
            </w:r>
          </w:p>
        </w:tc>
        <w:tc>
          <w:tcPr>
            <w:tcW w:w="1480" w:type="dxa"/>
            <w:vAlign w:val="bottom"/>
            <w:tcBorders>
              <w:bottom w:val="single" w:sz="8" w:color="CCEEFF"/>
            </w:tcBorders>
            <w:shd w:val="clear" w:color="auto" w:fill="CCEEFF"/>
          </w:tcPr>
          <w:p>
            <w:pPr>
              <w:jc w:val="right"/>
              <w:ind w:right="134"/>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10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14 %</w:t>
            </w:r>
          </w:p>
        </w:tc>
      </w:tr>
      <w:tr>
        <w:trPr>
          <w:trHeight w:val="243"/>
        </w:trPr>
        <w:tc>
          <w:tcPr>
            <w:tcW w:w="6540" w:type="dxa"/>
            <w:vAlign w:val="bottom"/>
          </w:tcPr>
          <w:p>
            <w:pPr>
              <w:ind w:left="340"/>
              <w:spacing w:after="0"/>
              <w:rPr>
                <w:sz w:val="20"/>
                <w:szCs w:val="20"/>
                <w:color w:val="auto"/>
              </w:rPr>
            </w:pPr>
            <w:r>
              <w:rPr>
                <w:rFonts w:ascii="Arial" w:cs="Arial" w:eastAsia="Arial" w:hAnsi="Arial"/>
                <w:sz w:val="18"/>
                <w:szCs w:val="18"/>
                <w:color w:val="auto"/>
              </w:rPr>
              <w:t>Seagate</w:t>
            </w:r>
          </w:p>
        </w:tc>
        <w:tc>
          <w:tcPr>
            <w:tcW w:w="1480" w:type="dxa"/>
            <w:vAlign w:val="bottom"/>
          </w:tcPr>
          <w:p>
            <w:pPr>
              <w:jc w:val="right"/>
              <w:ind w:right="134"/>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480" w:type="dxa"/>
            <w:vAlign w:val="bottom"/>
            <w:gridSpan w:val="2"/>
          </w:tcPr>
          <w:p>
            <w:pPr>
              <w:jc w:val="right"/>
              <w:spacing w:after="0"/>
              <w:rPr>
                <w:sz w:val="20"/>
                <w:szCs w:val="20"/>
                <w:color w:val="auto"/>
              </w:rPr>
            </w:pPr>
            <w:r>
              <w:rPr>
                <w:rFonts w:ascii="Arial" w:cs="Arial" w:eastAsia="Arial" w:hAnsi="Arial"/>
                <w:sz w:val="18"/>
                <w:szCs w:val="18"/>
                <w:color w:val="auto"/>
              </w:rPr>
              <w:t>10 %</w:t>
            </w:r>
          </w:p>
        </w:tc>
        <w:tc>
          <w:tcPr>
            <w:tcW w:w="100" w:type="dxa"/>
            <w:vAlign w:val="bottom"/>
          </w:tcPr>
          <w:p>
            <w:pPr>
              <w:spacing w:after="0"/>
              <w:rPr>
                <w:sz w:val="21"/>
                <w:szCs w:val="21"/>
                <w:color w:val="auto"/>
              </w:rPr>
            </w:pPr>
          </w:p>
        </w:tc>
        <w:tc>
          <w:tcPr>
            <w:tcW w:w="1500" w:type="dxa"/>
            <w:vAlign w:val="bottom"/>
          </w:tcPr>
          <w:p>
            <w:pPr>
              <w:jc w:val="right"/>
              <w:spacing w:after="0"/>
              <w:rPr>
                <w:sz w:val="20"/>
                <w:szCs w:val="20"/>
                <w:color w:val="auto"/>
              </w:rPr>
            </w:pPr>
            <w:r>
              <w:rPr>
                <w:rFonts w:ascii="Arial" w:cs="Arial" w:eastAsia="Arial" w:hAnsi="Arial"/>
                <w:sz w:val="18"/>
                <w:szCs w:val="18"/>
                <w:color w:val="auto"/>
              </w:rPr>
              <w:t>11 %</w:t>
            </w:r>
          </w:p>
        </w:tc>
      </w:tr>
      <w:tr>
        <w:trPr>
          <w:trHeight w:val="27"/>
        </w:trPr>
        <w:tc>
          <w:tcPr>
            <w:tcW w:w="6540" w:type="dxa"/>
            <w:vAlign w:val="bottom"/>
          </w:tcPr>
          <w:p>
            <w:pPr>
              <w:spacing w:after="0"/>
              <w:rPr>
                <w:sz w:val="2"/>
                <w:szCs w:val="2"/>
                <w:color w:val="auto"/>
              </w:rPr>
            </w:pPr>
          </w:p>
        </w:tc>
        <w:tc>
          <w:tcPr>
            <w:tcW w:w="14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0"/>
        </w:trPr>
        <w:tc>
          <w:tcPr>
            <w:tcW w:w="65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Distributor:</w:t>
            </w:r>
          </w:p>
        </w:tc>
        <w:tc>
          <w:tcPr>
            <w:tcW w:w="14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spacing w:after="0"/>
              <w:rPr>
                <w:sz w:val="21"/>
                <w:szCs w:val="21"/>
                <w:color w:val="auto"/>
              </w:rPr>
            </w:pPr>
          </w:p>
        </w:tc>
      </w:tr>
      <w:tr>
        <w:trPr>
          <w:trHeight w:val="243"/>
        </w:trPr>
        <w:tc>
          <w:tcPr>
            <w:tcW w:w="6540" w:type="dxa"/>
            <w:vAlign w:val="bottom"/>
          </w:tcPr>
          <w:p>
            <w:pPr>
              <w:ind w:left="340"/>
              <w:spacing w:after="0"/>
              <w:rPr>
                <w:sz w:val="20"/>
                <w:szCs w:val="20"/>
                <w:color w:val="auto"/>
              </w:rPr>
            </w:pPr>
            <w:r>
              <w:rPr>
                <w:rFonts w:ascii="Arial" w:cs="Arial" w:eastAsia="Arial" w:hAnsi="Arial"/>
                <w:sz w:val="18"/>
                <w:szCs w:val="18"/>
                <w:color w:val="auto"/>
              </w:rPr>
              <w:t>Wintech</w:t>
            </w:r>
          </w:p>
        </w:tc>
        <w:tc>
          <w:tcPr>
            <w:tcW w:w="1480" w:type="dxa"/>
            <w:vAlign w:val="bottom"/>
          </w:tcPr>
          <w:p>
            <w:pPr>
              <w:jc w:val="right"/>
              <w:spacing w:after="0"/>
              <w:rPr>
                <w:sz w:val="20"/>
                <w:szCs w:val="20"/>
                <w:color w:val="auto"/>
              </w:rPr>
            </w:pPr>
            <w:r>
              <w:rPr>
                <w:rFonts w:ascii="Arial" w:cs="Arial" w:eastAsia="Arial" w:hAnsi="Arial"/>
                <w:sz w:val="18"/>
                <w:szCs w:val="18"/>
                <w:color w:val="auto"/>
              </w:rPr>
              <w:t>12 %</w:t>
            </w:r>
          </w:p>
        </w:tc>
        <w:tc>
          <w:tcPr>
            <w:tcW w:w="1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00" w:type="dxa"/>
            <w:vAlign w:val="bottom"/>
          </w:tcPr>
          <w:p>
            <w:pPr>
              <w:jc w:val="right"/>
              <w:spacing w:after="0"/>
              <w:rPr>
                <w:sz w:val="20"/>
                <w:szCs w:val="20"/>
                <w:color w:val="auto"/>
              </w:rPr>
            </w:pPr>
            <w:r>
              <w:rPr>
                <w:rFonts w:ascii="Arial" w:cs="Arial" w:eastAsia="Arial" w:hAnsi="Arial"/>
                <w:sz w:val="18"/>
                <w:szCs w:val="18"/>
                <w:color w:val="auto"/>
              </w:rPr>
              <w:t>10 %</w:t>
            </w:r>
          </w:p>
        </w:tc>
      </w:tr>
      <w:tr>
        <w:trPr>
          <w:trHeight w:val="27"/>
        </w:trPr>
        <w:tc>
          <w:tcPr>
            <w:tcW w:w="6540" w:type="dxa"/>
            <w:vAlign w:val="bottom"/>
          </w:tcPr>
          <w:p>
            <w:pPr>
              <w:spacing w:after="0"/>
              <w:rPr>
                <w:sz w:val="2"/>
                <w:szCs w:val="2"/>
                <w:color w:val="auto"/>
              </w:rPr>
            </w:pPr>
          </w:p>
        </w:tc>
        <w:tc>
          <w:tcPr>
            <w:tcW w:w="14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6"/>
        </w:trPr>
        <w:tc>
          <w:tcPr>
            <w:tcW w:w="6540" w:type="dxa"/>
            <w:vAlign w:val="bottom"/>
            <w:shd w:val="clear" w:color="auto" w:fill="CCEEFF"/>
          </w:tcPr>
          <w:p>
            <w:pPr>
              <w:spacing w:after="0"/>
              <w:rPr>
                <w:sz w:val="22"/>
                <w:szCs w:val="22"/>
                <w:color w:val="auto"/>
              </w:rPr>
            </w:pPr>
          </w:p>
        </w:tc>
        <w:tc>
          <w:tcPr>
            <w:tcW w:w="148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128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500" w:type="dxa"/>
            <w:vAlign w:val="bottom"/>
            <w:shd w:val="clear" w:color="auto" w:fill="CCEEFF"/>
          </w:tcPr>
          <w:p>
            <w:pPr>
              <w:spacing w:after="0"/>
              <w:rPr>
                <w:sz w:val="22"/>
                <w:szCs w:val="22"/>
                <w:color w:val="auto"/>
              </w:rPr>
            </w:pPr>
          </w:p>
        </w:tc>
      </w:tr>
    </w:tbl>
    <w:p>
      <w:pPr>
        <w:spacing w:after="0" w:line="1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 Less than 10% of net revenue</w:t>
      </w:r>
    </w:p>
    <w:p>
      <w:pPr>
        <w:spacing w:after="0" w:line="23" w:lineRule="exact"/>
        <w:rPr>
          <w:sz w:val="20"/>
          <w:szCs w:val="20"/>
          <w:color w:val="auto"/>
        </w:rPr>
      </w:pPr>
    </w:p>
    <w:p>
      <w:pPr>
        <w:ind w:left="340" w:right="620" w:hanging="8"/>
        <w:spacing w:after="0" w:line="260" w:lineRule="auto"/>
        <w:tabs>
          <w:tab w:leader="none" w:pos="565"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percentage of net revenue reported for Toshiba for fiscal year 2019 excludes net revenue of Toshiba Memory Corporation after Toshiba divested Toshiba Memory Corporation during fiscal year 2019.</w:t>
      </w:r>
    </w:p>
    <w:p>
      <w:pPr>
        <w:spacing w:after="0" w:line="10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Seasonality</w:t>
      </w:r>
    </w:p>
    <w:p>
      <w:pPr>
        <w:spacing w:after="0" w:line="121" w:lineRule="exact"/>
        <w:rPr>
          <w:sz w:val="20"/>
          <w:szCs w:val="20"/>
          <w:color w:val="auto"/>
        </w:rPr>
      </w:pPr>
    </w:p>
    <w:p>
      <w:pPr>
        <w:ind w:firstLine="405"/>
        <w:spacing w:after="0" w:line="279" w:lineRule="auto"/>
        <w:rPr>
          <w:sz w:val="20"/>
          <w:szCs w:val="20"/>
          <w:color w:val="auto"/>
        </w:rPr>
      </w:pPr>
      <w:r>
        <w:rPr>
          <w:rFonts w:ascii="Arial" w:cs="Arial" w:eastAsia="Arial" w:hAnsi="Arial"/>
          <w:sz w:val="17"/>
          <w:szCs w:val="17"/>
          <w:color w:val="auto"/>
        </w:rPr>
        <w:t>Some of our products are being incorporated into consumer electronics products, including gaming devices and personal computers, which are subject to significant seasonality and fluctuations in demand. Seasonality, including holiday buying trends, may at times negatively impact our results in the first and fourth quarter, and positively impact our results in the second and third quarter of our fiscal years. In addition, the timing of new product introductions by our customers may cause variations in our quarterly revenues, which may not be indicative of future trends.</w:t>
      </w:r>
    </w:p>
    <w:p>
      <w:pPr>
        <w:spacing w:after="0" w:line="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Inventory and Working Capital</w:t>
      </w:r>
    </w:p>
    <w:p>
      <w:pPr>
        <w:spacing w:after="0" w:line="121" w:lineRule="exact"/>
        <w:rPr>
          <w:sz w:val="20"/>
          <w:szCs w:val="20"/>
          <w:color w:val="auto"/>
        </w:rPr>
      </w:pPr>
    </w:p>
    <w:p>
      <w:pPr>
        <w:ind w:right="120" w:firstLine="405"/>
        <w:spacing w:after="0" w:line="263" w:lineRule="auto"/>
        <w:rPr>
          <w:sz w:val="20"/>
          <w:szCs w:val="20"/>
          <w:color w:val="auto"/>
        </w:rPr>
      </w:pPr>
      <w:r>
        <w:rPr>
          <w:rFonts w:ascii="Arial" w:cs="Arial" w:eastAsia="Arial" w:hAnsi="Arial"/>
          <w:sz w:val="18"/>
          <w:szCs w:val="18"/>
          <w:color w:val="auto"/>
        </w:rPr>
        <w:t>We place firm orders with our suppliers generally up to 16 weeks prior to the anticipated delivery date and typically prior to an order for the product. These lead times typically change based on the current capacity at the foundries. We often maintain substantial inventories of our products because the semiconductor industry is characterized by short lead time orders and quick delivery schedules.</w:t>
      </w:r>
    </w:p>
    <w:p>
      <w:pPr>
        <w:spacing w:after="0" w:line="2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111" w:right="33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t>Backlog</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We do not believe that backlog is a meaningful or reliable indicator for future demand, due to the following:</w:t>
      </w:r>
    </w:p>
    <w:p>
      <w:pPr>
        <w:spacing w:after="0" w:line="117" w:lineRule="exact"/>
        <w:rPr>
          <w:sz w:val="20"/>
          <w:szCs w:val="20"/>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an industry practice that allows customers to cancel or change orders prior to the scheduled shipment dates;</w:t>
      </w:r>
    </w:p>
    <w:p>
      <w:pPr>
        <w:spacing w:after="0" w:line="23" w:lineRule="exact"/>
        <w:rPr>
          <w:rFonts w:ascii="Arial" w:cs="Arial" w:eastAsia="Arial" w:hAnsi="Arial"/>
          <w:sz w:val="18"/>
          <w:szCs w:val="18"/>
          <w:color w:val="auto"/>
        </w:rPr>
      </w:pPr>
    </w:p>
    <w:p>
      <w:pPr>
        <w:ind w:left="660" w:right="300" w:hanging="328"/>
        <w:spacing w:after="0" w:line="260" w:lineRule="auto"/>
        <w:tabs>
          <w:tab w:leader="none" w:pos="655" w:val="left"/>
        </w:tabs>
        <w:numPr>
          <w:ilvl w:val="0"/>
          <w:numId w:val="5"/>
        </w:numPr>
        <w:rPr>
          <w:rFonts w:ascii="Arial" w:cs="Arial" w:eastAsia="Arial" w:hAnsi="Arial"/>
          <w:sz w:val="18"/>
          <w:szCs w:val="18"/>
          <w:color w:val="auto"/>
        </w:rPr>
      </w:pPr>
      <w:r>
        <w:rPr>
          <w:rFonts w:ascii="Arial" w:cs="Arial" w:eastAsia="Arial" w:hAnsi="Arial"/>
          <w:sz w:val="18"/>
          <w:szCs w:val="18"/>
          <w:color w:val="auto"/>
        </w:rPr>
        <w:t>a portion of our revenue comes from products shipped to customers using third-party logistics providers, or “hubs” wherein the product can be pulled at any time by the customer and is therefore never reflected in backlog</w:t>
      </w:r>
    </w:p>
    <w:p>
      <w:pPr>
        <w:spacing w:after="0" w:line="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121"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with the smallest die size and lowest power. We devote a significant portion of our resources to expanding our product portfolio based on a broad intellectual property portfolio with designs that enable high-performance, reliable communications over a variety of physical transmission media. We are also focused on incorporating functions currently provided by stand-alone integrated circuits into our integrated platform solutions to reduce our customers’ overall system costs.</w:t>
      </w:r>
    </w:p>
    <w:p>
      <w:pPr>
        <w:spacing w:after="0" w:line="70" w:lineRule="exact"/>
        <w:rPr>
          <w:sz w:val="20"/>
          <w:szCs w:val="20"/>
          <w:color w:val="auto"/>
        </w:rPr>
      </w:pPr>
    </w:p>
    <w:p>
      <w:pPr>
        <w:ind w:right="100" w:firstLine="405"/>
        <w:spacing w:after="0" w:line="301" w:lineRule="auto"/>
        <w:rPr>
          <w:sz w:val="20"/>
          <w:szCs w:val="20"/>
          <w:color w:val="auto"/>
        </w:rPr>
      </w:pPr>
      <w:r>
        <w:rPr>
          <w:rFonts w:ascii="Arial" w:cs="Arial" w:eastAsia="Arial" w:hAnsi="Arial"/>
          <w:sz w:val="16"/>
          <w:szCs w:val="16"/>
          <w:color w:val="auto"/>
        </w:rPr>
        <w:t>We have assembled a core team of engineers who have experience in the areas of mixed-signal circuit design, digital signal processing, embedded microprocessors, complementary metal oxide semiconductor (“CMOS”) technology and system-level architectures. We have invested and will continue to invest a significant amount in research and development. See our discussion of research and development expenses in Item 7, Management’s Discussion and Analysis of Financial Condition and Results of Operations, of this Annual Report on Form 10-K for further information.</w:t>
      </w:r>
    </w:p>
    <w:p>
      <w:pPr>
        <w:spacing w:after="0" w:line="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117" w:lineRule="exact"/>
        <w:rPr>
          <w:sz w:val="20"/>
          <w:szCs w:val="20"/>
          <w:color w:val="auto"/>
        </w:rPr>
      </w:pPr>
    </w:p>
    <w:p>
      <w:pPr>
        <w:ind w:right="40" w:firstLine="405"/>
        <w:spacing w:after="0" w:line="291" w:lineRule="auto"/>
        <w:rPr>
          <w:sz w:val="20"/>
          <w:szCs w:val="20"/>
          <w:color w:val="auto"/>
        </w:rPr>
      </w:pPr>
      <w:r>
        <w:rPr>
          <w:rFonts w:ascii="Arial" w:cs="Arial" w:eastAsia="Arial" w:hAnsi="Arial"/>
          <w:sz w:val="16"/>
          <w:szCs w:val="16"/>
          <w:color w:val="auto"/>
        </w:rPr>
        <w:t>The vast majority of our integrated circuits are fabricated using widely available CMOS processes, which provide greater flexibility to engage independent foundries to manufacture integrated circuits at lower costs. By outsourcing manufacturing, we are able to avoid the cost associated with owning and operating our own manufacturing facility. This allows us to focus our efforts on the design and marketing of our products. We work closely with our foundry partners to forecast on a monthly basis our manufacturing capacity requirements. We closely monitor foundry production to ensure consistent overall quality, reliability and yield levels. Our integrated circuits are currently fabricated in several advanced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5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117" w:lineRule="exact"/>
        <w:rPr>
          <w:sz w:val="20"/>
          <w:szCs w:val="20"/>
          <w:color w:val="auto"/>
        </w:rPr>
      </w:pPr>
    </w:p>
    <w:p>
      <w:pPr>
        <w:ind w:right="340" w:firstLine="405"/>
        <w:spacing w:after="0" w:line="277" w:lineRule="auto"/>
        <w:rPr>
          <w:sz w:val="20"/>
          <w:szCs w:val="20"/>
          <w:color w:val="auto"/>
        </w:rPr>
      </w:pPr>
      <w:r>
        <w:rPr>
          <w:rFonts w:ascii="Arial" w:cs="Arial" w:eastAsia="Arial" w:hAnsi="Arial"/>
          <w:sz w:val="18"/>
          <w:szCs w:val="18"/>
          <w:color w:val="auto"/>
        </w:rPr>
        <w:t>We outsource all product packaging and testing requirements for our products in production to several assembly and test subcontractors primarily located in China, Korea, Singapore, Canada and Taiwan.</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Environmental Management</w:t>
      </w:r>
    </w:p>
    <w:p>
      <w:pPr>
        <w:spacing w:after="0" w:line="117" w:lineRule="exact"/>
        <w:rPr>
          <w:sz w:val="20"/>
          <w:szCs w:val="20"/>
          <w:color w:val="auto"/>
        </w:rPr>
      </w:pPr>
    </w:p>
    <w:p>
      <w:pPr>
        <w:ind w:right="20" w:firstLine="405"/>
        <w:spacing w:after="0" w:line="301" w:lineRule="auto"/>
        <w:rPr>
          <w:sz w:val="20"/>
          <w:szCs w:val="20"/>
          <w:color w:val="auto"/>
        </w:rPr>
      </w:pPr>
      <w:r>
        <w:rPr>
          <w:rFonts w:ascii="Arial" w:cs="Arial" w:eastAsia="Arial" w:hAnsi="Arial"/>
          <w:sz w:val="16"/>
          <w:szCs w:val="16"/>
          <w:color w:val="auto"/>
        </w:rPr>
        <w:t>We believe that our products comply with the current Restriction of Hazardous Substances Directive, the European legislation that restricts the use of a number of substances, including lead, and the Regulation, Evaluation and Authorization of Chemicals SVHC Substances Directive. In addition, each of our manufacturing subcontractors certifies to us compliance with ISO 14001:2004, the international standard related to environmental management. We are also working to establish a “conflict-free” supply chain, including ethical sourcing of certain minerals for our products.</w:t>
      </w:r>
    </w:p>
    <w:p>
      <w:pPr>
        <w:spacing w:after="0" w:line="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Intellectual Property</w:t>
      </w:r>
    </w:p>
    <w:p>
      <w:pPr>
        <w:spacing w:after="0" w:line="121" w:lineRule="exact"/>
        <w:rPr>
          <w:sz w:val="20"/>
          <w:szCs w:val="20"/>
          <w:color w:val="auto"/>
        </w:rPr>
      </w:pPr>
    </w:p>
    <w:p>
      <w:pPr>
        <w:ind w:right="120" w:firstLine="405"/>
        <w:spacing w:after="0" w:line="254" w:lineRule="auto"/>
        <w:rPr>
          <w:sz w:val="20"/>
          <w:szCs w:val="20"/>
          <w:color w:val="auto"/>
        </w:rPr>
      </w:pPr>
      <w:r>
        <w:rPr>
          <w:rFonts w:ascii="Arial" w:cs="Arial" w:eastAsia="Arial" w:hAnsi="Arial"/>
          <w:sz w:val="18"/>
          <w:szCs w:val="18"/>
          <w:color w:val="auto"/>
        </w:rPr>
        <w:t>Our future revenue growth and overall success depend in large part on our ability to protect our intellectual property. We rely on a combination of patents, copyrights, trademarks, trade secrets, contractual provisions, confidentiality agreements and licenses to protect our intellectual property. As of February 1, 2020, we have approximately 11,400 U.S. and foreign patents issued and approximately 1200 U.S. and foreign patent applications pending on various aspects of our technology. While we believe the duration of our patents generally covers the expected lives of our products, our patents may not collectively or individually cover every feature on innovation in our product. In addition, our efforts may not be sufficient to protect our intellectual property from misappropriation or infringement. See “Risk Factors” under Item 1A of this Annual Report on Form 10-K for a discussion of the risks associated with our intellectual property.</w:t>
      </w:r>
    </w:p>
    <w:p>
      <w:pPr>
        <w:spacing w:after="0" w:line="2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107" w:right="359" w:bottom="1440" w:gutter="0" w:footer="0" w:header="0"/>
        </w:sectPr>
      </w:pPr>
    </w:p>
    <w:bookmarkStart w:id="9" w:name="page10"/>
    <w:bookmarkEnd w:id="9"/>
    <w:p>
      <w:pPr>
        <w:ind w:right="200" w:firstLine="405"/>
        <w:spacing w:after="0" w:line="259"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79" w:lineRule="exact"/>
        <w:rPr>
          <w:sz w:val="20"/>
          <w:szCs w:val="20"/>
          <w:color w:val="auto"/>
        </w:rPr>
      </w:pPr>
    </w:p>
    <w:p>
      <w:pPr>
        <w:jc w:val="both"/>
        <w:ind w:right="200" w:firstLine="405"/>
        <w:spacing w:after="0" w:line="263" w:lineRule="auto"/>
        <w:rPr>
          <w:sz w:val="20"/>
          <w:szCs w:val="20"/>
          <w:color w:val="auto"/>
        </w:rPr>
      </w:pPr>
      <w:r>
        <w:rPr>
          <w:rFonts w:ascii="Arial" w:cs="Arial" w:eastAsia="Arial" w:hAnsi="Arial"/>
          <w:sz w:val="18"/>
          <w:szCs w:val="18"/>
          <w:color w:val="auto"/>
        </w:rPr>
        <w:t>From time to time, we may desire or be required to renew or to obtain licenses from third parties in order to further develop and effectively market commercially viable products or in connection with a pending or future claim or action asserted against us. We cannot be sure that any necessary licenses will be available or will be available on commercially reasonable terms.</w:t>
      </w:r>
    </w:p>
    <w:p>
      <w:pPr>
        <w:spacing w:after="0" w:line="76" w:lineRule="exact"/>
        <w:rPr>
          <w:sz w:val="20"/>
          <w:szCs w:val="20"/>
          <w:color w:val="auto"/>
        </w:rPr>
      </w:pPr>
    </w:p>
    <w:p>
      <w:pPr>
        <w:ind w:right="80" w:firstLine="405"/>
        <w:spacing w:after="0" w:line="263" w:lineRule="auto"/>
        <w:rPr>
          <w:sz w:val="20"/>
          <w:szCs w:val="20"/>
          <w:color w:val="auto"/>
        </w:rPr>
      </w:pPr>
      <w:r>
        <w:rPr>
          <w:rFonts w:ascii="Arial" w:cs="Arial" w:eastAsia="Arial" w:hAnsi="Arial"/>
          <w:sz w:val="18"/>
          <w:szCs w:val="18"/>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w:t>
      </w:r>
    </w:p>
    <w:p>
      <w:pPr>
        <w:spacing w:after="0" w:line="76" w:lineRule="exact"/>
        <w:rPr>
          <w:sz w:val="20"/>
          <w:szCs w:val="20"/>
          <w:color w:val="auto"/>
        </w:rPr>
      </w:pPr>
    </w:p>
    <w:p>
      <w:pPr>
        <w:ind w:firstLine="405"/>
        <w:spacing w:after="0" w:line="275" w:lineRule="auto"/>
        <w:rPr>
          <w:sz w:val="20"/>
          <w:szCs w:val="20"/>
          <w:color w:val="auto"/>
        </w:rPr>
      </w:pPr>
      <w:r>
        <w:rPr>
          <w:rFonts w:ascii="Arial" w:cs="Arial" w:eastAsia="Arial" w:hAnsi="Arial"/>
          <w:sz w:val="17"/>
          <w:szCs w:val="17"/>
          <w:color w:val="auto"/>
        </w:rPr>
        <w:t>In addition, we have in the past and may in the future be sued by other parties who claim that we have infringed their patents or misappropriated or misused other intellectual property rights, or who may seek to invalidate one or more of our patents, trademarks, or other rights. Although we defend these claims vigorously, it is possible that we will not prevail in pending or future lawsuits. See “Risk Factors” under Item 1A of this Annual Report on Form 10-K and “Note 13 - Commitments and Contingencies” in our Notes to the Consolidated Financial Statements set forth in Part II, Item 8, of this Annual Report on Form 10-K for further discussion of the risks associated with patent litigation matters.</w:t>
      </w:r>
    </w:p>
    <w:p>
      <w:pPr>
        <w:spacing w:after="0" w:line="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121" w:lineRule="exact"/>
        <w:rPr>
          <w:sz w:val="20"/>
          <w:szCs w:val="20"/>
          <w:color w:val="auto"/>
        </w:rPr>
      </w:pPr>
    </w:p>
    <w:p>
      <w:pPr>
        <w:ind w:right="280" w:firstLine="405"/>
        <w:spacing w:after="0" w:line="273" w:lineRule="auto"/>
        <w:rPr>
          <w:sz w:val="20"/>
          <w:szCs w:val="20"/>
          <w:color w:val="auto"/>
        </w:rPr>
      </w:pPr>
      <w:r>
        <w:rPr>
          <w:rFonts w:ascii="Arial" w:cs="Arial" w:eastAsia="Arial" w:hAnsi="Arial"/>
          <w:sz w:val="17"/>
          <w:szCs w:val="17"/>
          <w:color w:val="auto"/>
        </w:rPr>
        <w:t>The markets for our products are intensely competitive, and are characterized by rapid technological change, evolving industry standards, frequent new product introductions and pricing pressures. Competition has intensified as a result of the increasing demand for higher levels of performance, integration and smaller process geometries. We expect competition to further intensify as current competitors strengthen the depth and breadth of their product offerings, either through in-house development or by acquiring existing technology. In addition, some of our customers have chosen to develop certain semiconductor products internally and this trend may continue to proliferate. We believe that our ability to compete successfully in the rapidly evolving markets for our products depends on multiple factors, including, but not limited to:</w:t>
      </w:r>
    </w:p>
    <w:p>
      <w:pPr>
        <w:spacing w:after="0" w:line="70" w:lineRule="exact"/>
        <w:rPr>
          <w:sz w:val="20"/>
          <w:szCs w:val="20"/>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performance, features, quality and price of our products;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timing and success of new product introductions by us, our customers and our competitors;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emergence, rate of adoption and acceptance of new industry standards;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obtain adequate foundry capacity with the appropriate technological capability;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number and nature of our competitors in a given market.</w:t>
      </w:r>
    </w:p>
    <w:p>
      <w:pPr>
        <w:spacing w:after="0" w:line="103" w:lineRule="exact"/>
        <w:rPr>
          <w:sz w:val="20"/>
          <w:szCs w:val="20"/>
          <w:color w:val="auto"/>
        </w:rPr>
      </w:pPr>
    </w:p>
    <w:p>
      <w:pPr>
        <w:ind w:right="200" w:firstLine="405"/>
        <w:spacing w:after="0" w:line="296" w:lineRule="auto"/>
        <w:rPr>
          <w:sz w:val="20"/>
          <w:szCs w:val="20"/>
          <w:color w:val="auto"/>
        </w:rPr>
      </w:pPr>
      <w:r>
        <w:rPr>
          <w:rFonts w:ascii="Arial" w:cs="Arial" w:eastAsia="Arial" w:hAnsi="Arial"/>
          <w:sz w:val="16"/>
          <w:szCs w:val="16"/>
          <w:color w:val="auto"/>
        </w:rPr>
        <w:t>Our major competitors for our products include Advanced Micro Devices Inc., Broadcom Limited, Cypress Semiconductor Corporation, Inphi Corporation, Intel Corporation, MediaTek Inc., Mellanox Technologies Limited, Microchip Technology Inc., NXP Semiconductors N.V., Phison Electronics Corporation and Silicon Motion Technology Corporation. We expect increased competition in the future from both emerging and established companies, as well as from alliances among competitors, customers or other third parties, any of which could acquire significant market share. See “Risk Factors” under Item 1A of this Annual Report on Form 10-K for a discussion of competitive risks associated with our business.</w:t>
      </w:r>
    </w:p>
    <w:p>
      <w:pPr>
        <w:spacing w:after="0" w:line="53" w:lineRule="exact"/>
        <w:rPr>
          <w:sz w:val="20"/>
          <w:szCs w:val="20"/>
          <w:color w:val="auto"/>
        </w:rPr>
      </w:pPr>
    </w:p>
    <w:p>
      <w:pPr>
        <w:ind w:right="20" w:firstLine="405"/>
        <w:spacing w:after="0" w:line="275" w:lineRule="auto"/>
        <w:rPr>
          <w:sz w:val="20"/>
          <w:szCs w:val="20"/>
          <w:color w:val="auto"/>
        </w:rPr>
      </w:pPr>
      <w:r>
        <w:rPr>
          <w:rFonts w:ascii="Arial" w:cs="Arial" w:eastAsia="Arial" w:hAnsi="Arial"/>
          <w:sz w:val="17"/>
          <w:szCs w:val="17"/>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selling prices of our products, we will need to continue to introduce innovative new products and reduce the cost of our products. To accomplish this, we intend to continue to implement design changes that lower the cost of manufacturing, assembly and testing of our products. See “Risk Factors” under Item 1A of this Annual Report on Form 10-K for a discussion of pricing risks.</w:t>
      </w:r>
    </w:p>
    <w:p>
      <w:pPr>
        <w:spacing w:after="0" w:line="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February 1, 2020, we had a total of 5,633 employees.</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111" w:right="339" w:bottom="1440" w:gutter="0" w:footer="0" w:header="0"/>
        </w:sectPr>
      </w:pPr>
    </w:p>
    <w:bookmarkStart w:id="10" w:name="page11"/>
    <w:bookmarkEnd w:id="10"/>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121"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infrastructure,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200" w:lineRule="exact"/>
        <w:rPr>
          <w:sz w:val="20"/>
          <w:szCs w:val="20"/>
          <w:color w:val="auto"/>
        </w:rPr>
      </w:pP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SUMMARY OF FACTORS THAT MAY AFFECT OUR FUTURE RESULTS</w:t>
      </w:r>
    </w:p>
    <w:p>
      <w:pPr>
        <w:spacing w:after="0" w:line="356"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Our financial condition and results of operations may vary from quarter to quarter, which may cause the price of our common shares to decline.</w:t>
      </w:r>
    </w:p>
    <w:p>
      <w:pPr>
        <w:spacing w:after="0" w:line="279" w:lineRule="exact"/>
        <w:rPr>
          <w:sz w:val="20"/>
          <w:szCs w:val="20"/>
          <w:color w:val="auto"/>
        </w:rPr>
      </w:pPr>
    </w:p>
    <w:p>
      <w:pPr>
        <w:ind w:right="140" w:firstLine="648"/>
        <w:spacing w:after="0" w:line="311" w:lineRule="auto"/>
        <w:rPr>
          <w:sz w:val="20"/>
          <w:szCs w:val="20"/>
          <w:color w:val="auto"/>
        </w:rPr>
      </w:pPr>
      <w:r>
        <w:rPr>
          <w:rFonts w:ascii="Arial" w:cs="Arial" w:eastAsia="Arial" w:hAnsi="Arial"/>
          <w:sz w:val="16"/>
          <w:szCs w:val="16"/>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 Fluctuations in our results of operations may be due to a number of factors, including, but not limited to, those listed below and those identified throughout this “Risk Factors” section:</w:t>
      </w:r>
    </w:p>
    <w:p>
      <w:pPr>
        <w:spacing w:after="0" w:line="41" w:lineRule="exact"/>
        <w:rPr>
          <w:sz w:val="20"/>
          <w:szCs w:val="20"/>
          <w:color w:val="auto"/>
        </w:rPr>
      </w:pPr>
    </w:p>
    <w:p>
      <w:pPr>
        <w:ind w:left="660" w:right="120" w:hanging="328"/>
        <w:spacing w:after="0" w:line="258" w:lineRule="auto"/>
        <w:tabs>
          <w:tab w:leader="none" w:pos="655"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impact of the Novel Coronavirus (COVID-19), or other future pandemics, on the global economy and on our customers, suppliers, employees and business;</w:t>
      </w:r>
    </w:p>
    <w:p>
      <w:pPr>
        <w:spacing w:after="0" w:line="1"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7"/>
          <w:szCs w:val="17"/>
          <w:color w:val="auto"/>
        </w:rPr>
      </w:pPr>
      <w:r>
        <w:rPr>
          <w:rFonts w:ascii="Arial" w:cs="Arial" w:eastAsia="Arial" w:hAnsi="Arial"/>
          <w:sz w:val="17"/>
          <w:szCs w:val="17"/>
          <w:color w:val="auto"/>
        </w:rPr>
        <w:t>our ability to realize anticipated synergies in connection with our acquisitions and our loss of synergies in connection with our divestitures;</w:t>
      </w:r>
    </w:p>
    <w:p>
      <w:pPr>
        <w:spacing w:after="0" w:line="20" w:lineRule="exact"/>
        <w:rPr>
          <w:rFonts w:ascii="Arial" w:cs="Arial" w:eastAsia="Arial" w:hAnsi="Arial"/>
          <w:sz w:val="17"/>
          <w:szCs w:val="17"/>
          <w:color w:val="auto"/>
        </w:rPr>
      </w:pPr>
    </w:p>
    <w:p>
      <w:pPr>
        <w:ind w:left="660" w:right="280" w:hanging="328"/>
        <w:spacing w:after="0" w:line="250" w:lineRule="auto"/>
        <w:tabs>
          <w:tab w:leader="none" w:pos="655" w:val="left"/>
        </w:tabs>
        <w:numPr>
          <w:ilvl w:val="0"/>
          <w:numId w:val="7"/>
        </w:numPr>
        <w:rPr>
          <w:rFonts w:ascii="Arial" w:cs="Arial" w:eastAsia="Arial" w:hAnsi="Arial"/>
          <w:sz w:val="18"/>
          <w:szCs w:val="18"/>
          <w:color w:val="auto"/>
        </w:rPr>
      </w:pPr>
      <w:r>
        <w:rPr>
          <w:rFonts w:ascii="Arial" w:cs="Arial" w:eastAsia="Arial" w:hAnsi="Arial"/>
          <w:sz w:val="18"/>
          <w:szCs w:val="18"/>
          <w:color w:val="auto"/>
        </w:rPr>
        <w:t>changes in general economic conditions, such as the impact of Brexit on the economy in the E.U., political conditions, such as the recent tariffs and trade bans, and specific conditions in the end markets we address, including the continuing volatility in the technology sector and semiconductor industry;</w:t>
      </w:r>
    </w:p>
    <w:p>
      <w:pPr>
        <w:spacing w:after="0" w:line="1"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effects of any future acquisitions, divestitures or significant investments;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and infrastructure industries;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 w:lineRule="exact"/>
        <w:rPr>
          <w:rFonts w:ascii="Arial" w:cs="Arial" w:eastAsia="Arial" w:hAnsi="Arial"/>
          <w:sz w:val="18"/>
          <w:szCs w:val="18"/>
          <w:color w:val="auto"/>
        </w:rPr>
      </w:pPr>
    </w:p>
    <w:p>
      <w:pPr>
        <w:ind w:left="660" w:right="440" w:hanging="328"/>
        <w:spacing w:after="0" w:line="250" w:lineRule="auto"/>
        <w:tabs>
          <w:tab w:leader="none" w:pos="655"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ind w:left="660" w:right="160" w:hanging="328"/>
        <w:spacing w:after="0" w:line="250" w:lineRule="auto"/>
        <w:tabs>
          <w:tab w:leader="none" w:pos="655" w:val="left"/>
        </w:tabs>
        <w:numPr>
          <w:ilvl w:val="0"/>
          <w:numId w:val="7"/>
        </w:numPr>
        <w:rPr>
          <w:rFonts w:ascii="Arial" w:cs="Arial" w:eastAsia="Arial" w:hAnsi="Arial"/>
          <w:sz w:val="18"/>
          <w:szCs w:val="18"/>
          <w:color w:val="auto"/>
        </w:rPr>
      </w:pPr>
      <w:r>
        <w:rPr>
          <w:rFonts w:ascii="Arial" w:cs="Arial" w:eastAsia="Arial" w:hAnsi="Arial"/>
          <w:sz w:val="18"/>
          <w:szCs w:val="18"/>
          <w:color w:val="auto"/>
        </w:rPr>
        <w:t>any current and future litigation and regulatory investigations that could result in substantial costs and a diversion of management’s attention and resources that are needed to successfully maintain and grow our business;</w:t>
      </w:r>
    </w:p>
    <w:p>
      <w:pPr>
        <w:ind w:left="660" w:hanging="328"/>
        <w:spacing w:after="0"/>
        <w:tabs>
          <w:tab w:leader="none" w:pos="660" w:val="left"/>
        </w:tabs>
        <w:numPr>
          <w:ilvl w:val="0"/>
          <w:numId w:val="7"/>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32" w:lineRule="exact"/>
        <w:rPr>
          <w:rFonts w:ascii="Arial" w:cs="Arial" w:eastAsia="Arial" w:hAnsi="Arial"/>
          <w:sz w:val="16"/>
          <w:szCs w:val="16"/>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seasonality or volatility related to sales into the infrastructure market;</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 w:lineRule="exact"/>
        <w:rPr>
          <w:rFonts w:ascii="Arial" w:cs="Arial" w:eastAsia="Arial" w:hAnsi="Arial"/>
          <w:sz w:val="18"/>
          <w:szCs w:val="18"/>
          <w:color w:val="auto"/>
        </w:rPr>
      </w:pPr>
    </w:p>
    <w:p>
      <w:pPr>
        <w:ind w:left="660" w:right="180" w:hanging="328"/>
        <w:spacing w:after="0" w:line="250" w:lineRule="auto"/>
        <w:tabs>
          <w:tab w:leader="none" w:pos="655"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to protect our intellectual property, particularly outside the U.S.;</w:t>
      </w:r>
    </w:p>
    <w:p>
      <w:pPr>
        <w:spacing w:after="0" w:line="9" w:lineRule="exact"/>
        <w:rPr>
          <w:rFonts w:ascii="Arial" w:cs="Arial" w:eastAsia="Arial" w:hAnsi="Arial"/>
          <w:sz w:val="18"/>
          <w:szCs w:val="18"/>
          <w:color w:val="auto"/>
        </w:rPr>
      </w:pPr>
    </w:p>
    <w:p>
      <w:pPr>
        <w:ind w:left="660" w:right="320" w:hanging="328"/>
        <w:spacing w:after="0" w:line="281" w:lineRule="auto"/>
        <w:tabs>
          <w:tab w:leader="none" w:pos="655" w:val="left"/>
        </w:tabs>
        <w:numPr>
          <w:ilvl w:val="0"/>
          <w:numId w:val="7"/>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fires, floods and tsunamis, particularly in certain regions in which we operate or own buildings, such as Santa Clara, California, and where our third party suppliers operate, such as Taiwan and elsewhere in the Pacific Rim;</w:t>
      </w:r>
    </w:p>
    <w:p>
      <w:pPr>
        <w:spacing w:after="0" w:line="1" w:lineRule="exact"/>
        <w:rPr>
          <w:rFonts w:ascii="Arial" w:cs="Arial" w:eastAsia="Arial" w:hAnsi="Arial"/>
          <w:sz w:val="16"/>
          <w:szCs w:val="16"/>
          <w:color w:val="auto"/>
        </w:rPr>
      </w:pPr>
    </w:p>
    <w:p>
      <w:pPr>
        <w:ind w:left="660" w:hanging="328"/>
        <w:spacing w:after="0"/>
        <w:tabs>
          <w:tab w:leader="none" w:pos="660" w:val="left"/>
        </w:tabs>
        <w:numPr>
          <w:ilvl w:val="0"/>
          <w:numId w:val="7"/>
        </w:numPr>
        <w:rPr>
          <w:rFonts w:ascii="Arial" w:cs="Arial" w:eastAsia="Arial" w:hAnsi="Arial"/>
          <w:sz w:val="17"/>
          <w:szCs w:val="17"/>
          <w:color w:val="auto"/>
        </w:rPr>
      </w:pPr>
      <w:r>
        <w:rPr>
          <w:rFonts w:ascii="Arial" w:cs="Arial" w:eastAsia="Arial" w:hAnsi="Arial"/>
          <w:sz w:val="17"/>
          <w:szCs w:val="17"/>
          <w:color w:val="auto"/>
        </w:rPr>
        <w:t>our ability to attract, retain and motivate a highly skilled workforce, especially managerial, engineering, sales and marketing personnel;</w:t>
      </w:r>
    </w:p>
    <w:p>
      <w:pPr>
        <w:spacing w:after="0" w:line="20" w:lineRule="exact"/>
        <w:rPr>
          <w:rFonts w:ascii="Arial" w:cs="Arial" w:eastAsia="Arial" w:hAnsi="Arial"/>
          <w:sz w:val="17"/>
          <w:szCs w:val="17"/>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severe financial hardship or bankruptcy of one or more of our major customers; and</w:t>
      </w:r>
    </w:p>
    <w:p>
      <w:pPr>
        <w:spacing w:after="0" w:line="9" w:lineRule="exact"/>
        <w:rPr>
          <w:rFonts w:ascii="Arial" w:cs="Arial" w:eastAsia="Arial" w:hAnsi="Arial"/>
          <w:sz w:val="18"/>
          <w:szCs w:val="18"/>
          <w:color w:val="auto"/>
        </w:rPr>
      </w:pPr>
    </w:p>
    <w:p>
      <w:pPr>
        <w:ind w:left="660" w:right="720" w:hanging="328"/>
        <w:spacing w:after="0" w:line="260" w:lineRule="auto"/>
        <w:tabs>
          <w:tab w:leader="none" w:pos="655"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of our customers to agree to pay for NRE (non-recurring engineering) costs or failure to pay enough to cover the costs we incur in connection with NREs.</w:t>
      </w:r>
    </w:p>
    <w:p>
      <w:pPr>
        <w:spacing w:after="0" w:line="3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0" w:right="339" w:bottom="1440" w:gutter="0" w:footer="0" w:header="0"/>
        </w:sectPr>
      </w:pPr>
    </w:p>
    <w:bookmarkStart w:id="11" w:name="page12"/>
    <w:bookmarkEnd w:id="11"/>
    <w:p>
      <w:pPr>
        <w:ind w:right="60" w:firstLine="648"/>
        <w:spacing w:after="0" w:line="255" w:lineRule="auto"/>
        <w:rPr>
          <w:sz w:val="20"/>
          <w:szCs w:val="20"/>
          <w:color w:val="auto"/>
        </w:rPr>
      </w:pPr>
      <w:r>
        <w:rPr>
          <w:rFonts w:ascii="Arial" w:cs="Arial" w:eastAsia="Arial" w:hAnsi="Arial"/>
          <w:sz w:val="18"/>
          <w:szCs w:val="18"/>
          <w:color w:val="auto"/>
        </w:rPr>
        <w:t>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Our stock is traded on the Nasdaq stock exchange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THE NOVEL CORONAVIRUS (COVID-19)</w:t>
      </w:r>
    </w:p>
    <w:p>
      <w:pPr>
        <w:spacing w:after="0" w:line="221" w:lineRule="exact"/>
        <w:rPr>
          <w:sz w:val="20"/>
          <w:szCs w:val="20"/>
          <w:color w:val="auto"/>
        </w:rPr>
      </w:pPr>
    </w:p>
    <w:p>
      <w:pPr>
        <w:ind w:right="700"/>
        <w:spacing w:after="0" w:line="229" w:lineRule="auto"/>
        <w:rPr>
          <w:sz w:val="20"/>
          <w:szCs w:val="20"/>
          <w:color w:val="auto"/>
        </w:rPr>
      </w:pPr>
      <w:r>
        <w:rPr>
          <w:rFonts w:ascii="Arial" w:cs="Arial" w:eastAsia="Arial" w:hAnsi="Arial"/>
          <w:sz w:val="18"/>
          <w:szCs w:val="18"/>
          <w:b w:val="1"/>
          <w:bCs w:val="1"/>
          <w:color w:val="auto"/>
        </w:rPr>
        <w:t>We face risks related to Novel Coronavirus (COVID-19) which could significantly disrupt our manufacturing, research and development, operations, sales and financial results.</w:t>
      </w:r>
    </w:p>
    <w:p>
      <w:pPr>
        <w:spacing w:after="0" w:line="203" w:lineRule="exact"/>
        <w:rPr>
          <w:sz w:val="20"/>
          <w:szCs w:val="20"/>
          <w:color w:val="auto"/>
        </w:rPr>
      </w:pPr>
    </w:p>
    <w:p>
      <w:pPr>
        <w:ind w:firstLine="648"/>
        <w:spacing w:after="0" w:line="267" w:lineRule="auto"/>
        <w:rPr>
          <w:sz w:val="20"/>
          <w:szCs w:val="20"/>
          <w:color w:val="auto"/>
        </w:rPr>
      </w:pPr>
      <w:r>
        <w:rPr>
          <w:rFonts w:ascii="Arial" w:cs="Arial" w:eastAsia="Arial" w:hAnsi="Arial"/>
          <w:sz w:val="16"/>
          <w:szCs w:val="16"/>
          <w:color w:val="auto"/>
        </w:rPr>
        <w:t>Our business will be adversely impacted by the effects of the Novel Coronavirus (COVID-19). In addition to global macroeconomic effects, the Novel Coronavirus (COVID-19) outbreak and any other related adverse public health developments will cause disruption to our international operations and sales activities. Our third-party manufacturers, suppliers, third-party distributors, sub-contractors and customers have been and will be disrupted by worker absenteeism, quarantines and restrictions on our employees’ ability to work, office and factory closures, disruptions to ports and other shipping infrastructure, border closures, or other travel or health-related restrictions. Depending on the magnitude of such effects on our manufacturing, assembling, and testing activities or the operations of our suppliers, third-party distributors, or sub-contractors, our supply chain, manufacturing and product shipments will be delayed, which could adversely affect our business, operations and customer relationships. In addition, the Novel Coronavirus (COVID-19) or other disease outbreak will in the short-run and may over the longer term adversely affect the economies and financial markets of many countries, resulting in an economic downturn that will affect demand for our products and impact our operating results. There can be no assurance that any decrease in sales resulting from the Novel Coronavirus (COVID-19) will be offset by increased sales in subsequent periods. Although the magnitude of the impact of the Novel Coronavirus (COVID-19) outbreak on our business and operations remains uncertain, the continued spread of the Novel Coronavirus (COVID-19) or the occurrence of other epidemics and the imposition of related public health measures and travel and business restrictions will adversely impact our business, financial condition, operating results and cash flows. In addition, w</w:t>
      </w:r>
      <w:r>
        <w:rPr>
          <w:rFonts w:ascii="Arial" w:cs="Arial" w:eastAsia="Arial" w:hAnsi="Arial"/>
          <w:sz w:val="16"/>
          <w:szCs w:val="16"/>
          <w:color w:val="0E0E0E"/>
        </w:rPr>
        <w:t>e have experienced and will experience disruptions to our business operations</w:t>
      </w:r>
      <w:r>
        <w:rPr>
          <w:rFonts w:ascii="Arial" w:cs="Arial" w:eastAsia="Arial" w:hAnsi="Arial"/>
          <w:sz w:val="16"/>
          <w:szCs w:val="16"/>
          <w:color w:val="auto"/>
        </w:rPr>
        <w:t xml:space="preserve"> </w:t>
      </w:r>
      <w:r>
        <w:rPr>
          <w:rFonts w:ascii="Arial" w:cs="Arial" w:eastAsia="Arial" w:hAnsi="Arial"/>
          <w:sz w:val="16"/>
          <w:szCs w:val="16"/>
          <w:color w:val="0E0E0E"/>
        </w:rPr>
        <w:t>resulting from quarantines, self-isolations, or other movement and restrictions on the ability of our employees to perform their jobs that may impact our ability to develop and design our products in a timely manner or meet required milestones or customer commitments. See the Risk Factor entitled “</w:t>
      </w:r>
      <w:r>
        <w:rPr>
          <w:rFonts w:ascii="Arial" w:cs="Arial" w:eastAsia="Arial" w:hAnsi="Arial"/>
          <w:sz w:val="16"/>
          <w:szCs w:val="16"/>
          <w:i w:val="1"/>
          <w:iCs w:val="1"/>
          <w:color w:val="0E0E0E"/>
        </w:rPr>
        <w:t>If we</w:t>
      </w:r>
      <w:r>
        <w:rPr>
          <w:rFonts w:ascii="Arial" w:cs="Arial" w:eastAsia="Arial" w:hAnsi="Arial"/>
          <w:sz w:val="16"/>
          <w:szCs w:val="16"/>
          <w:color w:val="0E0E0E"/>
        </w:rPr>
        <w:t xml:space="preserve"> </w:t>
      </w:r>
      <w:r>
        <w:rPr>
          <w:rFonts w:ascii="Arial" w:cs="Arial" w:eastAsia="Arial" w:hAnsi="Arial"/>
          <w:sz w:val="16"/>
          <w:szCs w:val="16"/>
          <w:i w:val="1"/>
          <w:iCs w:val="1"/>
          <w:color w:val="0E0E0E"/>
        </w:rPr>
        <w:t>are unable to develop and introduce new and enhanced products that achieve market acceptance in a timely and cost-effective manner, our results of operations and competitive position will be harmed</w:t>
      </w:r>
      <w:r>
        <w:rPr>
          <w:rFonts w:ascii="Arial" w:cs="Arial" w:eastAsia="Arial" w:hAnsi="Arial"/>
          <w:sz w:val="16"/>
          <w:szCs w:val="16"/>
          <w:color w:val="0E0E0E"/>
        </w:rPr>
        <w:t>.” These disruptions may also impact our ability to win in time sensitive competitive bidding selection</w:t>
      </w:r>
      <w:r>
        <w:rPr>
          <w:rFonts w:ascii="Arial" w:cs="Arial" w:eastAsia="Arial" w:hAnsi="Arial"/>
          <w:sz w:val="16"/>
          <w:szCs w:val="16"/>
          <w:i w:val="1"/>
          <w:iCs w:val="1"/>
          <w:color w:val="0E0E0E"/>
        </w:rPr>
        <w:t xml:space="preserve"> </w:t>
      </w:r>
      <w:r>
        <w:rPr>
          <w:rFonts w:ascii="Arial" w:cs="Arial" w:eastAsia="Arial" w:hAnsi="Arial"/>
          <w:sz w:val="16"/>
          <w:szCs w:val="16"/>
          <w:color w:val="0E0E0E"/>
        </w:rPr>
        <w:t>processes. See the Risk Factor entitled “</w:t>
      </w:r>
      <w:r>
        <w:rPr>
          <w:rFonts w:ascii="Arial" w:cs="Arial" w:eastAsia="Arial" w:hAnsi="Arial"/>
          <w:sz w:val="16"/>
          <w:szCs w:val="16"/>
          <w:i w:val="1"/>
          <w:iCs w:val="1"/>
          <w:color w:val="0E0E0E"/>
        </w:rPr>
        <w:t>We rely on our customers to design our products into their systems, and the nature of the design process requires us</w:t>
      </w:r>
      <w:r>
        <w:rPr>
          <w:rFonts w:ascii="Arial" w:cs="Arial" w:eastAsia="Arial" w:hAnsi="Arial"/>
          <w:sz w:val="16"/>
          <w:szCs w:val="16"/>
          <w:color w:val="0E0E0E"/>
        </w:rPr>
        <w:t xml:space="preserve"> </w:t>
      </w:r>
      <w:r>
        <w:rPr>
          <w:rFonts w:ascii="Arial" w:cs="Arial" w:eastAsia="Arial" w:hAnsi="Arial"/>
          <w:sz w:val="16"/>
          <w:szCs w:val="16"/>
          <w:i w:val="1"/>
          <w:iCs w:val="1"/>
          <w:color w:val="0E0E0E"/>
        </w:rPr>
        <w:t>to incur expenses prior to customer commitments to use our products or recognizing revenues associated with those expenses which may adversely affect our financial results.</w:t>
      </w:r>
      <w:r>
        <w:rPr>
          <w:rFonts w:ascii="Arial" w:cs="Arial" w:eastAsia="Arial" w:hAnsi="Arial"/>
          <w:sz w:val="16"/>
          <w:szCs w:val="16"/>
          <w:color w:val="0E0E0E"/>
        </w:rPr>
        <w:t>”</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OUR STRATEGIC TRANSACTIONS</w:t>
      </w:r>
    </w:p>
    <w:p>
      <w:pPr>
        <w:spacing w:after="0" w:line="248" w:lineRule="exact"/>
        <w:rPr>
          <w:sz w:val="20"/>
          <w:szCs w:val="20"/>
          <w:color w:val="auto"/>
        </w:rPr>
      </w:pPr>
    </w:p>
    <w:p>
      <w:pPr>
        <w:ind w:right="340"/>
        <w:spacing w:after="0" w:line="282" w:lineRule="auto"/>
        <w:rPr>
          <w:sz w:val="20"/>
          <w:szCs w:val="20"/>
          <w:color w:val="auto"/>
        </w:rPr>
      </w:pPr>
      <w:r>
        <w:rPr>
          <w:rFonts w:ascii="Arial" w:cs="Arial" w:eastAsia="Arial" w:hAnsi="Arial"/>
          <w:sz w:val="18"/>
          <w:szCs w:val="18"/>
          <w:b w:val="1"/>
          <w:bCs w:val="1"/>
          <w:color w:val="auto"/>
        </w:rPr>
        <w:t>Recent or potential future acquisitions, strategic investments, divestitures, mergers or joint ventures may subject us to significant risks, any of which could harm our business.</w:t>
      </w:r>
    </w:p>
    <w:p>
      <w:pPr>
        <w:spacing w:after="0" w:line="193" w:lineRule="exact"/>
        <w:rPr>
          <w:sz w:val="20"/>
          <w:szCs w:val="20"/>
          <w:color w:val="auto"/>
        </w:rPr>
      </w:pPr>
    </w:p>
    <w:p>
      <w:pPr>
        <w:ind w:right="160" w:firstLine="648"/>
        <w:spacing w:after="0" w:line="263"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w:t>
      </w:r>
    </w:p>
    <w:p>
      <w:pPr>
        <w:spacing w:after="0" w:line="76" w:lineRule="exact"/>
        <w:rPr>
          <w:sz w:val="20"/>
          <w:szCs w:val="20"/>
          <w:color w:val="auto"/>
        </w:rPr>
      </w:pPr>
    </w:p>
    <w:p>
      <w:pPr>
        <w:ind w:right="100" w:firstLine="648"/>
        <w:spacing w:after="0" w:line="291" w:lineRule="auto"/>
        <w:rPr>
          <w:sz w:val="20"/>
          <w:szCs w:val="20"/>
          <w:color w:val="auto"/>
        </w:rPr>
      </w:pPr>
      <w:r>
        <w:rPr>
          <w:rFonts w:ascii="Arial" w:cs="Arial" w:eastAsia="Arial" w:hAnsi="Arial"/>
          <w:sz w:val="16"/>
          <w:szCs w:val="16"/>
          <w:color w:val="auto"/>
        </w:rPr>
        <w:t>On May 6, 2019, we entered into a definitive merger agreement to acquire all outstanding shares of Aquantia Corp. common stock for $13.25 per share in cash. On September 19, 2019, we completed the acquisition of Aquantia for total merger consideration in the amount of $502.2 million.</w:t>
      </w:r>
    </w:p>
    <w:p>
      <w:pPr>
        <w:ind w:firstLine="648"/>
        <w:spacing w:after="0" w:line="274" w:lineRule="auto"/>
        <w:rPr>
          <w:sz w:val="20"/>
          <w:szCs w:val="20"/>
          <w:color w:val="auto"/>
        </w:rPr>
      </w:pPr>
      <w:r>
        <w:rPr>
          <w:rFonts w:ascii="Arial" w:cs="Arial" w:eastAsia="Arial" w:hAnsi="Arial"/>
          <w:sz w:val="16"/>
          <w:szCs w:val="16"/>
          <w:color w:val="auto"/>
        </w:rPr>
        <w:t>On May 20, 2019, we entered into a definitive agreement to purchase Avera Semiconductor, the Application Specific Integrated Circuit (ASIC) business of GlobalFoundries (“Avera”). On November 5, 2019, we completed the acquisition. Total purchase consideration consisted of cash consideration paid to GlobalFoundries of $593.5 million, net of final working capital adjustments. An additional $90 million in cash will be paid if certain business conditions are satisfied by the third quarter of our fiscal 2021. GlobalFoundries and the Company are currently discussing whether the necessary conditions have been satisfied to pay the $90 million. There can be no assurance that the discussions will be resolved in a way that is favorable to the Company.</w:t>
      </w:r>
    </w:p>
    <w:p>
      <w:pPr>
        <w:spacing w:after="0" w:line="2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94" w:right="359" w:bottom="1440" w:gutter="0" w:footer="0" w:header="0"/>
        </w:sectPr>
      </w:pPr>
    </w:p>
    <w:bookmarkStart w:id="12" w:name="page13"/>
    <w:bookmarkEnd w:id="12"/>
    <w:p>
      <w:pPr>
        <w:ind w:right="80" w:firstLine="648"/>
        <w:spacing w:after="0" w:line="259" w:lineRule="auto"/>
        <w:rPr>
          <w:sz w:val="20"/>
          <w:szCs w:val="20"/>
          <w:color w:val="auto"/>
        </w:rPr>
      </w:pPr>
      <w:r>
        <w:rPr>
          <w:rFonts w:ascii="Arial" w:cs="Arial" w:eastAsia="Arial" w:hAnsi="Arial"/>
          <w:sz w:val="18"/>
          <w:szCs w:val="18"/>
          <w:color w:val="auto"/>
        </w:rPr>
        <w:t>On May 29, 2019, we entered into an Asset Purchase Agreement with NXP USA, Inc. (“NXP”) pursuant to which the we agreed to sell to NXP certain assets related to our Wi-Fi connectivity business for $1.76 billion in cash at closing, subject to working capital and other customary adjustments. In addition, we agreed to license certain intellectual property to NXP in connection with the transaction and to provide certain temporary transition services following completion of the transaction. On December 6, 2019, we completed the transaction.</w:t>
      </w:r>
    </w:p>
    <w:p>
      <w:pPr>
        <w:spacing w:after="0" w:line="79" w:lineRule="exact"/>
        <w:rPr>
          <w:sz w:val="20"/>
          <w:szCs w:val="20"/>
          <w:color w:val="auto"/>
        </w:rPr>
      </w:pPr>
    </w:p>
    <w:p>
      <w:pPr>
        <w:spacing w:after="0"/>
        <w:rPr>
          <w:sz w:val="20"/>
          <w:szCs w:val="20"/>
          <w:color w:val="auto"/>
        </w:rPr>
      </w:pPr>
      <w:r>
        <w:rPr>
          <w:rFonts w:ascii="Arial" w:cs="Arial" w:eastAsia="Arial" w:hAnsi="Arial"/>
          <w:sz w:val="16"/>
          <w:szCs w:val="16"/>
          <w:color w:val="auto"/>
        </w:rPr>
        <w:t>Mergers, acquisitions and divestitures include a number of risks and present financial, managerial and operational challenges, including but not limited to:</w:t>
      </w:r>
    </w:p>
    <w:p>
      <w:pPr>
        <w:spacing w:after="0" w:line="140" w:lineRule="exact"/>
        <w:rPr>
          <w:sz w:val="20"/>
          <w:szCs w:val="20"/>
          <w:color w:val="auto"/>
        </w:rPr>
      </w:pP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8"/>
        </w:numPr>
        <w:rPr>
          <w:rFonts w:ascii="Arial" w:cs="Arial" w:eastAsia="Arial" w:hAnsi="Arial"/>
          <w:sz w:val="16"/>
          <w:szCs w:val="16"/>
          <w:color w:val="auto"/>
        </w:rPr>
      </w:pPr>
      <w:r>
        <w:rPr>
          <w:rFonts w:ascii="Arial" w:cs="Arial" w:eastAsia="Arial" w:hAnsi="Arial"/>
          <w:sz w:val="16"/>
          <w:szCs w:val="16"/>
          <w:color w:val="auto"/>
        </w:rPr>
        <w:t>increased expenses, including, but not limited to, legal, administrative and compensation expenses related to newly hired or terminated employees;</w:t>
      </w:r>
    </w:p>
    <w:p>
      <w:pPr>
        <w:spacing w:after="0" w:line="233" w:lineRule="exact"/>
        <w:rPr>
          <w:rFonts w:ascii="Arial" w:cs="Arial" w:eastAsia="Arial" w:hAnsi="Arial"/>
          <w:sz w:val="16"/>
          <w:szCs w:val="16"/>
          <w:color w:val="auto"/>
        </w:rPr>
      </w:pP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key personnel of an acquired company may decide not to work for us;</w:t>
      </w:r>
    </w:p>
    <w:p>
      <w:pPr>
        <w:spacing w:after="0" w:line="23" w:lineRule="exact"/>
        <w:rPr>
          <w:rFonts w:ascii="Arial" w:cs="Arial" w:eastAsia="Arial" w:hAnsi="Arial"/>
          <w:sz w:val="18"/>
          <w:szCs w:val="18"/>
          <w:color w:val="auto"/>
        </w:rPr>
      </w:pPr>
    </w:p>
    <w:p>
      <w:pPr>
        <w:ind w:left="660" w:right="20" w:hanging="328"/>
        <w:spacing w:after="0" w:line="250" w:lineRule="auto"/>
        <w:tabs>
          <w:tab w:leader="none" w:pos="655" w:val="left"/>
        </w:tabs>
        <w:numPr>
          <w:ilvl w:val="0"/>
          <w:numId w:val="8"/>
        </w:numPr>
        <w:rPr>
          <w:rFonts w:ascii="Arial" w:cs="Arial" w:eastAsia="Arial" w:hAnsi="Arial"/>
          <w:sz w:val="18"/>
          <w:szCs w:val="18"/>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ind w:left="660" w:right="340" w:hanging="328"/>
        <w:spacing w:after="0" w:line="250" w:lineRule="auto"/>
        <w:tabs>
          <w:tab w:leader="none" w:pos="655" w:val="left"/>
        </w:tabs>
        <w:numPr>
          <w:ilvl w:val="0"/>
          <w:numId w:val="8"/>
        </w:numPr>
        <w:rPr>
          <w:rFonts w:ascii="Arial" w:cs="Arial" w:eastAsia="Arial" w:hAnsi="Arial"/>
          <w:sz w:val="18"/>
          <w:szCs w:val="18"/>
          <w:color w:val="auto"/>
        </w:rPr>
      </w:pPr>
      <w:r>
        <w:rPr>
          <w:rFonts w:ascii="Arial" w:cs="Arial" w:eastAsia="Arial" w:hAnsi="Arial"/>
          <w:sz w:val="18"/>
          <w:szCs w:val="18"/>
          <w:color w:val="auto"/>
        </w:rPr>
        <w:t>assuming the legal obligations of the acquired company, including potential exposure to material liabilities not discovered in the due diligence process or assuming indemnity obligations in connection with divestitures;</w:t>
      </w: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ineffective or inadequate control, procedures and policies at the acquired company may negatively impact our results of operations;</w:t>
      </w:r>
    </w:p>
    <w:p>
      <w:pPr>
        <w:spacing w:after="0" w:line="9" w:lineRule="exact"/>
        <w:rPr>
          <w:rFonts w:ascii="Arial" w:cs="Arial" w:eastAsia="Arial" w:hAnsi="Arial"/>
          <w:sz w:val="18"/>
          <w:szCs w:val="18"/>
          <w:color w:val="auto"/>
        </w:rPr>
      </w:pPr>
    </w:p>
    <w:p>
      <w:pPr>
        <w:ind w:left="660" w:right="740" w:hanging="328"/>
        <w:spacing w:after="0" w:line="250" w:lineRule="auto"/>
        <w:tabs>
          <w:tab w:leader="none" w:pos="655" w:val="left"/>
        </w:tabs>
        <w:numPr>
          <w:ilvl w:val="0"/>
          <w:numId w:val="8"/>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burdensome conditions required to obtain regulatory approvals;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potential damage to relationships with customers, suppliers, partners or employees;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loss of synergies, in the case of divestitures;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reduction of potential benefits of a transaction in the event of a long delay between signing and closing;</w:t>
      </w:r>
    </w:p>
    <w:p>
      <w:pPr>
        <w:spacing w:after="0" w:line="9" w:lineRule="exact"/>
        <w:rPr>
          <w:rFonts w:ascii="Arial" w:cs="Arial" w:eastAsia="Arial" w:hAnsi="Arial"/>
          <w:sz w:val="18"/>
          <w:szCs w:val="18"/>
          <w:color w:val="auto"/>
        </w:rPr>
      </w:pPr>
    </w:p>
    <w:p>
      <w:pPr>
        <w:ind w:left="660" w:right="560" w:hanging="328"/>
        <w:spacing w:after="0" w:line="250" w:lineRule="auto"/>
        <w:tabs>
          <w:tab w:leader="none" w:pos="655" w:val="left"/>
        </w:tabs>
        <w:numPr>
          <w:ilvl w:val="0"/>
          <w:numId w:val="8"/>
        </w:numPr>
        <w:rPr>
          <w:rFonts w:ascii="Arial" w:cs="Arial" w:eastAsia="Arial" w:hAnsi="Arial"/>
          <w:sz w:val="18"/>
          <w:szCs w:val="18"/>
          <w:color w:val="auto"/>
        </w:rPr>
      </w:pPr>
      <w:r>
        <w:rPr>
          <w:rFonts w:ascii="Arial" w:cs="Arial" w:eastAsia="Arial" w:hAnsi="Arial"/>
          <w:sz w:val="18"/>
          <w:szCs w:val="18"/>
          <w:color w:val="auto"/>
        </w:rPr>
        <w:t>reduction of our cash in the case of acquisitions for which we are paying cash consideration and share dilution if we are using our shares as consideration; and</w:t>
      </w: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unavailability of acquisition financing on reasonable terms or at all.</w:t>
      </w:r>
    </w:p>
    <w:p>
      <w:pPr>
        <w:spacing w:after="0" w:line="103" w:lineRule="exact"/>
        <w:rPr>
          <w:sz w:val="20"/>
          <w:szCs w:val="20"/>
          <w:color w:val="auto"/>
        </w:rPr>
      </w:pPr>
    </w:p>
    <w:p>
      <w:pPr>
        <w:ind w:firstLine="648"/>
        <w:spacing w:after="0" w:line="311" w:lineRule="auto"/>
        <w:rPr>
          <w:sz w:val="20"/>
          <w:szCs w:val="20"/>
          <w:color w:val="auto"/>
        </w:rPr>
      </w:pPr>
      <w:r>
        <w:rPr>
          <w:rFonts w:ascii="Arial" w:cs="Arial" w:eastAsia="Arial" w:hAnsi="Arial"/>
          <w:sz w:val="16"/>
          <w:szCs w:val="16"/>
          <w:color w:val="auto"/>
        </w:rPr>
        <w:t>Any acquired business, technology, service or product could significantly under-perform relative to our expectations and may not achieve the benefits we expect on a timely basis or at all.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41" w:lineRule="exact"/>
        <w:rPr>
          <w:sz w:val="20"/>
          <w:szCs w:val="20"/>
          <w:color w:val="auto"/>
        </w:rPr>
      </w:pPr>
    </w:p>
    <w:p>
      <w:pPr>
        <w:jc w:val="both"/>
        <w:ind w:right="40" w:firstLine="648"/>
        <w:spacing w:after="0" w:line="263"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76" w:lineRule="exact"/>
        <w:rPr>
          <w:sz w:val="20"/>
          <w:szCs w:val="20"/>
          <w:color w:val="auto"/>
        </w:rPr>
      </w:pPr>
    </w:p>
    <w:p>
      <w:pPr>
        <w:ind w:right="320" w:firstLine="648"/>
        <w:spacing w:after="0" w:line="277" w:lineRule="auto"/>
        <w:rPr>
          <w:sz w:val="20"/>
          <w:szCs w:val="20"/>
          <w:color w:val="auto"/>
        </w:rPr>
      </w:pPr>
      <w:r>
        <w:rPr>
          <w:rFonts w:ascii="Arial" w:cs="Arial" w:eastAsia="Arial" w:hAnsi="Arial"/>
          <w:sz w:val="18"/>
          <w:szCs w:val="18"/>
          <w:color w:val="auto"/>
        </w:rPr>
        <w:t>If we do enter into agreements with respect to acquisitions, divestitures, or other transactions, these transactions, or parts of these transactions, may fail to be completed due to factors such as:</w:t>
      </w:r>
    </w:p>
    <w:p>
      <w:pPr>
        <w:spacing w:after="0" w:line="62" w:lineRule="exact"/>
        <w:rPr>
          <w:sz w:val="20"/>
          <w:szCs w:val="20"/>
          <w:color w:val="auto"/>
        </w:rPr>
      </w:pPr>
    </w:p>
    <w:p>
      <w:pPr>
        <w:ind w:left="660" w:hanging="328"/>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failure to obtain regulatory or other approvals;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disputes or litigation; or</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difficulties obtaining financing for the transaction.</w:t>
      </w:r>
    </w:p>
    <w:p>
      <w:pPr>
        <w:spacing w:after="0" w:line="103" w:lineRule="exact"/>
        <w:rPr>
          <w:sz w:val="20"/>
          <w:szCs w:val="20"/>
          <w:color w:val="auto"/>
        </w:rPr>
      </w:pPr>
    </w:p>
    <w:p>
      <w:pPr>
        <w:ind w:right="320" w:firstLine="648"/>
        <w:spacing w:after="0" w:line="311" w:lineRule="auto"/>
        <w:rPr>
          <w:sz w:val="20"/>
          <w:szCs w:val="20"/>
          <w:color w:val="auto"/>
        </w:rPr>
      </w:pPr>
      <w:r>
        <w:rPr>
          <w:rFonts w:ascii="Arial" w:cs="Arial" w:eastAsia="Arial" w:hAnsi="Arial"/>
          <w:sz w:val="16"/>
          <w:szCs w:val="16"/>
          <w:color w:val="auto"/>
        </w:rPr>
        <w:t>If we fail to complete a transaction, we may nonetheless have incurred significant expenses in connection with such transaction. Failure to complete a pending transaction may result in negative publicity and a negative perception of us in the investment community. For all these reasons, our pursuit of an acquisition, investment, divestiture, merger or joint venture could cause our actual results to differ materially from those anticipated.</w:t>
      </w:r>
    </w:p>
    <w:p>
      <w:pPr>
        <w:spacing w:after="0" w:line="200" w:lineRule="exact"/>
        <w:rPr>
          <w:sz w:val="20"/>
          <w:szCs w:val="20"/>
          <w:color w:val="auto"/>
        </w:rPr>
      </w:pP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94" w:right="359" w:bottom="1440" w:gutter="0" w:footer="0" w:header="0"/>
        </w:sectPr>
      </w:pPr>
    </w:p>
    <w:bookmarkStart w:id="13" w:name="page14"/>
    <w:bookmarkEnd w:id="13"/>
    <w:p>
      <w:pPr>
        <w:ind w:right="80"/>
        <w:spacing w:after="0" w:line="282" w:lineRule="auto"/>
        <w:rPr>
          <w:sz w:val="20"/>
          <w:szCs w:val="20"/>
          <w:color w:val="auto"/>
        </w:rPr>
      </w:pPr>
      <w:r>
        <w:rPr>
          <w:rFonts w:ascii="Arial" w:cs="Arial" w:eastAsia="Arial" w:hAnsi="Arial"/>
          <w:sz w:val="18"/>
          <w:szCs w:val="18"/>
          <w:b w:val="1"/>
          <w:bCs w:val="1"/>
          <w:color w:val="auto"/>
        </w:rPr>
        <w:t>Our acquisitions of Aquantia and Avera involve a number of risks, including, among others, those associated with our use of a significant portion of our cash and other financial risks and integration risks.</w:t>
      </w:r>
    </w:p>
    <w:p>
      <w:pPr>
        <w:spacing w:after="0" w:line="193" w:lineRule="exact"/>
        <w:rPr>
          <w:sz w:val="20"/>
          <w:szCs w:val="20"/>
          <w:color w:val="auto"/>
        </w:rPr>
      </w:pPr>
    </w:p>
    <w:p>
      <w:pPr>
        <w:ind w:right="60" w:firstLine="648"/>
        <w:spacing w:after="0" w:line="254" w:lineRule="auto"/>
        <w:rPr>
          <w:sz w:val="20"/>
          <w:szCs w:val="20"/>
          <w:color w:val="auto"/>
        </w:rPr>
      </w:pPr>
      <w:r>
        <w:rPr>
          <w:rFonts w:ascii="Arial" w:cs="Arial" w:eastAsia="Arial" w:hAnsi="Arial"/>
          <w:sz w:val="18"/>
          <w:szCs w:val="18"/>
          <w:color w:val="auto"/>
        </w:rPr>
        <w:t>We used a significant portion of our cash and incurred substantial indebtedness in connection with the financing of our acquisition of Cavium, which was completed in fiscal year 2019 (the “Cavium acquisition”). In fiscal year 2020, we used cash and indebtedness to finance our acquisition of Aquantia and indebtedness to finance our acquisition of Avera (collectively, the “Acquisitions”). As of December 11, 2019, the Company repaid the entire amount of the indebtedness related to the Aquantia and Avera acquisitions. Our use of cash in the acquisitions reduced our liquidity and may (i) limit our flexibility in responding to other business opportunities and (ii) increase our vulnerability to adverse economic and industry conditions. In connection with our Cavium acquisition, see the Risk Factor entitled "</w:t>
      </w:r>
      <w:r>
        <w:rPr>
          <w:rFonts w:ascii="Arial" w:cs="Arial" w:eastAsia="Arial" w:hAnsi="Arial"/>
          <w:sz w:val="18"/>
          <w:szCs w:val="18"/>
          <w:i w:val="1"/>
          <w:iCs w:val="1"/>
          <w:color w:val="auto"/>
        </w:rPr>
        <w:t>Our indebtedness could adversely affect our financial condition and our ability to raise additional</w:t>
      </w:r>
      <w:r>
        <w:rPr>
          <w:rFonts w:ascii="Arial" w:cs="Arial" w:eastAsia="Arial" w:hAnsi="Arial"/>
          <w:sz w:val="18"/>
          <w:szCs w:val="18"/>
          <w:color w:val="auto"/>
        </w:rPr>
        <w:t xml:space="preserve"> </w:t>
      </w:r>
      <w:r>
        <w:rPr>
          <w:rFonts w:ascii="Arial" w:cs="Arial" w:eastAsia="Arial" w:hAnsi="Arial"/>
          <w:sz w:val="18"/>
          <w:szCs w:val="18"/>
          <w:i w:val="1"/>
          <w:iCs w:val="1"/>
          <w:color w:val="auto"/>
        </w:rPr>
        <w:t>capital to fund our operations and limit our ability to react to changes in the economy or our industry." for risks related to our use of debt to finance these acquisitions.</w:t>
      </w:r>
    </w:p>
    <w:p>
      <w:pPr>
        <w:spacing w:after="0" w:line="84" w:lineRule="exact"/>
        <w:rPr>
          <w:sz w:val="20"/>
          <w:szCs w:val="20"/>
          <w:color w:val="auto"/>
        </w:rPr>
      </w:pPr>
    </w:p>
    <w:p>
      <w:pPr>
        <w:ind w:right="40" w:firstLine="648"/>
        <w:spacing w:after="0" w:line="257" w:lineRule="auto"/>
        <w:rPr>
          <w:sz w:val="20"/>
          <w:szCs w:val="20"/>
          <w:color w:val="auto"/>
        </w:rPr>
      </w:pPr>
      <w:r>
        <w:rPr>
          <w:rFonts w:ascii="Arial" w:cs="Arial" w:eastAsia="Arial" w:hAnsi="Arial"/>
          <w:sz w:val="18"/>
          <w:szCs w:val="18"/>
          <w:color w:val="auto"/>
        </w:rPr>
        <w:t>The benefits we expect to realize from our Acquisitions will depend, in part, on our ability to integrate the businesses successfully and efficiently. See also the Risk Factor entitled “</w:t>
      </w:r>
      <w:r>
        <w:rPr>
          <w:rFonts w:ascii="Arial" w:cs="Arial" w:eastAsia="Arial" w:hAnsi="Arial"/>
          <w:sz w:val="18"/>
          <w:szCs w:val="18"/>
          <w:i w:val="1"/>
          <w:iCs w:val="1"/>
          <w:color w:val="auto"/>
        </w:rPr>
        <w:t>Any potential future acquisitions, strategic investments, divestitures, mergers or joint ventures may subject us to</w:t>
      </w:r>
      <w:r>
        <w:rPr>
          <w:rFonts w:ascii="Arial" w:cs="Arial" w:eastAsia="Arial" w:hAnsi="Arial"/>
          <w:sz w:val="18"/>
          <w:szCs w:val="18"/>
          <w:color w:val="auto"/>
        </w:rPr>
        <w:t xml:space="preserve"> </w:t>
      </w:r>
      <w:r>
        <w:rPr>
          <w:rFonts w:ascii="Arial" w:cs="Arial" w:eastAsia="Arial" w:hAnsi="Arial"/>
          <w:sz w:val="18"/>
          <w:szCs w:val="18"/>
          <w:i w:val="1"/>
          <w:iCs w:val="1"/>
          <w:color w:val="auto"/>
        </w:rPr>
        <w:t>significant risks, any of which could harm our business.</w:t>
      </w:r>
      <w:r>
        <w:rPr>
          <w:rFonts w:ascii="Arial" w:cs="Arial" w:eastAsia="Arial" w:hAnsi="Arial"/>
          <w:sz w:val="18"/>
          <w:szCs w:val="18"/>
          <w:color w:val="auto"/>
        </w:rPr>
        <w:t>” If we are unable to successfully integrate the businesses in connection with our Acquisitions with</w:t>
      </w:r>
      <w:r>
        <w:rPr>
          <w:rFonts w:ascii="Arial" w:cs="Arial" w:eastAsia="Arial" w:hAnsi="Arial"/>
          <w:sz w:val="18"/>
          <w:szCs w:val="18"/>
          <w:i w:val="1"/>
          <w:iCs w:val="1"/>
          <w:color w:val="auto"/>
        </w:rPr>
        <w:t xml:space="preserve"> </w:t>
      </w:r>
      <w:r>
        <w:rPr>
          <w:rFonts w:ascii="Arial" w:cs="Arial" w:eastAsia="Arial" w:hAnsi="Arial"/>
          <w:sz w:val="18"/>
          <w:szCs w:val="18"/>
          <w:color w:val="auto"/>
        </w:rPr>
        <w:t>that of the Company, the combined company’s business, results of operations, financial condition or cash flows could be harmed. The challenges in integrating the operations of the companies include, among others:</w:t>
      </w:r>
    </w:p>
    <w:p>
      <w:pPr>
        <w:spacing w:after="0" w:line="80" w:lineRule="exact"/>
        <w:rPr>
          <w:sz w:val="20"/>
          <w:szCs w:val="20"/>
          <w:color w:val="auto"/>
        </w:rPr>
      </w:pPr>
    </w:p>
    <w:p>
      <w:pPr>
        <w:ind w:left="660" w:hanging="328"/>
        <w:spacing w:after="0"/>
        <w:tabs>
          <w:tab w:leader="none" w:pos="660" w:val="left"/>
        </w:tabs>
        <w:numPr>
          <w:ilvl w:val="0"/>
          <w:numId w:val="10"/>
        </w:numPr>
        <w:rPr>
          <w:rFonts w:ascii="Arial" w:cs="Arial" w:eastAsia="Arial" w:hAnsi="Arial"/>
          <w:sz w:val="16"/>
          <w:szCs w:val="16"/>
          <w:color w:val="auto"/>
        </w:rPr>
      </w:pPr>
      <w:r>
        <w:rPr>
          <w:rFonts w:ascii="Arial" w:cs="Arial" w:eastAsia="Arial" w:hAnsi="Arial"/>
          <w:sz w:val="16"/>
          <w:szCs w:val="16"/>
          <w:color w:val="auto"/>
        </w:rPr>
        <w:t>difficulties in fully achieving anticipated cost savings, synergies, business opportunities and growth prospects from combining the businesses;</w:t>
      </w:r>
    </w:p>
    <w:p>
      <w:pPr>
        <w:spacing w:after="0" w:line="46" w:lineRule="exact"/>
        <w:rPr>
          <w:rFonts w:ascii="Arial" w:cs="Arial" w:eastAsia="Arial" w:hAnsi="Arial"/>
          <w:sz w:val="16"/>
          <w:szCs w:val="16"/>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entering new markets or manufacturing in new geographies where we have no or limited direct prior experience;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in the integration of operations and systems;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in maintaining the Company's culture and in the assimilation or retention of employees;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in the integration of new business models;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in absorbing the costs of new businesses that require additional regulatory compliance;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in managing the expanded operations of a significantly larger and more complex company.</w:t>
      </w:r>
    </w:p>
    <w:p>
      <w:pPr>
        <w:spacing w:after="0" w:line="102"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8"/>
          <w:szCs w:val="18"/>
          <w:color w:val="auto"/>
        </w:rPr>
        <w:t>Any of the above could harm the combined company and thus decrease the benefits we expect to receive from the acquisitions.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WE OPERATE GLOBALLY AND ARE SUBJECT TO SIGNIFICANT RISKS IN MANY JURISDICTIONS</w:t>
      </w:r>
    </w:p>
    <w:p>
      <w:pPr>
        <w:spacing w:after="0" w:line="248" w:lineRule="exact"/>
        <w:rPr>
          <w:sz w:val="20"/>
          <w:szCs w:val="20"/>
          <w:color w:val="auto"/>
        </w:rPr>
      </w:pPr>
    </w:p>
    <w:p>
      <w:pPr>
        <w:ind w:right="140"/>
        <w:spacing w:after="0" w:line="282" w:lineRule="auto"/>
        <w:rPr>
          <w:sz w:val="20"/>
          <w:szCs w:val="20"/>
          <w:color w:val="auto"/>
        </w:rPr>
      </w:pPr>
      <w:r>
        <w:rPr>
          <w:rFonts w:ascii="Arial" w:cs="Arial" w:eastAsia="Arial" w:hAnsi="Arial"/>
          <w:sz w:val="18"/>
          <w:szCs w:val="18"/>
          <w:b w:val="1"/>
          <w:bCs w:val="1"/>
          <w:color w:val="auto"/>
        </w:rPr>
        <w:t>Adverse changes in the political and economic policies of the U.S. government in connection with trade with China have reduced the demand for our products and damaged our business.</w:t>
      </w:r>
    </w:p>
    <w:p>
      <w:pPr>
        <w:spacing w:after="0" w:line="193" w:lineRule="exact"/>
        <w:rPr>
          <w:sz w:val="20"/>
          <w:szCs w:val="20"/>
          <w:color w:val="auto"/>
        </w:rPr>
      </w:pPr>
    </w:p>
    <w:p>
      <w:pPr>
        <w:ind w:firstLine="648"/>
        <w:spacing w:after="0" w:line="271" w:lineRule="auto"/>
        <w:rPr>
          <w:sz w:val="20"/>
          <w:szCs w:val="20"/>
          <w:color w:val="auto"/>
        </w:rPr>
      </w:pPr>
      <w:r>
        <w:rPr>
          <w:rFonts w:ascii="Arial" w:cs="Arial" w:eastAsia="Arial" w:hAnsi="Arial"/>
          <w:sz w:val="16"/>
          <w:szCs w:val="16"/>
          <w:color w:val="auto"/>
        </w:rPr>
        <w:t>Regulatory activity, such as enforcement of U.S. export control and sanctions laws, and the imposition of new tariffs, have in the past and may continue to materially limit our ability to make sales to our significant customers in China, which has in the past and may continue to harm our results of operations, reputation and financial condition. For example, the recent U.S. government export restrictions on a number of Chinese customers, such as Huawei Technologies Co. Ltd., and others have dampened demand for our products, adding to the already challenging macroeconomic environment. Moreover, concerns that U.S. companies may not be reliable suppliers as a result of the above actions has caused, and may in the future cause, our customers to replace our products in favor of products from other suppliers. In addition, there may be indirect impacts to our business that we cannot easily quantify such as the fact that some of our other customers' products which use our solutions, such as hard disk drives, may also be impacted by export restrictions. If export restrictions related to Chinese customers are sustained for a long period of time, or if other export restrictions were to be imposed as a result of current trade tensions such as restrictions on trade with other countries, it could have an adverse impact on our revenues and results of operations.</w:t>
      </w:r>
    </w:p>
    <w:p>
      <w:pPr>
        <w:spacing w:after="0" w:line="61" w:lineRule="exact"/>
        <w:rPr>
          <w:sz w:val="20"/>
          <w:szCs w:val="20"/>
          <w:color w:val="auto"/>
        </w:rPr>
      </w:pPr>
    </w:p>
    <w:p>
      <w:pPr>
        <w:ind w:right="140" w:firstLine="648"/>
        <w:spacing w:after="0" w:line="291" w:lineRule="auto"/>
        <w:rPr>
          <w:sz w:val="20"/>
          <w:szCs w:val="20"/>
          <w:color w:val="auto"/>
        </w:rPr>
      </w:pPr>
      <w:r>
        <w:rPr>
          <w:rFonts w:ascii="Arial" w:cs="Arial" w:eastAsia="Arial" w:hAnsi="Arial"/>
          <w:sz w:val="16"/>
          <w:szCs w:val="16"/>
          <w:color w:val="auto"/>
        </w:rPr>
        <w:t>We typically sell products to customers in China pursuant to purchase orders rather than long term purchase commitments. Customers in China can generally cancel or defer purchase orders on short notice without incurring a penalty and, therefore, they may be more likely to do so while the tariffs</w:t>
      </w:r>
    </w:p>
    <w:p>
      <w:pPr>
        <w:ind w:right="40"/>
        <w:spacing w:after="0" w:line="281" w:lineRule="auto"/>
        <w:rPr>
          <w:sz w:val="20"/>
          <w:szCs w:val="20"/>
          <w:color w:val="auto"/>
        </w:rPr>
      </w:pPr>
      <w:r>
        <w:rPr>
          <w:rFonts w:ascii="Arial" w:cs="Arial" w:eastAsia="Arial" w:hAnsi="Arial"/>
          <w:sz w:val="16"/>
          <w:szCs w:val="16"/>
          <w:color w:val="auto"/>
        </w:rPr>
        <w:t>and trade bans are in effect. See also, risk Factor entitled “</w:t>
      </w:r>
      <w:r>
        <w:rPr>
          <w:rFonts w:ascii="Arial" w:cs="Arial" w:eastAsia="Arial" w:hAnsi="Arial"/>
          <w:sz w:val="16"/>
          <w:szCs w:val="16"/>
          <w:i w:val="1"/>
          <w:iCs w:val="1"/>
          <w:color w:val="auto"/>
        </w:rPr>
        <w:t>We are subject to order and shipment uncertainties. If we are unable to accurately predict</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 demand, we may hold excess or obsolete inventory, which would reduce our gross margin. Conversely, we may have insufficient inventory, which would result in lost revenue opportunities and potential loss of market share as well as damaged customer relationships.</w:t>
      </w:r>
      <w:r>
        <w:rPr>
          <w:rFonts w:ascii="Arial" w:cs="Arial" w:eastAsia="Arial" w:hAnsi="Arial"/>
          <w:sz w:val="16"/>
          <w:szCs w:val="16"/>
          <w:color w:val="auto"/>
        </w:rPr>
        <w:t>” In addition, customers in China</w:t>
      </w:r>
    </w:p>
    <w:p>
      <w:pPr>
        <w:spacing w:after="0" w:line="2" w:lineRule="exact"/>
        <w:rPr>
          <w:sz w:val="20"/>
          <w:szCs w:val="20"/>
          <w:color w:val="auto"/>
        </w:rPr>
      </w:pPr>
    </w:p>
    <w:p>
      <w:pPr>
        <w:ind w:right="340"/>
        <w:spacing w:after="0" w:line="290" w:lineRule="auto"/>
        <w:rPr>
          <w:sz w:val="20"/>
          <w:szCs w:val="20"/>
          <w:color w:val="auto"/>
        </w:rPr>
      </w:pPr>
      <w:r>
        <w:rPr>
          <w:rFonts w:ascii="Arial" w:cs="Arial" w:eastAsia="Arial" w:hAnsi="Arial"/>
          <w:sz w:val="17"/>
          <w:szCs w:val="17"/>
          <w:color w:val="auto"/>
        </w:rPr>
        <w:t>that may be subject to trade bans or tariffs, may develop their own products or solutions instead of purchasing from us or they may acquire products or solutions from our competitors or other third-party sources that are not be subject to the U.S. tariffs and trade restrictions.</w:t>
      </w:r>
    </w:p>
    <w:p>
      <w:pPr>
        <w:spacing w:after="0" w:line="200" w:lineRule="exact"/>
        <w:rPr>
          <w:sz w:val="20"/>
          <w:szCs w:val="20"/>
          <w:color w:val="auto"/>
        </w:rPr>
      </w:pPr>
    </w:p>
    <w:p>
      <w:pPr>
        <w:spacing w:after="0" w:line="33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282" w:right="379" w:bottom="1440" w:gutter="0" w:footer="0" w:header="0"/>
        </w:sectPr>
      </w:pPr>
    </w:p>
    <w:bookmarkStart w:id="14" w:name="page15"/>
    <w:bookmarkEnd w:id="14"/>
    <w:p>
      <w:pPr>
        <w:ind w:right="360"/>
        <w:spacing w:after="0" w:line="282" w:lineRule="auto"/>
        <w:rPr>
          <w:sz w:val="20"/>
          <w:szCs w:val="20"/>
          <w:color w:val="auto"/>
        </w:rPr>
      </w:pPr>
      <w:r>
        <w:rPr>
          <w:rFonts w:ascii="Arial" w:cs="Arial" w:eastAsia="Arial" w:hAnsi="Arial"/>
          <w:sz w:val="18"/>
          <w:szCs w:val="18"/>
          <w:b w:val="1"/>
          <w:bCs w:val="1"/>
          <w:color w:val="auto"/>
        </w:rPr>
        <w:t>Changes to U.S. or foreign tax, trade policy, tariff and import/export regulations may have a material adverse effect on our business, financial condition and results of operations.</w:t>
      </w:r>
    </w:p>
    <w:p>
      <w:pPr>
        <w:spacing w:after="0" w:line="193" w:lineRule="exact"/>
        <w:rPr>
          <w:sz w:val="20"/>
          <w:szCs w:val="20"/>
          <w:color w:val="auto"/>
        </w:rPr>
      </w:pPr>
    </w:p>
    <w:p>
      <w:pPr>
        <w:ind w:firstLine="648"/>
        <w:spacing w:after="0" w:line="268" w:lineRule="auto"/>
        <w:rPr>
          <w:sz w:val="20"/>
          <w:szCs w:val="20"/>
          <w:color w:val="auto"/>
        </w:rPr>
      </w:pPr>
      <w:r>
        <w:rPr>
          <w:rFonts w:ascii="Arial" w:cs="Arial" w:eastAsia="Arial" w:hAnsi="Arial"/>
          <w:sz w:val="17"/>
          <w:szCs w:val="17"/>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The U.S. presidential administration has instituted or proposed changes in trade policies that include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The new tariffs and other changes in U.S. trade policy could trigger retaliatory actions by affected countries, and certain foreign governments have instituted or are considering imposing trade sanctions on certain U.S. goods. The U.S. presidential administration has indicated a focus on policy reforms that discourage corporations from outsourcing manufacturing and production activities to foreign jurisdictions, including through tariffs or penalties on goods manufactured outside the U.S., which may require us to change the way we conduct business.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 See also, “</w:t>
      </w:r>
      <w:r>
        <w:rPr>
          <w:rFonts w:ascii="Arial" w:cs="Arial" w:eastAsia="Arial" w:hAnsi="Arial"/>
          <w:sz w:val="17"/>
          <w:szCs w:val="17"/>
          <w:i w:val="1"/>
          <w:iCs w:val="1"/>
          <w:color w:val="auto"/>
        </w:rPr>
        <w:t>Adverse changes in the political and economic policies of the U.S.</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government in connection with trade with China have reduced the demand for our products and damaged our business” </w:t>
      </w:r>
      <w:r>
        <w:rPr>
          <w:rFonts w:ascii="Arial" w:cs="Arial" w:eastAsia="Arial" w:hAnsi="Arial"/>
          <w:sz w:val="17"/>
          <w:szCs w:val="17"/>
          <w:color w:val="auto"/>
        </w:rPr>
        <w:t>and</w:t>
      </w:r>
      <w:r>
        <w:rPr>
          <w:rFonts w:ascii="Arial" w:cs="Arial" w:eastAsia="Arial" w:hAnsi="Arial"/>
          <w:sz w:val="17"/>
          <w:szCs w:val="17"/>
          <w:i w:val="1"/>
          <w:iCs w:val="1"/>
          <w:color w:val="auto"/>
        </w:rPr>
        <w:t xml:space="preserve"> "Changes in existing taxation benefits, rules or practices may adversely affect our financial results."</w:t>
      </w:r>
    </w:p>
    <w:p>
      <w:pPr>
        <w:spacing w:after="0" w:line="78" w:lineRule="exact"/>
        <w:rPr>
          <w:sz w:val="20"/>
          <w:szCs w:val="20"/>
          <w:color w:val="auto"/>
        </w:rPr>
      </w:pPr>
    </w:p>
    <w:p>
      <w:pPr>
        <w:ind w:right="60" w:firstLine="648"/>
        <w:spacing w:after="0" w:line="263" w:lineRule="auto"/>
        <w:rPr>
          <w:sz w:val="20"/>
          <w:szCs w:val="20"/>
          <w:color w:val="auto"/>
        </w:rPr>
      </w:pPr>
      <w:r>
        <w:rPr>
          <w:rFonts w:ascii="Arial" w:cs="Arial" w:eastAsia="Arial" w:hAnsi="Arial"/>
          <w:sz w:val="18"/>
          <w:szCs w:val="18"/>
          <w:color w:val="auto"/>
        </w:rPr>
        <w:t>Uncertainty surrounding the effect of Brexit, including changes to the legal and regulatory framework that apply to the United Kingdom and its relationship with the European Union, as well as new and proposed changes relating to Brexit affecting tax laws and trade policy in the U.S. and elsewhere may adversely impact our operations.</w:t>
      </w:r>
    </w:p>
    <w:p>
      <w:pPr>
        <w:spacing w:after="0" w:line="76" w:lineRule="exact"/>
        <w:rPr>
          <w:sz w:val="20"/>
          <w:szCs w:val="20"/>
          <w:color w:val="auto"/>
        </w:rPr>
      </w:pPr>
    </w:p>
    <w:p>
      <w:pPr>
        <w:ind w:right="40" w:firstLine="648"/>
        <w:spacing w:after="0" w:line="263" w:lineRule="auto"/>
        <w:rPr>
          <w:sz w:val="20"/>
          <w:szCs w:val="20"/>
          <w:color w:val="auto"/>
        </w:rPr>
      </w:pPr>
      <w:r>
        <w:rPr>
          <w:rFonts w:ascii="Arial" w:cs="Arial" w:eastAsia="Arial" w:hAnsi="Arial"/>
          <w:sz w:val="18"/>
          <w:szCs w:val="18"/>
          <w:color w:val="auto"/>
        </w:rPr>
        <w:t>The ongoing trade dispute between Japan and South Korea, including changes to the legal and regulatory framework that applies to exports of certain chemicals from Japan to South Korea that are used in the production of semiconductors may impact the global supply chain for semiconductors and therefore may adversely impact our operations.</w:t>
      </w:r>
    </w:p>
    <w:p>
      <w:pPr>
        <w:spacing w:after="0" w:line="315" w:lineRule="exact"/>
        <w:rPr>
          <w:sz w:val="20"/>
          <w:szCs w:val="20"/>
          <w:color w:val="auto"/>
        </w:rPr>
      </w:pPr>
    </w:p>
    <w:p>
      <w:pPr>
        <w:ind w:right="40"/>
        <w:spacing w:after="0" w:line="266" w:lineRule="auto"/>
        <w:rPr>
          <w:sz w:val="20"/>
          <w:szCs w:val="20"/>
          <w:color w:val="auto"/>
        </w:rPr>
      </w:pPr>
      <w:r>
        <w:rPr>
          <w:rFonts w:ascii="Arial" w:cs="Arial" w:eastAsia="Arial" w:hAnsi="Arial"/>
          <w:sz w:val="18"/>
          <w:szCs w:val="18"/>
          <w:b w:val="1"/>
          <w:b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207" w:lineRule="exact"/>
        <w:rPr>
          <w:sz w:val="20"/>
          <w:szCs w:val="20"/>
          <w:color w:val="auto"/>
        </w:rPr>
      </w:pPr>
    </w:p>
    <w:p>
      <w:pPr>
        <w:ind w:right="40" w:firstLine="648"/>
        <w:spacing w:after="0" w:line="275" w:lineRule="auto"/>
        <w:rPr>
          <w:sz w:val="20"/>
          <w:szCs w:val="20"/>
          <w:color w:val="auto"/>
        </w:rPr>
      </w:pPr>
      <w:r>
        <w:rPr>
          <w:rFonts w:ascii="Arial" w:cs="Arial" w:eastAsia="Arial" w:hAnsi="Arial"/>
          <w:sz w:val="17"/>
          <w:szCs w:val="17"/>
          <w:color w:val="auto"/>
        </w:rPr>
        <w:t>A substantial portion of our business is conducted outside of the United States and, as a result, we are subject to foreign business, political and economic risks. Most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shipped to customers with operations in Asia represented approximately 82% and 85% of our net revenue in fiscal 2020 and fiscal 2019, respectively.</w:t>
      </w:r>
    </w:p>
    <w:p>
      <w:pPr>
        <w:spacing w:after="0" w:line="68" w:lineRule="exact"/>
        <w:rPr>
          <w:sz w:val="20"/>
          <w:szCs w:val="20"/>
          <w:color w:val="auto"/>
        </w:rPr>
      </w:pPr>
    </w:p>
    <w:p>
      <w:pPr>
        <w:ind w:right="20" w:firstLine="648"/>
        <w:spacing w:after="0" w:line="259"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7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117" w:lineRule="exact"/>
        <w:rPr>
          <w:sz w:val="20"/>
          <w:szCs w:val="20"/>
          <w:color w:val="auto"/>
        </w:rPr>
      </w:pPr>
    </w:p>
    <w:p>
      <w:pPr>
        <w:ind w:left="660" w:right="520" w:hanging="328"/>
        <w:spacing w:after="0" w:line="258" w:lineRule="auto"/>
        <w:tabs>
          <w:tab w:leader="none" w:pos="655"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rise or spread of global pandemics or actual or threatened public health emergencies such as the Novel Coronavirus (COVID-19) on our operations, employees, customers and suppliers;</w:t>
      </w:r>
    </w:p>
    <w:p>
      <w:pPr>
        <w:spacing w:after="0" w:line="1" w:lineRule="exact"/>
        <w:rPr>
          <w:rFonts w:ascii="Arial" w:cs="Arial" w:eastAsia="Arial" w:hAnsi="Arial"/>
          <w:sz w:val="18"/>
          <w:szCs w:val="18"/>
          <w:color w:val="auto"/>
        </w:rPr>
      </w:pPr>
    </w:p>
    <w:p>
      <w:pPr>
        <w:ind w:left="660" w:hanging="328"/>
        <w:spacing w:after="0"/>
        <w:tabs>
          <w:tab w:leader="none" w:pos="660" w:val="left"/>
        </w:tabs>
        <w:numPr>
          <w:ilvl w:val="0"/>
          <w:numId w:val="11"/>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32" w:lineRule="exact"/>
        <w:rPr>
          <w:rFonts w:ascii="Arial" w:cs="Arial" w:eastAsia="Arial" w:hAnsi="Arial"/>
          <w:sz w:val="16"/>
          <w:szCs w:val="16"/>
          <w:color w:val="auto"/>
        </w:rPr>
      </w:pPr>
    </w:p>
    <w:p>
      <w:pPr>
        <w:ind w:left="660" w:right="420" w:hanging="328"/>
        <w:spacing w:after="0" w:line="250" w:lineRule="auto"/>
        <w:tabs>
          <w:tab w:leader="none" w:pos="655" w:val="left"/>
        </w:tabs>
        <w:numPr>
          <w:ilvl w:val="0"/>
          <w:numId w:val="11"/>
        </w:numPr>
        <w:rPr>
          <w:rFonts w:ascii="Arial" w:cs="Arial" w:eastAsia="Arial" w:hAnsi="Arial"/>
          <w:sz w:val="18"/>
          <w:szCs w:val="18"/>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ind w:left="660" w:right="680" w:hanging="328"/>
        <w:spacing w:after="0" w:line="250" w:lineRule="auto"/>
        <w:tabs>
          <w:tab w:leader="none" w:pos="655" w:val="left"/>
        </w:tabs>
        <w:numPr>
          <w:ilvl w:val="0"/>
          <w:numId w:val="11"/>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ind w:left="660" w:right="20" w:hanging="328"/>
        <w:spacing w:after="0" w:line="250" w:lineRule="auto"/>
        <w:tabs>
          <w:tab w:leader="none" w:pos="655" w:val="left"/>
        </w:tabs>
        <w:numPr>
          <w:ilvl w:val="0"/>
          <w:numId w:val="11"/>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ind w:left="660" w:hanging="328"/>
        <w:spacing w:after="0"/>
        <w:tabs>
          <w:tab w:leader="none" w:pos="6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34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282" w:right="359" w:bottom="1440" w:gutter="0" w:footer="0" w:header="0"/>
        </w:sectPr>
      </w:pPr>
    </w:p>
    <w:bookmarkStart w:id="15" w:name="page16"/>
    <w:bookmarkEnd w:id="15"/>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natural disasters, including earthquakes, fires, tsunamis and floods;</w:t>
      </w:r>
    </w:p>
    <w:p>
      <w:pPr>
        <w:spacing w:after="0" w:line="23" w:lineRule="exact"/>
        <w:rPr>
          <w:rFonts w:ascii="Arial" w:cs="Arial" w:eastAsia="Arial" w:hAnsi="Arial"/>
          <w:sz w:val="18"/>
          <w:szCs w:val="18"/>
          <w:color w:val="auto"/>
        </w:rPr>
      </w:pPr>
    </w:p>
    <w:p>
      <w:pPr>
        <w:ind w:left="660" w:hanging="328"/>
        <w:spacing w:after="0" w:line="250" w:lineRule="auto"/>
        <w:tabs>
          <w:tab w:leader="none" w:pos="655" w:val="left"/>
        </w:tabs>
        <w:numPr>
          <w:ilvl w:val="0"/>
          <w:numId w:val="12"/>
        </w:numPr>
        <w:rPr>
          <w:rFonts w:ascii="Arial" w:cs="Arial" w:eastAsia="Arial" w:hAnsi="Arial"/>
          <w:sz w:val="18"/>
          <w:szCs w:val="18"/>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Trump administration;</w:t>
      </w: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03" w:lineRule="exact"/>
        <w:rPr>
          <w:sz w:val="20"/>
          <w:szCs w:val="20"/>
          <w:color w:val="auto"/>
        </w:rPr>
      </w:pPr>
    </w:p>
    <w:p>
      <w:pPr>
        <w:ind w:right="80" w:firstLine="648"/>
        <w:spacing w:after="0" w:line="342"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w:t>
      </w:r>
    </w:p>
    <w:p>
      <w:pPr>
        <w:spacing w:after="0" w:line="16" w:lineRule="exact"/>
        <w:rPr>
          <w:sz w:val="20"/>
          <w:szCs w:val="20"/>
          <w:color w:val="auto"/>
        </w:rPr>
      </w:pPr>
    </w:p>
    <w:p>
      <w:pPr>
        <w:jc w:val="both"/>
        <w:ind w:right="240" w:firstLine="648"/>
        <w:spacing w:after="0" w:line="263"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CHANGES IN PRODUCT DEMAND CAN ADVERSELY AFFECT OUR FINANCIAL RESULTS</w:t>
      </w:r>
    </w:p>
    <w:p>
      <w:pPr>
        <w:spacing w:after="0" w:line="235" w:lineRule="exact"/>
        <w:rPr>
          <w:sz w:val="20"/>
          <w:szCs w:val="20"/>
          <w:color w:val="auto"/>
        </w:rPr>
      </w:pPr>
    </w:p>
    <w:p>
      <w:pPr>
        <w:spacing w:after="0" w:line="314" w:lineRule="auto"/>
        <w:rPr>
          <w:sz w:val="20"/>
          <w:szCs w:val="20"/>
          <w:color w:val="auto"/>
        </w:rPr>
      </w:pPr>
      <w:r>
        <w:rPr>
          <w:rFonts w:ascii="Arial" w:cs="Arial" w:eastAsia="Arial" w:hAnsi="Arial"/>
          <w:sz w:val="16"/>
          <w:szCs w:val="16"/>
          <w:b w:val="1"/>
          <w:b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173" w:lineRule="exact"/>
        <w:rPr>
          <w:sz w:val="20"/>
          <w:szCs w:val="20"/>
          <w:color w:val="auto"/>
        </w:rPr>
      </w:pPr>
    </w:p>
    <w:p>
      <w:pPr>
        <w:ind w:firstLine="648"/>
        <w:spacing w:after="0" w:line="291" w:lineRule="auto"/>
        <w:rPr>
          <w:sz w:val="20"/>
          <w:szCs w:val="20"/>
          <w:color w:val="auto"/>
        </w:rPr>
      </w:pPr>
      <w:r>
        <w:rPr>
          <w:rFonts w:ascii="Arial" w:cs="Arial" w:eastAsia="Arial" w:hAnsi="Arial"/>
          <w:sz w:val="16"/>
          <w:szCs w:val="16"/>
          <w:color w:val="auto"/>
        </w:rPr>
        <w:t>We receive a significant amount of our revenue from a limited number of customers. Net revenue from our four largest customers represented 36% and 43% of our net revenue for fiscal 2020 and fiscal 2019, respectively.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58" w:lineRule="exact"/>
        <w:rPr>
          <w:sz w:val="20"/>
          <w:szCs w:val="20"/>
          <w:color w:val="auto"/>
        </w:rPr>
      </w:pPr>
    </w:p>
    <w:p>
      <w:pPr>
        <w:ind w:right="160" w:firstLine="648"/>
        <w:spacing w:after="0" w:line="259"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79" w:lineRule="exact"/>
        <w:rPr>
          <w:sz w:val="20"/>
          <w:szCs w:val="20"/>
          <w:color w:val="auto"/>
        </w:rPr>
      </w:pPr>
    </w:p>
    <w:p>
      <w:pPr>
        <w:ind w:left="660" w:right="400" w:hanging="328"/>
        <w:spacing w:after="0" w:line="258" w:lineRule="auto"/>
        <w:tabs>
          <w:tab w:leader="none" w:pos="655" w:val="left"/>
        </w:tabs>
        <w:numPr>
          <w:ilvl w:val="0"/>
          <w:numId w:val="13"/>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1" w:lineRule="exact"/>
        <w:rPr>
          <w:rFonts w:ascii="Arial" w:cs="Arial" w:eastAsia="Arial" w:hAnsi="Arial"/>
          <w:sz w:val="18"/>
          <w:szCs w:val="18"/>
          <w:color w:val="auto"/>
        </w:rPr>
      </w:pPr>
    </w:p>
    <w:p>
      <w:pPr>
        <w:ind w:left="660" w:hanging="328"/>
        <w:spacing w:after="0"/>
        <w:tabs>
          <w:tab w:leader="none" w:pos="6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9" w:lineRule="exact"/>
        <w:rPr>
          <w:rFonts w:ascii="Arial" w:cs="Arial" w:eastAsia="Arial" w:hAnsi="Arial"/>
          <w:sz w:val="18"/>
          <w:szCs w:val="18"/>
          <w:color w:val="auto"/>
        </w:rPr>
      </w:pPr>
    </w:p>
    <w:p>
      <w:pPr>
        <w:ind w:left="660" w:right="120" w:hanging="328"/>
        <w:spacing w:after="0" w:line="250" w:lineRule="auto"/>
        <w:tabs>
          <w:tab w:leader="none" w:pos="655"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particularly in jurisdictions such as China that may be subject to trade bans or tariffs, may develop their own solutions or acquire fully developed solutions from third-parties;</w:t>
      </w:r>
    </w:p>
    <w:p>
      <w:pPr>
        <w:ind w:left="660" w:right="300" w:hanging="328"/>
        <w:spacing w:after="0" w:line="250" w:lineRule="auto"/>
        <w:tabs>
          <w:tab w:leader="none" w:pos="655"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 including, but not limited to, those driven by financial instability, actual or threatened pandemics or public health emergencies or other global or regional macroeconomic developments; or</w:t>
      </w:r>
    </w:p>
    <w:p>
      <w:pPr>
        <w:ind w:left="660" w:right="180" w:hanging="328"/>
        <w:spacing w:after="0" w:line="255" w:lineRule="auto"/>
        <w:tabs>
          <w:tab w:leader="none" w:pos="655"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consolidate (for example, Western Digital acquired SanDisk in 2017, and Toshiba Corporation sold control of a portion of its semiconductor business in 2018), which could lead to changing demand for our products, replacement of our products by the merged entity with those of our competitors and cancellation of orders.</w:t>
      </w:r>
    </w:p>
    <w:p>
      <w:pPr>
        <w:spacing w:after="0" w:line="3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16" w:name="page17"/>
    <w:bookmarkEnd w:id="16"/>
    <w:p>
      <w:pPr>
        <w:spacing w:after="0"/>
        <w:rPr>
          <w:sz w:val="20"/>
          <w:szCs w:val="20"/>
          <w:color w:val="auto"/>
        </w:rPr>
      </w:pPr>
      <w:r>
        <w:rPr>
          <w:rFonts w:ascii="Arial" w:cs="Arial" w:eastAsia="Arial" w:hAnsi="Arial"/>
          <w:sz w:val="16"/>
          <w:szCs w:val="16"/>
          <w:b w:val="1"/>
          <w:bCs w:val="1"/>
          <w:color w:val="auto"/>
        </w:rPr>
        <w:t>Unfavorable or uncertain conditions in the 5G infrastructure market may cause fluctuations in our rate of revenue growth or financial results.</w:t>
      </w:r>
    </w:p>
    <w:p>
      <w:pPr>
        <w:spacing w:after="0" w:line="279" w:lineRule="exact"/>
        <w:rPr>
          <w:sz w:val="20"/>
          <w:szCs w:val="20"/>
          <w:color w:val="auto"/>
        </w:rPr>
      </w:pPr>
    </w:p>
    <w:p>
      <w:pPr>
        <w:ind w:left="660"/>
        <w:spacing w:after="0"/>
        <w:rPr>
          <w:sz w:val="20"/>
          <w:szCs w:val="20"/>
          <w:color w:val="auto"/>
        </w:rPr>
      </w:pPr>
      <w:r>
        <w:rPr>
          <w:rFonts w:ascii="Arial" w:cs="Arial" w:eastAsia="Arial" w:hAnsi="Arial"/>
          <w:sz w:val="17"/>
          <w:szCs w:val="17"/>
          <w:color w:val="auto"/>
        </w:rPr>
        <w:t>Markets for 5G infrastructure may not develop in the manner or in the time periods we anticipate. If domestic and global economic conditions</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worsen, particularly in light of the impacts of Novel Coronavirus (COVID-19) and potential global recession resulting therefrom, overall spending on 5G</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infrastructure may be reduced, which would adversely impact demand for our products in these markets. In addition, unfavorable developments with</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evolving laws and regulations worldwide related to 5G or 5G suppliers may limit global adoption, impede our strategy, and negatively impact our long-</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term expectations in this area. Even if the 5G infrastructure market develops in the manner or in the time periods we anticipate, if we do not have timely,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competitively priced, market-accepted products available to meet our customers’ planned roll-out of 5G wireless communications systems, we may miss a</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significant opportunity and our business, financial condition, results of operations and cash flows could be materially and adversely affected. See also,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Our sales are concentrated in a few large customers. If we lose or experience a significant reduction in sales to any of these key customers, if any of these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key customers experience a significant decline in market share, or if any of these customers experience significant financial difficulties, our revenue may</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decrease substantially and our results of operations and financial condition may be harmed.</w:t>
      </w:r>
      <w:r>
        <w:rPr>
          <w:rFonts w:ascii="Arial" w:cs="Arial" w:eastAsia="Arial" w:hAnsi="Arial"/>
          <w:sz w:val="17"/>
          <w:szCs w:val="17"/>
          <w:color w:val="auto"/>
        </w:rPr>
        <w:t>” for additional risks related to export restrictions that may</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impact a customer in the 5G infrastructure market.</w:t>
      </w:r>
    </w:p>
    <w:p>
      <w:pPr>
        <w:spacing w:after="0" w:line="234" w:lineRule="exact"/>
        <w:rPr>
          <w:sz w:val="20"/>
          <w:szCs w:val="20"/>
          <w:color w:val="auto"/>
        </w:rPr>
      </w:pPr>
    </w:p>
    <w:p>
      <w:pPr>
        <w:ind w:right="20"/>
        <w:spacing w:after="0" w:line="266" w:lineRule="auto"/>
        <w:rPr>
          <w:sz w:val="20"/>
          <w:szCs w:val="20"/>
          <w:color w:val="auto"/>
        </w:rPr>
      </w:pPr>
      <w:r>
        <w:rPr>
          <w:rFonts w:ascii="Arial" w:cs="Arial" w:eastAsia="Arial" w:hAnsi="Arial"/>
          <w:sz w:val="18"/>
          <w:szCs w:val="18"/>
          <w:b w:val="1"/>
          <w:bCs w:val="1"/>
          <w:color w:val="auto"/>
        </w:rPr>
        <w:t>We are subject to order and shipment 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07" w:lineRule="exact"/>
        <w:rPr>
          <w:sz w:val="20"/>
          <w:szCs w:val="20"/>
          <w:color w:val="auto"/>
        </w:rPr>
      </w:pPr>
    </w:p>
    <w:p>
      <w:pPr>
        <w:ind w:firstLine="648"/>
        <w:spacing w:after="0" w:line="293"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56" w:lineRule="exact"/>
        <w:rPr>
          <w:sz w:val="20"/>
          <w:szCs w:val="20"/>
          <w:color w:val="auto"/>
        </w:rPr>
      </w:pPr>
    </w:p>
    <w:p>
      <w:pPr>
        <w:ind w:right="160" w:firstLine="648"/>
        <w:spacing w:after="0" w:line="273" w:lineRule="auto"/>
        <w:rPr>
          <w:sz w:val="20"/>
          <w:szCs w:val="20"/>
          <w:color w:val="auto"/>
        </w:rPr>
      </w:pPr>
      <w:r>
        <w:rPr>
          <w:rFonts w:ascii="Arial" w:cs="Arial" w:eastAsia="Arial" w:hAnsi="Arial"/>
          <w:sz w:val="17"/>
          <w:szCs w:val="17"/>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70" w:lineRule="exact"/>
        <w:rPr>
          <w:sz w:val="20"/>
          <w:szCs w:val="20"/>
          <w:color w:val="auto"/>
        </w:rPr>
      </w:pPr>
    </w:p>
    <w:p>
      <w:pPr>
        <w:ind w:firstLine="648"/>
        <w:spacing w:after="0" w:line="259"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79"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282" w:right="359" w:bottom="1440" w:gutter="0" w:footer="0" w:header="0"/>
        </w:sectPr>
      </w:pPr>
    </w:p>
    <w:bookmarkStart w:id="17" w:name="page18"/>
    <w:bookmarkEnd w:id="17"/>
    <w:p>
      <w:pPr>
        <w:spacing w:after="0"/>
        <w:rPr>
          <w:sz w:val="20"/>
          <w:szCs w:val="20"/>
          <w:color w:val="auto"/>
        </w:rPr>
      </w:pPr>
      <w:r>
        <w:rPr>
          <w:rFonts w:ascii="Arial" w:cs="Arial" w:eastAsia="Arial" w:hAnsi="Arial"/>
          <w:sz w:val="18"/>
          <w:szCs w:val="18"/>
          <w:b w:val="1"/>
          <w:bCs w:val="1"/>
          <w:color w:val="auto"/>
        </w:rPr>
        <w:t>We operate in intensely competitive markets. Our failure to compete effectively would harm our results of operations.</w:t>
      </w:r>
    </w:p>
    <w:p>
      <w:pPr>
        <w:spacing w:after="0" w:line="256" w:lineRule="exact"/>
        <w:rPr>
          <w:sz w:val="20"/>
          <w:szCs w:val="20"/>
          <w:color w:val="auto"/>
        </w:rPr>
      </w:pPr>
    </w:p>
    <w:p>
      <w:pPr>
        <w:ind w:right="60" w:firstLine="648"/>
        <w:spacing w:after="0" w:line="273" w:lineRule="auto"/>
        <w:rPr>
          <w:sz w:val="20"/>
          <w:szCs w:val="20"/>
          <w:color w:val="auto"/>
        </w:rPr>
      </w:pPr>
      <w:r>
        <w:rPr>
          <w:rFonts w:ascii="Arial" w:cs="Arial" w:eastAsia="Arial" w:hAnsi="Arial"/>
          <w:sz w:val="17"/>
          <w:szCs w:val="17"/>
          <w:color w:val="auto"/>
        </w:rPr>
        <w:t>The semiconductor industry, and specifically the storage, networking and infrastructure markets, is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70" w:lineRule="exact"/>
        <w:rPr>
          <w:sz w:val="20"/>
          <w:szCs w:val="20"/>
          <w:color w:val="auto"/>
        </w:rPr>
      </w:pPr>
    </w:p>
    <w:p>
      <w:pPr>
        <w:ind w:right="20" w:firstLine="648"/>
        <w:spacing w:after="0" w:line="286"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57" w:lineRule="exact"/>
        <w:rPr>
          <w:sz w:val="20"/>
          <w:szCs w:val="20"/>
          <w:color w:val="auto"/>
        </w:rPr>
      </w:pPr>
    </w:p>
    <w:p>
      <w:pPr>
        <w:ind w:firstLine="648"/>
        <w:spacing w:after="0" w:line="257" w:lineRule="auto"/>
        <w:rPr>
          <w:sz w:val="20"/>
          <w:szCs w:val="20"/>
          <w:color w:val="auto"/>
        </w:rPr>
      </w:pPr>
      <w:r>
        <w:rPr>
          <w:rFonts w:ascii="Arial" w:cs="Arial" w:eastAsia="Arial" w:hAnsi="Arial"/>
          <w:sz w:val="18"/>
          <w:szCs w:val="18"/>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 For example, certain U.S. and E.U. regulators are currently investigating whether a competitor may have abused its dominant market position to harm competition by forcing customers to deal with it exclusively, bundling its various semiconductors with other products, or by distorting the market by using illegal rebates.</w:t>
      </w:r>
    </w:p>
    <w:p>
      <w:pPr>
        <w:spacing w:after="0" w:line="80" w:lineRule="exact"/>
        <w:rPr>
          <w:sz w:val="20"/>
          <w:szCs w:val="20"/>
          <w:color w:val="auto"/>
        </w:rPr>
      </w:pPr>
    </w:p>
    <w:p>
      <w:pPr>
        <w:ind w:right="560" w:firstLine="648"/>
        <w:spacing w:after="0" w:line="277" w:lineRule="auto"/>
        <w:rPr>
          <w:sz w:val="20"/>
          <w:szCs w:val="20"/>
          <w:color w:val="auto"/>
        </w:rPr>
      </w:pPr>
      <w:r>
        <w:rPr>
          <w:rFonts w:ascii="Arial" w:cs="Arial" w:eastAsia="Arial" w:hAnsi="Arial"/>
          <w:sz w:val="18"/>
          <w:szCs w:val="18"/>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spacing w:after="0" w:line="62" w:lineRule="exact"/>
        <w:rPr>
          <w:sz w:val="20"/>
          <w:szCs w:val="20"/>
          <w:color w:val="auto"/>
        </w:rPr>
      </w:pPr>
    </w:p>
    <w:p>
      <w:pPr>
        <w:ind w:right="120" w:firstLine="648"/>
        <w:spacing w:after="0" w:line="257" w:lineRule="auto"/>
        <w:rPr>
          <w:sz w:val="20"/>
          <w:szCs w:val="20"/>
          <w:color w:val="auto"/>
        </w:rPr>
      </w:pPr>
      <w:r>
        <w:rPr>
          <w:rFonts w:ascii="Arial" w:cs="Arial" w:eastAsia="Arial" w:hAnsi="Arial"/>
          <w:sz w:val="18"/>
          <w:szCs w:val="18"/>
          <w:color w:val="auto"/>
        </w:rPr>
        <w:t>In addition, the semiconductor industry has experienced increased consolidation over the past several years. For example, Microchip Technology acquired Microsemi in May 2018 and ON Semiconductor purchased Quantenna Communications, Inc. in June 2019, NVIDIA Corporation entered into an agreement to purchase Mellanox Technologies on March 11, 2019 and Infineon entered into an agreement to purchase Cypress Semiconductors in June 2019. Consolidation among our competitors could lead to a changing competitive landscape, capabilities and market share, which could put us at a competitive disadvantage and harm our results of operations.</w:t>
      </w:r>
    </w:p>
    <w:p>
      <w:pPr>
        <w:spacing w:after="0" w:line="211" w:lineRule="exact"/>
        <w:rPr>
          <w:sz w:val="20"/>
          <w:szCs w:val="20"/>
          <w:color w:val="auto"/>
        </w:rPr>
      </w:pPr>
    </w:p>
    <w:p>
      <w:pPr>
        <w:ind w:right="680"/>
        <w:spacing w:after="0" w:line="282" w:lineRule="auto"/>
        <w:rPr>
          <w:sz w:val="20"/>
          <w:szCs w:val="20"/>
          <w:color w:val="auto"/>
        </w:rPr>
      </w:pPr>
      <w:r>
        <w:rPr>
          <w:rFonts w:ascii="Arial" w:cs="Arial" w:eastAsia="Arial" w:hAnsi="Arial"/>
          <w:sz w:val="18"/>
          <w:szCs w:val="18"/>
          <w:b w:val="1"/>
          <w:bCs w:val="1"/>
          <w:color w:val="auto"/>
        </w:rPr>
        <w:t>A significant portion of our revenue comes from the storage industry, which experiences rapid technological change, is subject to industry consolidation, is facing increased competition from alternative technologies and is highly cyclical.</w:t>
      </w:r>
    </w:p>
    <w:p>
      <w:pPr>
        <w:spacing w:after="0" w:line="193" w:lineRule="exact"/>
        <w:rPr>
          <w:sz w:val="20"/>
          <w:szCs w:val="20"/>
          <w:color w:val="auto"/>
        </w:rPr>
      </w:pPr>
    </w:p>
    <w:p>
      <w:pPr>
        <w:jc w:val="both"/>
        <w:ind w:right="100" w:firstLine="648"/>
        <w:spacing w:after="0" w:line="286" w:lineRule="auto"/>
        <w:rPr>
          <w:sz w:val="20"/>
          <w:szCs w:val="20"/>
          <w:color w:val="auto"/>
        </w:rPr>
      </w:pPr>
      <w:r>
        <w:rPr>
          <w:rFonts w:ascii="Arial" w:cs="Arial" w:eastAsia="Arial" w:hAnsi="Arial"/>
          <w:sz w:val="17"/>
          <w:szCs w:val="17"/>
          <w:color w:val="auto"/>
        </w:rPr>
        <w:t>We depend on a few customers for our SSD controllers and as such, the loss of any SSD controller customer or a significant reduction in sales we make to them may harm our financial condition and results of operations. SSD customers have, and may in the future develop their own controllers, which could pose a challenge to our market share in the SSD space and adversely affect our revenues in the storage business.</w:t>
      </w:r>
    </w:p>
    <w:p>
      <w:pPr>
        <w:spacing w:after="0" w:line="57" w:lineRule="exact"/>
        <w:rPr>
          <w:sz w:val="20"/>
          <w:szCs w:val="20"/>
          <w:color w:val="auto"/>
        </w:rPr>
      </w:pPr>
    </w:p>
    <w:p>
      <w:pPr>
        <w:ind w:right="180" w:firstLine="648"/>
        <w:spacing w:after="0" w:line="259" w:lineRule="auto"/>
        <w:rPr>
          <w:sz w:val="20"/>
          <w:szCs w:val="20"/>
          <w:color w:val="auto"/>
        </w:rPr>
      </w:pPr>
      <w:r>
        <w:rPr>
          <w:rFonts w:ascii="Arial" w:cs="Arial" w:eastAsia="Arial" w:hAnsi="Arial"/>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are a source of competition to manufacturers of HDDs. Although we offer SSD controllers, leveraging our technology in hard drives, we cannot ensure that our overall business will not be adversely affected if demand for traditional HDDs decreases.</w:t>
      </w:r>
    </w:p>
    <w:p>
      <w:pPr>
        <w:spacing w:after="0" w:line="79" w:lineRule="exact"/>
        <w:rPr>
          <w:sz w:val="20"/>
          <w:szCs w:val="20"/>
          <w:color w:val="auto"/>
        </w:rPr>
      </w:pPr>
    </w:p>
    <w:p>
      <w:pPr>
        <w:ind w:right="120" w:firstLine="648"/>
        <w:spacing w:after="0" w:line="286" w:lineRule="auto"/>
        <w:rPr>
          <w:sz w:val="20"/>
          <w:szCs w:val="20"/>
          <w:color w:val="auto"/>
        </w:rPr>
      </w:pPr>
      <w:r>
        <w:rPr>
          <w:rFonts w:ascii="Arial" w:cs="Arial" w:eastAsia="Arial" w:hAnsi="Arial"/>
          <w:sz w:val="17"/>
          <w:szCs w:val="17"/>
          <w:color w:val="auto"/>
        </w:rPr>
        <w:t>Manufacturers tend to order more components than they may need during growth periods, and sharply reduce orders for components during periods of contraction. Rapid technological changes in the industry often result in shifts in market share among the industry’s participants. If the HDD and SSD manufacturers using our products do not retain or increase their market share, our sales may decrease.</w:t>
      </w:r>
    </w:p>
    <w:p>
      <w:pPr>
        <w:spacing w:after="0" w:line="57" w:lineRule="exact"/>
        <w:rPr>
          <w:sz w:val="20"/>
          <w:szCs w:val="20"/>
          <w:color w:val="auto"/>
        </w:rPr>
      </w:pPr>
    </w:p>
    <w:p>
      <w:pPr>
        <w:ind w:right="160" w:firstLine="648"/>
        <w:spacing w:after="0" w:line="259" w:lineRule="auto"/>
        <w:rPr>
          <w:sz w:val="20"/>
          <w:szCs w:val="20"/>
          <w:color w:val="auto"/>
        </w:rPr>
      </w:pPr>
      <w:r>
        <w:rPr>
          <w:rFonts w:ascii="Arial" w:cs="Arial" w:eastAsia="Arial" w:hAnsi="Arial"/>
          <w:sz w:val="18"/>
          <w:szCs w:val="18"/>
          <w:color w:val="auto"/>
        </w:rPr>
        <w:t>In addition, the storage industry has experienced significant consolidation. Consolidation among our customers will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79" w:lineRule="exact"/>
        <w:rPr>
          <w:sz w:val="20"/>
          <w:szCs w:val="20"/>
          <w:color w:val="auto"/>
        </w:rPr>
      </w:pPr>
    </w:p>
    <w:p>
      <w:pPr>
        <w:ind w:right="40" w:firstLine="648"/>
        <w:spacing w:after="0" w:line="277" w:lineRule="auto"/>
        <w:rPr>
          <w:sz w:val="20"/>
          <w:szCs w:val="20"/>
          <w:color w:val="auto"/>
        </w:rPr>
      </w:pPr>
      <w:r>
        <w:rPr>
          <w:rFonts w:ascii="Arial" w:cs="Arial" w:eastAsia="Arial" w:hAnsi="Arial"/>
          <w:sz w:val="18"/>
          <w:szCs w:val="18"/>
          <w:color w:val="auto"/>
        </w:rPr>
        <w:t>This industry has historically been cyclical, with periods of increased demand and rapid growth followed by periods of oversupply and subsequent contraction. These cycles may affect us because some of our largest customers participate in this industry.</w:t>
      </w:r>
    </w:p>
    <w:p>
      <w:pPr>
        <w:spacing w:after="0" w:line="62" w:lineRule="exact"/>
        <w:rPr>
          <w:sz w:val="20"/>
          <w:szCs w:val="20"/>
          <w:color w:val="auto"/>
        </w:rPr>
      </w:pPr>
    </w:p>
    <w:p>
      <w:pPr>
        <w:ind w:left="660"/>
        <w:spacing w:after="0"/>
        <w:rPr>
          <w:sz w:val="20"/>
          <w:szCs w:val="20"/>
          <w:color w:val="auto"/>
        </w:rPr>
      </w:pPr>
      <w:r>
        <w:rPr>
          <w:rFonts w:ascii="Arial" w:cs="Arial" w:eastAsia="Arial" w:hAnsi="Arial"/>
          <w:sz w:val="16"/>
          <w:szCs w:val="16"/>
          <w:color w:val="auto"/>
        </w:rPr>
        <w:t>As a result, the average selling price of each of our products usually declines as individual products mature and competitors enter the market.</w:t>
      </w: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0" w:right="339" w:bottom="1440" w:gutter="0" w:footer="0" w:header="0"/>
        </w:sectPr>
      </w:pPr>
    </w:p>
    <w:bookmarkStart w:id="18" w:name="page19"/>
    <w:bookmarkEnd w:id="18"/>
    <w:p>
      <w:pPr>
        <w:ind w:right="160"/>
        <w:spacing w:after="0" w:line="282" w:lineRule="auto"/>
        <w:rPr>
          <w:sz w:val="20"/>
          <w:szCs w:val="20"/>
          <w:color w:val="auto"/>
        </w:rPr>
      </w:pPr>
      <w:r>
        <w:rPr>
          <w:rFonts w:ascii="Arial" w:cs="Arial" w:eastAsia="Arial" w:hAnsi="Arial"/>
          <w:sz w:val="18"/>
          <w:szCs w:val="18"/>
          <w:b w:val="1"/>
          <w:bCs w:val="1"/>
          <w:color w:val="auto"/>
        </w:rPr>
        <w:t>Our gross margin and results of operations may be adversely affected in the future by a number of factors, including decreases in average selling prices of products over time and shifts in our product mix.</w:t>
      </w:r>
    </w:p>
    <w:p>
      <w:pPr>
        <w:spacing w:after="0" w:line="193" w:lineRule="exact"/>
        <w:rPr>
          <w:sz w:val="20"/>
          <w:szCs w:val="20"/>
          <w:color w:val="auto"/>
        </w:rPr>
      </w:pPr>
    </w:p>
    <w:p>
      <w:pPr>
        <w:ind w:firstLine="648"/>
        <w:spacing w:after="0" w:line="301"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49" w:lineRule="exact"/>
        <w:rPr>
          <w:sz w:val="20"/>
          <w:szCs w:val="20"/>
          <w:color w:val="auto"/>
        </w:rPr>
      </w:pPr>
    </w:p>
    <w:p>
      <w:pPr>
        <w:ind w:firstLine="648"/>
        <w:spacing w:after="0" w:line="270"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73" w:lineRule="exact"/>
        <w:rPr>
          <w:sz w:val="20"/>
          <w:szCs w:val="20"/>
          <w:color w:val="auto"/>
        </w:rPr>
      </w:pPr>
    </w:p>
    <w:p>
      <w:pPr>
        <w:ind w:right="180" w:firstLine="648"/>
        <w:spacing w:after="0" w:line="308" w:lineRule="auto"/>
        <w:rPr>
          <w:sz w:val="20"/>
          <w:szCs w:val="20"/>
          <w:color w:val="auto"/>
        </w:rPr>
      </w:pPr>
      <w:r>
        <w:rPr>
          <w:rFonts w:ascii="Arial" w:cs="Arial" w:eastAsia="Arial" w:hAnsi="Arial"/>
          <w:sz w:val="17"/>
          <w:szCs w:val="17"/>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38" w:lineRule="exact"/>
        <w:rPr>
          <w:sz w:val="20"/>
          <w:szCs w:val="20"/>
          <w:color w:val="auto"/>
        </w:rPr>
      </w:pPr>
    </w:p>
    <w:p>
      <w:pPr>
        <w:ind w:right="20" w:firstLine="648"/>
        <w:spacing w:after="0" w:line="293" w:lineRule="auto"/>
        <w:rPr>
          <w:sz w:val="20"/>
          <w:szCs w:val="20"/>
          <w:color w:val="auto"/>
        </w:rPr>
      </w:pPr>
      <w:r>
        <w:rPr>
          <w:rFonts w:ascii="Arial" w:cs="Arial" w:eastAsia="Arial" w:hAnsi="Arial"/>
          <w:sz w:val="16"/>
          <w:szCs w:val="16"/>
          <w:color w:val="auto"/>
        </w:rPr>
        <w:t>Entry into new markets, such as markets with different business models, as a result of our acquisitions may reduce our gross margin and operating margin. For example, the Avera business uses an ASIC model to offer end-to-end solutions for IP, design team, Fab &amp;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or if they do not pay enough to cover the costs we incur in connection with NREs. In addition, our operating margin may decline if we are unable to sell products in sufficient volumes to cover the development costs that we have incurred.</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color w:val="auto"/>
        </w:rPr>
        <w:t>WE ARE VULNERABLE TO PRODUCT DEVELOPMENT AND MANUFACTURING-RELATED RISKS</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experience increased actual and opportunity costs as a result of our transition to smaller geometry process technologies.</w:t>
      </w:r>
    </w:p>
    <w:p>
      <w:pPr>
        <w:spacing w:after="0" w:line="256" w:lineRule="exact"/>
        <w:rPr>
          <w:sz w:val="20"/>
          <w:szCs w:val="20"/>
          <w:color w:val="auto"/>
        </w:rPr>
      </w:pPr>
    </w:p>
    <w:p>
      <w:pPr>
        <w:ind w:right="20" w:firstLine="648"/>
        <w:spacing w:after="0" w:line="243" w:lineRule="auto"/>
        <w:rPr>
          <w:sz w:val="20"/>
          <w:szCs w:val="20"/>
          <w:color w:val="auto"/>
        </w:rPr>
      </w:pPr>
      <w:r>
        <w:rPr>
          <w:rFonts w:ascii="Arial" w:cs="Arial" w:eastAsia="Arial" w:hAnsi="Arial"/>
          <w:sz w:val="18"/>
          <w:szCs w:val="18"/>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such as increased mask costs and wafer costs and increased costs related to EDA tools and the opportunity costs related to the technologies we choose to forego. These transitions are imperative for us to be competitive with the rest of the industry and to target some of our product development in high growth areas to these advanced nodes, which has resulted in significant initial design and development costs.</w:t>
      </w:r>
    </w:p>
    <w:p>
      <w:pPr>
        <w:spacing w:after="0" w:line="79" w:lineRule="exact"/>
        <w:rPr>
          <w:sz w:val="20"/>
          <w:szCs w:val="20"/>
          <w:color w:val="auto"/>
        </w:rPr>
      </w:pPr>
    </w:p>
    <w:p>
      <w:pPr>
        <w:ind w:right="20" w:firstLine="648"/>
        <w:spacing w:after="0" w:line="301" w:lineRule="auto"/>
        <w:rPr>
          <w:sz w:val="20"/>
          <w:szCs w:val="20"/>
          <w:color w:val="auto"/>
        </w:rPr>
      </w:pPr>
      <w:r>
        <w:rPr>
          <w:rFonts w:ascii="Arial" w:cs="Arial" w:eastAsia="Arial" w:hAnsi="Arial"/>
          <w:sz w:val="16"/>
          <w:szCs w:val="16"/>
          <w:color w:val="auto"/>
        </w:rPr>
        <w:t>We have been, and may continue to be, dependent on our relationships with our foundry subcontractors to transition to smaller geometry processes successfully. We cannot ensure that the foundries we use will be able to effectively manage any future transitions. If we or any of our foundry subcontractors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49" w:lineRule="exact"/>
        <w:rPr>
          <w:sz w:val="20"/>
          <w:szCs w:val="20"/>
          <w:color w:val="auto"/>
        </w:rPr>
      </w:pPr>
    </w:p>
    <w:p>
      <w:pPr>
        <w:ind w:right="140" w:firstLine="648"/>
        <w:spacing w:after="0" w:line="301"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0" w:lineRule="exact"/>
        <w:rPr>
          <w:sz w:val="20"/>
          <w:szCs w:val="20"/>
          <w:color w:val="auto"/>
        </w:rPr>
      </w:pPr>
    </w:p>
    <w:p>
      <w:pPr>
        <w:spacing w:after="0" w:line="33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19" w:name="page20"/>
    <w:bookmarkEnd w:id="19"/>
    <w:p>
      <w:pPr>
        <w:ind w:right="340"/>
        <w:spacing w:after="0" w:line="266" w:lineRule="auto"/>
        <w:rPr>
          <w:sz w:val="20"/>
          <w:szCs w:val="20"/>
          <w:color w:val="auto"/>
        </w:rPr>
      </w:pPr>
      <w:r>
        <w:rPr>
          <w:rFonts w:ascii="Arial" w:cs="Arial" w:eastAsia="Arial" w:hAnsi="Arial"/>
          <w:sz w:val="18"/>
          <w:szCs w:val="18"/>
          <w:b w:val="1"/>
          <w:b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207" w:lineRule="exact"/>
        <w:rPr>
          <w:sz w:val="20"/>
          <w:szCs w:val="20"/>
          <w:color w:val="auto"/>
        </w:rPr>
      </w:pPr>
    </w:p>
    <w:p>
      <w:pPr>
        <w:ind w:right="60" w:firstLine="648"/>
        <w:spacing w:after="0" w:line="290"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may be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57" w:lineRule="exact"/>
        <w:rPr>
          <w:sz w:val="20"/>
          <w:szCs w:val="20"/>
          <w:color w:val="auto"/>
        </w:rPr>
      </w:pPr>
    </w:p>
    <w:p>
      <w:pPr>
        <w:ind w:firstLine="648"/>
        <w:spacing w:after="0" w:line="259"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79" w:lineRule="exact"/>
        <w:rPr>
          <w:sz w:val="20"/>
          <w:szCs w:val="20"/>
          <w:color w:val="auto"/>
        </w:rPr>
      </w:pPr>
    </w:p>
    <w:p>
      <w:pPr>
        <w:ind w:left="660"/>
        <w:spacing w:after="0"/>
        <w:rPr>
          <w:sz w:val="20"/>
          <w:szCs w:val="20"/>
          <w:color w:val="auto"/>
        </w:rPr>
      </w:pPr>
      <w:r>
        <w:rPr>
          <w:rFonts w:ascii="Arial" w:cs="Arial" w:eastAsia="Arial" w:hAnsi="Arial"/>
          <w:sz w:val="16"/>
          <w:szCs w:val="16"/>
          <w:color w:val="auto"/>
        </w:rPr>
        <w:t>The reasons for this delay generally include the following elements of our product sales and development cycle timeline and related influences:</w:t>
      </w:r>
    </w:p>
    <w:p>
      <w:pPr>
        <w:spacing w:after="0" w:line="140" w:lineRule="exact"/>
        <w:rPr>
          <w:sz w:val="20"/>
          <w:szCs w:val="20"/>
          <w:color w:val="auto"/>
        </w:rPr>
      </w:pPr>
    </w:p>
    <w:p>
      <w:pPr>
        <w:ind w:left="660" w:hanging="328"/>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9" w:lineRule="exact"/>
        <w:rPr>
          <w:rFonts w:ascii="Arial" w:cs="Arial" w:eastAsia="Arial" w:hAnsi="Arial"/>
          <w:sz w:val="18"/>
          <w:szCs w:val="18"/>
          <w:color w:val="auto"/>
        </w:rPr>
      </w:pPr>
    </w:p>
    <w:p>
      <w:pPr>
        <w:ind w:left="660" w:hanging="328"/>
        <w:spacing w:after="0" w:line="270" w:lineRule="auto"/>
        <w:tabs>
          <w:tab w:leader="none" w:pos="655" w:val="left"/>
        </w:tabs>
        <w:numPr>
          <w:ilvl w:val="0"/>
          <w:numId w:val="14"/>
        </w:numPr>
        <w:rPr>
          <w:rFonts w:ascii="Arial" w:cs="Arial" w:eastAsia="Arial" w:hAnsi="Arial"/>
          <w:sz w:val="17"/>
          <w:szCs w:val="17"/>
          <w:color w:val="auto"/>
        </w:rPr>
      </w:pPr>
      <w:r>
        <w:rPr>
          <w:rFonts w:ascii="Arial" w:cs="Arial" w:eastAsia="Arial" w:hAnsi="Arial"/>
          <w:sz w:val="17"/>
          <w:szCs w:val="17"/>
          <w:color w:val="auto"/>
        </w:rPr>
        <w:t>our customers may experience changed market conditions or product development issues. 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70" w:lineRule="exact"/>
        <w:rPr>
          <w:sz w:val="20"/>
          <w:szCs w:val="20"/>
          <w:color w:val="auto"/>
        </w:rPr>
      </w:pPr>
    </w:p>
    <w:p>
      <w:pPr>
        <w:jc w:val="both"/>
        <w:ind w:firstLine="648"/>
        <w:spacing w:after="0" w:line="263"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76" w:lineRule="exact"/>
        <w:rPr>
          <w:sz w:val="20"/>
          <w:szCs w:val="20"/>
          <w:color w:val="auto"/>
        </w:rPr>
      </w:pPr>
    </w:p>
    <w:p>
      <w:pPr>
        <w:ind w:right="300" w:firstLine="648"/>
        <w:spacing w:after="0" w:line="308" w:lineRule="auto"/>
        <w:rPr>
          <w:sz w:val="20"/>
          <w:szCs w:val="20"/>
          <w:color w:val="auto"/>
        </w:rPr>
      </w:pPr>
      <w:r>
        <w:rPr>
          <w:rFonts w:ascii="Arial" w:cs="Arial" w:eastAsia="Arial" w:hAnsi="Arial"/>
          <w:sz w:val="17"/>
          <w:szCs w:val="17"/>
          <w:color w:val="auto"/>
        </w:rPr>
        <w:t>Additionally, failure of our customers to agree to pay for NRE (non-recurring engineering) costs or failure to pay enough to cover the costs we incur in connection with NREs may harm our financial results. See also, "</w:t>
      </w:r>
      <w:r>
        <w:rPr>
          <w:rFonts w:ascii="Arial" w:cs="Arial" w:eastAsia="Arial" w:hAnsi="Arial"/>
          <w:sz w:val="17"/>
          <w:szCs w:val="17"/>
          <w:i w:val="1"/>
          <w:iCs w:val="1"/>
          <w:color w:val="auto"/>
        </w:rPr>
        <w:t>Research and Development"</w:t>
      </w:r>
      <w:r>
        <w:rPr>
          <w:rFonts w:ascii="Arial" w:cs="Arial" w:eastAsia="Arial" w:hAnsi="Arial"/>
          <w:sz w:val="17"/>
          <w:szCs w:val="17"/>
          <w:color w:val="auto"/>
        </w:rPr>
        <w:t xml:space="preserve"> under Results of Operations.</w:t>
      </w:r>
    </w:p>
    <w:p>
      <w:pPr>
        <w:spacing w:after="0" w:line="200" w:lineRule="exact"/>
        <w:rPr>
          <w:sz w:val="20"/>
          <w:szCs w:val="20"/>
          <w:color w:val="auto"/>
        </w:rPr>
      </w:pPr>
    </w:p>
    <w:p>
      <w:pPr>
        <w:spacing w:after="0" w:line="3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282" w:right="359" w:bottom="1440" w:gutter="0" w:footer="0" w:header="0"/>
        </w:sectPr>
      </w:pPr>
    </w:p>
    <w:bookmarkStart w:id="20" w:name="page21"/>
    <w:bookmarkEnd w:id="20"/>
    <w:p>
      <w:pPr>
        <w:ind w:right="180"/>
        <w:spacing w:after="0" w:line="282" w:lineRule="auto"/>
        <w:rPr>
          <w:sz w:val="20"/>
          <w:szCs w:val="20"/>
          <w:color w:val="auto"/>
        </w:rPr>
      </w:pPr>
      <w:r>
        <w:rPr>
          <w:rFonts w:ascii="Arial" w:cs="Arial" w:eastAsia="Arial" w:hAnsi="Arial"/>
          <w:sz w:val="18"/>
          <w:szCs w:val="18"/>
          <w:b w:val="1"/>
          <w:bCs w:val="1"/>
          <w:color w:val="auto"/>
        </w:rPr>
        <w:t>If we are unable to develop and introduce new and enhanced products that achieve market acceptance in a timely and cost-effective manner, our results of operations and competitive position will be harmed.</w:t>
      </w:r>
    </w:p>
    <w:p>
      <w:pPr>
        <w:spacing w:after="0" w:line="193" w:lineRule="exact"/>
        <w:rPr>
          <w:sz w:val="20"/>
          <w:szCs w:val="20"/>
          <w:color w:val="auto"/>
        </w:rPr>
      </w:pPr>
    </w:p>
    <w:p>
      <w:pPr>
        <w:ind w:firstLine="648"/>
        <w:spacing w:after="0" w:line="254" w:lineRule="auto"/>
        <w:rPr>
          <w:sz w:val="20"/>
          <w:szCs w:val="20"/>
          <w:color w:val="auto"/>
        </w:rPr>
      </w:pPr>
      <w:r>
        <w:rPr>
          <w:rFonts w:ascii="Arial" w:cs="Arial" w:eastAsia="Arial" w:hAnsi="Arial"/>
          <w:sz w:val="18"/>
          <w:szCs w:val="18"/>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for our products addressing the 5G market,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8"/>
          <w:szCs w:val="18"/>
          <w:i w:val="1"/>
          <w:iCs w:val="1"/>
          <w:color w:val="auto"/>
        </w:rPr>
        <w:t>We may be unable to protect our intellectual property, which would negatively affect our ability</w:t>
      </w:r>
      <w:r>
        <w:rPr>
          <w:rFonts w:ascii="Arial" w:cs="Arial" w:eastAsia="Arial" w:hAnsi="Arial"/>
          <w:sz w:val="18"/>
          <w:szCs w:val="18"/>
          <w:color w:val="auto"/>
        </w:rPr>
        <w:t xml:space="preserve"> </w:t>
      </w:r>
      <w:r>
        <w:rPr>
          <w:rFonts w:ascii="Arial" w:cs="Arial" w:eastAsia="Arial" w:hAnsi="Arial"/>
          <w:sz w:val="18"/>
          <w:szCs w:val="18"/>
          <w:i w:val="1"/>
          <w:iCs w:val="1"/>
          <w:color w:val="auto"/>
        </w:rPr>
        <w:t>to compete.</w:t>
      </w:r>
      <w:r>
        <w:rPr>
          <w:rFonts w:ascii="Arial" w:cs="Arial" w:eastAsia="Arial" w:hAnsi="Arial"/>
          <w:sz w:val="18"/>
          <w:szCs w:val="18"/>
          <w:color w:val="auto"/>
        </w:rPr>
        <w:t>”</w:t>
      </w:r>
    </w:p>
    <w:p>
      <w:pPr>
        <w:spacing w:after="0" w:line="84" w:lineRule="exact"/>
        <w:rPr>
          <w:sz w:val="20"/>
          <w:szCs w:val="20"/>
          <w:color w:val="auto"/>
        </w:rPr>
      </w:pPr>
    </w:p>
    <w:p>
      <w:pPr>
        <w:ind w:right="80" w:firstLine="648"/>
        <w:spacing w:after="0" w:line="275" w:lineRule="auto"/>
        <w:rPr>
          <w:sz w:val="20"/>
          <w:szCs w:val="20"/>
          <w:color w:val="auto"/>
        </w:rPr>
      </w:pPr>
      <w:r>
        <w:rPr>
          <w:rFonts w:ascii="Arial" w:cs="Arial" w:eastAsia="Arial" w:hAnsi="Arial"/>
          <w:sz w:val="17"/>
          <w:szCs w:val="17"/>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199" w:lineRule="exact"/>
        <w:rPr>
          <w:sz w:val="20"/>
          <w:szCs w:val="20"/>
          <w:color w:val="auto"/>
        </w:rPr>
      </w:pPr>
    </w:p>
    <w:p>
      <w:pPr>
        <w:ind w:right="20"/>
        <w:spacing w:after="0" w:line="266" w:lineRule="auto"/>
        <w:rPr>
          <w:sz w:val="20"/>
          <w:szCs w:val="20"/>
          <w:color w:val="auto"/>
        </w:rPr>
      </w:pPr>
      <w:r>
        <w:rPr>
          <w:rFonts w:ascii="Arial" w:cs="Arial" w:eastAsia="Arial" w:hAnsi="Arial"/>
          <w:sz w:val="18"/>
          <w:szCs w:val="18"/>
          <w:b w:val="1"/>
          <w:b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207" w:lineRule="exact"/>
        <w:rPr>
          <w:sz w:val="20"/>
          <w:szCs w:val="20"/>
          <w:color w:val="auto"/>
        </w:rPr>
      </w:pPr>
    </w:p>
    <w:p>
      <w:pPr>
        <w:jc w:val="both"/>
        <w:ind w:right="280" w:firstLine="648"/>
        <w:spacing w:after="0" w:line="286" w:lineRule="auto"/>
        <w:rPr>
          <w:sz w:val="20"/>
          <w:szCs w:val="20"/>
          <w:color w:val="auto"/>
        </w:rPr>
      </w:pPr>
      <w:r>
        <w:rPr>
          <w:rFonts w:ascii="Arial" w:cs="Arial" w:eastAsia="Arial" w:hAnsi="Arial"/>
          <w:sz w:val="17"/>
          <w:szCs w:val="17"/>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57" w:lineRule="exact"/>
        <w:rPr>
          <w:sz w:val="20"/>
          <w:szCs w:val="20"/>
          <w:color w:val="auto"/>
        </w:rPr>
      </w:pPr>
    </w:p>
    <w:p>
      <w:pPr>
        <w:spacing w:after="0"/>
        <w:rPr>
          <w:sz w:val="20"/>
          <w:szCs w:val="20"/>
          <w:color w:val="auto"/>
        </w:rPr>
      </w:pPr>
      <w:r>
        <w:rPr>
          <w:rFonts w:ascii="Arial" w:cs="Arial" w:eastAsia="Arial" w:hAnsi="Arial"/>
          <w:sz w:val="18"/>
          <w:szCs w:val="18"/>
          <w:color w:val="auto"/>
        </w:rPr>
        <w:t>Regional Concentration</w:t>
      </w:r>
    </w:p>
    <w:p>
      <w:pPr>
        <w:spacing w:after="0" w:line="117" w:lineRule="exact"/>
        <w:rPr>
          <w:sz w:val="20"/>
          <w:szCs w:val="20"/>
          <w:color w:val="auto"/>
        </w:rPr>
      </w:pPr>
    </w:p>
    <w:p>
      <w:pPr>
        <w:ind w:right="20" w:firstLine="648"/>
        <w:spacing w:after="0" w:line="270" w:lineRule="auto"/>
        <w:rPr>
          <w:sz w:val="20"/>
          <w:szCs w:val="20"/>
          <w:color w:val="auto"/>
        </w:rPr>
      </w:pPr>
      <w:r>
        <w:rPr>
          <w:rFonts w:ascii="Arial" w:cs="Arial" w:eastAsia="Arial" w:hAnsi="Arial"/>
          <w:sz w:val="17"/>
          <w:szCs w:val="17"/>
          <w:color w:val="auto"/>
        </w:rPr>
        <w:t>Substantially all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pandemics or other actual or threatened public health emergencies such as the Novel Coronavirus (COVID-19),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3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21" w:name="page22"/>
    <w:bookmarkEnd w:id="21"/>
    <w:p>
      <w:pPr>
        <w:spacing w:after="0"/>
        <w:rPr>
          <w:sz w:val="20"/>
          <w:szCs w:val="20"/>
          <w:color w:val="auto"/>
        </w:rPr>
      </w:pPr>
      <w:r>
        <w:rPr>
          <w:rFonts w:ascii="Arial" w:cs="Arial" w:eastAsia="Arial" w:hAnsi="Arial"/>
          <w:sz w:val="18"/>
          <w:szCs w:val="18"/>
          <w:color w:val="auto"/>
        </w:rPr>
        <w:t>No Guarantee of Capacity or Supply</w:t>
      </w:r>
    </w:p>
    <w:p>
      <w:pPr>
        <w:spacing w:after="0" w:line="117" w:lineRule="exact"/>
        <w:rPr>
          <w:sz w:val="20"/>
          <w:szCs w:val="20"/>
          <w:color w:val="auto"/>
        </w:rPr>
      </w:pPr>
    </w:p>
    <w:p>
      <w:pPr>
        <w:ind w:firstLine="648"/>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 experience difficulties in transitioning to smaller geometry process technologies or in achieving higher levels of</w:t>
      </w:r>
      <w:r>
        <w:rPr>
          <w:rFonts w:ascii="Arial" w:cs="Arial" w:eastAsia="Arial" w:hAnsi="Arial"/>
          <w:sz w:val="16"/>
          <w:szCs w:val="16"/>
          <w:color w:val="auto"/>
        </w:rPr>
        <w:t xml:space="preserve"> </w:t>
      </w:r>
      <w:r>
        <w:rPr>
          <w:rFonts w:ascii="Arial" w:cs="Arial" w:eastAsia="Arial" w:hAnsi="Arial"/>
          <w:sz w:val="16"/>
          <w:szCs w:val="16"/>
          <w:i w:val="1"/>
          <w:iCs w:val="1"/>
          <w:color w:val="auto"/>
        </w:rPr>
        <w:t>design integration, which may result in reduced manufacturing yields, delays in product deliveries and increased expenses.</w:t>
      </w:r>
      <w:r>
        <w:rPr>
          <w:rFonts w:ascii="Arial" w:cs="Arial" w:eastAsia="Arial" w:hAnsi="Arial"/>
          <w:sz w:val="16"/>
          <w:szCs w:val="16"/>
          <w:color w:val="auto"/>
        </w:rPr>
        <w:t>” Moreover, if any of our third-party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66" w:lineRule="exact"/>
        <w:rPr>
          <w:sz w:val="20"/>
          <w:szCs w:val="20"/>
          <w:color w:val="auto"/>
        </w:rPr>
      </w:pPr>
    </w:p>
    <w:p>
      <w:pPr>
        <w:ind w:right="20" w:firstLine="648"/>
        <w:spacing w:after="0" w:line="257" w:lineRule="auto"/>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w:t>
      </w:r>
    </w:p>
    <w:p>
      <w:pPr>
        <w:spacing w:after="0" w:line="80" w:lineRule="exact"/>
        <w:rPr>
          <w:sz w:val="20"/>
          <w:szCs w:val="20"/>
          <w:color w:val="auto"/>
        </w:rPr>
      </w:pPr>
    </w:p>
    <w:p>
      <w:pPr>
        <w:ind w:right="120" w:firstLine="648"/>
        <w:spacing w:after="0" w:line="273" w:lineRule="auto"/>
        <w:rPr>
          <w:sz w:val="20"/>
          <w:szCs w:val="20"/>
          <w:color w:val="auto"/>
        </w:rPr>
      </w:pPr>
      <w:r>
        <w:rPr>
          <w:rFonts w:ascii="Arial" w:cs="Arial" w:eastAsia="Arial" w:hAnsi="Arial"/>
          <w:sz w:val="17"/>
          <w:szCs w:val="17"/>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70" w:lineRule="exact"/>
        <w:rPr>
          <w:sz w:val="20"/>
          <w:szCs w:val="20"/>
          <w:color w:val="auto"/>
        </w:rPr>
      </w:pPr>
    </w:p>
    <w:p>
      <w:pPr>
        <w:spacing w:after="0"/>
        <w:rPr>
          <w:sz w:val="20"/>
          <w:szCs w:val="20"/>
          <w:color w:val="auto"/>
        </w:rPr>
      </w:pPr>
      <w:r>
        <w:rPr>
          <w:rFonts w:ascii="Arial" w:cs="Arial" w:eastAsia="Arial" w:hAnsi="Arial"/>
          <w:sz w:val="18"/>
          <w:szCs w:val="18"/>
          <w:color w:val="auto"/>
        </w:rPr>
        <w:t>Uncertain Yields and Quality</w:t>
      </w:r>
    </w:p>
    <w:p>
      <w:pPr>
        <w:spacing w:after="0" w:line="117" w:lineRule="exact"/>
        <w:rPr>
          <w:sz w:val="20"/>
          <w:szCs w:val="20"/>
          <w:color w:val="auto"/>
        </w:rPr>
      </w:pPr>
    </w:p>
    <w:p>
      <w:pPr>
        <w:ind w:right="120" w:firstLine="648"/>
        <w:spacing w:after="0" w:line="269" w:lineRule="auto"/>
        <w:rPr>
          <w:sz w:val="20"/>
          <w:szCs w:val="20"/>
          <w:color w:val="auto"/>
        </w:rPr>
      </w:pPr>
      <w:r>
        <w:rPr>
          <w:rFonts w:ascii="Arial" w:cs="Arial" w:eastAsia="Arial" w:hAnsi="Arial"/>
          <w:sz w:val="17"/>
          <w:szCs w:val="17"/>
          <w:color w:val="auto"/>
        </w:rPr>
        <w:t>The fabrication of integrated circuits is a complex and technically demanding process. Our technology is transitioning from planar to FINFET transistors.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7"/>
          <w:szCs w:val="17"/>
          <w:i w:val="1"/>
          <w:iCs w:val="1"/>
          <w:color w:val="auto"/>
        </w:rPr>
        <w:t>Costs related to defective products could have a</w:t>
      </w:r>
      <w:r>
        <w:rPr>
          <w:rFonts w:ascii="Arial" w:cs="Arial" w:eastAsia="Arial" w:hAnsi="Arial"/>
          <w:sz w:val="17"/>
          <w:szCs w:val="17"/>
          <w:color w:val="auto"/>
        </w:rPr>
        <w:t xml:space="preserve"> </w:t>
      </w:r>
      <w:r>
        <w:rPr>
          <w:rFonts w:ascii="Arial" w:cs="Arial" w:eastAsia="Arial" w:hAnsi="Arial"/>
          <w:sz w:val="17"/>
          <w:szCs w:val="17"/>
          <w:i w:val="1"/>
          <w:iCs w:val="1"/>
          <w:color w:val="auto"/>
        </w:rPr>
        <w:t>material adverse effect on us.</w:t>
      </w:r>
      <w:r>
        <w:rPr>
          <w:rFonts w:ascii="Arial" w:cs="Arial" w:eastAsia="Arial" w:hAnsi="Arial"/>
          <w:sz w:val="17"/>
          <w:szCs w:val="17"/>
          <w:color w:val="auto"/>
        </w:rPr>
        <w:t>”</w:t>
      </w:r>
    </w:p>
    <w:p>
      <w:pPr>
        <w:spacing w:after="0" w:line="77" w:lineRule="exact"/>
        <w:rPr>
          <w:sz w:val="20"/>
          <w:szCs w:val="20"/>
          <w:color w:val="auto"/>
        </w:rPr>
      </w:pPr>
    </w:p>
    <w:p>
      <w:pPr>
        <w:ind w:right="80" w:firstLine="648"/>
        <w:spacing w:after="0" w:line="263"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76" w:lineRule="exact"/>
        <w:rPr>
          <w:sz w:val="20"/>
          <w:szCs w:val="20"/>
          <w:color w:val="auto"/>
        </w:rPr>
      </w:pPr>
    </w:p>
    <w:p>
      <w:pPr>
        <w:spacing w:after="0"/>
        <w:rPr>
          <w:sz w:val="20"/>
          <w:szCs w:val="20"/>
          <w:color w:val="auto"/>
        </w:rPr>
      </w:pPr>
      <w:r>
        <w:rPr>
          <w:rFonts w:ascii="Arial" w:cs="Arial" w:eastAsia="Arial" w:hAnsi="Arial"/>
          <w:sz w:val="18"/>
          <w:szCs w:val="18"/>
          <w:color w:val="auto"/>
        </w:rPr>
        <w:t>Commodity Prices</w:t>
      </w:r>
    </w:p>
    <w:p>
      <w:pPr>
        <w:spacing w:after="0" w:line="117" w:lineRule="exact"/>
        <w:rPr>
          <w:sz w:val="20"/>
          <w:szCs w:val="20"/>
          <w:color w:val="auto"/>
        </w:rPr>
      </w:pPr>
    </w:p>
    <w:p>
      <w:pPr>
        <w:ind w:firstLine="648"/>
        <w:spacing w:after="0" w:line="263"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00" w:lineRule="exact"/>
        <w:rPr>
          <w:sz w:val="20"/>
          <w:szCs w:val="20"/>
          <w:color w:val="auto"/>
        </w:rPr>
      </w:pP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22" w:name="page23"/>
    <w:bookmarkEnd w:id="22"/>
    <w:p>
      <w:pPr>
        <w:spacing w:after="0"/>
        <w:rPr>
          <w:sz w:val="20"/>
          <w:szCs w:val="20"/>
          <w:color w:val="auto"/>
        </w:rPr>
      </w:pPr>
      <w:r>
        <w:rPr>
          <w:rFonts w:ascii="Arial" w:cs="Arial" w:eastAsia="Arial" w:hAnsi="Arial"/>
          <w:sz w:val="18"/>
          <w:szCs w:val="18"/>
          <w:b w:val="1"/>
          <w:bCs w:val="1"/>
          <w:color w:val="auto"/>
        </w:rPr>
        <w:t>Costs related to defective products could have a material adverse effect on us.</w:t>
      </w:r>
    </w:p>
    <w:p>
      <w:pPr>
        <w:spacing w:after="0" w:line="256" w:lineRule="exact"/>
        <w:rPr>
          <w:sz w:val="20"/>
          <w:szCs w:val="20"/>
          <w:color w:val="auto"/>
        </w:rPr>
      </w:pPr>
    </w:p>
    <w:p>
      <w:pPr>
        <w:jc w:val="both"/>
        <w:ind w:firstLine="648"/>
        <w:spacing w:after="0" w:line="263" w:lineRule="auto"/>
        <w:rPr>
          <w:sz w:val="20"/>
          <w:szCs w:val="20"/>
          <w:color w:val="auto"/>
        </w:rPr>
      </w:pPr>
      <w:r>
        <w:rPr>
          <w:rFonts w:ascii="Arial" w:cs="Arial" w:eastAsia="Arial" w:hAnsi="Arial"/>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76" w:lineRule="exact"/>
        <w:rPr>
          <w:sz w:val="20"/>
          <w:szCs w:val="20"/>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loss of or delay in market acceptance of our products;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material recall and replacement costs;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delay in revenue recognition or loss of revenue;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writing down the inventory of defective products;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diversion of the attention of our engineering personnel from product development efforts;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103" w:lineRule="exact"/>
        <w:rPr>
          <w:sz w:val="20"/>
          <w:szCs w:val="20"/>
          <w:color w:val="auto"/>
        </w:rPr>
      </w:pPr>
    </w:p>
    <w:p>
      <w:pPr>
        <w:ind w:right="20" w:firstLine="648"/>
        <w:spacing w:after="0" w:line="259"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79" w:lineRule="exact"/>
        <w:rPr>
          <w:sz w:val="20"/>
          <w:szCs w:val="20"/>
          <w:color w:val="auto"/>
        </w:rPr>
      </w:pPr>
    </w:p>
    <w:p>
      <w:pPr>
        <w:ind w:right="120" w:firstLine="648"/>
        <w:spacing w:after="0" w:line="279" w:lineRule="auto"/>
        <w:rPr>
          <w:sz w:val="20"/>
          <w:szCs w:val="20"/>
          <w:color w:val="auto"/>
        </w:rPr>
      </w:pPr>
      <w:r>
        <w:rPr>
          <w:rFonts w:ascii="Arial" w:cs="Arial" w:eastAsia="Arial" w:hAnsi="Arial"/>
          <w:sz w:val="17"/>
          <w:szCs w:val="17"/>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w:t>
      </w:r>
    </w:p>
    <w:p>
      <w:pPr>
        <w:spacing w:after="0" w:line="194" w:lineRule="exact"/>
        <w:rPr>
          <w:sz w:val="20"/>
          <w:szCs w:val="20"/>
          <w:color w:val="auto"/>
        </w:rPr>
      </w:pPr>
    </w:p>
    <w:p>
      <w:pPr>
        <w:spacing w:after="0" w:line="282" w:lineRule="auto"/>
        <w:rPr>
          <w:sz w:val="20"/>
          <w:szCs w:val="20"/>
          <w:color w:val="auto"/>
        </w:rPr>
      </w:pPr>
      <w:r>
        <w:rPr>
          <w:rFonts w:ascii="Arial" w:cs="Arial" w:eastAsia="Arial" w:hAnsi="Arial"/>
          <w:sz w:val="18"/>
          <w:szCs w:val="18"/>
          <w:b w:val="1"/>
          <w:bCs w:val="1"/>
          <w:color w:val="auto"/>
        </w:rPr>
        <w:t>We rely on third-party distributors and manufacturers’ representatives and the failure of these distributors and manufacturers’ representatives to perform as expected could reduce our future sales.</w:t>
      </w:r>
    </w:p>
    <w:p>
      <w:pPr>
        <w:spacing w:after="0" w:line="193" w:lineRule="exact"/>
        <w:rPr>
          <w:sz w:val="20"/>
          <w:szCs w:val="20"/>
          <w:color w:val="auto"/>
        </w:rPr>
      </w:pPr>
    </w:p>
    <w:p>
      <w:pPr>
        <w:ind w:right="120" w:firstLine="648"/>
        <w:spacing w:after="0" w:line="273" w:lineRule="auto"/>
        <w:rPr>
          <w:sz w:val="20"/>
          <w:szCs w:val="20"/>
          <w:color w:val="auto"/>
        </w:rPr>
      </w:pPr>
      <w:r>
        <w:rPr>
          <w:rFonts w:ascii="Arial" w:cs="Arial" w:eastAsia="Arial" w:hAnsi="Arial"/>
          <w:sz w:val="17"/>
          <w:szCs w:val="17"/>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CHANGES IN OUR EFFECTIVE TAX RATE MAY REDUCE OUR NET INCOME</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existing taxation benefits, rules or practices may adversely affect our financial results.</w:t>
      </w:r>
    </w:p>
    <w:p>
      <w:pPr>
        <w:spacing w:after="0" w:line="256" w:lineRule="exact"/>
        <w:rPr>
          <w:sz w:val="20"/>
          <w:szCs w:val="20"/>
          <w:color w:val="auto"/>
        </w:rPr>
      </w:pPr>
    </w:p>
    <w:p>
      <w:pPr>
        <w:ind w:right="40" w:firstLine="648"/>
        <w:spacing w:after="0" w:line="293"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For example, the Tax Cuts and Jobs Act (“2017 Tax Act”) was signed into law on December 22, 2017. The 2017 Tax Act significantly revises the U.S. corporate income tax by, among other things, lowering the statutory corporate tax rate from 35% to 21%, eliminating certain deductions, imposing a mandatory one-time tax on accumulated earnings of foreign subsidiaries, introducing new tax regimes, and changing how foreign earnings are subject to U.S. tax.</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282" w:right="359" w:bottom="1440" w:gutter="0" w:footer="0" w:header="0"/>
        </w:sectPr>
      </w:pPr>
    </w:p>
    <w:bookmarkStart w:id="23" w:name="page24"/>
    <w:bookmarkEnd w:id="23"/>
    <w:p>
      <w:pPr>
        <w:ind w:right="60" w:firstLine="648"/>
        <w:spacing w:after="0" w:line="269" w:lineRule="auto"/>
        <w:rPr>
          <w:sz w:val="20"/>
          <w:szCs w:val="20"/>
          <w:color w:val="auto"/>
        </w:rPr>
      </w:pPr>
      <w:r>
        <w:rPr>
          <w:rFonts w:ascii="Arial" w:cs="Arial" w:eastAsia="Arial" w:hAnsi="Arial"/>
          <w:sz w:val="17"/>
          <w:szCs w:val="17"/>
          <w:color w:val="auto"/>
        </w:rPr>
        <w:t>In addition,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qualifies the Development and Expansion Incentive until June 2024. Furthermore, under the Israeli Encouragement law of “approved or benefited enterprise,” our subsidiary in Israel, Marvell Israel (M.I.S.L) Ltd., is entitled to, and has certain existing programs that qualify as, approved and benefited tax programs that include reduced tax rates and exemption of certain income through fiscal 2027.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77" w:lineRule="exact"/>
        <w:rPr>
          <w:sz w:val="20"/>
          <w:szCs w:val="20"/>
          <w:color w:val="auto"/>
        </w:rPr>
      </w:pPr>
    </w:p>
    <w:p>
      <w:pPr>
        <w:ind w:right="60" w:firstLine="648"/>
        <w:spacing w:after="0" w:line="268" w:lineRule="auto"/>
        <w:rPr>
          <w:sz w:val="20"/>
          <w:szCs w:val="20"/>
          <w:color w:val="auto"/>
        </w:rPr>
      </w:pPr>
      <w:r>
        <w:rPr>
          <w:rFonts w:ascii="Arial" w:cs="Arial" w:eastAsia="Arial" w:hAnsi="Arial"/>
          <w:sz w:val="17"/>
          <w:szCs w:val="17"/>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We can provide no assurance that changes in tax laws and additional investigations as a result of this project would not have an adverse tax impact on our international operations. In addition, the European Union (“EU”) has initiated its own measures along similar lines. In December 2017, the EU identified certain jurisdictions (including Bermuda and Cayman Islands) which it considered had a tax system that facilitated offshore structuring by attracting profits without commensurate economic activity. In order to avoid EU “blacklisting”, both Bermuda and Cayman Islands introduced new legislation in December 2018, which came into force on January 1, 2019. These new laws require Bermuda and Cayman companies carrying on one or more “relevant activity” (including: banking, insurance, fund management, financing, leasing, headquarters, shipping, distribution and service center, intellectual property or holding company) to maintain a substantial economic presence in Bermuda in order to comply with the economic substance requirements. There is no experience yet as to how the Bermuda and Cayman Islands authorities will interpret and enforce these new rules. To the extent that we are required to maintain more of a presence in Bermuda or the Cayman Islands, such requirements will increase our costs either directly in those locations or indirectly as a result of increased costs related to moving our operations to other jurisdictions.</w:t>
      </w:r>
    </w:p>
    <w:p>
      <w:pPr>
        <w:spacing w:after="0" w:line="78" w:lineRule="exact"/>
        <w:rPr>
          <w:sz w:val="20"/>
          <w:szCs w:val="20"/>
          <w:color w:val="auto"/>
        </w:rPr>
      </w:pPr>
    </w:p>
    <w:p>
      <w:pPr>
        <w:ind w:firstLine="648"/>
        <w:spacing w:after="0" w:line="273" w:lineRule="auto"/>
        <w:rPr>
          <w:sz w:val="20"/>
          <w:szCs w:val="20"/>
          <w:color w:val="auto"/>
        </w:rPr>
      </w:pPr>
      <w:r>
        <w:rPr>
          <w:rFonts w:ascii="Arial" w:cs="Arial" w:eastAsia="Arial" w:hAnsi="Arial"/>
          <w:sz w:val="17"/>
          <w:szCs w:val="17"/>
          <w:color w:val="auto"/>
        </w:rPr>
        <w:t>If the Company transfers its domicile or a significant portion of its assets from Bermuda to another jurisdiction, like we did when we completed an intra-entity transfer of the majority of our intellectual property to a subsidiary in Singapore on December 31, 2019, the Company's taxes may increase and its earnings after taxes may decrease. In addition, the tax impact to the Company in connection with an intra-entity intellectual property transfer depends on the fair value determination of the intellectual property rights which determination requires management to make significant estimates and to apply complex tax regulations in multiple jurisdictions. Local tax authorities may challenge the fair value determinations made by the Company which could adversely impact the tax benefits we expect to realize as a result of the transfer.</w:t>
      </w:r>
    </w:p>
    <w:p>
      <w:pPr>
        <w:spacing w:after="0" w:line="70" w:lineRule="exact"/>
        <w:rPr>
          <w:sz w:val="20"/>
          <w:szCs w:val="20"/>
          <w:color w:val="auto"/>
        </w:rPr>
      </w:pPr>
    </w:p>
    <w:p>
      <w:pPr>
        <w:ind w:right="180" w:firstLine="648"/>
        <w:spacing w:after="0" w:line="301" w:lineRule="auto"/>
        <w:rPr>
          <w:sz w:val="20"/>
          <w:szCs w:val="20"/>
          <w:color w:val="auto"/>
        </w:rPr>
      </w:pPr>
      <w:r>
        <w:rPr>
          <w:rFonts w:ascii="Arial" w:cs="Arial" w:eastAsia="Arial" w:hAnsi="Arial"/>
          <w:sz w:val="16"/>
          <w:szCs w:val="16"/>
          <w:color w:val="auto"/>
        </w:rPr>
        <w:t>Our profitability and effective tax rate could be impacted by unexpected changes to our statutory income tax rates or income tax liabilities. Such changes might include changes in tax law, changes to our geographic mix of earnings, changes in the valuation of deferred tax assets and liabilities, changes in our supply chain and changes due to audit assessments. In particular, the tax benefits associated with our transfer of intellectual property to Singapore are sensitive to future profitability and taxable income in Singapore, audit assessments and changes in applicable tax law.</w:t>
      </w:r>
    </w:p>
    <w:p>
      <w:pPr>
        <w:spacing w:after="0" w:line="18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If we were classified as a passive foreign investment company, there would be adverse tax consequences to U.S. holders of our ordinary shares.</w:t>
      </w:r>
    </w:p>
    <w:p>
      <w:pPr>
        <w:spacing w:after="0" w:line="279" w:lineRule="exact"/>
        <w:rPr>
          <w:sz w:val="20"/>
          <w:szCs w:val="20"/>
          <w:color w:val="auto"/>
        </w:rPr>
      </w:pPr>
    </w:p>
    <w:p>
      <w:pPr>
        <w:ind w:right="20" w:firstLine="648"/>
        <w:spacing w:after="0" w:line="284"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2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94" w:right="359" w:bottom="1440" w:gutter="0" w:footer="0" w:header="0"/>
        </w:sectPr>
      </w:pPr>
    </w:p>
    <w:bookmarkStart w:id="24" w:name="page25"/>
    <w:bookmarkEnd w:id="24"/>
    <w:p>
      <w:pPr>
        <w:ind w:firstLine="648"/>
        <w:spacing w:after="0" w:line="290" w:lineRule="auto"/>
        <w:rPr>
          <w:sz w:val="20"/>
          <w:szCs w:val="20"/>
          <w:color w:val="auto"/>
        </w:rPr>
      </w:pPr>
      <w:r>
        <w:rPr>
          <w:rFonts w:ascii="Arial" w:cs="Arial" w:eastAsia="Arial" w:hAnsi="Arial"/>
          <w:sz w:val="16"/>
          <w:szCs w:val="16"/>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2018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color w:val="auto"/>
        </w:rPr>
        <w:t>WE MUST ATTRACT, RETAIN AND MOTIVATE KEY EMPLOYEES</w:t>
      </w:r>
    </w:p>
    <w:p>
      <w:pPr>
        <w:spacing w:after="0" w:line="248" w:lineRule="exact"/>
        <w:rPr>
          <w:sz w:val="20"/>
          <w:szCs w:val="20"/>
          <w:color w:val="auto"/>
        </w:rPr>
      </w:pPr>
    </w:p>
    <w:p>
      <w:pPr>
        <w:ind w:right="560"/>
        <w:spacing w:after="0" w:line="312" w:lineRule="auto"/>
        <w:rPr>
          <w:sz w:val="20"/>
          <w:szCs w:val="20"/>
          <w:color w:val="auto"/>
        </w:rPr>
      </w:pPr>
      <w:r>
        <w:rPr>
          <w:rFonts w:ascii="Arial" w:cs="Arial" w:eastAsia="Arial" w:hAnsi="Arial"/>
          <w:sz w:val="17"/>
          <w:szCs w:val="17"/>
          <w:b w:val="1"/>
          <w:b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171" w:lineRule="exact"/>
        <w:rPr>
          <w:sz w:val="20"/>
          <w:szCs w:val="20"/>
          <w:color w:val="auto"/>
        </w:rPr>
      </w:pPr>
    </w:p>
    <w:p>
      <w:pPr>
        <w:ind w:right="120" w:firstLine="648"/>
        <w:spacing w:after="0" w:line="272"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and retain qualified personnel, including hardware and software engineers and sales and marketing personnel, could delay the development and introduction of, and harm our ability to sell, our products. Our ability to attract and retain qualified personnel also depends on how well we maintain a strong workplace culture that is attractive to employees. Changes to United States immigration policies that restrict our ability to attract and retain technical personnel may negatively affect our research and development efforts.</w:t>
      </w:r>
    </w:p>
    <w:p>
      <w:pPr>
        <w:spacing w:after="0" w:line="69"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color w:val="auto"/>
        </w:rPr>
        <w:t>We typically do not enter into employment agreements with any of our key technical personnel and the loss of such personnel could harm our business, as their knowledge of our business and industry would be extremely difficult to replace. The impact on employee morale experienced in connection with our restructuring efforts in fiscal 2017 and 2018 and in connection with our recent acquisitions and divestiture, could make it more difficult for us to add to our workforce when needed due to speculation regarding our future restructuring activities. In addition, as a result of our acquisitions and divestiture, our current and prospective employees may experience uncertainty about their futures that may impair our ability to retain, recruit or motivate key management, engineering, technical and other personnel.</w:t>
      </w:r>
    </w:p>
    <w:p>
      <w:pPr>
        <w:spacing w:after="0" w:line="84" w:lineRule="exact"/>
        <w:rPr>
          <w:sz w:val="20"/>
          <w:szCs w:val="20"/>
          <w:color w:val="auto"/>
        </w:rPr>
      </w:pPr>
    </w:p>
    <w:p>
      <w:pPr>
        <w:ind w:right="160" w:firstLine="648"/>
        <w:spacing w:after="0" w:line="257" w:lineRule="auto"/>
        <w:rPr>
          <w:sz w:val="20"/>
          <w:szCs w:val="20"/>
          <w:color w:val="auto"/>
        </w:rPr>
      </w:pPr>
      <w:r>
        <w:rPr>
          <w:rFonts w:ascii="Arial" w:cs="Arial" w:eastAsia="Arial" w:hAnsi="Arial"/>
          <w:sz w:val="18"/>
          <w:szCs w:val="18"/>
          <w:color w:val="auto"/>
        </w:rPr>
        <w:t>Beginning in fiscal 2017, we made several changes to our senior leadership team, including to our Chief Executive Officer, Chief Financial Officer, and Chief Operations Officer, among others. In May 2019, our Chief Technology Officer retired from the Company. Our EVP Worldwide Sales and Marketing left the Company in fiscal 2020 and in his place we have a new Senior Vice President of Worldwide Sales. The effectiveness of the new leaders in these roles, impact on employee morale, and any further transition as a result of these changes, could have a significant impact on our results of operations.</w:t>
      </w:r>
    </w:p>
    <w:p>
      <w:pPr>
        <w:spacing w:after="0" w:line="323"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IP RISKS AND RISKS ASSOCIATED WITH LITIGATION AND REGULATORY PROCEEDINGS</w:t>
      </w:r>
    </w:p>
    <w:p>
      <w:pPr>
        <w:spacing w:after="0" w:line="248" w:lineRule="exact"/>
        <w:rPr>
          <w:sz w:val="20"/>
          <w:szCs w:val="20"/>
          <w:color w:val="auto"/>
        </w:rPr>
      </w:pPr>
    </w:p>
    <w:p>
      <w:pPr>
        <w:ind w:right="120"/>
        <w:spacing w:after="0" w:line="282" w:lineRule="auto"/>
        <w:rPr>
          <w:sz w:val="20"/>
          <w:szCs w:val="20"/>
          <w:color w:val="auto"/>
        </w:rPr>
      </w:pPr>
      <w:r>
        <w:rPr>
          <w:rFonts w:ascii="Arial" w:cs="Arial" w:eastAsia="Arial" w:hAnsi="Arial"/>
          <w:sz w:val="18"/>
          <w:szCs w:val="18"/>
          <w:b w:val="1"/>
          <w:bCs w:val="1"/>
          <w:color w:val="auto"/>
        </w:rPr>
        <w:t>Our indemnification obligations and limitations of our director and officer liability insurance may have a material adverse effect on our financial condition, results of operations and cash flows.</w:t>
      </w:r>
    </w:p>
    <w:p>
      <w:pPr>
        <w:spacing w:after="0" w:line="193" w:lineRule="exact"/>
        <w:rPr>
          <w:sz w:val="20"/>
          <w:szCs w:val="20"/>
          <w:color w:val="auto"/>
        </w:rPr>
      </w:pPr>
    </w:p>
    <w:p>
      <w:pPr>
        <w:ind w:right="80" w:firstLine="648"/>
        <w:spacing w:after="0" w:line="254" w:lineRule="auto"/>
        <w:rPr>
          <w:sz w:val="20"/>
          <w:szCs w:val="20"/>
          <w:color w:val="auto"/>
        </w:rPr>
      </w:pPr>
      <w:r>
        <w:rPr>
          <w:rFonts w:ascii="Arial" w:cs="Arial" w:eastAsia="Arial" w:hAnsi="Arial"/>
          <w:sz w:val="18"/>
          <w:szCs w:val="18"/>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past, current and future investigations and litigation. For example, we incurred significant indemnification expenses in connection with the Audit Committee's independent investigation completed in March 2016 and related shareholder litigation and government investigations. In connection with some of these matters, we were required to, or we otherwise agreed to, advance, and have advanced, legal fees and related expenses to certain of our current and former directors and officers. Further, in the event the directors and officers are ultimately determined not to be entitled to indemnification, we may not be able to recover any amounts we previously advanced to them.</w:t>
      </w:r>
    </w:p>
    <w:p>
      <w:pPr>
        <w:spacing w:after="0" w:line="3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25" w:name="page26"/>
    <w:bookmarkEnd w:id="25"/>
    <w:p>
      <w:pPr>
        <w:jc w:val="both"/>
        <w:ind w:right="220" w:firstLine="648"/>
        <w:spacing w:after="0" w:line="287" w:lineRule="auto"/>
        <w:rPr>
          <w:sz w:val="20"/>
          <w:szCs w:val="20"/>
          <w:color w:val="auto"/>
        </w:rPr>
      </w:pPr>
      <w:r>
        <w:rPr>
          <w:rFonts w:ascii="Arial" w:cs="Arial" w:eastAsia="Arial" w:hAnsi="Arial"/>
          <w:sz w:val="16"/>
          <w:szCs w:val="16"/>
          <w:color w:val="auto"/>
        </w:rPr>
        <w:t>We cannot provide any assurances that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w:t>
      </w:r>
    </w:p>
    <w:p>
      <w:pPr>
        <w:spacing w:after="0" w:line="2" w:lineRule="exact"/>
        <w:rPr>
          <w:sz w:val="20"/>
          <w:szCs w:val="20"/>
          <w:color w:val="auto"/>
        </w:rPr>
      </w:pPr>
    </w:p>
    <w:p>
      <w:pPr>
        <w:ind w:right="80"/>
        <w:spacing w:after="0" w:line="253" w:lineRule="auto"/>
        <w:rPr>
          <w:sz w:val="20"/>
          <w:szCs w:val="20"/>
          <w:color w:val="auto"/>
        </w:rPr>
      </w:pPr>
      <w:r>
        <w:rPr>
          <w:rFonts w:ascii="Arial" w:cs="Arial" w:eastAsia="Arial" w:hAnsi="Arial"/>
          <w:sz w:val="18"/>
          <w:szCs w:val="18"/>
          <w:color w:val="auto"/>
        </w:rPr>
        <w:t>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protect our intellectual property, which would negatively affect our ability to compete.</w:t>
      </w:r>
    </w:p>
    <w:p>
      <w:pPr>
        <w:spacing w:after="0" w:line="256" w:lineRule="exact"/>
        <w:rPr>
          <w:sz w:val="20"/>
          <w:szCs w:val="20"/>
          <w:color w:val="auto"/>
        </w:rPr>
      </w:pPr>
    </w:p>
    <w:p>
      <w:pPr>
        <w:ind w:right="80" w:firstLine="648"/>
        <w:spacing w:after="0" w:line="259"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79" w:lineRule="exact"/>
        <w:rPr>
          <w:sz w:val="20"/>
          <w:szCs w:val="20"/>
          <w:color w:val="auto"/>
        </w:rPr>
      </w:pPr>
    </w:p>
    <w:p>
      <w:pPr>
        <w:ind w:right="40" w:firstLine="648"/>
        <w:spacing w:after="0" w:line="296" w:lineRule="auto"/>
        <w:rPr>
          <w:sz w:val="20"/>
          <w:szCs w:val="20"/>
          <w:color w:val="auto"/>
        </w:rPr>
      </w:pPr>
      <w:r>
        <w:rPr>
          <w:rFonts w:ascii="Arial" w:cs="Arial" w:eastAsia="Arial" w:hAnsi="Arial"/>
          <w:sz w:val="16"/>
          <w:szCs w:val="16"/>
          <w:color w:val="auto"/>
        </w:rPr>
        <w:t>We rely on a combination of patents, copyrights, trademarks, trade secrets,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53" w:lineRule="exact"/>
        <w:rPr>
          <w:sz w:val="20"/>
          <w:szCs w:val="20"/>
          <w:color w:val="auto"/>
        </w:rPr>
      </w:pPr>
    </w:p>
    <w:p>
      <w:pPr>
        <w:ind w:right="80" w:firstLine="648"/>
        <w:spacing w:after="0" w:line="268" w:lineRule="auto"/>
        <w:rPr>
          <w:sz w:val="20"/>
          <w:szCs w:val="20"/>
          <w:color w:val="auto"/>
        </w:rPr>
      </w:pPr>
      <w:r>
        <w:rPr>
          <w:rFonts w:ascii="Arial" w:cs="Arial" w:eastAsia="Arial" w:hAnsi="Arial"/>
          <w:sz w:val="17"/>
          <w:szCs w:val="17"/>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 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If we fail to protect these intellectual property rights, competitors could sell products based on technology that we have developed, which could harm our competitive position and decrease our revenue.</w:t>
      </w:r>
    </w:p>
    <w:p>
      <w:pPr>
        <w:spacing w:after="0" w:line="78" w:lineRule="exact"/>
        <w:rPr>
          <w:sz w:val="20"/>
          <w:szCs w:val="20"/>
          <w:color w:val="auto"/>
        </w:rPr>
      </w:pPr>
    </w:p>
    <w:p>
      <w:pPr>
        <w:ind w:firstLine="648"/>
        <w:spacing w:after="0" w:line="271"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200" w:lineRule="exact"/>
        <w:rPr>
          <w:sz w:val="20"/>
          <w:szCs w:val="20"/>
          <w:color w:val="auto"/>
        </w:rPr>
      </w:pPr>
    </w:p>
    <w:p>
      <w:pPr>
        <w:spacing w:after="0" w:line="3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94" w:right="359" w:bottom="1440" w:gutter="0" w:footer="0" w:header="0"/>
        </w:sectPr>
      </w:pPr>
    </w:p>
    <w:bookmarkStart w:id="26" w:name="page27"/>
    <w:bookmarkEnd w:id="26"/>
    <w:p>
      <w:pPr>
        <w:ind w:right="120"/>
        <w:spacing w:after="0" w:line="282" w:lineRule="auto"/>
        <w:rPr>
          <w:sz w:val="20"/>
          <w:szCs w:val="20"/>
          <w:color w:val="auto"/>
        </w:rPr>
      </w:pPr>
      <w:r>
        <w:rPr>
          <w:rFonts w:ascii="Arial" w:cs="Arial" w:eastAsia="Arial" w:hAnsi="Arial"/>
          <w:sz w:val="18"/>
          <w:szCs w:val="18"/>
          <w:b w:val="1"/>
          <w:bCs w:val="1"/>
          <w:color w:val="auto"/>
        </w:rPr>
        <w:t>We must comply with a variety of existing and future laws and regulations that could impose substantial costs on us and may adversely affect our business.</w:t>
      </w:r>
    </w:p>
    <w:p>
      <w:pPr>
        <w:spacing w:after="0" w:line="193" w:lineRule="exact"/>
        <w:rPr>
          <w:sz w:val="20"/>
          <w:szCs w:val="20"/>
          <w:color w:val="auto"/>
        </w:rPr>
      </w:pPr>
    </w:p>
    <w:p>
      <w:pPr>
        <w:ind w:right="40" w:firstLine="648"/>
        <w:spacing w:after="0" w:line="288"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data privacy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If we violate or fail to comply with any of them,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60" w:lineRule="exact"/>
        <w:rPr>
          <w:sz w:val="20"/>
          <w:szCs w:val="20"/>
          <w:color w:val="auto"/>
        </w:rPr>
      </w:pPr>
    </w:p>
    <w:p>
      <w:pPr>
        <w:ind w:right="160" w:firstLine="648"/>
        <w:spacing w:after="0" w:line="259" w:lineRule="auto"/>
        <w:rPr>
          <w:sz w:val="20"/>
          <w:szCs w:val="20"/>
          <w:color w:val="auto"/>
        </w:rPr>
      </w:pPr>
      <w:r>
        <w:rPr>
          <w:rFonts w:ascii="Arial" w:cs="Arial" w:eastAsia="Arial" w:hAnsi="Arial"/>
          <w:sz w:val="18"/>
          <w:szCs w:val="18"/>
          <w:color w:val="auto"/>
        </w:rPr>
        <w:t>Our product or manufacturing standards could also be impacted by new or revised environmental rules and regulations or other social initiatives. For instance, the SEC requires disclosures relating to the sourcing of certain minerals from the Democratic Republic of Congo and adjoining countries. Those rules, or similar rules that may be adopted in other jurisdictions, could adversely affect our costs, the availability of minerals used in our products and our relationships with customers and suppliers.</w:t>
      </w:r>
    </w:p>
    <w:p>
      <w:pPr>
        <w:spacing w:after="0" w:line="79" w:lineRule="exact"/>
        <w:rPr>
          <w:sz w:val="20"/>
          <w:szCs w:val="20"/>
          <w:color w:val="auto"/>
        </w:rPr>
      </w:pPr>
    </w:p>
    <w:p>
      <w:pPr>
        <w:ind w:right="40" w:firstLine="648"/>
        <w:spacing w:after="0" w:line="290" w:lineRule="auto"/>
        <w:rPr>
          <w:sz w:val="20"/>
          <w:szCs w:val="20"/>
          <w:color w:val="auto"/>
        </w:rPr>
      </w:pPr>
      <w:r>
        <w:rPr>
          <w:rFonts w:ascii="Arial" w:cs="Arial" w:eastAsia="Arial" w:hAnsi="Arial"/>
          <w:sz w:val="16"/>
          <w:szCs w:val="16"/>
          <w:color w:val="auto"/>
        </w:rPr>
        <w:t>In connection with some of our acquisitions, we have been subject to regulatory conditions imposed by the Committee on Foreign Investment in the United States (CFIUS) where we have agreed to implement certain cyber security, physical security and training measures and supply agreements to protect national security. A portion of the business we acquired in the Avera acquisition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are organized in Bermuda, we have entered into agreements with the U.S. Department of Defense with respect to FOCI mitigation arrangements that relate to our operation of the portion of the Avera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w:t>
      </w:r>
    </w:p>
    <w:p>
      <w:pPr>
        <w:spacing w:after="0" w:line="57" w:lineRule="exact"/>
        <w:rPr>
          <w:sz w:val="20"/>
          <w:szCs w:val="20"/>
          <w:color w:val="auto"/>
        </w:rPr>
      </w:pPr>
    </w:p>
    <w:p>
      <w:pPr>
        <w:ind w:right="20" w:firstLine="648"/>
        <w:spacing w:after="0" w:line="293" w:lineRule="auto"/>
        <w:rPr>
          <w:sz w:val="20"/>
          <w:szCs w:val="20"/>
          <w:color w:val="auto"/>
        </w:rPr>
      </w:pPr>
      <w:r>
        <w:rPr>
          <w:rFonts w:ascii="Arial" w:cs="Arial" w:eastAsia="Arial" w:hAnsi="Arial"/>
          <w:sz w:val="16"/>
          <w:szCs w:val="16"/>
          <w:color w:val="auto"/>
        </w:rPr>
        <w:t>Primarily as a result of our acquisition of Avera, we are now a party to certain contracts with the U.S. government. Our contracts with government entities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governmental entities could adversely impact our future sales and operating results.</w:t>
      </w:r>
    </w:p>
    <w:p>
      <w:pPr>
        <w:spacing w:after="0" w:line="52" w:lineRule="exact"/>
        <w:rPr>
          <w:sz w:val="20"/>
          <w:szCs w:val="20"/>
          <w:color w:val="auto"/>
        </w:rPr>
      </w:pPr>
    </w:p>
    <w:p>
      <w:pPr>
        <w:ind w:right="140"/>
        <w:spacing w:after="0" w:line="266" w:lineRule="auto"/>
        <w:rPr>
          <w:sz w:val="20"/>
          <w:szCs w:val="20"/>
          <w:color w:val="auto"/>
        </w:rPr>
      </w:pPr>
      <w:r>
        <w:rPr>
          <w:rFonts w:ascii="Arial" w:cs="Arial" w:eastAsia="Arial" w:hAnsi="Arial"/>
          <w:sz w:val="18"/>
          <w:szCs w:val="18"/>
          <w:b w:val="1"/>
          <w:b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207" w:lineRule="exact"/>
        <w:rPr>
          <w:sz w:val="20"/>
          <w:szCs w:val="20"/>
          <w:color w:val="auto"/>
        </w:rPr>
      </w:pPr>
    </w:p>
    <w:p>
      <w:pPr>
        <w:ind w:firstLine="648"/>
        <w:spacing w:after="0" w:line="291" w:lineRule="auto"/>
        <w:rPr>
          <w:sz w:val="20"/>
          <w:szCs w:val="20"/>
          <w:color w:val="auto"/>
        </w:rPr>
      </w:pPr>
      <w:r>
        <w:rPr>
          <w:rFonts w:ascii="Arial" w:cs="Arial" w:eastAsia="Arial" w:hAnsi="Arial"/>
          <w:sz w:val="16"/>
          <w:szCs w:val="16"/>
          <w:color w:val="auto"/>
        </w:rPr>
        <w:t>We are currently, and have been in the past, named as a party to several lawsuits, government inquiries or investigations and other legal proceedings (referred to as “litigation”), and we may be named in additional ones in the future. Please see “</w:t>
      </w:r>
      <w:r>
        <w:rPr>
          <w:rFonts w:ascii="Arial" w:cs="Arial" w:eastAsia="Arial" w:hAnsi="Arial"/>
          <w:sz w:val="16"/>
          <w:szCs w:val="16"/>
          <w:i w:val="1"/>
          <w:iCs w:val="1"/>
          <w:color w:val="auto"/>
        </w:rPr>
        <w:t>Note 13 - Commitments and Contingencies</w:t>
      </w:r>
      <w:r>
        <w:rPr>
          <w:rFonts w:ascii="Arial" w:cs="Arial" w:eastAsia="Arial" w:hAnsi="Arial"/>
          <w:sz w:val="16"/>
          <w:szCs w:val="16"/>
          <w:color w:val="auto"/>
        </w:rPr>
        <w:t>” of our Notes to the Consolidated Financial Statements set forth in Part II, Item 8 of this Annual Report on Form 10-K for a more detailed description of material litigation matters in which we may be currently engaged.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6"/>
          <w:szCs w:val="16"/>
          <w:i w:val="1"/>
          <w:iCs w:val="1"/>
          <w:color w:val="auto"/>
        </w:rPr>
        <w:t>We may be unable to protect our intellectual property, which would negatively affect our ability to compete.</w:t>
      </w:r>
      <w:r>
        <w:rPr>
          <w:rFonts w:ascii="Arial" w:cs="Arial" w:eastAsia="Arial" w:hAnsi="Arial"/>
          <w:sz w:val="16"/>
          <w:szCs w:val="16"/>
          <w:color w:val="auto"/>
        </w:rPr>
        <w:t>”</w:t>
      </w: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27" w:name="page28"/>
    <w:bookmarkEnd w:id="27"/>
    <w:p>
      <w:pPr>
        <w:ind w:right="60" w:firstLine="648"/>
        <w:spacing w:after="0" w:line="259"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standards-based or other types of infringement claims, as well as claims against us and our subsidiaries’ proprietary technologies.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79" w:lineRule="exact"/>
        <w:rPr>
          <w:sz w:val="20"/>
          <w:szCs w:val="20"/>
          <w:color w:val="auto"/>
        </w:rPr>
      </w:pPr>
    </w:p>
    <w:p>
      <w:pPr>
        <w:ind w:left="660" w:right="220" w:hanging="328"/>
        <w:spacing w:after="0" w:line="258" w:lineRule="auto"/>
        <w:tabs>
          <w:tab w:leader="none" w:pos="655" w:val="left"/>
        </w:tabs>
        <w:numPr>
          <w:ilvl w:val="0"/>
          <w:numId w:val="16"/>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 w:lineRule="exact"/>
        <w:rPr>
          <w:rFonts w:ascii="Arial" w:cs="Arial" w:eastAsia="Arial" w:hAnsi="Arial"/>
          <w:sz w:val="18"/>
          <w:szCs w:val="18"/>
          <w:color w:val="auto"/>
        </w:rPr>
      </w:pPr>
    </w:p>
    <w:p>
      <w:pPr>
        <w:ind w:left="660" w:right="340" w:hanging="328"/>
        <w:spacing w:after="0" w:line="250" w:lineRule="auto"/>
        <w:tabs>
          <w:tab w:leader="none" w:pos="655" w:val="left"/>
        </w:tabs>
        <w:numPr>
          <w:ilvl w:val="0"/>
          <w:numId w:val="16"/>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ind w:left="660" w:hanging="328"/>
        <w:spacing w:after="0"/>
        <w:tabs>
          <w:tab w:leader="none" w:pos="6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32" w:lineRule="exact"/>
        <w:rPr>
          <w:rFonts w:ascii="Arial" w:cs="Arial" w:eastAsia="Arial" w:hAnsi="Arial"/>
          <w:sz w:val="16"/>
          <w:szCs w:val="16"/>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03" w:lineRule="exact"/>
        <w:rPr>
          <w:sz w:val="20"/>
          <w:szCs w:val="20"/>
          <w:color w:val="auto"/>
        </w:rPr>
      </w:pPr>
    </w:p>
    <w:p>
      <w:pPr>
        <w:ind w:right="280" w:firstLine="648"/>
        <w:spacing w:after="0" w:line="296"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See also, “</w:t>
      </w:r>
      <w:r>
        <w:rPr>
          <w:rFonts w:ascii="Arial" w:cs="Arial" w:eastAsia="Arial" w:hAnsi="Arial"/>
          <w:sz w:val="16"/>
          <w:szCs w:val="16"/>
          <w:i w:val="1"/>
          <w:iCs w:val="1"/>
          <w:color w:val="auto"/>
        </w:rPr>
        <w:t>Our indemnification obligations and limitations of our director and officer liability insurance may have a material</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adverse effect on our financial condition, results of operations and cash flows.” </w:t>
      </w:r>
      <w:r>
        <w:rPr>
          <w:rFonts w:ascii="Arial" w:cs="Arial" w:eastAsia="Arial" w:hAnsi="Arial"/>
          <w:sz w:val="16"/>
          <w:szCs w:val="16"/>
          <w:color w:val="auto"/>
        </w:rPr>
        <w:t>Additionally, from time to time, we have agreed to indemnify select</w:t>
      </w:r>
      <w:r>
        <w:rPr>
          <w:rFonts w:ascii="Arial" w:cs="Arial" w:eastAsia="Arial" w:hAnsi="Arial"/>
          <w:sz w:val="16"/>
          <w:szCs w:val="16"/>
          <w:i w:val="1"/>
          <w:iCs w:val="1"/>
          <w:color w:val="auto"/>
        </w:rPr>
        <w:t xml:space="preserve"> </w:t>
      </w:r>
      <w:r>
        <w:rPr>
          <w:rFonts w:ascii="Arial" w:cs="Arial" w:eastAsia="Arial" w:hAnsi="Arial"/>
          <w:sz w:val="16"/>
          <w:szCs w:val="16"/>
          <w:color w:val="auto"/>
        </w:rPr>
        <w:t>customers for claims 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53" w:lineRule="exact"/>
        <w:rPr>
          <w:sz w:val="20"/>
          <w:szCs w:val="20"/>
          <w:color w:val="auto"/>
        </w:rPr>
      </w:pPr>
    </w:p>
    <w:p>
      <w:pPr>
        <w:ind w:right="80" w:firstLine="648"/>
        <w:spacing w:after="0" w:line="257" w:lineRule="auto"/>
        <w:rPr>
          <w:sz w:val="20"/>
          <w:szCs w:val="20"/>
          <w:color w:val="auto"/>
        </w:rPr>
      </w:pPr>
      <w:r>
        <w:rPr>
          <w:rFonts w:ascii="Arial" w:cs="Arial" w:eastAsia="Arial" w:hAnsi="Arial"/>
          <w:sz w:val="18"/>
          <w:szCs w:val="18"/>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DEBT OBLIGATIONS</w:t>
      </w:r>
    </w:p>
    <w:p>
      <w:pPr>
        <w:spacing w:after="0" w:line="248" w:lineRule="exact"/>
        <w:rPr>
          <w:sz w:val="20"/>
          <w:szCs w:val="20"/>
          <w:color w:val="auto"/>
        </w:rPr>
      </w:pPr>
    </w:p>
    <w:p>
      <w:pPr>
        <w:ind w:right="320"/>
        <w:spacing w:after="0" w:line="282" w:lineRule="auto"/>
        <w:rPr>
          <w:sz w:val="20"/>
          <w:szCs w:val="20"/>
          <w:color w:val="auto"/>
        </w:rPr>
      </w:pPr>
      <w:r>
        <w:rPr>
          <w:rFonts w:ascii="Arial" w:cs="Arial" w:eastAsia="Arial" w:hAnsi="Arial"/>
          <w:sz w:val="18"/>
          <w:szCs w:val="18"/>
          <w:b w:val="1"/>
          <w:bCs w:val="1"/>
          <w:color w:val="auto"/>
        </w:rPr>
        <w:t>Our indebtedness could adversely affect our financial condition and our ability to raise additional capital to fund our operations and limit our ability to react to changes in the economy or our industry.</w:t>
      </w:r>
    </w:p>
    <w:p>
      <w:pPr>
        <w:spacing w:after="0" w:line="301" w:lineRule="exact"/>
        <w:rPr>
          <w:sz w:val="20"/>
          <w:szCs w:val="20"/>
          <w:color w:val="auto"/>
        </w:rPr>
      </w:pPr>
    </w:p>
    <w:p>
      <w:pPr>
        <w:ind w:right="40" w:firstLine="648"/>
        <w:spacing w:after="0" w:line="263" w:lineRule="auto"/>
        <w:rPr>
          <w:sz w:val="20"/>
          <w:szCs w:val="20"/>
          <w:color w:val="auto"/>
        </w:rPr>
      </w:pPr>
      <w:r>
        <w:rPr>
          <w:rFonts w:ascii="Arial" w:cs="Arial" w:eastAsia="Arial" w:hAnsi="Arial"/>
          <w:sz w:val="18"/>
          <w:szCs w:val="18"/>
          <w:color w:val="auto"/>
        </w:rPr>
        <w:t>On September 17, 2019, in connection with our acquisition of Aquantia, we drew down $350 million on our Revolving Credit Facility. As of December 11, 2019, the Company repaid the entire amount of the Revolver Loan. See “Note 12 - Debt” for discussion of the debt financing in the Notes to Consolidated Financial Statements set forth in Part II, Item 8 of the Annual Report on Form 10-K.</w:t>
      </w:r>
    </w:p>
    <w:p>
      <w:pPr>
        <w:spacing w:after="0" w:line="76"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On November 4, 2019, in connection with our acquisition of Avera, we incurred substantial indebtedness pursuant to a Credit Agreement. The Credit Agreement provided for a bridge loan of $600 million. As of December 11, 2019, the Company repaid the entire amount of the Bridge Loan. See “Note 12 - Debt” for discussion of the debt financing in the Notes to Consolidated Financial Statements set forth in Part II, Item 8 of the Annual Report on Form 10-K.</w:t>
      </w:r>
    </w:p>
    <w:p>
      <w:pPr>
        <w:spacing w:after="0" w:line="79" w:lineRule="exact"/>
        <w:rPr>
          <w:sz w:val="20"/>
          <w:szCs w:val="20"/>
          <w:color w:val="auto"/>
        </w:rPr>
      </w:pPr>
    </w:p>
    <w:p>
      <w:pPr>
        <w:ind w:right="80" w:firstLine="648"/>
        <w:spacing w:after="0" w:line="259" w:lineRule="auto"/>
        <w:rPr>
          <w:sz w:val="20"/>
          <w:szCs w:val="20"/>
          <w:color w:val="auto"/>
        </w:rPr>
      </w:pPr>
      <w:r>
        <w:rPr>
          <w:rFonts w:ascii="Arial" w:cs="Arial" w:eastAsia="Arial" w:hAnsi="Arial"/>
          <w:sz w:val="18"/>
          <w:szCs w:val="18"/>
          <w:color w:val="auto"/>
        </w:rPr>
        <w:t>On July 6, 2018, in connection with our acquisition of Cavium, we incurred substantial indebtedness pursuant to a Credit Agreement. The Credit Agreement provides for a $900 million Term Loan. The Term Loan will mature on July 6, 2021. As of February 1, 2020, the outstanding principal balance of the Term Loan amounted to $450 million. See “Note 12 - Debt” for discussion of the debt financing in the Notes to Consolidated Financial Statements set forth in Part II, Item 8 of the Annual Report on Form 10-K.</w:t>
      </w:r>
    </w:p>
    <w:p>
      <w:pPr>
        <w:spacing w:after="0" w:line="79" w:lineRule="exact"/>
        <w:rPr>
          <w:sz w:val="20"/>
          <w:szCs w:val="20"/>
          <w:color w:val="auto"/>
        </w:rPr>
      </w:pPr>
    </w:p>
    <w:p>
      <w:pPr>
        <w:ind w:firstLine="648"/>
        <w:spacing w:after="0" w:line="257" w:lineRule="auto"/>
        <w:rPr>
          <w:sz w:val="20"/>
          <w:szCs w:val="20"/>
          <w:color w:val="auto"/>
        </w:rPr>
      </w:pPr>
      <w:r>
        <w:rPr>
          <w:rFonts w:ascii="Arial" w:cs="Arial" w:eastAsia="Arial" w:hAnsi="Arial"/>
          <w:sz w:val="18"/>
          <w:szCs w:val="18"/>
          <w:color w:val="auto"/>
        </w:rPr>
        <w:t>In addition to the loans under the credit agreements, on June 22, 2018, we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 We are obligated to pay interest on the Senior Notes on June 22 and December 22 of each year, beginning on December 22, 2018. The 2023 Notes will mature on June 22, 2023 and the 2028 Notes will mature on June 22, 2028.</w:t>
      </w:r>
    </w:p>
    <w:p>
      <w:pPr>
        <w:spacing w:after="0" w:line="32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94" w:right="379" w:bottom="1440" w:gutter="0" w:footer="0" w:header="0"/>
        </w:sectPr>
      </w:pPr>
    </w:p>
    <w:bookmarkStart w:id="28" w:name="page29"/>
    <w:bookmarkEnd w:id="28"/>
    <w:p>
      <w:pPr>
        <w:ind w:left="66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117" w:lineRule="exact"/>
        <w:rPr>
          <w:sz w:val="20"/>
          <w:szCs w:val="20"/>
          <w:color w:val="auto"/>
        </w:rPr>
      </w:pPr>
    </w:p>
    <w:p>
      <w:pPr>
        <w:ind w:left="660" w:hanging="328"/>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increasing our vulnerability to adverse general economic and industry conditions;</w:t>
      </w:r>
    </w:p>
    <w:p>
      <w:pPr>
        <w:spacing w:after="0" w:line="23" w:lineRule="exact"/>
        <w:rPr>
          <w:rFonts w:ascii="Arial" w:cs="Arial" w:eastAsia="Arial" w:hAnsi="Arial"/>
          <w:sz w:val="18"/>
          <w:szCs w:val="18"/>
          <w:color w:val="auto"/>
        </w:rPr>
      </w:pPr>
    </w:p>
    <w:p>
      <w:pPr>
        <w:jc w:val="both"/>
        <w:ind w:left="660" w:right="160" w:hanging="328"/>
        <w:spacing w:after="0" w:line="250" w:lineRule="auto"/>
        <w:tabs>
          <w:tab w:leader="none" w:pos="655" w:val="left"/>
        </w:tabs>
        <w:numPr>
          <w:ilvl w:val="0"/>
          <w:numId w:val="17"/>
        </w:numPr>
        <w:rPr>
          <w:rFonts w:ascii="Arial" w:cs="Arial" w:eastAsia="Arial" w:hAnsi="Arial"/>
          <w:sz w:val="18"/>
          <w:szCs w:val="18"/>
          <w:color w:val="auto"/>
        </w:rPr>
      </w:pPr>
      <w:r>
        <w:rPr>
          <w:rFonts w:ascii="Arial" w:cs="Arial" w:eastAsia="Arial" w:hAnsi="Arial"/>
          <w:sz w:val="18"/>
          <w:szCs w:val="18"/>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spacing w:after="0" w:line="1" w:lineRule="exact"/>
        <w:rPr>
          <w:rFonts w:ascii="Arial" w:cs="Arial" w:eastAsia="Arial" w:hAnsi="Arial"/>
          <w:sz w:val="18"/>
          <w:szCs w:val="18"/>
          <w:color w:val="auto"/>
        </w:rPr>
      </w:pPr>
    </w:p>
    <w:p>
      <w:pPr>
        <w:ind w:left="660" w:hanging="328"/>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placing us at a competitive disadvantage compared to our competitors with less indebtedness;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exposing us to interest rate risk to the extent of our variable rate indebtedness; and</w:t>
      </w:r>
    </w:p>
    <w:p>
      <w:pPr>
        <w:spacing w:after="0" w:line="9" w:lineRule="exact"/>
        <w:rPr>
          <w:rFonts w:ascii="Arial" w:cs="Arial" w:eastAsia="Arial" w:hAnsi="Arial"/>
          <w:sz w:val="18"/>
          <w:szCs w:val="18"/>
          <w:color w:val="auto"/>
        </w:rPr>
      </w:pPr>
    </w:p>
    <w:p>
      <w:pPr>
        <w:ind w:left="660" w:right="460" w:hanging="328"/>
        <w:spacing w:after="0" w:line="260" w:lineRule="auto"/>
        <w:tabs>
          <w:tab w:leader="none" w:pos="655" w:val="left"/>
        </w:tabs>
        <w:numPr>
          <w:ilvl w:val="0"/>
          <w:numId w:val="17"/>
        </w:numPr>
        <w:rPr>
          <w:rFonts w:ascii="Arial" w:cs="Arial" w:eastAsia="Arial" w:hAnsi="Arial"/>
          <w:sz w:val="18"/>
          <w:szCs w:val="18"/>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77" w:lineRule="exact"/>
        <w:rPr>
          <w:sz w:val="20"/>
          <w:szCs w:val="20"/>
          <w:color w:val="auto"/>
        </w:rPr>
      </w:pPr>
    </w:p>
    <w:p>
      <w:pPr>
        <w:ind w:right="80" w:firstLine="648"/>
        <w:spacing w:after="0" w:line="259" w:lineRule="auto"/>
        <w:rPr>
          <w:sz w:val="20"/>
          <w:szCs w:val="20"/>
          <w:color w:val="auto"/>
        </w:rPr>
      </w:pPr>
      <w:r>
        <w:rPr>
          <w:rFonts w:ascii="Arial" w:cs="Arial" w:eastAsia="Arial" w:hAnsi="Arial"/>
          <w:sz w:val="18"/>
          <w:szCs w:val="18"/>
          <w:color w:val="auto"/>
        </w:rPr>
        <w:t>Although the credit agreements contain restrictions on our ability to incur additional indebtedness and the indenture under which the Senior Notes were issued contains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79" w:lineRule="exact"/>
        <w:rPr>
          <w:sz w:val="20"/>
          <w:szCs w:val="20"/>
          <w:color w:val="auto"/>
        </w:rPr>
      </w:pPr>
    </w:p>
    <w:p>
      <w:pPr>
        <w:ind w:firstLine="648"/>
        <w:spacing w:after="0" w:line="259" w:lineRule="auto"/>
        <w:rPr>
          <w:sz w:val="20"/>
          <w:szCs w:val="20"/>
          <w:color w:val="auto"/>
        </w:rPr>
      </w:pPr>
      <w:r>
        <w:rPr>
          <w:rFonts w:ascii="Arial" w:cs="Arial" w:eastAsia="Arial" w:hAnsi="Arial"/>
          <w:sz w:val="18"/>
          <w:szCs w:val="18"/>
          <w:color w:val="auto"/>
        </w:rPr>
        <w:t>The credit agreements and the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79" w:lineRule="exact"/>
        <w:rPr>
          <w:sz w:val="20"/>
          <w:szCs w:val="20"/>
          <w:color w:val="auto"/>
        </w:rPr>
      </w:pPr>
    </w:p>
    <w:p>
      <w:pPr>
        <w:jc w:val="both"/>
        <w:ind w:right="220" w:firstLine="648"/>
        <w:spacing w:after="0" w:line="263" w:lineRule="auto"/>
        <w:rPr>
          <w:sz w:val="20"/>
          <w:szCs w:val="20"/>
          <w:color w:val="auto"/>
        </w:rPr>
      </w:pPr>
      <w:r>
        <w:rPr>
          <w:rFonts w:ascii="Arial" w:cs="Arial" w:eastAsia="Arial" w:hAnsi="Arial"/>
          <w:sz w:val="18"/>
          <w:szCs w:val="18"/>
          <w:color w:val="auto"/>
        </w:rPr>
        <w:t>We may not be able to access cash or to incur additional indebtedness if the Novel Coronavirus (COVID-19) causes the closure of banks for an extended period of time or if there is a sudden increase in requests for indebtedness at one time by many potential borrowers which could overwhelm the banking industry.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Adverse changes to our debt ratings could negatively affect our ability to raise additional capital.</w:t>
      </w:r>
    </w:p>
    <w:p>
      <w:pPr>
        <w:spacing w:after="0" w:line="256" w:lineRule="exact"/>
        <w:rPr>
          <w:sz w:val="20"/>
          <w:szCs w:val="20"/>
          <w:color w:val="auto"/>
        </w:rPr>
      </w:pPr>
    </w:p>
    <w:p>
      <w:pPr>
        <w:ind w:right="80" w:firstLine="648"/>
        <w:spacing w:after="0" w:line="293" w:lineRule="auto"/>
        <w:rPr>
          <w:sz w:val="20"/>
          <w:szCs w:val="20"/>
          <w:color w:val="auto"/>
        </w:rPr>
      </w:pPr>
      <w:r>
        <w:rPr>
          <w:rFonts w:ascii="Arial" w:cs="Arial" w:eastAsia="Arial" w:hAnsi="Arial"/>
          <w:sz w:val="16"/>
          <w:szCs w:val="16"/>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Term Loan will vary based on the applicable public ratings assigned to the collateralized, long-term indebtedness for borrowed money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Credit Agreements and the indenture under which the Senior Notes were issued impose restrictions on our business.</w:t>
      </w:r>
    </w:p>
    <w:p>
      <w:pPr>
        <w:spacing w:after="0" w:line="256" w:lineRule="exact"/>
        <w:rPr>
          <w:sz w:val="20"/>
          <w:szCs w:val="20"/>
          <w:color w:val="auto"/>
        </w:rPr>
      </w:pPr>
    </w:p>
    <w:p>
      <w:pPr>
        <w:ind w:right="160" w:firstLine="648"/>
        <w:spacing w:after="0" w:line="273" w:lineRule="auto"/>
        <w:rPr>
          <w:sz w:val="20"/>
          <w:szCs w:val="20"/>
          <w:color w:val="auto"/>
        </w:rPr>
      </w:pPr>
      <w:r>
        <w:rPr>
          <w:rFonts w:ascii="Arial" w:cs="Arial" w:eastAsia="Arial" w:hAnsi="Arial"/>
          <w:sz w:val="17"/>
          <w:szCs w:val="17"/>
          <w:color w:val="auto"/>
        </w:rPr>
        <w:t>The credit agreements and the indenture for the Senior Notes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indenture for the Senior Notes. Our ability to meet the liquidity covenant or the leverage ratio set forth in the credit agreements may be affected by events beyond our control.</w:t>
      </w:r>
    </w:p>
    <w:p>
      <w:pPr>
        <w:spacing w:after="0" w:line="70" w:lineRule="exact"/>
        <w:rPr>
          <w:sz w:val="20"/>
          <w:szCs w:val="20"/>
          <w:color w:val="auto"/>
        </w:rPr>
      </w:pPr>
    </w:p>
    <w:p>
      <w:pPr>
        <w:ind w:right="300" w:firstLine="648"/>
        <w:spacing w:after="0" w:line="263"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agreements or to the Senior Notes if for any reason we are unable to meet these requirements, or whether we will be able to refinance our indebtedness on terms acceptable to us, or at all.</w:t>
      </w:r>
    </w:p>
    <w:p>
      <w:pPr>
        <w:spacing w:after="0" w:line="200" w:lineRule="exact"/>
        <w:rPr>
          <w:sz w:val="20"/>
          <w:szCs w:val="20"/>
          <w:color w:val="auto"/>
        </w:rPr>
      </w:pPr>
    </w:p>
    <w:p>
      <w:pPr>
        <w:spacing w:after="0" w:line="3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29" w:name="page30"/>
    <w:bookmarkEnd w:id="29"/>
    <w:p>
      <w:pPr>
        <w:spacing w:after="0"/>
        <w:rPr>
          <w:sz w:val="20"/>
          <w:szCs w:val="20"/>
          <w:color w:val="auto"/>
        </w:rPr>
      </w:pPr>
      <w:r>
        <w:rPr>
          <w:rFonts w:ascii="Arial" w:cs="Arial" w:eastAsia="Arial" w:hAnsi="Arial"/>
          <w:sz w:val="18"/>
          <w:szCs w:val="18"/>
          <w:b w:val="1"/>
          <w:bCs w:val="1"/>
          <w:color w:val="auto"/>
        </w:rPr>
        <w:t>We may be unable to generate the cash flow to service our debt obligations.</w:t>
      </w:r>
    </w:p>
    <w:p>
      <w:pPr>
        <w:spacing w:after="0" w:line="256" w:lineRule="exact"/>
        <w:rPr>
          <w:sz w:val="20"/>
          <w:szCs w:val="20"/>
          <w:color w:val="auto"/>
        </w:rPr>
      </w:pPr>
    </w:p>
    <w:p>
      <w:pPr>
        <w:ind w:firstLine="648"/>
        <w:spacing w:after="0" w:line="288"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Senior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Senior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under certain circumstances, be required to repurchase the Senior Notes at the option of the holder.</w:t>
      </w:r>
    </w:p>
    <w:p>
      <w:pPr>
        <w:spacing w:after="0" w:line="256" w:lineRule="exact"/>
        <w:rPr>
          <w:sz w:val="20"/>
          <w:szCs w:val="20"/>
          <w:color w:val="auto"/>
        </w:rPr>
      </w:pPr>
    </w:p>
    <w:p>
      <w:pPr>
        <w:ind w:right="120" w:firstLine="648"/>
        <w:spacing w:after="0" w:line="272" w:lineRule="auto"/>
        <w:rPr>
          <w:sz w:val="20"/>
          <w:szCs w:val="20"/>
          <w:color w:val="auto"/>
        </w:rPr>
      </w:pPr>
      <w:r>
        <w:rPr>
          <w:rFonts w:ascii="Arial" w:cs="Arial" w:eastAsia="Arial" w:hAnsi="Arial"/>
          <w:sz w:val="17"/>
          <w:szCs w:val="17"/>
          <w:color w:val="auto"/>
        </w:rPr>
        <w:t>We will be required to repurchase the Senior Notes at the option of each holder upon the occurrence of a change of control repurchase event as defined in the indenture for the Senior Notes. However, we may not have sufficient funds to repurchase the notes in cash at the time of any change of control repurchase event. Our failure to repurchase the Senior Notes upon a change of control repurchase event would be an event of default under the indenture for the Senior Notes and could cause a cross-default or acceleration under certain future agreements governing our other indebtedness. The repayment obligations under the Senior Notes may have the effect of discouraging, delaying or preventing a takeover of our company. If we were required to pay the Senior Notes prior to their scheduled maturity, it could have a significant negative impact on our cash and liquidity and could impact our ability to invest financial resources in other strategic initiatives.</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CYBERSECURITY RISKS</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Cybersecurity risks could adversely affect our business and disrupt our operations.</w:t>
      </w:r>
    </w:p>
    <w:p>
      <w:pPr>
        <w:spacing w:after="0" w:line="256" w:lineRule="exact"/>
        <w:rPr>
          <w:sz w:val="20"/>
          <w:szCs w:val="20"/>
          <w:color w:val="auto"/>
        </w:rPr>
      </w:pPr>
    </w:p>
    <w:p>
      <w:pPr>
        <w:ind w:right="120" w:firstLine="648"/>
        <w:spacing w:after="0" w:line="293" w:lineRule="auto"/>
        <w:rPr>
          <w:sz w:val="20"/>
          <w:szCs w:val="20"/>
          <w:color w:val="auto"/>
        </w:rPr>
      </w:pPr>
      <w:r>
        <w:rPr>
          <w:rFonts w:ascii="Arial" w:cs="Arial" w:eastAsia="Arial" w:hAnsi="Arial"/>
          <w:sz w:val="16"/>
          <w:szCs w:val="16"/>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us may include viruses and worms, phishing attacks, and denial-of-service attacks. In addition, we may be the target of email scams that attempt to acquire personal information or company assets.</w:t>
      </w:r>
    </w:p>
    <w:p>
      <w:pPr>
        <w:spacing w:after="0" w:line="56" w:lineRule="exact"/>
        <w:rPr>
          <w:sz w:val="20"/>
          <w:szCs w:val="20"/>
          <w:color w:val="auto"/>
        </w:rPr>
      </w:pPr>
    </w:p>
    <w:p>
      <w:pPr>
        <w:ind w:right="160" w:firstLine="648"/>
        <w:spacing w:after="0" w:line="272" w:lineRule="auto"/>
        <w:rPr>
          <w:sz w:val="20"/>
          <w:szCs w:val="20"/>
          <w:color w:val="auto"/>
        </w:rPr>
      </w:pPr>
      <w:r>
        <w:rPr>
          <w:rFonts w:ascii="Arial" w:cs="Arial" w:eastAsia="Arial" w:hAnsi="Arial"/>
          <w:sz w:val="17"/>
          <w:szCs w:val="17"/>
          <w:color w:val="auto"/>
        </w:rPr>
        <w:t>We have implemented processes for systems under our control intended to mitigate risks; however, we can provide no guarantee that those risk mitigation measures will be effective. While we have historically been successful in defending against cyber-attacks and breaches, given the frequency of cyber-attacks and resulting breaches reported by other businesses and governments, it is likely we will experience one or more breaches of some extent in the future. We have incurred and may in the future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69" w:lineRule="exact"/>
        <w:rPr>
          <w:sz w:val="20"/>
          <w:szCs w:val="20"/>
          <w:color w:val="auto"/>
        </w:rPr>
      </w:pPr>
    </w:p>
    <w:p>
      <w:pPr>
        <w:ind w:right="380" w:firstLine="648"/>
        <w:spacing w:after="0" w:line="279" w:lineRule="auto"/>
        <w:rPr>
          <w:sz w:val="20"/>
          <w:szCs w:val="20"/>
          <w:color w:val="auto"/>
        </w:rPr>
      </w:pPr>
      <w:r>
        <w:rPr>
          <w:rFonts w:ascii="Arial" w:cs="Arial" w:eastAsia="Arial" w:hAnsi="Arial"/>
          <w:sz w:val="17"/>
          <w:szCs w:val="17"/>
          <w:color w:val="auto"/>
        </w:rPr>
        <w:t>The Company’s business also requires it to share confidential information with suppliers and other third parties. Although the Company takes steps to secure confidential information that is provided to third parties, such measures may not always be effective and data breaches, losses or other unauthorized access to or releases of confidential information may occur and could materially adversely affect the Company’s reputation, financial condition and operating results and could result in liability or penalties under data privacy laws.</w:t>
      </w:r>
    </w:p>
    <w:p>
      <w:pPr>
        <w:spacing w:after="0" w:line="63" w:lineRule="exact"/>
        <w:rPr>
          <w:sz w:val="20"/>
          <w:szCs w:val="20"/>
          <w:color w:val="auto"/>
        </w:rPr>
      </w:pPr>
    </w:p>
    <w:p>
      <w:pPr>
        <w:jc w:val="both"/>
        <w:ind w:right="60" w:firstLine="648"/>
        <w:spacing w:after="0" w:line="263"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00" w:lineRule="exact"/>
        <w:rPr>
          <w:sz w:val="20"/>
          <w:szCs w:val="20"/>
          <w:color w:val="auto"/>
        </w:rPr>
      </w:pPr>
    </w:p>
    <w:p>
      <w:pPr>
        <w:spacing w:after="0" w:line="3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30" w:name="page31"/>
    <w:bookmarkEnd w:id="30"/>
    <w:p>
      <w:pPr>
        <w:spacing w:after="0"/>
        <w:rPr>
          <w:sz w:val="20"/>
          <w:szCs w:val="20"/>
          <w:color w:val="auto"/>
        </w:rPr>
      </w:pPr>
      <w:r>
        <w:rPr>
          <w:rFonts w:ascii="Arial" w:cs="Arial" w:eastAsia="Arial" w:hAnsi="Arial"/>
          <w:sz w:val="18"/>
          <w:szCs w:val="18"/>
          <w:color w:val="auto"/>
        </w:rPr>
        <w:t>WE ARE SUBJECT TO RISKS RELATED TO OUR ASSETS</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exposed to potential impairment charges on certain assets.</w:t>
      </w:r>
    </w:p>
    <w:p>
      <w:pPr>
        <w:spacing w:after="0" w:line="243" w:lineRule="exact"/>
        <w:rPr>
          <w:sz w:val="20"/>
          <w:szCs w:val="20"/>
          <w:color w:val="auto"/>
        </w:rPr>
      </w:pPr>
    </w:p>
    <w:p>
      <w:pPr>
        <w:ind w:firstLine="648"/>
        <w:spacing w:after="0" w:line="225" w:lineRule="auto"/>
        <w:rPr>
          <w:sz w:val="20"/>
          <w:szCs w:val="20"/>
          <w:color w:val="auto"/>
        </w:rPr>
      </w:pPr>
      <w:r>
        <w:rPr>
          <w:rFonts w:ascii="Arial" w:cs="Arial" w:eastAsia="Arial" w:hAnsi="Arial"/>
          <w:sz w:val="18"/>
          <w:szCs w:val="18"/>
          <w:color w:val="auto"/>
        </w:rPr>
        <w:t>We had approximately $5.3 billion of goodwill and $2.8 billion of acquired intangible assets on our consolidated balance sheet as of February 1, 2020.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86" w:lineRule="exact"/>
        <w:rPr>
          <w:sz w:val="20"/>
          <w:szCs w:val="20"/>
          <w:color w:val="auto"/>
        </w:rPr>
      </w:pPr>
    </w:p>
    <w:p>
      <w:pPr>
        <w:ind w:right="40" w:firstLine="445"/>
        <w:spacing w:after="0" w:line="259" w:lineRule="auto"/>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 significant underperformance relative to historical or projected future operating results; significant changes in the manner of our use of the acquired assets or the strategy for our overall business; significant negative industry or economic trends; a significant decline in our stock price for a sustained period; and a significant change in our market capitalization relative to our net book value.</w:t>
      </w:r>
    </w:p>
    <w:p>
      <w:pPr>
        <w:spacing w:after="0" w:line="79" w:lineRule="exact"/>
        <w:rPr>
          <w:sz w:val="20"/>
          <w:szCs w:val="20"/>
          <w:color w:val="auto"/>
        </w:rPr>
      </w:pPr>
    </w:p>
    <w:p>
      <w:pPr>
        <w:ind w:right="40" w:firstLine="445"/>
        <w:spacing w:after="0" w:line="255" w:lineRule="auto"/>
        <w:rPr>
          <w:sz w:val="20"/>
          <w:szCs w:val="20"/>
          <w:color w:val="auto"/>
        </w:rPr>
      </w:pPr>
      <w:r>
        <w:rPr>
          <w:rFonts w:ascii="Arial" w:cs="Arial" w:eastAsia="Arial" w:hAnsi="Arial"/>
          <w:sz w:val="18"/>
          <w:szCs w:val="18"/>
          <w:color w:val="auto"/>
        </w:rPr>
        <w:t>We assess the impairment of intangible assets whenever events or changes in 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w:t>
      </w:r>
    </w:p>
    <w:p>
      <w:pPr>
        <w:spacing w:after="0" w:line="84" w:lineRule="exact"/>
        <w:rPr>
          <w:sz w:val="20"/>
          <w:szCs w:val="20"/>
          <w:color w:val="auto"/>
        </w:rPr>
      </w:pPr>
    </w:p>
    <w:p>
      <w:pPr>
        <w:ind w:right="20" w:firstLine="445"/>
        <w:spacing w:after="0" w:line="254" w:lineRule="auto"/>
        <w:rPr>
          <w:sz w:val="20"/>
          <w:szCs w:val="20"/>
          <w:color w:val="auto"/>
        </w:rPr>
      </w:pPr>
      <w:r>
        <w:rPr>
          <w:rFonts w:ascii="Arial" w:cs="Arial" w:eastAsia="Arial" w:hAnsi="Arial"/>
          <w:sz w:val="18"/>
          <w:szCs w:val="18"/>
          <w:color w:val="auto"/>
        </w:rPr>
        <w:t>We have determined that our business operates as a single operating segment with two primary components (Storage and Networking),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87" w:lineRule="exact"/>
        <w:rPr>
          <w:sz w:val="20"/>
          <w:szCs w:val="20"/>
          <w:color w:val="auto"/>
        </w:rPr>
      </w:pPr>
    </w:p>
    <w:p>
      <w:pPr>
        <w:ind w:right="20" w:firstLine="648"/>
        <w:spacing w:after="0" w:line="257"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211" w:lineRule="exact"/>
        <w:rPr>
          <w:sz w:val="20"/>
          <w:szCs w:val="20"/>
          <w:color w:val="auto"/>
        </w:rPr>
      </w:pPr>
    </w:p>
    <w:p>
      <w:pPr>
        <w:ind w:right="100"/>
        <w:spacing w:after="0" w:line="282" w:lineRule="auto"/>
        <w:rPr>
          <w:sz w:val="20"/>
          <w:szCs w:val="20"/>
          <w:color w:val="auto"/>
        </w:rPr>
      </w:pPr>
      <w:r>
        <w:rPr>
          <w:rFonts w:ascii="Arial" w:cs="Arial" w:eastAsia="Arial" w:hAnsi="Arial"/>
          <w:sz w:val="18"/>
          <w:szCs w:val="18"/>
          <w:b w:val="1"/>
          <w:bCs w:val="1"/>
          <w:color w:val="auto"/>
        </w:rPr>
        <w:t>As we carry only limited insurance coverage, any incurred liability resulting from uncovered claims could adversely affect our financial condition and results of operations.</w:t>
      </w:r>
    </w:p>
    <w:p>
      <w:pPr>
        <w:spacing w:after="0" w:line="193" w:lineRule="exact"/>
        <w:rPr>
          <w:sz w:val="20"/>
          <w:szCs w:val="20"/>
          <w:color w:val="auto"/>
        </w:rPr>
      </w:pPr>
    </w:p>
    <w:p>
      <w:pPr>
        <w:ind w:right="20" w:firstLine="648"/>
        <w:spacing w:after="0" w:line="293"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public health emergencies including pandemics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0" w:lineRule="exact"/>
        <w:rPr>
          <w:sz w:val="20"/>
          <w:szCs w:val="20"/>
          <w:color w:val="auto"/>
        </w:rPr>
      </w:pPr>
    </w:p>
    <w:p>
      <w:pPr>
        <w:spacing w:after="0" w:line="3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31" w:name="page32"/>
    <w:bookmarkEnd w:id="31"/>
    <w:p>
      <w:pPr>
        <w:spacing w:after="0"/>
        <w:rPr>
          <w:sz w:val="20"/>
          <w:szCs w:val="20"/>
          <w:color w:val="auto"/>
        </w:rPr>
      </w:pPr>
      <w:r>
        <w:rPr>
          <w:rFonts w:ascii="Arial" w:cs="Arial" w:eastAsia="Arial" w:hAnsi="Arial"/>
          <w:sz w:val="18"/>
          <w:szCs w:val="18"/>
          <w:b w:val="1"/>
          <w:bCs w:val="1"/>
          <w:color w:val="auto"/>
        </w:rPr>
        <w:t>We are subject to the risks of owning real property.</w:t>
      </w:r>
    </w:p>
    <w:p>
      <w:pPr>
        <w:spacing w:after="0" w:line="256" w:lineRule="exact"/>
        <w:rPr>
          <w:sz w:val="20"/>
          <w:szCs w:val="20"/>
          <w:color w:val="auto"/>
        </w:rPr>
      </w:pPr>
    </w:p>
    <w:p>
      <w:pPr>
        <w:ind w:left="660"/>
        <w:spacing w:after="0"/>
        <w:rPr>
          <w:sz w:val="20"/>
          <w:szCs w:val="20"/>
          <w:color w:val="auto"/>
        </w:rPr>
      </w:pPr>
      <w:r>
        <w:rPr>
          <w:rFonts w:ascii="Arial" w:cs="Arial" w:eastAsia="Arial" w:hAnsi="Arial"/>
          <w:sz w:val="16"/>
          <w:szCs w:val="16"/>
          <w:color w:val="auto"/>
        </w:rPr>
        <w:t>Our buildings in Santa Clara, California and Shanghai, China subject us to the risks of owning real property, which include, but are not limited to:</w:t>
      </w:r>
    </w:p>
    <w:p>
      <w:pPr>
        <w:spacing w:after="0" w:line="140" w:lineRule="exact"/>
        <w:rPr>
          <w:sz w:val="20"/>
          <w:szCs w:val="20"/>
          <w:color w:val="auto"/>
        </w:rPr>
      </w:pPr>
    </w:p>
    <w:p>
      <w:pPr>
        <w:ind w:left="660" w:hanging="328"/>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3" w:lineRule="exact"/>
        <w:rPr>
          <w:rFonts w:ascii="Arial" w:cs="Arial" w:eastAsia="Arial" w:hAnsi="Arial"/>
          <w:sz w:val="18"/>
          <w:szCs w:val="18"/>
          <w:color w:val="auto"/>
        </w:rPr>
      </w:pPr>
    </w:p>
    <w:p>
      <w:pPr>
        <w:ind w:left="660" w:hanging="328"/>
        <w:spacing w:after="0" w:line="250" w:lineRule="auto"/>
        <w:tabs>
          <w:tab w:leader="none" w:pos="655" w:val="left"/>
        </w:tabs>
        <w:numPr>
          <w:ilvl w:val="0"/>
          <w:numId w:val="18"/>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ind w:left="660" w:hanging="328"/>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8"/>
        </w:numPr>
        <w:rPr>
          <w:rFonts w:ascii="Arial" w:cs="Arial" w:eastAsia="Arial" w:hAnsi="Arial"/>
          <w:sz w:val="17"/>
          <w:szCs w:val="17"/>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0" w:lineRule="exact"/>
        <w:rPr>
          <w:rFonts w:ascii="Arial" w:cs="Arial" w:eastAsia="Arial" w:hAnsi="Arial"/>
          <w:sz w:val="17"/>
          <w:szCs w:val="17"/>
          <w:color w:val="auto"/>
        </w:rPr>
      </w:pPr>
    </w:p>
    <w:p>
      <w:pPr>
        <w:ind w:left="660" w:hanging="328"/>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possible disputes with third parties related to the buildings or the property, or both;</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9" w:lineRule="exact"/>
        <w:rPr>
          <w:rFonts w:ascii="Arial" w:cs="Arial" w:eastAsia="Arial" w:hAnsi="Arial"/>
          <w:sz w:val="18"/>
          <w:szCs w:val="18"/>
          <w:color w:val="auto"/>
        </w:rPr>
      </w:pPr>
    </w:p>
    <w:p>
      <w:pPr>
        <w:ind w:left="660" w:right="280" w:hanging="328"/>
        <w:spacing w:after="0" w:line="260" w:lineRule="auto"/>
        <w:tabs>
          <w:tab w:leader="none" w:pos="655"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212"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color w:val="auto"/>
        </w:rPr>
        <w:t>WE MAY HAVE FLUCTUATIONS IN THE AMOUNT OR PAYMENT OF OUR DIVIDENDS OR IN THE AMOUNT OR FREQUENCY OF OUR STOCK REPURCHASES</w:t>
      </w:r>
    </w:p>
    <w:p>
      <w:pPr>
        <w:spacing w:after="0" w:line="193" w:lineRule="exact"/>
        <w:rPr>
          <w:sz w:val="20"/>
          <w:szCs w:val="20"/>
          <w:color w:val="auto"/>
        </w:rPr>
      </w:pPr>
    </w:p>
    <w:p>
      <w:pPr>
        <w:ind w:right="460"/>
        <w:spacing w:after="0" w:line="347" w:lineRule="auto"/>
        <w:rPr>
          <w:sz w:val="20"/>
          <w:szCs w:val="20"/>
          <w:color w:val="auto"/>
        </w:rPr>
      </w:pPr>
      <w:r>
        <w:rPr>
          <w:rFonts w:ascii="Arial" w:cs="Arial" w:eastAsia="Arial" w:hAnsi="Arial"/>
          <w:sz w:val="16"/>
          <w:szCs w:val="16"/>
          <w:b w:val="1"/>
          <w:bCs w:val="1"/>
          <w:color w:val="auto"/>
        </w:rPr>
        <w:t>There can be no assurance that we will continue to declare cash dividends or effect share repurchases in any particular amount or at all, and statutory requirements under Bermuda Law may require us to defer payment of declared dividends or suspend share repurchases.</w:t>
      </w:r>
    </w:p>
    <w:p>
      <w:pPr>
        <w:spacing w:after="0" w:line="147" w:lineRule="exact"/>
        <w:rPr>
          <w:sz w:val="20"/>
          <w:szCs w:val="20"/>
          <w:color w:val="auto"/>
        </w:rPr>
      </w:pPr>
    </w:p>
    <w:p>
      <w:pPr>
        <w:ind w:right="20" w:firstLine="648"/>
        <w:spacing w:after="0" w:line="253" w:lineRule="auto"/>
        <w:rPr>
          <w:sz w:val="20"/>
          <w:szCs w:val="20"/>
          <w:color w:val="auto"/>
        </w:rPr>
      </w:pPr>
      <w:r>
        <w:rPr>
          <w:rFonts w:ascii="Arial" w:cs="Arial" w:eastAsia="Arial" w:hAnsi="Arial"/>
          <w:sz w:val="18"/>
          <w:szCs w:val="18"/>
          <w:color w:val="auto"/>
        </w:rPr>
        <w:t>In May 2012, we declared our first quarterly cash dividend and in October 2018, we announced that our board of directors had authorized a $700 million addition to our previously existing $1 billion share repurchase program. An aggregate of $1.1 billion of shares have been repurchased under that program as of February 1, 2020.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 As of February 1, 2020, there was $590 million remaining available for future share repurchases.</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1B. </w:t>
      </w:r>
      <w:r>
        <w:rPr>
          <w:rFonts w:ascii="Arial" w:cs="Arial" w:eastAsia="Arial" w:hAnsi="Arial"/>
          <w:sz w:val="18"/>
          <w:szCs w:val="18"/>
          <w:b w:val="1"/>
          <w:bCs w:val="1"/>
          <w:i w:val="1"/>
          <w:iCs w:val="1"/>
          <w:color w:val="auto"/>
        </w:rPr>
        <w:t>Unresolved Staff Comments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282" w:right="359" w:bottom="1440" w:gutter="0" w:footer="0" w:header="0"/>
        </w:sectPr>
      </w:pPr>
    </w:p>
    <w:bookmarkStart w:id="32" w:name="page33"/>
    <w:bookmarkEnd w:id="32"/>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Properties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the approximate square footage of our significant owned and leased facilities as of February 1, 2020:</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6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160" w:type="dxa"/>
            <w:vAlign w:val="bottom"/>
            <w:tcBorders>
              <w:bottom w:val="single" w:sz="8" w:color="auto"/>
            </w:tcBorders>
            <w:gridSpan w:val="3"/>
          </w:tcPr>
          <w:p>
            <w:pPr>
              <w:jc w:val="right"/>
              <w:ind w:right="1092"/>
              <w:spacing w:after="0"/>
              <w:rPr>
                <w:sz w:val="20"/>
                <w:szCs w:val="20"/>
                <w:color w:val="auto"/>
              </w:rPr>
            </w:pPr>
            <w:r>
              <w:rPr>
                <w:rFonts w:ascii="Arial" w:cs="Arial" w:eastAsia="Arial" w:hAnsi="Arial"/>
                <w:sz w:val="14"/>
                <w:szCs w:val="14"/>
                <w:b w:val="1"/>
                <w:bCs w:val="1"/>
                <w:color w:val="auto"/>
              </w:rPr>
              <w:t>(Square feet)</w:t>
            </w:r>
          </w:p>
        </w:tc>
      </w:tr>
      <w:tr>
        <w:trPr>
          <w:trHeight w:val="197"/>
        </w:trPr>
        <w:tc>
          <w:tcPr>
            <w:tcW w:w="22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Locations</w:t>
            </w:r>
          </w:p>
        </w:tc>
        <w:tc>
          <w:tcPr>
            <w:tcW w:w="100" w:type="dxa"/>
            <w:vAlign w:val="bottom"/>
            <w:tcBorders>
              <w:bottom w:val="single" w:sz="8" w:color="CCEEFF"/>
            </w:tcBorders>
          </w:tcPr>
          <w:p>
            <w:pPr>
              <w:spacing w:after="0"/>
              <w:rPr>
                <w:sz w:val="17"/>
                <w:szCs w:val="17"/>
                <w:color w:val="auto"/>
              </w:rPr>
            </w:pPr>
          </w:p>
        </w:tc>
        <w:tc>
          <w:tcPr>
            <w:tcW w:w="5680" w:type="dxa"/>
            <w:vAlign w:val="bottom"/>
            <w:tcBorders>
              <w:bottom w:val="single" w:sz="8" w:color="auto"/>
            </w:tcBorders>
          </w:tcPr>
          <w:p>
            <w:pPr>
              <w:ind w:left="2440"/>
              <w:spacing w:after="0"/>
              <w:rPr>
                <w:sz w:val="20"/>
                <w:szCs w:val="20"/>
                <w:color w:val="auto"/>
              </w:rPr>
            </w:pPr>
            <w:r>
              <w:rPr>
                <w:rFonts w:ascii="Arial" w:cs="Arial" w:eastAsia="Arial" w:hAnsi="Arial"/>
                <w:sz w:val="14"/>
                <w:szCs w:val="14"/>
                <w:b w:val="1"/>
                <w:bCs w:val="1"/>
                <w:color w:val="auto"/>
              </w:rPr>
              <w:t>Primary Use</w:t>
            </w:r>
          </w:p>
        </w:tc>
        <w:tc>
          <w:tcPr>
            <w:tcW w:w="100" w:type="dxa"/>
            <w:vAlign w:val="bottom"/>
            <w:tcBorders>
              <w:bottom w:val="single" w:sz="8" w:color="CCEEFF"/>
            </w:tcBorders>
          </w:tcPr>
          <w:p>
            <w:pPr>
              <w:spacing w:after="0"/>
              <w:rPr>
                <w:sz w:val="17"/>
                <w:szCs w:val="17"/>
                <w:color w:val="auto"/>
              </w:rPr>
            </w:pPr>
          </w:p>
        </w:tc>
        <w:tc>
          <w:tcPr>
            <w:tcW w:w="142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Owned Facilities</w:t>
            </w:r>
          </w:p>
        </w:tc>
        <w:tc>
          <w:tcPr>
            <w:tcW w:w="100" w:type="dxa"/>
            <w:vAlign w:val="bottom"/>
            <w:tcBorders>
              <w:bottom w:val="single" w:sz="8" w:color="CCEEFF"/>
            </w:tcBorders>
          </w:tcPr>
          <w:p>
            <w:pPr>
              <w:spacing w:after="0"/>
              <w:rPr>
                <w:sz w:val="17"/>
                <w:szCs w:val="17"/>
                <w:color w:val="auto"/>
              </w:rPr>
            </w:pPr>
          </w:p>
        </w:tc>
        <w:tc>
          <w:tcPr>
            <w:tcW w:w="1640" w:type="dxa"/>
            <w:vAlign w:val="bottom"/>
            <w:tcBorders>
              <w:bottom w:val="single" w:sz="8" w:color="auto"/>
            </w:tcBorders>
          </w:tcPr>
          <w:p>
            <w:pPr>
              <w:jc w:val="right"/>
              <w:ind w:right="112"/>
              <w:spacing w:after="0"/>
              <w:rPr>
                <w:sz w:val="20"/>
                <w:szCs w:val="20"/>
                <w:color w:val="auto"/>
              </w:rPr>
            </w:pPr>
            <w:r>
              <w:rPr>
                <w:rFonts w:ascii="Arial" w:cs="Arial" w:eastAsia="Arial" w:hAnsi="Arial"/>
                <w:sz w:val="14"/>
                <w:szCs w:val="14"/>
                <w:b w:val="1"/>
                <w:bCs w:val="1"/>
                <w:color w:val="auto"/>
              </w:rPr>
              <w:t>Leased Facilities (1)</w:t>
            </w:r>
          </w:p>
        </w:tc>
      </w:tr>
      <w:tr>
        <w:trPr>
          <w:trHeight w:val="249"/>
        </w:trPr>
        <w:tc>
          <w:tcPr>
            <w:tcW w:w="230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United States</w:t>
            </w:r>
          </w:p>
        </w:tc>
        <w:tc>
          <w:tcPr>
            <w:tcW w:w="578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w w:val="97"/>
              </w:rPr>
              <w:t>Research and design, sales and marketing, administration and operations</w:t>
            </w:r>
          </w:p>
        </w:tc>
        <w:tc>
          <w:tcPr>
            <w:tcW w:w="142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983,000</w:t>
            </w:r>
          </w:p>
        </w:tc>
        <w:tc>
          <w:tcPr>
            <w:tcW w:w="100" w:type="dxa"/>
            <w:vAlign w:val="bottom"/>
            <w:tcBorders>
              <w:bottom w:val="single" w:sz="8" w:color="CCEEFF"/>
            </w:tcBorders>
            <w:shd w:val="clear" w:color="auto" w:fill="CCEEFF"/>
          </w:tcPr>
          <w:p>
            <w:pPr>
              <w:spacing w:after="0"/>
              <w:rPr>
                <w:sz w:val="21"/>
                <w:szCs w:val="21"/>
                <w:color w:val="auto"/>
              </w:rPr>
            </w:pPr>
          </w:p>
        </w:tc>
        <w:tc>
          <w:tcPr>
            <w:tcW w:w="16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530,000</w:t>
            </w:r>
          </w:p>
        </w:tc>
      </w:tr>
      <w:tr>
        <w:trPr>
          <w:trHeight w:val="243"/>
        </w:trPr>
        <w:tc>
          <w:tcPr>
            <w:tcW w:w="2300" w:type="dxa"/>
            <w:vAlign w:val="bottom"/>
            <w:gridSpan w:val="2"/>
          </w:tcPr>
          <w:p>
            <w:pPr>
              <w:ind w:left="20"/>
              <w:spacing w:after="0"/>
              <w:rPr>
                <w:sz w:val="20"/>
                <w:szCs w:val="20"/>
                <w:color w:val="auto"/>
              </w:rPr>
            </w:pPr>
            <w:r>
              <w:rPr>
                <w:rFonts w:ascii="Arial" w:cs="Arial" w:eastAsia="Arial" w:hAnsi="Arial"/>
                <w:sz w:val="18"/>
                <w:szCs w:val="18"/>
                <w:color w:val="auto"/>
              </w:rPr>
              <w:t>India</w:t>
            </w:r>
          </w:p>
        </w:tc>
        <w:tc>
          <w:tcPr>
            <w:tcW w:w="5780" w:type="dxa"/>
            <w:vAlign w:val="bottom"/>
            <w:gridSpan w:val="2"/>
          </w:tcPr>
          <w:p>
            <w:pPr>
              <w:ind w:left="20"/>
              <w:spacing w:after="0"/>
              <w:rPr>
                <w:sz w:val="20"/>
                <w:szCs w:val="20"/>
                <w:color w:val="auto"/>
              </w:rPr>
            </w:pPr>
            <w:r>
              <w:rPr>
                <w:rFonts w:ascii="Arial" w:cs="Arial" w:eastAsia="Arial" w:hAnsi="Arial"/>
                <w:sz w:val="18"/>
                <w:szCs w:val="18"/>
                <w:color w:val="auto"/>
              </w:rPr>
              <w:t>Research and design</w:t>
            </w:r>
          </w:p>
        </w:tc>
        <w:tc>
          <w:tcPr>
            <w:tcW w:w="15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640" w:type="dxa"/>
            <w:vAlign w:val="bottom"/>
          </w:tcPr>
          <w:p>
            <w:pPr>
              <w:jc w:val="right"/>
              <w:ind w:right="72"/>
              <w:spacing w:after="0"/>
              <w:rPr>
                <w:sz w:val="20"/>
                <w:szCs w:val="20"/>
                <w:color w:val="auto"/>
              </w:rPr>
            </w:pPr>
            <w:r>
              <w:rPr>
                <w:rFonts w:ascii="Arial" w:cs="Arial" w:eastAsia="Arial" w:hAnsi="Arial"/>
                <w:sz w:val="18"/>
                <w:szCs w:val="18"/>
                <w:color w:val="auto"/>
              </w:rPr>
              <w:t>445,000</w:t>
            </w:r>
          </w:p>
        </w:tc>
      </w:tr>
      <w:tr>
        <w:trPr>
          <w:trHeight w:val="27"/>
        </w:trPr>
        <w:tc>
          <w:tcPr>
            <w:tcW w:w="2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40" w:type="dxa"/>
            <w:vAlign w:val="bottom"/>
          </w:tcPr>
          <w:p>
            <w:pPr>
              <w:spacing w:after="0"/>
              <w:rPr>
                <w:sz w:val="2"/>
                <w:szCs w:val="2"/>
                <w:color w:val="auto"/>
              </w:rPr>
            </w:pPr>
          </w:p>
        </w:tc>
      </w:tr>
      <w:tr>
        <w:trPr>
          <w:trHeight w:val="250"/>
        </w:trPr>
        <w:tc>
          <w:tcPr>
            <w:tcW w:w="230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Israel</w:t>
            </w:r>
          </w:p>
        </w:tc>
        <w:tc>
          <w:tcPr>
            <w:tcW w:w="578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Research and design</w:t>
            </w:r>
          </w:p>
        </w:tc>
        <w:tc>
          <w:tcPr>
            <w:tcW w:w="152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6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212,000</w:t>
            </w:r>
          </w:p>
        </w:tc>
      </w:tr>
      <w:tr>
        <w:trPr>
          <w:trHeight w:val="243"/>
        </w:trPr>
        <w:tc>
          <w:tcPr>
            <w:tcW w:w="2300" w:type="dxa"/>
            <w:vAlign w:val="bottom"/>
            <w:gridSpan w:val="2"/>
          </w:tcPr>
          <w:p>
            <w:pPr>
              <w:ind w:left="20"/>
              <w:spacing w:after="0"/>
              <w:rPr>
                <w:sz w:val="20"/>
                <w:szCs w:val="20"/>
                <w:color w:val="auto"/>
              </w:rPr>
            </w:pPr>
            <w:r>
              <w:rPr>
                <w:rFonts w:ascii="Arial" w:cs="Arial" w:eastAsia="Arial" w:hAnsi="Arial"/>
                <w:sz w:val="18"/>
                <w:szCs w:val="18"/>
                <w:color w:val="auto"/>
              </w:rPr>
              <w:t>China</w:t>
            </w:r>
          </w:p>
        </w:tc>
        <w:tc>
          <w:tcPr>
            <w:tcW w:w="5780" w:type="dxa"/>
            <w:vAlign w:val="bottom"/>
            <w:gridSpan w:val="2"/>
          </w:tcPr>
          <w:p>
            <w:pPr>
              <w:ind w:left="20"/>
              <w:spacing w:after="0"/>
              <w:rPr>
                <w:sz w:val="20"/>
                <w:szCs w:val="20"/>
                <w:color w:val="auto"/>
              </w:rPr>
            </w:pPr>
            <w:r>
              <w:rPr>
                <w:rFonts w:ascii="Arial" w:cs="Arial" w:eastAsia="Arial" w:hAnsi="Arial"/>
                <w:sz w:val="18"/>
                <w:szCs w:val="18"/>
                <w:color w:val="auto"/>
              </w:rPr>
              <w:t>Research and design, and sales and marketing</w:t>
            </w:r>
          </w:p>
        </w:tc>
        <w:tc>
          <w:tcPr>
            <w:tcW w:w="1420" w:type="dxa"/>
            <w:vAlign w:val="bottom"/>
          </w:tcPr>
          <w:p>
            <w:pPr>
              <w:jc w:val="right"/>
              <w:ind w:right="74"/>
              <w:spacing w:after="0"/>
              <w:rPr>
                <w:sz w:val="20"/>
                <w:szCs w:val="20"/>
                <w:color w:val="auto"/>
              </w:rPr>
            </w:pPr>
            <w:r>
              <w:rPr>
                <w:rFonts w:ascii="Arial" w:cs="Arial" w:eastAsia="Arial" w:hAnsi="Arial"/>
                <w:sz w:val="18"/>
                <w:szCs w:val="18"/>
                <w:color w:val="auto"/>
              </w:rPr>
              <w:t>83,000</w:t>
            </w:r>
          </w:p>
        </w:tc>
        <w:tc>
          <w:tcPr>
            <w:tcW w:w="100" w:type="dxa"/>
            <w:vAlign w:val="bottom"/>
          </w:tcPr>
          <w:p>
            <w:pPr>
              <w:spacing w:after="0"/>
              <w:rPr>
                <w:sz w:val="21"/>
                <w:szCs w:val="21"/>
                <w:color w:val="auto"/>
              </w:rPr>
            </w:pPr>
          </w:p>
        </w:tc>
        <w:tc>
          <w:tcPr>
            <w:tcW w:w="1640" w:type="dxa"/>
            <w:vAlign w:val="bottom"/>
          </w:tcPr>
          <w:p>
            <w:pPr>
              <w:jc w:val="right"/>
              <w:ind w:right="72"/>
              <w:spacing w:after="0"/>
              <w:rPr>
                <w:sz w:val="20"/>
                <w:szCs w:val="20"/>
                <w:color w:val="auto"/>
              </w:rPr>
            </w:pPr>
            <w:r>
              <w:rPr>
                <w:rFonts w:ascii="Arial" w:cs="Arial" w:eastAsia="Arial" w:hAnsi="Arial"/>
                <w:sz w:val="18"/>
                <w:szCs w:val="18"/>
                <w:color w:val="auto"/>
              </w:rPr>
              <w:t>46,000</w:t>
            </w:r>
          </w:p>
        </w:tc>
      </w:tr>
      <w:tr>
        <w:trPr>
          <w:trHeight w:val="27"/>
        </w:trPr>
        <w:tc>
          <w:tcPr>
            <w:tcW w:w="2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40" w:type="dxa"/>
            <w:vAlign w:val="bottom"/>
          </w:tcPr>
          <w:p>
            <w:pPr>
              <w:spacing w:after="0"/>
              <w:rPr>
                <w:sz w:val="2"/>
                <w:szCs w:val="2"/>
                <w:color w:val="auto"/>
              </w:rPr>
            </w:pPr>
          </w:p>
        </w:tc>
      </w:tr>
      <w:tr>
        <w:trPr>
          <w:trHeight w:val="250"/>
        </w:trPr>
        <w:tc>
          <w:tcPr>
            <w:tcW w:w="230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Taiwan</w:t>
            </w:r>
          </w:p>
        </w:tc>
        <w:tc>
          <w:tcPr>
            <w:tcW w:w="578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Storage and operations</w:t>
            </w:r>
          </w:p>
        </w:tc>
        <w:tc>
          <w:tcPr>
            <w:tcW w:w="152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6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71,000</w:t>
            </w:r>
          </w:p>
        </w:tc>
      </w:tr>
      <w:tr>
        <w:trPr>
          <w:trHeight w:val="243"/>
        </w:trPr>
        <w:tc>
          <w:tcPr>
            <w:tcW w:w="2300" w:type="dxa"/>
            <w:vAlign w:val="bottom"/>
            <w:gridSpan w:val="2"/>
          </w:tcPr>
          <w:p>
            <w:pPr>
              <w:ind w:left="20"/>
              <w:spacing w:after="0"/>
              <w:rPr>
                <w:sz w:val="20"/>
                <w:szCs w:val="20"/>
                <w:color w:val="auto"/>
              </w:rPr>
            </w:pPr>
            <w:r>
              <w:rPr>
                <w:rFonts w:ascii="Arial" w:cs="Arial" w:eastAsia="Arial" w:hAnsi="Arial"/>
                <w:sz w:val="18"/>
                <w:szCs w:val="18"/>
                <w:color w:val="auto"/>
              </w:rPr>
              <w:t>Singapore</w:t>
            </w:r>
          </w:p>
        </w:tc>
        <w:tc>
          <w:tcPr>
            <w:tcW w:w="5780" w:type="dxa"/>
            <w:vAlign w:val="bottom"/>
            <w:gridSpan w:val="2"/>
          </w:tcPr>
          <w:p>
            <w:pPr>
              <w:ind w:left="20"/>
              <w:spacing w:after="0"/>
              <w:rPr>
                <w:sz w:val="20"/>
                <w:szCs w:val="20"/>
                <w:color w:val="auto"/>
              </w:rPr>
            </w:pPr>
            <w:r>
              <w:rPr>
                <w:rFonts w:ascii="Arial" w:cs="Arial" w:eastAsia="Arial" w:hAnsi="Arial"/>
                <w:sz w:val="18"/>
                <w:szCs w:val="18"/>
                <w:color w:val="auto"/>
              </w:rPr>
              <w:t>Operations, and research and design</w:t>
            </w:r>
          </w:p>
        </w:tc>
        <w:tc>
          <w:tcPr>
            <w:tcW w:w="15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640" w:type="dxa"/>
            <w:vAlign w:val="bottom"/>
          </w:tcPr>
          <w:p>
            <w:pPr>
              <w:jc w:val="right"/>
              <w:ind w:right="72"/>
              <w:spacing w:after="0"/>
              <w:rPr>
                <w:sz w:val="20"/>
                <w:szCs w:val="20"/>
                <w:color w:val="auto"/>
              </w:rPr>
            </w:pPr>
            <w:r>
              <w:rPr>
                <w:rFonts w:ascii="Arial" w:cs="Arial" w:eastAsia="Arial" w:hAnsi="Arial"/>
                <w:sz w:val="18"/>
                <w:szCs w:val="18"/>
                <w:color w:val="auto"/>
              </w:rPr>
              <w:t>55,000</w:t>
            </w:r>
          </w:p>
        </w:tc>
      </w:tr>
      <w:tr>
        <w:trPr>
          <w:trHeight w:val="27"/>
        </w:trPr>
        <w:tc>
          <w:tcPr>
            <w:tcW w:w="220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568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r>
      <w:tr>
        <w:trPr>
          <w:trHeight w:val="288"/>
        </w:trPr>
        <w:tc>
          <w:tcPr>
            <w:tcW w:w="2200" w:type="dxa"/>
            <w:vAlign w:val="bottom"/>
            <w:tcBorders>
              <w:bottom w:val="single" w:sz="8" w:color="CCEEFF"/>
            </w:tcBorders>
            <w:shd w:val="clear" w:color="auto" w:fill="CCEEFF"/>
          </w:tcPr>
          <w:p>
            <w:pPr>
              <w:spacing w:after="0"/>
              <w:rPr>
                <w:sz w:val="24"/>
                <w:szCs w:val="24"/>
                <w:color w:val="auto"/>
              </w:rPr>
            </w:pPr>
          </w:p>
        </w:tc>
        <w:tc>
          <w:tcPr>
            <w:tcW w:w="100" w:type="dxa"/>
            <w:vAlign w:val="bottom"/>
            <w:tcBorders>
              <w:bottom w:val="single" w:sz="8" w:color="CCEEFF"/>
            </w:tcBorders>
            <w:shd w:val="clear" w:color="auto" w:fill="CCEEFF"/>
          </w:tcPr>
          <w:p>
            <w:pPr>
              <w:spacing w:after="0"/>
              <w:rPr>
                <w:sz w:val="24"/>
                <w:szCs w:val="24"/>
                <w:color w:val="auto"/>
              </w:rPr>
            </w:pPr>
          </w:p>
        </w:tc>
        <w:tc>
          <w:tcPr>
            <w:tcW w:w="5780" w:type="dxa"/>
            <w:vAlign w:val="bottom"/>
            <w:tcBorders>
              <w:bottom w:val="single" w:sz="8" w:color="CCEEFF"/>
            </w:tcBorders>
            <w:gridSpan w:val="2"/>
            <w:shd w:val="clear" w:color="auto" w:fill="CCEEFF"/>
          </w:tcPr>
          <w:p>
            <w:pPr>
              <w:ind w:left="2640"/>
              <w:spacing w:after="0"/>
              <w:rPr>
                <w:sz w:val="20"/>
                <w:szCs w:val="20"/>
                <w:color w:val="auto"/>
              </w:rPr>
            </w:pPr>
            <w:r>
              <w:rPr>
                <w:rFonts w:ascii="Arial" w:cs="Arial" w:eastAsia="Arial" w:hAnsi="Arial"/>
                <w:sz w:val="18"/>
                <w:szCs w:val="18"/>
                <w:b w:val="1"/>
                <w:bCs w:val="1"/>
                <w:color w:val="auto"/>
              </w:rPr>
              <w:t>Total</w:t>
            </w:r>
          </w:p>
        </w:tc>
        <w:tc>
          <w:tcPr>
            <w:tcW w:w="1420" w:type="dxa"/>
            <w:vAlign w:val="bottom"/>
            <w:tcBorders>
              <w:bottom w:val="single" w:sz="8" w:color="auto"/>
            </w:tcBorders>
            <w:shd w:val="clear" w:color="auto" w:fill="CCEEFF"/>
          </w:tcPr>
          <w:p>
            <w:pPr>
              <w:jc w:val="right"/>
              <w:ind w:right="74"/>
              <w:spacing w:after="0"/>
              <w:rPr>
                <w:sz w:val="20"/>
                <w:szCs w:val="20"/>
                <w:color w:val="auto"/>
              </w:rPr>
            </w:pPr>
            <w:r>
              <w:rPr>
                <w:rFonts w:ascii="Arial" w:cs="Arial" w:eastAsia="Arial" w:hAnsi="Arial"/>
                <w:sz w:val="18"/>
                <w:szCs w:val="18"/>
                <w:b w:val="1"/>
                <w:bCs w:val="1"/>
                <w:color w:val="auto"/>
              </w:rPr>
              <w:t>1,066,000</w:t>
            </w:r>
          </w:p>
        </w:tc>
        <w:tc>
          <w:tcPr>
            <w:tcW w:w="100" w:type="dxa"/>
            <w:vAlign w:val="bottom"/>
            <w:tcBorders>
              <w:bottom w:val="single" w:sz="8" w:color="CCEEFF"/>
            </w:tcBorders>
            <w:shd w:val="clear" w:color="auto" w:fill="CCEEFF"/>
          </w:tcPr>
          <w:p>
            <w:pPr>
              <w:spacing w:after="0"/>
              <w:rPr>
                <w:sz w:val="24"/>
                <w:szCs w:val="24"/>
                <w:color w:val="auto"/>
              </w:rPr>
            </w:pPr>
          </w:p>
        </w:tc>
        <w:tc>
          <w:tcPr>
            <w:tcW w:w="164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b w:val="1"/>
                <w:bCs w:val="1"/>
                <w:color w:val="auto"/>
              </w:rPr>
              <w:t>1,359,000</w:t>
            </w:r>
          </w:p>
        </w:tc>
      </w:tr>
      <w:tr>
        <w:trPr>
          <w:trHeight w:val="20"/>
        </w:trPr>
        <w:tc>
          <w:tcPr>
            <w:tcW w:w="220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40" w:type="dxa"/>
            <w:vAlign w:val="bottom"/>
            <w:tcBorders>
              <w:top w:val="single" w:sz="8" w:color="CCEEFF"/>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firstLine="8"/>
        <w:spacing w:after="0" w:line="259" w:lineRule="auto"/>
        <w:tabs>
          <w:tab w:leader="none" w:pos="642" w:val="left"/>
        </w:tabs>
        <w:numPr>
          <w:ilvl w:val="0"/>
          <w:numId w:val="19"/>
        </w:numPr>
        <w:rPr>
          <w:rFonts w:ascii="Arial" w:cs="Arial" w:eastAsia="Arial" w:hAnsi="Arial"/>
          <w:sz w:val="18"/>
          <w:szCs w:val="18"/>
          <w:color w:val="auto"/>
        </w:rPr>
      </w:pPr>
      <w:r>
        <w:rPr>
          <w:rFonts w:ascii="Arial" w:cs="Arial" w:eastAsia="Arial" w:hAnsi="Arial"/>
          <w:sz w:val="18"/>
          <w:szCs w:val="18"/>
          <w:color w:val="auto"/>
        </w:rPr>
        <w:t>Lease terms expire in various years from 2020 through 2027, provided, however, that we have the option to extend certain leases past the current lease term. The square footage of leased facilities does not include leased facilities that have been impacted by our restructuring actions and we have ceased use. Leased facilities impacted by our restructuring actions and we have ceased use include approximately 463,898 square feet of leased facilities in the United States, and 12,500 square feet of leased facilities in India.</w:t>
      </w:r>
    </w:p>
    <w:p>
      <w:pPr>
        <w:spacing w:after="0" w:line="79" w:lineRule="exact"/>
        <w:rPr>
          <w:sz w:val="20"/>
          <w:szCs w:val="20"/>
          <w:color w:val="auto"/>
        </w:rPr>
      </w:pPr>
    </w:p>
    <w:p>
      <w:pPr>
        <w:jc w:val="both"/>
        <w:ind w:right="580" w:firstLine="445"/>
        <w:spacing w:after="0" w:line="263" w:lineRule="auto"/>
        <w:rPr>
          <w:sz w:val="20"/>
          <w:szCs w:val="20"/>
          <w:color w:val="auto"/>
        </w:rPr>
      </w:pPr>
      <w:r>
        <w:rPr>
          <w:rFonts w:ascii="Arial" w:cs="Arial" w:eastAsia="Arial" w:hAnsi="Arial"/>
          <w:sz w:val="18"/>
          <w:szCs w:val="18"/>
          <w:color w:val="auto"/>
        </w:rPr>
        <w:t>We also lease smaller facilities in Denmark, Germany, India, Spain, Japan, South Korea, the Netherlands and Vietnam, which are occupied by administrative, sales, design and field application personnel. Based upon our estimates of future hiring, we believe that our current facilities in most locations will be adequate to meet our requirements at least through the next fiscal year.</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Legal Proceedings</w:t>
      </w:r>
    </w:p>
    <w:p>
      <w:pPr>
        <w:spacing w:after="0" w:line="121" w:lineRule="exact"/>
        <w:rPr>
          <w:sz w:val="20"/>
          <w:szCs w:val="20"/>
          <w:color w:val="auto"/>
        </w:rPr>
      </w:pPr>
    </w:p>
    <w:p>
      <w:pPr>
        <w:ind w:right="100" w:firstLine="445"/>
        <w:spacing w:after="0" w:line="263" w:lineRule="auto"/>
        <w:rPr>
          <w:sz w:val="20"/>
          <w:szCs w:val="20"/>
          <w:color w:val="auto"/>
        </w:rPr>
      </w:pPr>
      <w:r>
        <w:rPr>
          <w:rFonts w:ascii="Arial" w:cs="Arial" w:eastAsia="Arial" w:hAnsi="Arial"/>
          <w:sz w:val="18"/>
          <w:szCs w:val="18"/>
          <w:color w:val="auto"/>
        </w:rPr>
        <w:t>The information set forth under “Note 13 - Commitments and Contingencies” in our Notes to the Consolidated Financial Statements set forth in Part II, Item 8 of this Annual Report on Form 10-K is incorporated herein by reference. For a discussion of certain risks associated with legal proceedings, please see Part I, Item 1A, “Risk Factors” above.</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Mine Safety Disclosures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0" w:right="339" w:bottom="1440" w:gutter="0" w:footer="0" w:header="0"/>
        </w:sectPr>
      </w:pPr>
    </w:p>
    <w:bookmarkStart w:id="33" w:name="page34"/>
    <w:bookmarkEnd w:id="33"/>
    <w:p>
      <w:pPr>
        <w:ind w:left="5300"/>
        <w:spacing w:after="0"/>
        <w:rPr>
          <w:sz w:val="20"/>
          <w:szCs w:val="20"/>
          <w:color w:val="auto"/>
        </w:rPr>
      </w:pPr>
      <w:r>
        <w:rPr>
          <w:rFonts w:ascii="Arial" w:cs="Arial" w:eastAsia="Arial" w:hAnsi="Arial"/>
          <w:sz w:val="18"/>
          <w:szCs w:val="18"/>
          <w:b w:val="1"/>
          <w:bCs w:val="1"/>
          <w:color w:val="auto"/>
        </w:rPr>
        <w:t>PART II</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Market for Registrant’s Common Equity, Related Shareholder Matters and Issuer Purchases of Equity Securities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Market Information</w:t>
      </w:r>
    </w:p>
    <w:p>
      <w:pPr>
        <w:spacing w:after="0" w:line="121" w:lineRule="exact"/>
        <w:rPr>
          <w:sz w:val="20"/>
          <w:szCs w:val="20"/>
          <w:color w:val="auto"/>
        </w:rPr>
      </w:pPr>
    </w:p>
    <w:p>
      <w:pPr>
        <w:ind w:right="20" w:firstLine="445"/>
        <w:spacing w:after="0" w:line="277" w:lineRule="auto"/>
        <w:rPr>
          <w:sz w:val="20"/>
          <w:szCs w:val="20"/>
          <w:color w:val="auto"/>
        </w:rPr>
      </w:pPr>
      <w:r>
        <w:rPr>
          <w:rFonts w:ascii="Arial" w:cs="Arial" w:eastAsia="Arial" w:hAnsi="Arial"/>
          <w:sz w:val="18"/>
          <w:szCs w:val="18"/>
          <w:color w:val="auto"/>
        </w:rPr>
        <w:t>Our common shares are traded on the Nasdaq Global Select Market under the symbol “MRVL.” Our common shares began trading on June 27, 2000, upon completion of our initial public offering.</w:t>
      </w:r>
    </w:p>
    <w:p>
      <w:pPr>
        <w:spacing w:after="0" w:line="62" w:lineRule="exact"/>
        <w:rPr>
          <w:sz w:val="20"/>
          <w:szCs w:val="20"/>
          <w:color w:val="auto"/>
        </w:rPr>
      </w:pPr>
    </w:p>
    <w:p>
      <w:pPr>
        <w:ind w:right="260" w:firstLine="445"/>
        <w:spacing w:after="0" w:line="277" w:lineRule="auto"/>
        <w:rPr>
          <w:sz w:val="20"/>
          <w:szCs w:val="20"/>
          <w:color w:val="auto"/>
        </w:rPr>
      </w:pPr>
      <w:r>
        <w:rPr>
          <w:rFonts w:ascii="Arial" w:cs="Arial" w:eastAsia="Arial" w:hAnsi="Arial"/>
          <w:sz w:val="18"/>
          <w:szCs w:val="18"/>
          <w:color w:val="auto"/>
        </w:rPr>
        <w:t>As of March 16, 2020, the approximate number of record holders of our common shares was 511 (not including beneficial owners of stock held in street name).</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Price Performance Graph</w:t>
      </w:r>
    </w:p>
    <w:p>
      <w:pPr>
        <w:spacing w:after="0" w:line="121" w:lineRule="exact"/>
        <w:rPr>
          <w:sz w:val="20"/>
          <w:szCs w:val="20"/>
          <w:color w:val="auto"/>
        </w:rPr>
      </w:pPr>
    </w:p>
    <w:p>
      <w:pPr>
        <w:ind w:right="340" w:firstLine="445"/>
        <w:spacing w:after="0" w:line="277" w:lineRule="auto"/>
        <w:rPr>
          <w:sz w:val="20"/>
          <w:szCs w:val="20"/>
          <w:color w:val="auto"/>
        </w:rPr>
      </w:pPr>
      <w:r>
        <w:rPr>
          <w:rFonts w:ascii="Arial" w:cs="Arial" w:eastAsia="Arial" w:hAnsi="Arial"/>
          <w:sz w:val="18"/>
          <w:szCs w:val="18"/>
          <w:i w:val="1"/>
          <w:iCs w:val="1"/>
          <w:color w:val="auto"/>
        </w:rPr>
        <w:t>This performance graph shall not be deemed “filed” for purposes of Section 18 of the Exchange Act or incorporated by reference into any filings under the Securities Act or the Exchange Act, except as shall be expressly set forth by specific reference in such filing.</w:t>
      </w:r>
    </w:p>
    <w:p>
      <w:pPr>
        <w:spacing w:after="0" w:line="62" w:lineRule="exact"/>
        <w:rPr>
          <w:sz w:val="20"/>
          <w:szCs w:val="20"/>
          <w:color w:val="auto"/>
        </w:rPr>
      </w:pPr>
    </w:p>
    <w:p>
      <w:pPr>
        <w:ind w:firstLine="445"/>
        <w:spacing w:after="0" w:line="279" w:lineRule="auto"/>
        <w:rPr>
          <w:sz w:val="20"/>
          <w:szCs w:val="20"/>
          <w:color w:val="auto"/>
        </w:rPr>
      </w:pPr>
      <w:r>
        <w:rPr>
          <w:rFonts w:ascii="Arial" w:cs="Arial" w:eastAsia="Arial" w:hAnsi="Arial"/>
          <w:sz w:val="17"/>
          <w:szCs w:val="17"/>
          <w:color w:val="auto"/>
        </w:rPr>
        <w:t>The graph below compares the cumulative total shareholder return of our common shares with the cumulative total return of the S&amp;P 500 Index and the Philadelphia Semiconductor Index since January 31, 2015 through February 1, 2020. The graph compares a $100 investment on January 31, 2015 in our common shares with a $100 investment on January 31, 2015 in each index and assumes that any dividends were reinvested. Shareholder returns over the indicated periods should not be considered indicative of future stock prices or shareholder returns.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639445</wp:posOffset>
            </wp:positionH>
            <wp:positionV relativeFrom="paragraph">
              <wp:posOffset>48895</wp:posOffset>
            </wp:positionV>
            <wp:extent cx="6017895" cy="34804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6017895" cy="34804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900" w:type="dxa"/>
            <w:vAlign w:val="bottom"/>
            <w:tcBorders>
              <w:bottom w:val="single" w:sz="8" w:color="CCEEFF"/>
            </w:tcBorders>
          </w:tcPr>
          <w:p>
            <w:pPr>
              <w:spacing w:after="0"/>
              <w:rPr>
                <w:sz w:val="16"/>
                <w:szCs w:val="16"/>
                <w:color w:val="auto"/>
              </w:rPr>
            </w:pPr>
          </w:p>
        </w:tc>
        <w:tc>
          <w:tcPr>
            <w:tcW w:w="112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1/31/2015</w:t>
            </w:r>
          </w:p>
        </w:tc>
        <w:tc>
          <w:tcPr>
            <w:tcW w:w="12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1/30/2016</w:t>
            </w:r>
          </w:p>
        </w:tc>
        <w:tc>
          <w:tcPr>
            <w:tcW w:w="10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195"/>
              <w:spacing w:after="0"/>
              <w:rPr>
                <w:sz w:val="20"/>
                <w:szCs w:val="20"/>
                <w:color w:val="auto"/>
              </w:rPr>
            </w:pPr>
            <w:r>
              <w:rPr>
                <w:rFonts w:ascii="Arial" w:cs="Arial" w:eastAsia="Arial" w:hAnsi="Arial"/>
                <w:sz w:val="14"/>
                <w:szCs w:val="14"/>
                <w:b w:val="1"/>
                <w:bCs w:val="1"/>
                <w:color w:val="auto"/>
              </w:rPr>
              <w:t>1/28/2017</w:t>
            </w:r>
          </w:p>
        </w:tc>
        <w:tc>
          <w:tcPr>
            <w:tcW w:w="10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235"/>
              <w:spacing w:after="0"/>
              <w:rPr>
                <w:sz w:val="20"/>
                <w:szCs w:val="20"/>
                <w:color w:val="auto"/>
              </w:rPr>
            </w:pPr>
            <w:r>
              <w:rPr>
                <w:rFonts w:ascii="Arial" w:cs="Arial" w:eastAsia="Arial" w:hAnsi="Arial"/>
                <w:sz w:val="14"/>
                <w:szCs w:val="14"/>
                <w:b w:val="1"/>
                <w:bCs w:val="1"/>
                <w:color w:val="auto"/>
              </w:rPr>
              <w:t>2/3/2018</w:t>
            </w:r>
          </w:p>
        </w:tc>
        <w:tc>
          <w:tcPr>
            <w:tcW w:w="10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235"/>
              <w:spacing w:after="0"/>
              <w:rPr>
                <w:sz w:val="20"/>
                <w:szCs w:val="20"/>
                <w:color w:val="auto"/>
              </w:rPr>
            </w:pPr>
            <w:r>
              <w:rPr>
                <w:rFonts w:ascii="Arial" w:cs="Arial" w:eastAsia="Arial" w:hAnsi="Arial"/>
                <w:sz w:val="14"/>
                <w:szCs w:val="14"/>
                <w:b w:val="1"/>
                <w:bCs w:val="1"/>
                <w:color w:val="auto"/>
              </w:rPr>
              <w:t>2/2/2019</w:t>
            </w:r>
          </w:p>
        </w:tc>
        <w:tc>
          <w:tcPr>
            <w:tcW w:w="10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235"/>
              <w:spacing w:after="0"/>
              <w:rPr>
                <w:sz w:val="20"/>
                <w:szCs w:val="20"/>
                <w:color w:val="auto"/>
              </w:rPr>
            </w:pPr>
            <w:r>
              <w:rPr>
                <w:rFonts w:ascii="Arial" w:cs="Arial" w:eastAsia="Arial" w:hAnsi="Arial"/>
                <w:sz w:val="14"/>
                <w:szCs w:val="14"/>
                <w:b w:val="1"/>
                <w:bCs w:val="1"/>
                <w:color w:val="auto"/>
              </w:rPr>
              <w:t>2/1/2020</w:t>
            </w:r>
          </w:p>
        </w:tc>
      </w:tr>
      <w:tr>
        <w:trPr>
          <w:trHeight w:val="249"/>
        </w:trPr>
        <w:tc>
          <w:tcPr>
            <w:tcW w:w="39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Marvell Technology Group Ltd.</w:t>
            </w:r>
          </w:p>
        </w:tc>
        <w:tc>
          <w:tcPr>
            <w:tcW w:w="1120" w:type="dxa"/>
            <w:vAlign w:val="bottom"/>
            <w:tcBorders>
              <w:bottom w:val="single" w:sz="8" w:color="CCEEFF"/>
            </w:tcBorders>
            <w:shd w:val="clear" w:color="auto" w:fill="CCEEFF"/>
          </w:tcPr>
          <w:p>
            <w:pPr>
              <w:jc w:val="right"/>
              <w:ind w:right="55"/>
              <w:spacing w:after="0"/>
              <w:rPr>
                <w:sz w:val="20"/>
                <w:szCs w:val="20"/>
                <w:color w:val="auto"/>
              </w:rPr>
            </w:pPr>
            <w:r>
              <w:rPr>
                <w:rFonts w:ascii="Arial" w:cs="Arial" w:eastAsia="Arial" w:hAnsi="Arial"/>
                <w:sz w:val="18"/>
                <w:szCs w:val="18"/>
                <w:b w:val="1"/>
                <w:bCs w:val="1"/>
                <w:color w:val="auto"/>
              </w:rPr>
              <w:t>100.00</w:t>
            </w:r>
          </w:p>
        </w:tc>
        <w:tc>
          <w:tcPr>
            <w:tcW w:w="1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b w:val="1"/>
                <w:bCs w:val="1"/>
                <w:color w:val="auto"/>
              </w:rPr>
              <w:t>58.38</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b w:val="1"/>
                <w:bCs w:val="1"/>
                <w:color w:val="auto"/>
              </w:rPr>
              <w:t>101.65</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b w:val="1"/>
                <w:bCs w:val="1"/>
                <w:color w:val="auto"/>
              </w:rPr>
              <w:t>153.16</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b w:val="1"/>
                <w:bCs w:val="1"/>
                <w:color w:val="auto"/>
              </w:rPr>
              <w:t>127.35</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b w:val="1"/>
                <w:bCs w:val="1"/>
                <w:color w:val="auto"/>
              </w:rPr>
              <w:t>168.00</w:t>
            </w:r>
          </w:p>
        </w:tc>
      </w:tr>
      <w:tr>
        <w:trPr>
          <w:trHeight w:val="243"/>
        </w:trPr>
        <w:tc>
          <w:tcPr>
            <w:tcW w:w="3900" w:type="dxa"/>
            <w:vAlign w:val="bottom"/>
          </w:tcPr>
          <w:p>
            <w:pPr>
              <w:ind w:left="20"/>
              <w:spacing w:after="0"/>
              <w:rPr>
                <w:sz w:val="20"/>
                <w:szCs w:val="20"/>
                <w:color w:val="auto"/>
              </w:rPr>
            </w:pPr>
            <w:r>
              <w:rPr>
                <w:rFonts w:ascii="Arial" w:cs="Arial" w:eastAsia="Arial" w:hAnsi="Arial"/>
                <w:sz w:val="18"/>
                <w:szCs w:val="18"/>
                <w:b w:val="1"/>
                <w:bCs w:val="1"/>
                <w:color w:val="auto"/>
              </w:rPr>
              <w:t>S&amp;P 500</w:t>
            </w:r>
          </w:p>
        </w:tc>
        <w:tc>
          <w:tcPr>
            <w:tcW w:w="1120" w:type="dxa"/>
            <w:vAlign w:val="bottom"/>
          </w:tcPr>
          <w:p>
            <w:pPr>
              <w:jc w:val="right"/>
              <w:ind w:right="55"/>
              <w:spacing w:after="0"/>
              <w:rPr>
                <w:sz w:val="20"/>
                <w:szCs w:val="20"/>
                <w:color w:val="auto"/>
              </w:rPr>
            </w:pPr>
            <w:r>
              <w:rPr>
                <w:rFonts w:ascii="Arial" w:cs="Arial" w:eastAsia="Arial" w:hAnsi="Arial"/>
                <w:sz w:val="18"/>
                <w:szCs w:val="18"/>
                <w:b w:val="1"/>
                <w:bCs w:val="1"/>
                <w:color w:val="auto"/>
              </w:rPr>
              <w:t>100.00</w:t>
            </w:r>
          </w:p>
        </w:tc>
        <w:tc>
          <w:tcPr>
            <w:tcW w:w="120" w:type="dxa"/>
            <w:vAlign w:val="bottom"/>
          </w:tcPr>
          <w:p>
            <w:pPr>
              <w:spacing w:after="0"/>
              <w:rPr>
                <w:sz w:val="21"/>
                <w:szCs w:val="21"/>
                <w:color w:val="auto"/>
              </w:rPr>
            </w:pPr>
          </w:p>
        </w:tc>
        <w:tc>
          <w:tcPr>
            <w:tcW w:w="1140" w:type="dxa"/>
            <w:vAlign w:val="bottom"/>
          </w:tcPr>
          <w:p>
            <w:pPr>
              <w:jc w:val="right"/>
              <w:ind w:right="74"/>
              <w:spacing w:after="0"/>
              <w:rPr>
                <w:sz w:val="20"/>
                <w:szCs w:val="20"/>
                <w:color w:val="auto"/>
              </w:rPr>
            </w:pPr>
            <w:r>
              <w:rPr>
                <w:rFonts w:ascii="Arial" w:cs="Arial" w:eastAsia="Arial" w:hAnsi="Arial"/>
                <w:sz w:val="18"/>
                <w:szCs w:val="18"/>
                <w:b w:val="1"/>
                <w:bCs w:val="1"/>
                <w:color w:val="auto"/>
              </w:rPr>
              <w:t>99.33</w:t>
            </w:r>
          </w:p>
        </w:tc>
        <w:tc>
          <w:tcPr>
            <w:tcW w:w="100" w:type="dxa"/>
            <w:vAlign w:val="bottom"/>
          </w:tcPr>
          <w:p>
            <w:pPr>
              <w:spacing w:after="0"/>
              <w:rPr>
                <w:sz w:val="21"/>
                <w:szCs w:val="21"/>
                <w:color w:val="auto"/>
              </w:rPr>
            </w:pPr>
          </w:p>
        </w:tc>
        <w:tc>
          <w:tcPr>
            <w:tcW w:w="1140" w:type="dxa"/>
            <w:vAlign w:val="bottom"/>
          </w:tcPr>
          <w:p>
            <w:pPr>
              <w:jc w:val="right"/>
              <w:ind w:right="75"/>
              <w:spacing w:after="0"/>
              <w:rPr>
                <w:sz w:val="20"/>
                <w:szCs w:val="20"/>
                <w:color w:val="auto"/>
              </w:rPr>
            </w:pPr>
            <w:r>
              <w:rPr>
                <w:rFonts w:ascii="Arial" w:cs="Arial" w:eastAsia="Arial" w:hAnsi="Arial"/>
                <w:sz w:val="18"/>
                <w:szCs w:val="18"/>
                <w:b w:val="1"/>
                <w:bCs w:val="1"/>
                <w:color w:val="auto"/>
              </w:rPr>
              <w:t>120.06</w:t>
            </w:r>
          </w:p>
        </w:tc>
        <w:tc>
          <w:tcPr>
            <w:tcW w:w="100" w:type="dxa"/>
            <w:vAlign w:val="bottom"/>
          </w:tcPr>
          <w:p>
            <w:pPr>
              <w:spacing w:after="0"/>
              <w:rPr>
                <w:sz w:val="21"/>
                <w:szCs w:val="21"/>
                <w:color w:val="auto"/>
              </w:rPr>
            </w:pPr>
          </w:p>
        </w:tc>
        <w:tc>
          <w:tcPr>
            <w:tcW w:w="1140" w:type="dxa"/>
            <w:vAlign w:val="bottom"/>
          </w:tcPr>
          <w:p>
            <w:pPr>
              <w:jc w:val="right"/>
              <w:ind w:right="75"/>
              <w:spacing w:after="0"/>
              <w:rPr>
                <w:sz w:val="20"/>
                <w:szCs w:val="20"/>
                <w:color w:val="auto"/>
              </w:rPr>
            </w:pPr>
            <w:r>
              <w:rPr>
                <w:rFonts w:ascii="Arial" w:cs="Arial" w:eastAsia="Arial" w:hAnsi="Arial"/>
                <w:sz w:val="18"/>
                <w:szCs w:val="18"/>
                <w:b w:val="1"/>
                <w:bCs w:val="1"/>
                <w:color w:val="auto"/>
              </w:rPr>
              <w:t>147.48</w:t>
            </w:r>
          </w:p>
        </w:tc>
        <w:tc>
          <w:tcPr>
            <w:tcW w:w="100" w:type="dxa"/>
            <w:vAlign w:val="bottom"/>
          </w:tcPr>
          <w:p>
            <w:pPr>
              <w:spacing w:after="0"/>
              <w:rPr>
                <w:sz w:val="21"/>
                <w:szCs w:val="21"/>
                <w:color w:val="auto"/>
              </w:rPr>
            </w:pPr>
          </w:p>
        </w:tc>
        <w:tc>
          <w:tcPr>
            <w:tcW w:w="1140" w:type="dxa"/>
            <w:vAlign w:val="bottom"/>
          </w:tcPr>
          <w:p>
            <w:pPr>
              <w:jc w:val="right"/>
              <w:ind w:right="75"/>
              <w:spacing w:after="0"/>
              <w:rPr>
                <w:sz w:val="20"/>
                <w:szCs w:val="20"/>
                <w:color w:val="auto"/>
              </w:rPr>
            </w:pPr>
            <w:r>
              <w:rPr>
                <w:rFonts w:ascii="Arial" w:cs="Arial" w:eastAsia="Arial" w:hAnsi="Arial"/>
                <w:sz w:val="18"/>
                <w:szCs w:val="18"/>
                <w:b w:val="1"/>
                <w:bCs w:val="1"/>
                <w:color w:val="auto"/>
              </w:rPr>
              <w:t>147.40</w:t>
            </w:r>
          </w:p>
        </w:tc>
        <w:tc>
          <w:tcPr>
            <w:tcW w:w="100" w:type="dxa"/>
            <w:vAlign w:val="bottom"/>
          </w:tcPr>
          <w:p>
            <w:pPr>
              <w:spacing w:after="0"/>
              <w:rPr>
                <w:sz w:val="21"/>
                <w:szCs w:val="21"/>
                <w:color w:val="auto"/>
              </w:rPr>
            </w:pPr>
          </w:p>
        </w:tc>
        <w:tc>
          <w:tcPr>
            <w:tcW w:w="1140" w:type="dxa"/>
            <w:vAlign w:val="bottom"/>
          </w:tcPr>
          <w:p>
            <w:pPr>
              <w:jc w:val="right"/>
              <w:ind w:right="75"/>
              <w:spacing w:after="0"/>
              <w:rPr>
                <w:sz w:val="20"/>
                <w:szCs w:val="20"/>
                <w:color w:val="auto"/>
              </w:rPr>
            </w:pPr>
            <w:r>
              <w:rPr>
                <w:rFonts w:ascii="Arial" w:cs="Arial" w:eastAsia="Arial" w:hAnsi="Arial"/>
                <w:sz w:val="18"/>
                <w:szCs w:val="18"/>
                <w:b w:val="1"/>
                <w:bCs w:val="1"/>
                <w:color w:val="auto"/>
              </w:rPr>
              <w:t>179.17</w:t>
            </w:r>
          </w:p>
        </w:tc>
      </w:tr>
      <w:tr>
        <w:trPr>
          <w:trHeight w:val="27"/>
        </w:trPr>
        <w:tc>
          <w:tcPr>
            <w:tcW w:w="39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39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PHLX Semiconductor</w:t>
            </w:r>
          </w:p>
        </w:tc>
        <w:tc>
          <w:tcPr>
            <w:tcW w:w="1120" w:type="dxa"/>
            <w:vAlign w:val="bottom"/>
            <w:tcBorders>
              <w:bottom w:val="single" w:sz="8" w:color="CCEEFF"/>
            </w:tcBorders>
            <w:shd w:val="clear" w:color="auto" w:fill="CCEEFF"/>
          </w:tcPr>
          <w:p>
            <w:pPr>
              <w:jc w:val="right"/>
              <w:ind w:right="55"/>
              <w:spacing w:after="0"/>
              <w:rPr>
                <w:sz w:val="20"/>
                <w:szCs w:val="20"/>
                <w:color w:val="auto"/>
              </w:rPr>
            </w:pPr>
            <w:r>
              <w:rPr>
                <w:rFonts w:ascii="Arial" w:cs="Arial" w:eastAsia="Arial" w:hAnsi="Arial"/>
                <w:sz w:val="18"/>
                <w:szCs w:val="18"/>
                <w:b w:val="1"/>
                <w:bCs w:val="1"/>
                <w:color w:val="auto"/>
              </w:rPr>
              <w:t>100.00</w:t>
            </w:r>
          </w:p>
        </w:tc>
        <w:tc>
          <w:tcPr>
            <w:tcW w:w="1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b w:val="1"/>
                <w:bCs w:val="1"/>
                <w:color w:val="auto"/>
              </w:rPr>
              <w:t>95.73</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b w:val="1"/>
                <w:bCs w:val="1"/>
                <w:color w:val="auto"/>
              </w:rPr>
              <w:t>153.05</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b w:val="1"/>
                <w:bCs w:val="1"/>
                <w:color w:val="auto"/>
              </w:rPr>
              <w:t>213.14</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b w:val="1"/>
                <w:bCs w:val="1"/>
                <w:color w:val="auto"/>
              </w:rPr>
              <w:t>212.21</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b w:val="1"/>
                <w:bCs w:val="1"/>
                <w:color w:val="auto"/>
              </w:rPr>
              <w:t>300.82</w:t>
            </w:r>
          </w:p>
        </w:tc>
      </w:tr>
      <w:tr>
        <w:trPr>
          <w:trHeight w:val="878"/>
        </w:trPr>
        <w:tc>
          <w:tcPr>
            <w:tcW w:w="39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jc w:val="right"/>
              <w:ind w:right="474"/>
              <w:spacing w:after="0"/>
              <w:rPr>
                <w:sz w:val="20"/>
                <w:szCs w:val="20"/>
                <w:color w:val="auto"/>
              </w:rPr>
            </w:pPr>
            <w:r>
              <w:rPr>
                <w:rFonts w:ascii="Arial" w:cs="Arial" w:eastAsia="Arial" w:hAnsi="Arial"/>
                <w:sz w:val="18"/>
                <w:szCs w:val="18"/>
                <w:color w:val="auto"/>
              </w:rPr>
              <w:t>31</w:t>
            </w:r>
          </w:p>
        </w:tc>
        <w:tc>
          <w:tcPr>
            <w:tcW w:w="1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40" w:type="dxa"/>
            <w:vAlign w:val="bottom"/>
          </w:tcPr>
          <w:p>
            <w:pPr>
              <w:spacing w:after="0"/>
              <w:rPr>
                <w:sz w:val="24"/>
                <w:szCs w:val="24"/>
                <w:color w:val="auto"/>
              </w:rPr>
            </w:pPr>
          </w:p>
        </w:tc>
      </w:tr>
      <w:tr>
        <w:trPr>
          <w:trHeight w:val="358"/>
        </w:trPr>
        <w:tc>
          <w:tcPr>
            <w:tcW w:w="3900" w:type="dxa"/>
            <w:vAlign w:val="bottom"/>
            <w:tcBorders>
              <w:bottom w:val="single" w:sz="8" w:color="9A9A9A"/>
            </w:tcBorders>
          </w:tcPr>
          <w:p>
            <w:pPr>
              <w:spacing w:after="0"/>
              <w:rPr>
                <w:sz w:val="24"/>
                <w:szCs w:val="24"/>
                <w:color w:val="auto"/>
              </w:rPr>
            </w:pPr>
          </w:p>
        </w:tc>
        <w:tc>
          <w:tcPr>
            <w:tcW w:w="1120" w:type="dxa"/>
            <w:vAlign w:val="bottom"/>
            <w:tcBorders>
              <w:bottom w:val="single" w:sz="8" w:color="9A9A9A"/>
            </w:tcBorders>
          </w:tcPr>
          <w:p>
            <w:pPr>
              <w:spacing w:after="0"/>
              <w:rPr>
                <w:sz w:val="24"/>
                <w:szCs w:val="24"/>
                <w:color w:val="auto"/>
              </w:rPr>
            </w:pPr>
          </w:p>
        </w:tc>
        <w:tc>
          <w:tcPr>
            <w:tcW w:w="12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7128510</wp:posOffset>
            </wp:positionH>
            <wp:positionV relativeFrom="paragraph">
              <wp:posOffset>-7620</wp:posOffset>
            </wp:positionV>
            <wp:extent cx="8255" cy="825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825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8890" cy="171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8890" cy="17145"/>
                    </a:xfrm>
                    <a:prstGeom prst="rect">
                      <a:avLst/>
                    </a:prstGeom>
                    <a:noFill/>
                  </pic:spPr>
                </pic:pic>
              </a:graphicData>
            </a:graphic>
          </wp:anchor>
        </w:drawing>
      </w:r>
    </w:p>
    <w:p>
      <w:pPr>
        <w:sectPr>
          <w:pgSz w:w="11900" w:h="16838" w:orient="portrait"/>
          <w:cols w:equalWidth="0" w:num="1">
            <w:col w:w="11240"/>
          </w:cols>
          <w:pgMar w:left="320" w:top="999" w:right="339" w:bottom="1440" w:gutter="0" w:footer="0" w:header="0"/>
        </w:sectPr>
      </w:pPr>
    </w:p>
    <w:bookmarkStart w:id="34" w:name="page35"/>
    <w:bookmarkEnd w:id="34"/>
    <w:p>
      <w:pPr>
        <w:spacing w:after="0"/>
        <w:rPr>
          <w:sz w:val="20"/>
          <w:szCs w:val="20"/>
          <w:color w:val="auto"/>
        </w:rPr>
      </w:pPr>
      <w:r>
        <w:rPr>
          <w:rFonts w:ascii="Arial" w:cs="Arial" w:eastAsia="Arial" w:hAnsi="Arial"/>
          <w:sz w:val="18"/>
          <w:szCs w:val="18"/>
          <w:b w:val="1"/>
          <w:bCs w:val="1"/>
          <w:color w:val="auto"/>
        </w:rPr>
        <w:t>Dividends</w:t>
      </w:r>
    </w:p>
    <w:p>
      <w:pPr>
        <w:spacing w:after="0" w:line="121" w:lineRule="exact"/>
        <w:rPr>
          <w:sz w:val="20"/>
          <w:szCs w:val="20"/>
          <w:color w:val="auto"/>
        </w:rPr>
      </w:pPr>
    </w:p>
    <w:p>
      <w:pPr>
        <w:jc w:val="both"/>
        <w:ind w:right="120" w:firstLine="445"/>
        <w:spacing w:after="0" w:line="342" w:lineRule="auto"/>
        <w:rPr>
          <w:sz w:val="20"/>
          <w:szCs w:val="20"/>
          <w:color w:val="auto"/>
        </w:rPr>
      </w:pPr>
      <w:r>
        <w:rPr>
          <w:rFonts w:ascii="Arial" w:cs="Arial" w:eastAsia="Arial" w:hAnsi="Arial"/>
          <w:sz w:val="16"/>
          <w:szCs w:val="16"/>
          <w:color w:val="auto"/>
        </w:rPr>
        <w:t>Our board of directors declared quarterly cash dividends of $0.06 per share payable to holders of our common shares in each quarter of fiscal 2020, 2019, and 2018. As a result, we paid total cash dividends of $159.6 million in fiscal 2020, $148.1 million in fiscal 2019, and $119.3 million in fiscal 2018.</w:t>
      </w:r>
    </w:p>
    <w:p>
      <w:pPr>
        <w:spacing w:after="0" w:line="16" w:lineRule="exact"/>
        <w:rPr>
          <w:sz w:val="20"/>
          <w:szCs w:val="20"/>
          <w:color w:val="auto"/>
        </w:rPr>
      </w:pPr>
    </w:p>
    <w:p>
      <w:pPr>
        <w:ind w:right="20" w:firstLine="445"/>
        <w:spacing w:after="0" w:line="301" w:lineRule="auto"/>
        <w:rPr>
          <w:sz w:val="20"/>
          <w:szCs w:val="20"/>
          <w:color w:val="auto"/>
        </w:rPr>
      </w:pPr>
      <w:r>
        <w:rPr>
          <w:rFonts w:ascii="Arial" w:cs="Arial" w:eastAsia="Arial" w:hAnsi="Arial"/>
          <w:sz w:val="16"/>
          <w:szCs w:val="16"/>
          <w:color w:val="auto"/>
        </w:rPr>
        <w:t>Future payment of a regular quarterly cash dividend on the Company’s common shares will be subject to, among other things, the best interests of the Company and its shareholders, the Company’s results of operations, cash balances and future cash requirements, financial condition, developments in ongoing litigation, statutory requirements under Bermuda law and other factors that our Board of Directors may deem relevant. The Company’s dividend payments may change from time to time, and we cannot provide assurance that we will continue to declare dividends at all or in any particular amounts.</w:t>
      </w:r>
    </w:p>
    <w:p>
      <w:pPr>
        <w:spacing w:after="0" w:line="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Sales of Unregistered Securities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108"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presents details of our share repurchases during the three months ended February 1, 2020 (in thousands, except per share data):</w:t>
      </w:r>
    </w:p>
    <w:p>
      <w:pPr>
        <w:spacing w:after="0" w:line="25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8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340" w:type="dxa"/>
            <w:vAlign w:val="bottom"/>
          </w:tcPr>
          <w:p>
            <w:pPr>
              <w:jc w:val="center"/>
              <w:spacing w:after="0"/>
              <w:rPr>
                <w:sz w:val="20"/>
                <w:szCs w:val="20"/>
                <w:color w:val="auto"/>
              </w:rPr>
            </w:pPr>
            <w:r>
              <w:rPr>
                <w:rFonts w:ascii="Arial" w:cs="Arial" w:eastAsia="Arial" w:hAnsi="Arial"/>
                <w:sz w:val="14"/>
                <w:szCs w:val="14"/>
                <w:b w:val="1"/>
                <w:bCs w:val="1"/>
                <w:color w:val="auto"/>
                <w:w w:val="92"/>
              </w:rPr>
              <w:t>Total Number of Shares</w:t>
            </w: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160" w:type="dxa"/>
            <w:vAlign w:val="bottom"/>
          </w:tcPr>
          <w:p>
            <w:pPr>
              <w:jc w:val="center"/>
              <w:ind w:right="99"/>
              <w:spacing w:after="0"/>
              <w:rPr>
                <w:sz w:val="20"/>
                <w:szCs w:val="20"/>
                <w:color w:val="auto"/>
              </w:rPr>
            </w:pPr>
            <w:r>
              <w:rPr>
                <w:rFonts w:ascii="Arial" w:cs="Arial" w:eastAsia="Arial" w:hAnsi="Arial"/>
                <w:sz w:val="14"/>
                <w:szCs w:val="14"/>
                <w:b w:val="1"/>
                <w:bCs w:val="1"/>
                <w:color w:val="auto"/>
                <w:w w:val="94"/>
              </w:rPr>
              <w:t>Approximate Dollar Value of</w:t>
            </w:r>
          </w:p>
        </w:tc>
        <w:tc>
          <w:tcPr>
            <w:tcW w:w="0" w:type="dxa"/>
            <w:vAlign w:val="bottom"/>
          </w:tcPr>
          <w:p>
            <w:pPr>
              <w:spacing w:after="0"/>
              <w:rPr>
                <w:sz w:val="1"/>
                <w:szCs w:val="1"/>
                <w:color w:val="auto"/>
              </w:rPr>
            </w:pPr>
          </w:p>
        </w:tc>
      </w:tr>
      <w:tr>
        <w:trPr>
          <w:trHeight w:val="148"/>
        </w:trPr>
        <w:tc>
          <w:tcPr>
            <w:tcW w:w="3480" w:type="dxa"/>
            <w:vAlign w:val="bottom"/>
          </w:tcPr>
          <w:p>
            <w:pPr>
              <w:spacing w:after="0"/>
              <w:rPr>
                <w:sz w:val="12"/>
                <w:szCs w:val="12"/>
                <w:color w:val="auto"/>
              </w:rPr>
            </w:pPr>
          </w:p>
        </w:tc>
        <w:tc>
          <w:tcPr>
            <w:tcW w:w="1460" w:type="dxa"/>
            <w:vAlign w:val="bottom"/>
            <w:vMerge w:val="restart"/>
          </w:tcPr>
          <w:p>
            <w:pPr>
              <w:jc w:val="right"/>
              <w:ind w:right="136"/>
              <w:spacing w:after="0"/>
              <w:rPr>
                <w:sz w:val="20"/>
                <w:szCs w:val="20"/>
                <w:color w:val="auto"/>
              </w:rPr>
            </w:pPr>
            <w:r>
              <w:rPr>
                <w:rFonts w:ascii="Arial" w:cs="Arial" w:eastAsia="Arial" w:hAnsi="Arial"/>
                <w:sz w:val="14"/>
                <w:szCs w:val="14"/>
                <w:b w:val="1"/>
                <w:bCs w:val="1"/>
                <w:color w:val="auto"/>
              </w:rPr>
              <w:t>Total Number of</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Average Price</w:t>
            </w:r>
          </w:p>
        </w:tc>
        <w:tc>
          <w:tcPr>
            <w:tcW w:w="23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Purchased as Part of</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160" w:type="dxa"/>
            <w:vAlign w:val="bottom"/>
          </w:tcPr>
          <w:p>
            <w:pPr>
              <w:jc w:val="center"/>
              <w:ind w:right="119"/>
              <w:spacing w:after="0" w:line="149" w:lineRule="exact"/>
              <w:rPr>
                <w:sz w:val="20"/>
                <w:szCs w:val="20"/>
                <w:color w:val="auto"/>
              </w:rPr>
            </w:pPr>
            <w:r>
              <w:rPr>
                <w:rFonts w:ascii="Arial" w:cs="Arial" w:eastAsia="Arial" w:hAnsi="Arial"/>
                <w:sz w:val="14"/>
                <w:szCs w:val="14"/>
                <w:b w:val="1"/>
                <w:bCs w:val="1"/>
                <w:color w:val="auto"/>
                <w:w w:val="92"/>
              </w:rPr>
              <w:t>Shares that May Yet Be</w:t>
            </w:r>
          </w:p>
        </w:tc>
        <w:tc>
          <w:tcPr>
            <w:tcW w:w="0" w:type="dxa"/>
            <w:vAlign w:val="bottom"/>
          </w:tcPr>
          <w:p>
            <w:pPr>
              <w:spacing w:after="0"/>
              <w:rPr>
                <w:sz w:val="1"/>
                <w:szCs w:val="1"/>
                <w:color w:val="auto"/>
              </w:rPr>
            </w:pPr>
          </w:p>
        </w:tc>
      </w:tr>
      <w:tr>
        <w:trPr>
          <w:trHeight w:val="148"/>
        </w:trPr>
        <w:tc>
          <w:tcPr>
            <w:tcW w:w="3480" w:type="dxa"/>
            <w:vAlign w:val="bottom"/>
            <w:vMerge w:val="restart"/>
          </w:tcPr>
          <w:p>
            <w:pPr>
              <w:ind w:left="20"/>
              <w:spacing w:after="0"/>
              <w:rPr>
                <w:sz w:val="20"/>
                <w:szCs w:val="20"/>
                <w:color w:val="auto"/>
              </w:rPr>
            </w:pPr>
            <w:r>
              <w:rPr>
                <w:rFonts w:ascii="Arial" w:cs="Arial" w:eastAsia="Arial" w:hAnsi="Arial"/>
                <w:sz w:val="14"/>
                <w:szCs w:val="14"/>
                <w:b w:val="1"/>
                <w:bCs w:val="1"/>
                <w:color w:val="auto"/>
              </w:rPr>
              <w:t>Period (1)</w:t>
            </w:r>
          </w:p>
        </w:tc>
        <w:tc>
          <w:tcPr>
            <w:tcW w:w="146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40" w:type="dxa"/>
            <w:vAlign w:val="bottom"/>
            <w:gridSpan w:val="2"/>
            <w:vMerge w:val="continue"/>
          </w:tcPr>
          <w:p>
            <w:pPr>
              <w:spacing w:after="0"/>
              <w:rPr>
                <w:sz w:val="12"/>
                <w:szCs w:val="12"/>
                <w:color w:val="auto"/>
              </w:rPr>
            </w:pPr>
          </w:p>
        </w:tc>
        <w:tc>
          <w:tcPr>
            <w:tcW w:w="23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Publicly Announced Plans or</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160" w:type="dxa"/>
            <w:vAlign w:val="bottom"/>
          </w:tcPr>
          <w:p>
            <w:pPr>
              <w:jc w:val="center"/>
              <w:ind w:right="119"/>
              <w:spacing w:after="0" w:line="149" w:lineRule="exact"/>
              <w:rPr>
                <w:sz w:val="20"/>
                <w:szCs w:val="20"/>
                <w:color w:val="auto"/>
              </w:rPr>
            </w:pPr>
            <w:r>
              <w:rPr>
                <w:rFonts w:ascii="Arial" w:cs="Arial" w:eastAsia="Arial" w:hAnsi="Arial"/>
                <w:sz w:val="14"/>
                <w:szCs w:val="14"/>
                <w:b w:val="1"/>
                <w:bCs w:val="1"/>
                <w:color w:val="auto"/>
                <w:w w:val="92"/>
              </w:rPr>
              <w:t>Purchased Under the Plans or</w:t>
            </w:r>
          </w:p>
        </w:tc>
        <w:tc>
          <w:tcPr>
            <w:tcW w:w="0" w:type="dxa"/>
            <w:vAlign w:val="bottom"/>
          </w:tcPr>
          <w:p>
            <w:pPr>
              <w:spacing w:after="0"/>
              <w:rPr>
                <w:sz w:val="1"/>
                <w:szCs w:val="1"/>
                <w:color w:val="auto"/>
              </w:rPr>
            </w:pPr>
          </w:p>
        </w:tc>
      </w:tr>
      <w:tr>
        <w:trPr>
          <w:trHeight w:val="192"/>
        </w:trPr>
        <w:tc>
          <w:tcPr>
            <w:tcW w:w="3480" w:type="dxa"/>
            <w:vAlign w:val="bottom"/>
            <w:tcBorders>
              <w:bottom w:val="single" w:sz="8" w:color="CCEEFF"/>
            </w:tcBorders>
            <w:vMerge w:val="continue"/>
          </w:tcPr>
          <w:p>
            <w:pPr>
              <w:spacing w:after="0"/>
              <w:rPr>
                <w:sz w:val="16"/>
                <w:szCs w:val="16"/>
                <w:color w:val="auto"/>
              </w:rPr>
            </w:pPr>
          </w:p>
        </w:tc>
        <w:tc>
          <w:tcPr>
            <w:tcW w:w="1460" w:type="dxa"/>
            <w:vAlign w:val="bottom"/>
            <w:tcBorders>
              <w:bottom w:val="single" w:sz="8" w:color="auto"/>
            </w:tcBorders>
          </w:tcPr>
          <w:p>
            <w:pPr>
              <w:jc w:val="right"/>
              <w:ind w:right="96"/>
              <w:spacing w:after="0"/>
              <w:rPr>
                <w:sz w:val="20"/>
                <w:szCs w:val="20"/>
                <w:color w:val="auto"/>
              </w:rPr>
            </w:pPr>
            <w:r>
              <w:rPr>
                <w:rFonts w:ascii="Arial" w:cs="Arial" w:eastAsia="Arial" w:hAnsi="Arial"/>
                <w:sz w:val="14"/>
                <w:szCs w:val="14"/>
                <w:b w:val="1"/>
                <w:bCs w:val="1"/>
                <w:color w:val="auto"/>
              </w:rPr>
              <w:t>Shares Purchased</w:t>
            </w:r>
          </w:p>
        </w:tc>
        <w:tc>
          <w:tcPr>
            <w:tcW w:w="12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96"/>
              <w:spacing w:after="0"/>
              <w:rPr>
                <w:sz w:val="20"/>
                <w:szCs w:val="20"/>
                <w:color w:val="auto"/>
              </w:rPr>
            </w:pPr>
            <w:r>
              <w:rPr>
                <w:rFonts w:ascii="Arial" w:cs="Arial" w:eastAsia="Arial" w:hAnsi="Arial"/>
                <w:sz w:val="14"/>
                <w:szCs w:val="14"/>
                <w:b w:val="1"/>
                <w:bCs w:val="1"/>
                <w:color w:val="auto"/>
                <w:w w:val="95"/>
              </w:rPr>
              <w:t>Paid per Share</w:t>
            </w:r>
          </w:p>
        </w:tc>
        <w:tc>
          <w:tcPr>
            <w:tcW w:w="100" w:type="dxa"/>
            <w:vAlign w:val="bottom"/>
            <w:tcBorders>
              <w:bottom w:val="single" w:sz="8" w:color="CCEEFF"/>
            </w:tcBorders>
          </w:tcPr>
          <w:p>
            <w:pPr>
              <w:spacing w:after="0"/>
              <w:rPr>
                <w:sz w:val="16"/>
                <w:szCs w:val="16"/>
                <w:color w:val="auto"/>
              </w:rPr>
            </w:pPr>
          </w:p>
        </w:tc>
        <w:tc>
          <w:tcPr>
            <w:tcW w:w="23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Programs</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160" w:type="dxa"/>
            <w:vAlign w:val="bottom"/>
            <w:tcBorders>
              <w:bottom w:val="single" w:sz="8" w:color="auto"/>
            </w:tcBorders>
          </w:tcPr>
          <w:p>
            <w:pPr>
              <w:jc w:val="center"/>
              <w:ind w:right="119"/>
              <w:spacing w:after="0"/>
              <w:rPr>
                <w:sz w:val="20"/>
                <w:szCs w:val="20"/>
                <w:color w:val="auto"/>
              </w:rPr>
            </w:pPr>
            <w:r>
              <w:rPr>
                <w:rFonts w:ascii="Arial" w:cs="Arial" w:eastAsia="Arial" w:hAnsi="Arial"/>
                <w:sz w:val="14"/>
                <w:szCs w:val="14"/>
                <w:b w:val="1"/>
                <w:bCs w:val="1"/>
                <w:color w:val="auto"/>
                <w:w w:val="92"/>
              </w:rPr>
              <w:t>Programs (2)</w:t>
            </w:r>
          </w:p>
        </w:tc>
        <w:tc>
          <w:tcPr>
            <w:tcW w:w="0" w:type="dxa"/>
            <w:vAlign w:val="bottom"/>
          </w:tcPr>
          <w:p>
            <w:pPr>
              <w:spacing w:after="0"/>
              <w:rPr>
                <w:sz w:val="1"/>
                <w:szCs w:val="1"/>
                <w:color w:val="auto"/>
              </w:rPr>
            </w:pPr>
          </w:p>
        </w:tc>
      </w:tr>
      <w:tr>
        <w:trPr>
          <w:trHeight w:val="249"/>
        </w:trPr>
        <w:tc>
          <w:tcPr>
            <w:tcW w:w="34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November 3 – November 30, 2019</w:t>
            </w:r>
          </w:p>
        </w:tc>
        <w:tc>
          <w:tcPr>
            <w:tcW w:w="146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340" w:type="dxa"/>
            <w:vAlign w:val="bottom"/>
            <w:tcBorders>
              <w:bottom w:val="single" w:sz="8" w:color="CCEEFF"/>
            </w:tcBorders>
            <w:shd w:val="clear" w:color="auto" w:fill="CCEEFF"/>
          </w:tcPr>
          <w:p>
            <w:pPr>
              <w:jc w:val="right"/>
              <w:ind w:right="59"/>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216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8"/>
                <w:szCs w:val="18"/>
                <w:color w:val="auto"/>
              </w:rPr>
              <w:t>889,710</w:t>
            </w:r>
          </w:p>
        </w:tc>
        <w:tc>
          <w:tcPr>
            <w:tcW w:w="0" w:type="dxa"/>
            <w:vAlign w:val="bottom"/>
          </w:tcPr>
          <w:p>
            <w:pPr>
              <w:spacing w:after="0"/>
              <w:rPr>
                <w:sz w:val="1"/>
                <w:szCs w:val="1"/>
                <w:color w:val="auto"/>
              </w:rPr>
            </w:pPr>
          </w:p>
        </w:tc>
      </w:tr>
      <w:tr>
        <w:trPr>
          <w:trHeight w:val="243"/>
        </w:trPr>
        <w:tc>
          <w:tcPr>
            <w:tcW w:w="3480" w:type="dxa"/>
            <w:vAlign w:val="bottom"/>
          </w:tcPr>
          <w:p>
            <w:pPr>
              <w:ind w:left="20"/>
              <w:spacing w:after="0"/>
              <w:rPr>
                <w:sz w:val="20"/>
                <w:szCs w:val="20"/>
                <w:color w:val="auto"/>
              </w:rPr>
            </w:pPr>
            <w:r>
              <w:rPr>
                <w:rFonts w:ascii="Arial" w:cs="Arial" w:eastAsia="Arial" w:hAnsi="Arial"/>
                <w:sz w:val="18"/>
                <w:szCs w:val="18"/>
                <w:color w:val="auto"/>
              </w:rPr>
              <w:t>December 1 – December 28, 2019</w:t>
            </w:r>
          </w:p>
        </w:tc>
        <w:tc>
          <w:tcPr>
            <w:tcW w:w="1460" w:type="dxa"/>
            <w:vAlign w:val="bottom"/>
          </w:tcPr>
          <w:p>
            <w:pPr>
              <w:jc w:val="right"/>
              <w:ind w:right="56"/>
              <w:spacing w:after="0"/>
              <w:rPr>
                <w:sz w:val="20"/>
                <w:szCs w:val="20"/>
                <w:color w:val="auto"/>
              </w:rPr>
            </w:pPr>
            <w:r>
              <w:rPr>
                <w:rFonts w:ascii="Arial" w:cs="Arial" w:eastAsia="Arial" w:hAnsi="Arial"/>
                <w:sz w:val="18"/>
                <w:szCs w:val="18"/>
                <w:color w:val="auto"/>
              </w:rPr>
              <w:t>5,361</w:t>
            </w:r>
          </w:p>
        </w:tc>
        <w:tc>
          <w:tcPr>
            <w:tcW w:w="26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1140" w:type="dxa"/>
            <w:vAlign w:val="bottom"/>
          </w:tcPr>
          <w:p>
            <w:pPr>
              <w:jc w:val="right"/>
              <w:ind w:right="76"/>
              <w:spacing w:after="0"/>
              <w:rPr>
                <w:sz w:val="20"/>
                <w:szCs w:val="20"/>
                <w:color w:val="auto"/>
              </w:rPr>
            </w:pPr>
            <w:r>
              <w:rPr>
                <w:rFonts w:ascii="Arial" w:cs="Arial" w:eastAsia="Arial" w:hAnsi="Arial"/>
                <w:sz w:val="18"/>
                <w:szCs w:val="18"/>
                <w:color w:val="auto"/>
              </w:rPr>
              <w:t>25.18</w:t>
            </w:r>
          </w:p>
        </w:tc>
        <w:tc>
          <w:tcPr>
            <w:tcW w:w="100" w:type="dxa"/>
            <w:vAlign w:val="bottom"/>
          </w:tcPr>
          <w:p>
            <w:pPr>
              <w:spacing w:after="0"/>
              <w:rPr>
                <w:sz w:val="21"/>
                <w:szCs w:val="21"/>
                <w:color w:val="auto"/>
              </w:rPr>
            </w:pPr>
          </w:p>
        </w:tc>
        <w:tc>
          <w:tcPr>
            <w:tcW w:w="2340" w:type="dxa"/>
            <w:vAlign w:val="bottom"/>
          </w:tcPr>
          <w:p>
            <w:pPr>
              <w:jc w:val="right"/>
              <w:ind w:right="59"/>
              <w:spacing w:after="0"/>
              <w:rPr>
                <w:sz w:val="20"/>
                <w:szCs w:val="20"/>
                <w:color w:val="auto"/>
              </w:rPr>
            </w:pPr>
            <w:r>
              <w:rPr>
                <w:rFonts w:ascii="Arial" w:cs="Arial" w:eastAsia="Arial" w:hAnsi="Arial"/>
                <w:sz w:val="18"/>
                <w:szCs w:val="18"/>
                <w:color w:val="auto"/>
              </w:rPr>
              <w:t>5,361</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160" w:type="dxa"/>
            <w:vAlign w:val="bottom"/>
          </w:tcPr>
          <w:p>
            <w:pPr>
              <w:jc w:val="right"/>
              <w:ind w:right="79"/>
              <w:spacing w:after="0"/>
              <w:rPr>
                <w:sz w:val="20"/>
                <w:szCs w:val="20"/>
                <w:color w:val="auto"/>
              </w:rPr>
            </w:pPr>
            <w:r>
              <w:rPr>
                <w:rFonts w:ascii="Arial" w:cs="Arial" w:eastAsia="Arial" w:hAnsi="Arial"/>
                <w:sz w:val="18"/>
                <w:szCs w:val="18"/>
                <w:color w:val="auto"/>
              </w:rPr>
              <w:t>754,710</w:t>
            </w:r>
          </w:p>
        </w:tc>
        <w:tc>
          <w:tcPr>
            <w:tcW w:w="0" w:type="dxa"/>
            <w:vAlign w:val="bottom"/>
          </w:tcPr>
          <w:p>
            <w:pPr>
              <w:spacing w:after="0"/>
              <w:rPr>
                <w:sz w:val="1"/>
                <w:szCs w:val="1"/>
                <w:color w:val="auto"/>
              </w:rPr>
            </w:pPr>
          </w:p>
        </w:tc>
      </w:tr>
      <w:tr>
        <w:trPr>
          <w:trHeight w:val="27"/>
        </w:trPr>
        <w:tc>
          <w:tcPr>
            <w:tcW w:w="348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4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December 29 – February 1, 2020</w:t>
            </w:r>
          </w:p>
        </w:tc>
        <w:tc>
          <w:tcPr>
            <w:tcW w:w="146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6,139</w:t>
            </w:r>
          </w:p>
        </w:tc>
        <w:tc>
          <w:tcPr>
            <w:tcW w:w="26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26.88</w:t>
            </w:r>
          </w:p>
        </w:tc>
        <w:tc>
          <w:tcPr>
            <w:tcW w:w="100" w:type="dxa"/>
            <w:vAlign w:val="bottom"/>
            <w:tcBorders>
              <w:bottom w:val="single" w:sz="8" w:color="CCEEFF"/>
            </w:tcBorders>
            <w:shd w:val="clear" w:color="auto" w:fill="CCEEFF"/>
          </w:tcPr>
          <w:p>
            <w:pPr>
              <w:spacing w:after="0"/>
              <w:rPr>
                <w:sz w:val="23"/>
                <w:szCs w:val="23"/>
                <w:color w:val="auto"/>
              </w:rPr>
            </w:pPr>
          </w:p>
        </w:tc>
        <w:tc>
          <w:tcPr>
            <w:tcW w:w="2340" w:type="dxa"/>
            <w:vAlign w:val="bottom"/>
            <w:tcBorders>
              <w:bottom w:val="single" w:sz="8" w:color="CCEEFF"/>
            </w:tcBorders>
            <w:shd w:val="clear" w:color="auto" w:fill="CCEEFF"/>
          </w:tcPr>
          <w:p>
            <w:pPr>
              <w:jc w:val="right"/>
              <w:ind w:right="59"/>
              <w:spacing w:after="0"/>
              <w:rPr>
                <w:sz w:val="20"/>
                <w:szCs w:val="20"/>
                <w:color w:val="auto"/>
              </w:rPr>
            </w:pPr>
            <w:r>
              <w:rPr>
                <w:rFonts w:ascii="Arial" w:cs="Arial" w:eastAsia="Arial" w:hAnsi="Arial"/>
                <w:sz w:val="18"/>
                <w:szCs w:val="18"/>
                <w:color w:val="auto"/>
              </w:rPr>
              <w:t>6,139</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216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8"/>
                <w:szCs w:val="18"/>
                <w:color w:val="auto"/>
              </w:rPr>
              <w:t>589,710</w:t>
            </w:r>
          </w:p>
        </w:tc>
        <w:tc>
          <w:tcPr>
            <w:tcW w:w="0" w:type="dxa"/>
            <w:vAlign w:val="bottom"/>
          </w:tcPr>
          <w:p>
            <w:pPr>
              <w:spacing w:after="0"/>
              <w:rPr>
                <w:sz w:val="1"/>
                <w:szCs w:val="1"/>
                <w:color w:val="auto"/>
              </w:rPr>
            </w:pPr>
          </w:p>
        </w:tc>
      </w:tr>
      <w:tr>
        <w:trPr>
          <w:trHeight w:val="263"/>
        </w:trPr>
        <w:tc>
          <w:tcPr>
            <w:tcW w:w="3480" w:type="dxa"/>
            <w:vAlign w:val="bottom"/>
          </w:tcPr>
          <w:p>
            <w:pPr>
              <w:ind w:left="20"/>
              <w:spacing w:after="0"/>
              <w:rPr>
                <w:sz w:val="20"/>
                <w:szCs w:val="20"/>
                <w:color w:val="auto"/>
              </w:rPr>
            </w:pPr>
            <w:r>
              <w:rPr>
                <w:rFonts w:ascii="Arial" w:cs="Arial" w:eastAsia="Arial" w:hAnsi="Arial"/>
                <w:sz w:val="18"/>
                <w:szCs w:val="18"/>
                <w:color w:val="auto"/>
              </w:rPr>
              <w:t>Total</w:t>
            </w:r>
          </w:p>
        </w:tc>
        <w:tc>
          <w:tcPr>
            <w:tcW w:w="1460" w:type="dxa"/>
            <w:vAlign w:val="bottom"/>
            <w:tcBorders>
              <w:top w:val="single" w:sz="8" w:color="auto"/>
              <w:bottom w:val="single" w:sz="8" w:color="auto"/>
            </w:tcBorders>
          </w:tcPr>
          <w:p>
            <w:pPr>
              <w:jc w:val="right"/>
              <w:ind w:right="56"/>
              <w:spacing w:after="0"/>
              <w:rPr>
                <w:sz w:val="20"/>
                <w:szCs w:val="20"/>
                <w:color w:val="auto"/>
              </w:rPr>
            </w:pPr>
            <w:r>
              <w:rPr>
                <w:rFonts w:ascii="Arial" w:cs="Arial" w:eastAsia="Arial" w:hAnsi="Arial"/>
                <w:sz w:val="18"/>
                <w:szCs w:val="18"/>
                <w:color w:val="auto"/>
              </w:rPr>
              <w:t>11,500</w:t>
            </w:r>
          </w:p>
        </w:tc>
        <w:tc>
          <w:tcPr>
            <w:tcW w:w="26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1140" w:type="dxa"/>
            <w:vAlign w:val="bottom"/>
          </w:tcPr>
          <w:p>
            <w:pPr>
              <w:jc w:val="right"/>
              <w:ind w:right="76"/>
              <w:spacing w:after="0"/>
              <w:rPr>
                <w:sz w:val="20"/>
                <w:szCs w:val="20"/>
                <w:color w:val="auto"/>
              </w:rPr>
            </w:pPr>
            <w:r>
              <w:rPr>
                <w:rFonts w:ascii="Arial" w:cs="Arial" w:eastAsia="Arial" w:hAnsi="Arial"/>
                <w:sz w:val="18"/>
                <w:szCs w:val="18"/>
                <w:color w:val="auto"/>
              </w:rPr>
              <w:t>26.09</w:t>
            </w:r>
          </w:p>
        </w:tc>
        <w:tc>
          <w:tcPr>
            <w:tcW w:w="100" w:type="dxa"/>
            <w:vAlign w:val="bottom"/>
          </w:tcPr>
          <w:p>
            <w:pPr>
              <w:spacing w:after="0"/>
              <w:rPr>
                <w:sz w:val="22"/>
                <w:szCs w:val="22"/>
                <w:color w:val="auto"/>
              </w:rPr>
            </w:pPr>
          </w:p>
        </w:tc>
        <w:tc>
          <w:tcPr>
            <w:tcW w:w="2340" w:type="dxa"/>
            <w:vAlign w:val="bottom"/>
            <w:tcBorders>
              <w:top w:val="single" w:sz="8" w:color="auto"/>
              <w:bottom w:val="single" w:sz="8" w:color="auto"/>
            </w:tcBorders>
          </w:tcPr>
          <w:p>
            <w:pPr>
              <w:jc w:val="right"/>
              <w:ind w:right="59"/>
              <w:spacing w:after="0"/>
              <w:rPr>
                <w:sz w:val="20"/>
                <w:szCs w:val="20"/>
                <w:color w:val="auto"/>
              </w:rPr>
            </w:pPr>
            <w:r>
              <w:rPr>
                <w:rFonts w:ascii="Arial" w:cs="Arial" w:eastAsia="Arial" w:hAnsi="Arial"/>
                <w:sz w:val="18"/>
                <w:szCs w:val="18"/>
                <w:color w:val="auto"/>
              </w:rPr>
              <w:t>11,500</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160" w:type="dxa"/>
            <w:vAlign w:val="bottom"/>
          </w:tcPr>
          <w:p>
            <w:pPr>
              <w:jc w:val="right"/>
              <w:ind w:right="79"/>
              <w:spacing w:after="0"/>
              <w:rPr>
                <w:sz w:val="20"/>
                <w:szCs w:val="20"/>
                <w:color w:val="auto"/>
              </w:rPr>
            </w:pPr>
            <w:r>
              <w:rPr>
                <w:rFonts w:ascii="Arial" w:cs="Arial" w:eastAsia="Arial" w:hAnsi="Arial"/>
                <w:sz w:val="18"/>
                <w:szCs w:val="18"/>
                <w:color w:val="auto"/>
              </w:rPr>
              <w:t>589,710</w:t>
            </w:r>
          </w:p>
        </w:tc>
        <w:tc>
          <w:tcPr>
            <w:tcW w:w="0" w:type="dxa"/>
            <w:vAlign w:val="bottom"/>
          </w:tcPr>
          <w:p>
            <w:pPr>
              <w:spacing w:after="0"/>
              <w:rPr>
                <w:sz w:val="1"/>
                <w:szCs w:val="1"/>
                <w:color w:val="auto"/>
              </w:rPr>
            </w:pPr>
          </w:p>
        </w:tc>
      </w:tr>
      <w:tr>
        <w:trPr>
          <w:trHeight w:val="21"/>
        </w:trPr>
        <w:tc>
          <w:tcPr>
            <w:tcW w:w="3480" w:type="dxa"/>
            <w:vAlign w:val="bottom"/>
          </w:tcPr>
          <w:p>
            <w:pPr>
              <w:spacing w:after="0" w:line="20" w:lineRule="exact"/>
              <w:rPr>
                <w:sz w:val="1"/>
                <w:szCs w:val="1"/>
                <w:color w:val="auto"/>
              </w:rPr>
            </w:pPr>
          </w:p>
        </w:tc>
        <w:tc>
          <w:tcPr>
            <w:tcW w:w="14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3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83" w:lineRule="exact"/>
        <w:rPr>
          <w:sz w:val="20"/>
          <w:szCs w:val="20"/>
          <w:color w:val="auto"/>
        </w:rPr>
      </w:pPr>
    </w:p>
    <w:p>
      <w:pPr>
        <w:ind w:left="660" w:right="380" w:hanging="652"/>
        <w:spacing w:after="0" w:line="258" w:lineRule="auto"/>
        <w:tabs>
          <w:tab w:leader="none" w:pos="654"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monthly periods presented above for the three months ended February 1, 2020, are based on our fiscal accounting periods which follow a quarterly 4-4-5 week fiscal accounting period.</w:t>
      </w:r>
    </w:p>
    <w:p>
      <w:pPr>
        <w:spacing w:after="0" w:line="1" w:lineRule="exact"/>
        <w:rPr>
          <w:rFonts w:ascii="Arial" w:cs="Arial" w:eastAsia="Arial" w:hAnsi="Arial"/>
          <w:sz w:val="18"/>
          <w:szCs w:val="18"/>
          <w:color w:val="auto"/>
        </w:rPr>
      </w:pPr>
    </w:p>
    <w:p>
      <w:pPr>
        <w:ind w:left="660" w:right="20" w:hanging="652"/>
        <w:spacing w:after="0" w:line="269" w:lineRule="auto"/>
        <w:tabs>
          <w:tab w:leader="none" w:pos="654" w:val="left"/>
        </w:tabs>
        <w:numPr>
          <w:ilvl w:val="0"/>
          <w:numId w:val="20"/>
        </w:numPr>
        <w:rPr>
          <w:rFonts w:ascii="Arial" w:cs="Arial" w:eastAsia="Arial" w:hAnsi="Arial"/>
          <w:sz w:val="17"/>
          <w:szCs w:val="17"/>
          <w:color w:val="auto"/>
        </w:rPr>
      </w:pPr>
      <w:r>
        <w:rPr>
          <w:rFonts w:ascii="Arial" w:cs="Arial" w:eastAsia="Arial" w:hAnsi="Arial"/>
          <w:sz w:val="17"/>
          <w:szCs w:val="17"/>
          <w:color w:val="auto"/>
        </w:rPr>
        <w:t>On November 17, 2016, we announced that our Board of Directors had authorized a $1 billion share repurchase plan. On October 16, 2018, we announced that our Board of Directors authorized a $700 million addition to the balance of our existing share repurchase plan. Our existing share repurchase program had approximately $304 million of repurchase authority remaining as of October 16, 2018 prior to the approved addition.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72" w:lineRule="exact"/>
        <w:rPr>
          <w:sz w:val="20"/>
          <w:szCs w:val="20"/>
          <w:color w:val="auto"/>
        </w:rPr>
      </w:pPr>
    </w:p>
    <w:p>
      <w:pPr>
        <w:ind w:right="240" w:firstLine="445"/>
        <w:spacing w:after="0" w:line="263" w:lineRule="auto"/>
        <w:rPr>
          <w:sz w:val="20"/>
          <w:szCs w:val="20"/>
          <w:color w:val="auto"/>
        </w:rPr>
      </w:pPr>
      <w:r>
        <w:rPr>
          <w:rFonts w:ascii="Arial" w:cs="Arial" w:eastAsia="Arial" w:hAnsi="Arial"/>
          <w:sz w:val="18"/>
          <w:szCs w:val="18"/>
          <w:color w:val="auto"/>
        </w:rPr>
        <w:t>From August 2010 when our Board of Directors initially authorized a share repurchase program through February 1, 2020, a total of 306.9 million shares have been repurchased under the Company’s share repurchase program for a total $4.2 billion in cash and $589.7 million remains available for future share repurchases.</w:t>
      </w: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107" w:right="339" w:bottom="1440" w:gutter="0" w:footer="0" w:header="0"/>
        </w:sectPr>
      </w:pPr>
    </w:p>
    <w:bookmarkStart w:id="35" w:name="page36"/>
    <w:bookmarkEnd w:id="35"/>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Selected Financial Data</w:t>
      </w:r>
    </w:p>
    <w:p>
      <w:pPr>
        <w:spacing w:after="0" w:line="121" w:lineRule="exact"/>
        <w:rPr>
          <w:sz w:val="20"/>
          <w:szCs w:val="20"/>
          <w:color w:val="auto"/>
        </w:rPr>
      </w:pPr>
    </w:p>
    <w:p>
      <w:pPr>
        <w:ind w:right="60" w:firstLine="445"/>
        <w:spacing w:after="0" w:line="259" w:lineRule="auto"/>
        <w:rPr>
          <w:sz w:val="20"/>
          <w:szCs w:val="20"/>
          <w:color w:val="auto"/>
        </w:rPr>
      </w:pPr>
      <w:r>
        <w:rPr>
          <w:rFonts w:ascii="Arial" w:cs="Arial" w:eastAsia="Arial" w:hAnsi="Arial"/>
          <w:sz w:val="18"/>
          <w:szCs w:val="18"/>
          <w:color w:val="auto"/>
        </w:rPr>
        <w:t>The following selected consolidated financial data should be read together with Part II, Item 7, “Management’s Discussion and Analysis of Financial Condition and Results of Operations” and Part II, Item 8, “Financial Statements and Supplementary Data” contained elsewhere in this Annual Report on Form 10-K. We have retrospectively recast our consolidated statements of operations and balance sheets for all periods presented to reflect discontinued operations relating to divestitures during fiscal 2018.</w:t>
      </w:r>
    </w:p>
    <w:p>
      <w:pPr>
        <w:spacing w:after="0" w:line="11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jc w:val="right"/>
              <w:ind w:right="92"/>
              <w:spacing w:after="0"/>
              <w:rPr>
                <w:sz w:val="20"/>
                <w:szCs w:val="20"/>
                <w:color w:val="auto"/>
              </w:rPr>
            </w:pPr>
            <w:r>
              <w:rPr>
                <w:rFonts w:ascii="Arial" w:cs="Arial" w:eastAsia="Arial" w:hAnsi="Arial"/>
                <w:sz w:val="14"/>
                <w:szCs w:val="14"/>
                <w:b w:val="1"/>
                <w:bCs w:val="1"/>
                <w:color w:val="auto"/>
              </w:rPr>
              <w:t>February 1,</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60" w:type="dxa"/>
            <w:vAlign w:val="bottom"/>
            <w:gridSpan w:val="2"/>
          </w:tcPr>
          <w:p>
            <w:pPr>
              <w:ind w:left="80"/>
              <w:spacing w:after="0"/>
              <w:rPr>
                <w:sz w:val="20"/>
                <w:szCs w:val="20"/>
                <w:color w:val="auto"/>
              </w:rPr>
            </w:pPr>
            <w:r>
              <w:rPr>
                <w:rFonts w:ascii="Arial" w:cs="Arial" w:eastAsia="Arial" w:hAnsi="Arial"/>
                <w:sz w:val="14"/>
                <w:szCs w:val="14"/>
                <w:b w:val="1"/>
                <w:bCs w:val="1"/>
                <w:color w:val="auto"/>
              </w:rPr>
              <w:t>February 2,</w:t>
            </w:r>
          </w:p>
        </w:tc>
        <w:tc>
          <w:tcPr>
            <w:tcW w:w="180" w:type="dxa"/>
            <w:vAlign w:val="bottom"/>
          </w:tcPr>
          <w:p>
            <w:pPr>
              <w:spacing w:after="0"/>
              <w:rPr>
                <w:sz w:val="14"/>
                <w:szCs w:val="14"/>
                <w:color w:val="auto"/>
              </w:rPr>
            </w:pPr>
          </w:p>
        </w:tc>
        <w:tc>
          <w:tcPr>
            <w:tcW w:w="11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7"/>
              </w:rPr>
              <w:t>February 3,</w:t>
            </w:r>
          </w:p>
        </w:tc>
        <w:tc>
          <w:tcPr>
            <w:tcW w:w="180" w:type="dxa"/>
            <w:vAlign w:val="bottom"/>
          </w:tcPr>
          <w:p>
            <w:pPr>
              <w:spacing w:after="0"/>
              <w:rPr>
                <w:sz w:val="14"/>
                <w:szCs w:val="14"/>
                <w:color w:val="auto"/>
              </w:rPr>
            </w:pPr>
          </w:p>
        </w:tc>
        <w:tc>
          <w:tcPr>
            <w:tcW w:w="1180" w:type="dxa"/>
            <w:vAlign w:val="bottom"/>
            <w:gridSpan w:val="3"/>
          </w:tcPr>
          <w:p>
            <w:pPr>
              <w:ind w:left="80"/>
              <w:spacing w:after="0"/>
              <w:rPr>
                <w:sz w:val="20"/>
                <w:szCs w:val="20"/>
                <w:color w:val="auto"/>
              </w:rPr>
            </w:pPr>
            <w:r>
              <w:rPr>
                <w:rFonts w:ascii="Arial" w:cs="Arial" w:eastAsia="Arial" w:hAnsi="Arial"/>
                <w:sz w:val="14"/>
                <w:szCs w:val="14"/>
                <w:b w:val="1"/>
                <w:bCs w:val="1"/>
                <w:color w:val="auto"/>
              </w:rPr>
              <w:t>January 28,</w:t>
            </w:r>
          </w:p>
        </w:tc>
        <w:tc>
          <w:tcPr>
            <w:tcW w:w="160" w:type="dxa"/>
            <w:vAlign w:val="bottom"/>
          </w:tcPr>
          <w:p>
            <w:pPr>
              <w:spacing w:after="0"/>
              <w:rPr>
                <w:sz w:val="14"/>
                <w:szCs w:val="14"/>
                <w:color w:val="auto"/>
              </w:rPr>
            </w:pPr>
          </w:p>
        </w:tc>
        <w:tc>
          <w:tcPr>
            <w:tcW w:w="1040" w:type="dxa"/>
            <w:vAlign w:val="bottom"/>
          </w:tcPr>
          <w:p>
            <w:pPr>
              <w:jc w:val="right"/>
              <w:ind w:right="172"/>
              <w:spacing w:after="0"/>
              <w:rPr>
                <w:sz w:val="20"/>
                <w:szCs w:val="20"/>
                <w:color w:val="auto"/>
              </w:rPr>
            </w:pPr>
            <w:r>
              <w:rPr>
                <w:rFonts w:ascii="Arial" w:cs="Arial" w:eastAsia="Arial" w:hAnsi="Arial"/>
                <w:sz w:val="14"/>
                <w:szCs w:val="14"/>
                <w:b w:val="1"/>
                <w:bCs w:val="1"/>
                <w:color w:val="auto"/>
                <w:w w:val="98"/>
              </w:rPr>
              <w:t>January 30,</w:t>
            </w:r>
          </w:p>
        </w:tc>
      </w:tr>
      <w:tr>
        <w:trPr>
          <w:trHeight w:val="192"/>
        </w:trPr>
        <w:tc>
          <w:tcPr>
            <w:tcW w:w="47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212"/>
              <w:spacing w:after="0"/>
              <w:rPr>
                <w:sz w:val="20"/>
                <w:szCs w:val="20"/>
                <w:color w:val="auto"/>
              </w:rPr>
            </w:pPr>
            <w:r>
              <w:rPr>
                <w:rFonts w:ascii="Arial" w:cs="Arial" w:eastAsia="Arial" w:hAnsi="Arial"/>
                <w:sz w:val="14"/>
                <w:szCs w:val="14"/>
                <w:b w:val="1"/>
                <w:bCs w:val="1"/>
                <w:color w:val="auto"/>
              </w:rPr>
              <w:t>2020 (1)</w:t>
            </w:r>
          </w:p>
        </w:tc>
        <w:tc>
          <w:tcPr>
            <w:tcW w:w="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292"/>
              <w:spacing w:after="0"/>
              <w:rPr>
                <w:sz w:val="20"/>
                <w:szCs w:val="20"/>
                <w:color w:val="auto"/>
              </w:rPr>
            </w:pPr>
            <w:r>
              <w:rPr>
                <w:rFonts w:ascii="Arial" w:cs="Arial" w:eastAsia="Arial" w:hAnsi="Arial"/>
                <w:sz w:val="14"/>
                <w:szCs w:val="14"/>
                <w:b w:val="1"/>
                <w:bCs w:val="1"/>
                <w:color w:val="auto"/>
              </w:rPr>
              <w:t>2019 (2)</w:t>
            </w: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center"/>
              <w:ind w:right="92"/>
              <w:spacing w:after="0"/>
              <w:rPr>
                <w:sz w:val="20"/>
                <w:szCs w:val="20"/>
                <w:color w:val="auto"/>
              </w:rPr>
            </w:pPr>
            <w:r>
              <w:rPr>
                <w:rFonts w:ascii="Arial" w:cs="Arial" w:eastAsia="Arial" w:hAnsi="Arial"/>
                <w:sz w:val="14"/>
                <w:szCs w:val="14"/>
                <w:b w:val="1"/>
                <w:bCs w:val="1"/>
                <w:color w:val="auto"/>
                <w:w w:val="95"/>
              </w:rPr>
              <w:t>2018 (3)</w:t>
            </w: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272"/>
              <w:spacing w:after="0"/>
              <w:rPr>
                <w:sz w:val="20"/>
                <w:szCs w:val="20"/>
                <w:color w:val="auto"/>
              </w:rPr>
            </w:pPr>
            <w:r>
              <w:rPr>
                <w:rFonts w:ascii="Arial" w:cs="Arial" w:eastAsia="Arial" w:hAnsi="Arial"/>
                <w:sz w:val="14"/>
                <w:szCs w:val="14"/>
                <w:b w:val="1"/>
                <w:bCs w:val="1"/>
                <w:color w:val="auto"/>
              </w:rPr>
              <w:t>2017 (4)</w:t>
            </w:r>
          </w:p>
        </w:tc>
        <w:tc>
          <w:tcPr>
            <w:tcW w:w="12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272"/>
              <w:spacing w:after="0"/>
              <w:rPr>
                <w:sz w:val="20"/>
                <w:szCs w:val="20"/>
                <w:color w:val="auto"/>
              </w:rPr>
            </w:pPr>
            <w:r>
              <w:rPr>
                <w:rFonts w:ascii="Arial" w:cs="Arial" w:eastAsia="Arial" w:hAnsi="Arial"/>
                <w:sz w:val="14"/>
                <w:szCs w:val="14"/>
                <w:b w:val="1"/>
                <w:bCs w:val="1"/>
                <w:color w:val="auto"/>
              </w:rPr>
              <w:t>2016 (5)</w:t>
            </w:r>
          </w:p>
        </w:tc>
      </w:tr>
      <w:tr>
        <w:trPr>
          <w:trHeight w:val="196"/>
        </w:trPr>
        <w:tc>
          <w:tcPr>
            <w:tcW w:w="47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4180" w:type="dxa"/>
            <w:vAlign w:val="bottom"/>
            <w:gridSpan w:val="12"/>
          </w:tcPr>
          <w:p>
            <w:pPr>
              <w:jc w:val="center"/>
              <w:spacing w:after="0"/>
              <w:rPr>
                <w:sz w:val="20"/>
                <w:szCs w:val="20"/>
                <w:color w:val="auto"/>
              </w:rPr>
            </w:pPr>
            <w:r>
              <w:rPr>
                <w:rFonts w:ascii="Arial" w:cs="Arial" w:eastAsia="Arial" w:hAnsi="Arial"/>
                <w:sz w:val="14"/>
                <w:szCs w:val="14"/>
                <w:b w:val="1"/>
                <w:bCs w:val="1"/>
                <w:color w:val="auto"/>
                <w:w w:val="90"/>
              </w:rPr>
              <w:t>(in thousands, except per share amounts and number of employees)</w:t>
            </w:r>
          </w:p>
        </w:tc>
        <w:tc>
          <w:tcPr>
            <w:tcW w:w="160" w:type="dxa"/>
            <w:vAlign w:val="bottom"/>
          </w:tcPr>
          <w:p>
            <w:pPr>
              <w:spacing w:after="0"/>
              <w:rPr>
                <w:sz w:val="17"/>
                <w:szCs w:val="17"/>
                <w:color w:val="auto"/>
              </w:rPr>
            </w:pPr>
          </w:p>
        </w:tc>
        <w:tc>
          <w:tcPr>
            <w:tcW w:w="1040" w:type="dxa"/>
            <w:vAlign w:val="bottom"/>
          </w:tcPr>
          <w:p>
            <w:pPr>
              <w:spacing w:after="0"/>
              <w:rPr>
                <w:sz w:val="17"/>
                <w:szCs w:val="17"/>
                <w:color w:val="auto"/>
              </w:rPr>
            </w:pPr>
          </w:p>
        </w:tc>
      </w:tr>
      <w:tr>
        <w:trPr>
          <w:trHeight w:val="256"/>
        </w:trPr>
        <w:tc>
          <w:tcPr>
            <w:tcW w:w="4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Consolidated Statements of Operations Data:</w:t>
            </w:r>
          </w:p>
        </w:tc>
        <w:tc>
          <w:tcPr>
            <w:tcW w:w="180" w:type="dxa"/>
            <w:vAlign w:val="bottom"/>
            <w:tcBorders>
              <w:bottom w:val="single" w:sz="8" w:color="CCEEFF"/>
            </w:tcBorders>
            <w:shd w:val="clear" w:color="auto" w:fill="CCEEFF"/>
          </w:tcPr>
          <w:p>
            <w:pPr>
              <w:spacing w:after="0"/>
              <w:rPr>
                <w:sz w:val="22"/>
                <w:szCs w:val="22"/>
                <w:color w:val="auto"/>
              </w:rPr>
            </w:pPr>
          </w:p>
        </w:tc>
        <w:tc>
          <w:tcPr>
            <w:tcW w:w="980" w:type="dxa"/>
            <w:vAlign w:val="bottom"/>
            <w:tcBorders>
              <w:bottom w:val="single" w:sz="8" w:color="CCEEFF"/>
            </w:tcBorders>
            <w:shd w:val="clear" w:color="auto" w:fill="CCEEFF"/>
          </w:tcPr>
          <w:p>
            <w:pPr>
              <w:spacing w:after="0"/>
              <w:rPr>
                <w:sz w:val="22"/>
                <w:szCs w:val="22"/>
                <w:color w:val="auto"/>
              </w:rPr>
            </w:pPr>
          </w:p>
        </w:tc>
        <w:tc>
          <w:tcPr>
            <w:tcW w:w="6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spacing w:after="0"/>
              <w:rPr>
                <w:sz w:val="22"/>
                <w:szCs w:val="22"/>
                <w:color w:val="auto"/>
              </w:rPr>
            </w:pPr>
          </w:p>
        </w:tc>
      </w:tr>
      <w:tr>
        <w:trPr>
          <w:trHeight w:val="243"/>
        </w:trPr>
        <w:tc>
          <w:tcPr>
            <w:tcW w:w="4700" w:type="dxa"/>
            <w:vAlign w:val="bottom"/>
          </w:tcPr>
          <w:p>
            <w:pPr>
              <w:ind w:left="20"/>
              <w:spacing w:after="0"/>
              <w:rPr>
                <w:sz w:val="20"/>
                <w:szCs w:val="20"/>
                <w:color w:val="auto"/>
              </w:rPr>
            </w:pPr>
            <w:r>
              <w:rPr>
                <w:rFonts w:ascii="Arial" w:cs="Arial" w:eastAsia="Arial" w:hAnsi="Arial"/>
                <w:sz w:val="18"/>
                <w:szCs w:val="18"/>
                <w:color w:val="auto"/>
              </w:rPr>
              <w:t>Net revenue</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2,699,161</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72"/>
              <w:spacing w:after="0"/>
              <w:rPr>
                <w:sz w:val="20"/>
                <w:szCs w:val="20"/>
                <w:color w:val="auto"/>
              </w:rPr>
            </w:pPr>
            <w:r>
              <w:rPr>
                <w:rFonts w:ascii="Arial" w:cs="Arial" w:eastAsia="Arial" w:hAnsi="Arial"/>
                <w:sz w:val="18"/>
                <w:szCs w:val="18"/>
                <w:color w:val="auto"/>
              </w:rPr>
              <w:t>2,865,791</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2,409,170</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2,300,992</w:t>
            </w: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2,602,497</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Cost of goods sold</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1,342,220</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1,407,399</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947,230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1,017,564</w:t>
            </w: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1,406,121</w:t>
            </w:r>
          </w:p>
        </w:tc>
      </w:tr>
      <w:tr>
        <w:trPr>
          <w:trHeight w:val="243"/>
        </w:trPr>
        <w:tc>
          <w:tcPr>
            <w:tcW w:w="4700" w:type="dxa"/>
            <w:vAlign w:val="bottom"/>
          </w:tcPr>
          <w:p>
            <w:pPr>
              <w:ind w:left="340"/>
              <w:spacing w:after="0"/>
              <w:rPr>
                <w:sz w:val="20"/>
                <w:szCs w:val="20"/>
                <w:color w:val="auto"/>
              </w:rPr>
            </w:pPr>
            <w:r>
              <w:rPr>
                <w:rFonts w:ascii="Arial" w:cs="Arial" w:eastAsia="Arial" w:hAnsi="Arial"/>
                <w:sz w:val="18"/>
                <w:szCs w:val="18"/>
                <w:color w:val="auto"/>
              </w:rPr>
              <w:t>Research and development</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1,080,391</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72"/>
              <w:spacing w:after="0"/>
              <w:rPr>
                <w:sz w:val="20"/>
                <w:szCs w:val="20"/>
                <w:color w:val="auto"/>
              </w:rPr>
            </w:pPr>
            <w:r>
              <w:rPr>
                <w:rFonts w:ascii="Arial" w:cs="Arial" w:eastAsia="Arial" w:hAnsi="Arial"/>
                <w:sz w:val="18"/>
                <w:szCs w:val="18"/>
                <w:color w:val="auto"/>
              </w:rPr>
              <w:t>914,009</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714,444</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805,029</w:t>
            </w: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954,653</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Operating income (loss) from continuing operations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(243,358)</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43,270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429,695</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130,407</w:t>
            </w: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(745,410)</w:t>
            </w:r>
          </w:p>
        </w:tc>
      </w:tr>
      <w:tr>
        <w:trPr>
          <w:trHeight w:val="243"/>
        </w:trPr>
        <w:tc>
          <w:tcPr>
            <w:tcW w:w="4700" w:type="dxa"/>
            <w:vAlign w:val="bottom"/>
          </w:tcPr>
          <w:p>
            <w:pPr>
              <w:ind w:left="20"/>
              <w:spacing w:after="0"/>
              <w:rPr>
                <w:sz w:val="20"/>
                <w:szCs w:val="20"/>
                <w:color w:val="auto"/>
              </w:rPr>
            </w:pPr>
            <w:r>
              <w:rPr>
                <w:rFonts w:ascii="Arial" w:cs="Arial" w:eastAsia="Arial" w:hAnsi="Arial"/>
                <w:sz w:val="18"/>
                <w:szCs w:val="18"/>
                <w:color w:val="auto"/>
              </w:rPr>
              <w:t>Income (loss) from continuing operations, net of tax</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1,584,391</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32"/>
              <w:spacing w:after="0"/>
              <w:rPr>
                <w:sz w:val="20"/>
                <w:szCs w:val="20"/>
                <w:color w:val="auto"/>
              </w:rPr>
            </w:pPr>
            <w:r>
              <w:rPr>
                <w:rFonts w:ascii="Arial" w:cs="Arial" w:eastAsia="Arial" w:hAnsi="Arial"/>
                <w:sz w:val="18"/>
                <w:szCs w:val="18"/>
                <w:color w:val="auto"/>
              </w:rPr>
              <w:t>(179,094)</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433,142</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74,821</w:t>
            </w: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(738,441)</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Income (loss) from discontinued operations, net of tax</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87,689</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(53,670)</w:t>
            </w: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(72,959)</w:t>
            </w:r>
          </w:p>
        </w:tc>
      </w:tr>
      <w:tr>
        <w:trPr>
          <w:trHeight w:val="243"/>
        </w:trPr>
        <w:tc>
          <w:tcPr>
            <w:tcW w:w="4700" w:type="dxa"/>
            <w:vAlign w:val="bottom"/>
          </w:tcPr>
          <w:p>
            <w:pPr>
              <w:ind w:left="20"/>
              <w:spacing w:after="0"/>
              <w:rPr>
                <w:sz w:val="20"/>
                <w:szCs w:val="20"/>
                <w:color w:val="auto"/>
              </w:rPr>
            </w:pPr>
            <w:r>
              <w:rPr>
                <w:rFonts w:ascii="Arial" w:cs="Arial" w:eastAsia="Arial" w:hAnsi="Arial"/>
                <w:sz w:val="18"/>
                <w:szCs w:val="18"/>
                <w:color w:val="auto"/>
              </w:rPr>
              <w:t>Net income (loss)</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1,584,391</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32"/>
              <w:spacing w:after="0"/>
              <w:rPr>
                <w:sz w:val="20"/>
                <w:szCs w:val="20"/>
                <w:color w:val="auto"/>
              </w:rPr>
            </w:pPr>
            <w:r>
              <w:rPr>
                <w:rFonts w:ascii="Arial" w:cs="Arial" w:eastAsia="Arial" w:hAnsi="Arial"/>
                <w:sz w:val="18"/>
                <w:szCs w:val="18"/>
                <w:color w:val="auto"/>
              </w:rPr>
              <w:t>(179,094)</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520,831</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21,151</w:t>
            </w: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(811,400)</w:t>
            </w:r>
          </w:p>
        </w:tc>
      </w:tr>
      <w:tr>
        <w:trPr>
          <w:trHeight w:val="27"/>
        </w:trPr>
        <w:tc>
          <w:tcPr>
            <w:tcW w:w="47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30"/>
        </w:trPr>
        <w:tc>
          <w:tcPr>
            <w:tcW w:w="4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Income (loss) from continuing operations per share:</w:t>
            </w:r>
          </w:p>
        </w:tc>
        <w:tc>
          <w:tcPr>
            <w:tcW w:w="18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spacing w:after="0"/>
              <w:rPr>
                <w:sz w:val="20"/>
                <w:szCs w:val="20"/>
                <w:color w:val="auto"/>
              </w:rPr>
            </w:pPr>
          </w:p>
        </w:tc>
        <w:tc>
          <w:tcPr>
            <w:tcW w:w="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spacing w:after="0"/>
              <w:rPr>
                <w:sz w:val="20"/>
                <w:szCs w:val="20"/>
                <w:color w:val="auto"/>
              </w:rPr>
            </w:pPr>
          </w:p>
        </w:tc>
      </w:tr>
      <w:tr>
        <w:trPr>
          <w:trHeight w:val="243"/>
        </w:trPr>
        <w:tc>
          <w:tcPr>
            <w:tcW w:w="4700" w:type="dxa"/>
            <w:vAlign w:val="bottom"/>
          </w:tcPr>
          <w:p>
            <w:pPr>
              <w:ind w:left="260"/>
              <w:spacing w:after="0"/>
              <w:rPr>
                <w:sz w:val="20"/>
                <w:szCs w:val="20"/>
                <w:color w:val="auto"/>
              </w:rPr>
            </w:pPr>
            <w:r>
              <w:rPr>
                <w:rFonts w:ascii="Arial" w:cs="Arial" w:eastAsia="Arial" w:hAnsi="Arial"/>
                <w:sz w:val="18"/>
                <w:szCs w:val="18"/>
                <w:color w:val="auto"/>
              </w:rPr>
              <w:t>Basic</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2.38</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32"/>
              <w:spacing w:after="0"/>
              <w:rPr>
                <w:sz w:val="20"/>
                <w:szCs w:val="20"/>
                <w:color w:val="auto"/>
              </w:rPr>
            </w:pPr>
            <w:r>
              <w:rPr>
                <w:rFonts w:ascii="Arial" w:cs="Arial" w:eastAsia="Arial" w:hAnsi="Arial"/>
                <w:sz w:val="18"/>
                <w:szCs w:val="18"/>
                <w:color w:val="auto"/>
              </w:rPr>
              <w:t>(0.30)</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0.87</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0.15</w:t>
            </w: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(1.45)</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Diluted</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2.34</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0.85</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0.14</w:t>
            </w: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(1.45)</w:t>
            </w:r>
          </w:p>
        </w:tc>
      </w:tr>
      <w:tr>
        <w:trPr>
          <w:trHeight w:val="243"/>
        </w:trPr>
        <w:tc>
          <w:tcPr>
            <w:tcW w:w="4700" w:type="dxa"/>
            <w:vAlign w:val="bottom"/>
          </w:tcPr>
          <w:p>
            <w:pPr>
              <w:ind w:left="20"/>
              <w:spacing w:after="0"/>
              <w:rPr>
                <w:sz w:val="20"/>
                <w:szCs w:val="20"/>
                <w:color w:val="auto"/>
              </w:rPr>
            </w:pPr>
            <w:r>
              <w:rPr>
                <w:rFonts w:ascii="Arial" w:cs="Arial" w:eastAsia="Arial" w:hAnsi="Arial"/>
                <w:sz w:val="18"/>
                <w:szCs w:val="18"/>
                <w:color w:val="auto"/>
              </w:rPr>
              <w:t>Income (loss) from discontinued operations per share:</w:t>
            </w:r>
          </w:p>
        </w:tc>
        <w:tc>
          <w:tcPr>
            <w:tcW w:w="18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spacing w:after="0"/>
              <w:rPr>
                <w:sz w:val="21"/>
                <w:szCs w:val="21"/>
                <w:color w:val="auto"/>
              </w:rPr>
            </w:pP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Basic</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0.18</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(0.11)</w:t>
            </w: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(0.14)</w:t>
            </w:r>
          </w:p>
        </w:tc>
      </w:tr>
      <w:tr>
        <w:trPr>
          <w:trHeight w:val="243"/>
        </w:trPr>
        <w:tc>
          <w:tcPr>
            <w:tcW w:w="4700" w:type="dxa"/>
            <w:vAlign w:val="bottom"/>
          </w:tcPr>
          <w:p>
            <w:pPr>
              <w:ind w:left="260"/>
              <w:spacing w:after="0"/>
              <w:rPr>
                <w:sz w:val="20"/>
                <w:szCs w:val="20"/>
                <w:color w:val="auto"/>
              </w:rPr>
            </w:pPr>
            <w:r>
              <w:rPr>
                <w:rFonts w:ascii="Arial" w:cs="Arial" w:eastAsia="Arial" w:hAnsi="Arial"/>
                <w:sz w:val="18"/>
                <w:szCs w:val="18"/>
                <w:color w:val="auto"/>
              </w:rPr>
              <w:t>Diluted</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0.17</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(0.10)</w:t>
            </w: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(0.14)</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 per share:</w:t>
            </w:r>
          </w:p>
        </w:tc>
        <w:tc>
          <w:tcPr>
            <w:tcW w:w="1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r>
      <w:tr>
        <w:trPr>
          <w:trHeight w:val="243"/>
        </w:trPr>
        <w:tc>
          <w:tcPr>
            <w:tcW w:w="4700" w:type="dxa"/>
            <w:vAlign w:val="bottom"/>
          </w:tcPr>
          <w:p>
            <w:pPr>
              <w:ind w:left="260"/>
              <w:spacing w:after="0"/>
              <w:rPr>
                <w:sz w:val="20"/>
                <w:szCs w:val="20"/>
                <w:color w:val="auto"/>
              </w:rPr>
            </w:pPr>
            <w:r>
              <w:rPr>
                <w:rFonts w:ascii="Arial" w:cs="Arial" w:eastAsia="Arial" w:hAnsi="Arial"/>
                <w:sz w:val="18"/>
                <w:szCs w:val="18"/>
                <w:color w:val="auto"/>
              </w:rPr>
              <w:t>Basic</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2.38</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32"/>
              <w:spacing w:after="0"/>
              <w:rPr>
                <w:sz w:val="20"/>
                <w:szCs w:val="20"/>
                <w:color w:val="auto"/>
              </w:rPr>
            </w:pPr>
            <w:r>
              <w:rPr>
                <w:rFonts w:ascii="Arial" w:cs="Arial" w:eastAsia="Arial" w:hAnsi="Arial"/>
                <w:sz w:val="18"/>
                <w:szCs w:val="18"/>
                <w:color w:val="auto"/>
              </w:rPr>
              <w:t>(0.30)</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1.05</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0.04</w:t>
            </w: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(1.59)</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Diluted</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2.34</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1.02</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0.04</w:t>
            </w: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(1.59)</w:t>
            </w:r>
          </w:p>
        </w:tc>
      </w:tr>
      <w:tr>
        <w:trPr>
          <w:trHeight w:val="243"/>
        </w:trPr>
        <w:tc>
          <w:tcPr>
            <w:tcW w:w="4700" w:type="dxa"/>
            <w:vAlign w:val="bottom"/>
          </w:tcPr>
          <w:p>
            <w:pPr>
              <w:ind w:left="20"/>
              <w:spacing w:after="0"/>
              <w:rPr>
                <w:sz w:val="20"/>
                <w:szCs w:val="20"/>
                <w:color w:val="auto"/>
              </w:rPr>
            </w:pPr>
            <w:r>
              <w:rPr>
                <w:rFonts w:ascii="Arial" w:cs="Arial" w:eastAsia="Arial" w:hAnsi="Arial"/>
                <w:sz w:val="18"/>
                <w:szCs w:val="18"/>
                <w:color w:val="auto"/>
              </w:rPr>
              <w:t>Weighted-average shares:</w:t>
            </w:r>
          </w:p>
        </w:tc>
        <w:tc>
          <w:tcPr>
            <w:tcW w:w="18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spacing w:after="0"/>
              <w:rPr>
                <w:sz w:val="21"/>
                <w:szCs w:val="21"/>
                <w:color w:val="auto"/>
              </w:rPr>
            </w:pP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Basic</w:t>
            </w:r>
          </w:p>
        </w:tc>
        <w:tc>
          <w:tcPr>
            <w:tcW w:w="1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664,709</w:t>
            </w:r>
          </w:p>
        </w:tc>
        <w:tc>
          <w:tcPr>
            <w:tcW w:w="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591,232</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498,008</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509,738</w:t>
            </w: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510,945</w:t>
            </w:r>
          </w:p>
        </w:tc>
      </w:tr>
      <w:tr>
        <w:trPr>
          <w:trHeight w:val="243"/>
        </w:trPr>
        <w:tc>
          <w:tcPr>
            <w:tcW w:w="4700" w:type="dxa"/>
            <w:vAlign w:val="bottom"/>
          </w:tcPr>
          <w:p>
            <w:pPr>
              <w:ind w:left="260"/>
              <w:spacing w:after="0"/>
              <w:rPr>
                <w:sz w:val="20"/>
                <w:szCs w:val="20"/>
                <w:color w:val="auto"/>
              </w:rPr>
            </w:pPr>
            <w:r>
              <w:rPr>
                <w:rFonts w:ascii="Arial" w:cs="Arial" w:eastAsia="Arial" w:hAnsi="Arial"/>
                <w:sz w:val="18"/>
                <w:szCs w:val="18"/>
                <w:color w:val="auto"/>
              </w:rPr>
              <w:t>Diluted</w:t>
            </w:r>
          </w:p>
        </w:tc>
        <w:tc>
          <w:tcPr>
            <w:tcW w:w="180" w:type="dxa"/>
            <w:vAlign w:val="bottom"/>
          </w:tcPr>
          <w:p>
            <w:pPr>
              <w:spacing w:after="0"/>
              <w:rPr>
                <w:sz w:val="21"/>
                <w:szCs w:val="21"/>
                <w:color w:val="auto"/>
              </w:rPr>
            </w:pP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676,094</w:t>
            </w: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60" w:type="dxa"/>
            <w:vAlign w:val="bottom"/>
          </w:tcPr>
          <w:p>
            <w:pPr>
              <w:jc w:val="right"/>
              <w:ind w:right="72"/>
              <w:spacing w:after="0"/>
              <w:rPr>
                <w:sz w:val="20"/>
                <w:szCs w:val="20"/>
                <w:color w:val="auto"/>
              </w:rPr>
            </w:pPr>
            <w:r>
              <w:rPr>
                <w:rFonts w:ascii="Arial" w:cs="Arial" w:eastAsia="Arial" w:hAnsi="Arial"/>
                <w:sz w:val="18"/>
                <w:szCs w:val="18"/>
                <w:color w:val="auto"/>
              </w:rPr>
              <w:t>591,232</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509,667</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517,513</w:t>
            </w: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510,945</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Consolidated Balance Sheet Data:</w:t>
            </w:r>
          </w:p>
        </w:tc>
        <w:tc>
          <w:tcPr>
            <w:tcW w:w="1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r>
      <w:tr>
        <w:trPr>
          <w:trHeight w:val="243"/>
        </w:trPr>
        <w:tc>
          <w:tcPr>
            <w:tcW w:w="4700" w:type="dxa"/>
            <w:vAlign w:val="bottom"/>
          </w:tcPr>
          <w:p>
            <w:pPr>
              <w:ind w:left="20"/>
              <w:spacing w:after="0"/>
              <w:rPr>
                <w:sz w:val="20"/>
                <w:szCs w:val="20"/>
                <w:color w:val="auto"/>
              </w:rPr>
            </w:pPr>
            <w:r>
              <w:rPr>
                <w:rFonts w:ascii="Arial" w:cs="Arial" w:eastAsia="Arial" w:hAnsi="Arial"/>
                <w:sz w:val="18"/>
                <w:szCs w:val="18"/>
                <w:color w:val="auto"/>
              </w:rPr>
              <w:t>Cash, cash equivalents and short-term investments</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647,604</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72"/>
              <w:spacing w:after="0"/>
              <w:rPr>
                <w:sz w:val="20"/>
                <w:szCs w:val="20"/>
                <w:color w:val="auto"/>
              </w:rPr>
            </w:pPr>
            <w:r>
              <w:rPr>
                <w:rFonts w:ascii="Arial" w:cs="Arial" w:eastAsia="Arial" w:hAnsi="Arial"/>
                <w:sz w:val="18"/>
                <w:szCs w:val="18"/>
                <w:color w:val="auto"/>
              </w:rPr>
              <w:t>582,410</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1,841,272</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1,668,360</w:t>
            </w: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2,282,749</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Working capital</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827,331</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758,462</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1,942,813</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1,794,018</w:t>
            </w: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1,751,295</w:t>
            </w:r>
          </w:p>
        </w:tc>
      </w:tr>
      <w:tr>
        <w:trPr>
          <w:trHeight w:val="243"/>
        </w:trPr>
        <w:tc>
          <w:tcPr>
            <w:tcW w:w="470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ind w:right="12"/>
              <w:spacing w:after="0"/>
              <w:rPr>
                <w:sz w:val="20"/>
                <w:szCs w:val="20"/>
                <w:color w:val="auto"/>
              </w:rPr>
            </w:pPr>
            <w:r>
              <w:rPr>
                <w:rFonts w:ascii="Arial" w:cs="Arial" w:eastAsia="Arial" w:hAnsi="Arial"/>
                <w:sz w:val="18"/>
                <w:szCs w:val="18"/>
                <w:color w:val="auto"/>
                <w:w w:val="95"/>
              </w:rPr>
              <w:t>11,133,235</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72"/>
              <w:spacing w:after="0"/>
              <w:rPr>
                <w:sz w:val="20"/>
                <w:szCs w:val="20"/>
                <w:color w:val="auto"/>
              </w:rPr>
            </w:pPr>
            <w:r>
              <w:rPr>
                <w:rFonts w:ascii="Arial" w:cs="Arial" w:eastAsia="Arial" w:hAnsi="Arial"/>
                <w:sz w:val="18"/>
                <w:szCs w:val="18"/>
                <w:color w:val="auto"/>
                <w:w w:val="97"/>
              </w:rPr>
              <w:t>10,016,752</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4,708,287</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4,648,650</w:t>
            </w: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5,442,127</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Long-term debt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1,439,024</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1,732,699</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w:t>
            </w:r>
          </w:p>
        </w:tc>
      </w:tr>
      <w:tr>
        <w:trPr>
          <w:trHeight w:val="243"/>
        </w:trPr>
        <w:tc>
          <w:tcPr>
            <w:tcW w:w="4700" w:type="dxa"/>
            <w:vAlign w:val="bottom"/>
          </w:tcPr>
          <w:p>
            <w:pPr>
              <w:ind w:left="20"/>
              <w:spacing w:after="0"/>
              <w:rPr>
                <w:sz w:val="20"/>
                <w:szCs w:val="20"/>
                <w:color w:val="auto"/>
              </w:rPr>
            </w:pPr>
            <w:r>
              <w:rPr>
                <w:rFonts w:ascii="Arial" w:cs="Arial" w:eastAsia="Arial" w:hAnsi="Arial"/>
                <w:sz w:val="18"/>
                <w:szCs w:val="18"/>
                <w:color w:val="auto"/>
              </w:rPr>
              <w:t>Total shareholders’ equity</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8,678,580</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72"/>
              <w:spacing w:after="0"/>
              <w:rPr>
                <w:sz w:val="20"/>
                <w:szCs w:val="20"/>
                <w:color w:val="auto"/>
              </w:rPr>
            </w:pPr>
            <w:r>
              <w:rPr>
                <w:rFonts w:ascii="Arial" w:cs="Arial" w:eastAsia="Arial" w:hAnsi="Arial"/>
                <w:sz w:val="18"/>
                <w:szCs w:val="18"/>
                <w:color w:val="auto"/>
              </w:rPr>
              <w:t>7,306,410</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4,141,413</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4,027,651</w:t>
            </w: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4,140,123</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Other Data:</w:t>
            </w:r>
          </w:p>
        </w:tc>
        <w:tc>
          <w:tcPr>
            <w:tcW w:w="1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r>
      <w:tr>
        <w:trPr>
          <w:trHeight w:val="243"/>
        </w:trPr>
        <w:tc>
          <w:tcPr>
            <w:tcW w:w="4700" w:type="dxa"/>
            <w:vAlign w:val="bottom"/>
          </w:tcPr>
          <w:p>
            <w:pPr>
              <w:ind w:left="20"/>
              <w:spacing w:after="0"/>
              <w:rPr>
                <w:sz w:val="20"/>
                <w:szCs w:val="20"/>
                <w:color w:val="auto"/>
              </w:rPr>
            </w:pPr>
            <w:r>
              <w:rPr>
                <w:rFonts w:ascii="Arial" w:cs="Arial" w:eastAsia="Arial" w:hAnsi="Arial"/>
                <w:sz w:val="18"/>
                <w:szCs w:val="18"/>
                <w:color w:val="auto"/>
              </w:rPr>
              <w:t>Cash dividends declared per share</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0.24</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72"/>
              <w:spacing w:after="0"/>
              <w:rPr>
                <w:sz w:val="20"/>
                <w:szCs w:val="20"/>
                <w:color w:val="auto"/>
              </w:rPr>
            </w:pPr>
            <w:r>
              <w:rPr>
                <w:rFonts w:ascii="Arial" w:cs="Arial" w:eastAsia="Arial" w:hAnsi="Arial"/>
                <w:sz w:val="18"/>
                <w:szCs w:val="18"/>
                <w:color w:val="auto"/>
              </w:rPr>
              <w:t>0.24</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0.24</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52"/>
              <w:spacing w:after="0"/>
              <w:rPr>
                <w:sz w:val="20"/>
                <w:szCs w:val="20"/>
                <w:color w:val="auto"/>
              </w:rPr>
            </w:pPr>
            <w:r>
              <w:rPr>
                <w:rFonts w:ascii="Arial" w:cs="Arial" w:eastAsia="Arial" w:hAnsi="Arial"/>
                <w:sz w:val="18"/>
                <w:szCs w:val="18"/>
                <w:color w:val="auto"/>
              </w:rPr>
              <w:t>0.24</w:t>
            </w: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jc w:val="right"/>
              <w:ind w:right="7"/>
              <w:spacing w:after="0"/>
              <w:rPr>
                <w:sz w:val="20"/>
                <w:szCs w:val="20"/>
                <w:color w:val="auto"/>
              </w:rPr>
            </w:pPr>
            <w:r>
              <w:rPr>
                <w:rFonts w:ascii="Arial" w:cs="Arial" w:eastAsia="Arial" w:hAnsi="Arial"/>
                <w:sz w:val="15"/>
                <w:szCs w:val="15"/>
                <w:color w:val="auto"/>
                <w:w w:val="71"/>
              </w:rPr>
              <w:t>$</w:t>
            </w:r>
          </w:p>
        </w:tc>
        <w:tc>
          <w:tcPr>
            <w:tcW w:w="1040" w:type="dxa"/>
            <w:vAlign w:val="bottom"/>
          </w:tcPr>
          <w:p>
            <w:pPr>
              <w:jc w:val="right"/>
              <w:ind w:right="72"/>
              <w:spacing w:after="0"/>
              <w:rPr>
                <w:sz w:val="20"/>
                <w:szCs w:val="20"/>
                <w:color w:val="auto"/>
              </w:rPr>
            </w:pPr>
            <w:r>
              <w:rPr>
                <w:rFonts w:ascii="Arial" w:cs="Arial" w:eastAsia="Arial" w:hAnsi="Arial"/>
                <w:sz w:val="18"/>
                <w:szCs w:val="18"/>
                <w:color w:val="auto"/>
              </w:rPr>
              <w:t>0.24</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43"/>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Number of employees</w:t>
            </w:r>
          </w:p>
        </w:tc>
        <w:tc>
          <w:tcPr>
            <w:tcW w:w="180" w:type="dxa"/>
            <w:vAlign w:val="bottom"/>
            <w:shd w:val="clear" w:color="auto" w:fill="CCEEFF"/>
          </w:tcPr>
          <w:p>
            <w:pPr>
              <w:spacing w:after="0"/>
              <w:rPr>
                <w:sz w:val="21"/>
                <w:szCs w:val="21"/>
                <w:color w:val="auto"/>
              </w:rPr>
            </w:pPr>
          </w:p>
        </w:tc>
        <w:tc>
          <w:tcPr>
            <w:tcW w:w="9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5,633</w:t>
            </w:r>
          </w:p>
        </w:tc>
        <w:tc>
          <w:tcPr>
            <w:tcW w:w="6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180" w:type="dxa"/>
            <w:vAlign w:val="bottom"/>
            <w:shd w:val="clear" w:color="auto" w:fill="CCEEFF"/>
          </w:tcPr>
          <w:p>
            <w:pPr>
              <w:spacing w:after="0"/>
              <w:rPr>
                <w:sz w:val="21"/>
                <w:szCs w:val="21"/>
                <w:color w:val="auto"/>
              </w:rPr>
            </w:pPr>
          </w:p>
        </w:tc>
        <w:tc>
          <w:tcPr>
            <w:tcW w:w="106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5,275</w:t>
            </w:r>
          </w:p>
        </w:tc>
        <w:tc>
          <w:tcPr>
            <w:tcW w:w="100" w:type="dxa"/>
            <w:vAlign w:val="bottom"/>
            <w:shd w:val="clear" w:color="auto" w:fill="CCEEFF"/>
          </w:tcPr>
          <w:p>
            <w:pPr>
              <w:spacing w:after="0"/>
              <w:rPr>
                <w:sz w:val="21"/>
                <w:szCs w:val="21"/>
                <w:color w:val="auto"/>
              </w:rPr>
            </w:pPr>
          </w:p>
        </w:tc>
        <w:tc>
          <w:tcPr>
            <w:tcW w:w="180" w:type="dxa"/>
            <w:vAlign w:val="bottom"/>
            <w:shd w:val="clear" w:color="auto" w:fill="CCEEFF"/>
          </w:tcPr>
          <w:p>
            <w:pPr>
              <w:spacing w:after="0"/>
              <w:rPr>
                <w:sz w:val="21"/>
                <w:szCs w:val="21"/>
                <w:color w:val="auto"/>
              </w:rPr>
            </w:pPr>
          </w:p>
        </w:tc>
        <w:tc>
          <w:tcPr>
            <w:tcW w:w="104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3,749</w:t>
            </w:r>
          </w:p>
        </w:tc>
        <w:tc>
          <w:tcPr>
            <w:tcW w:w="100" w:type="dxa"/>
            <w:vAlign w:val="bottom"/>
            <w:shd w:val="clear" w:color="auto" w:fill="CCEEFF"/>
          </w:tcPr>
          <w:p>
            <w:pPr>
              <w:spacing w:after="0"/>
              <w:rPr>
                <w:sz w:val="21"/>
                <w:szCs w:val="21"/>
                <w:color w:val="auto"/>
              </w:rPr>
            </w:pPr>
          </w:p>
        </w:tc>
        <w:tc>
          <w:tcPr>
            <w:tcW w:w="180" w:type="dxa"/>
            <w:vAlign w:val="bottom"/>
            <w:shd w:val="clear" w:color="auto" w:fill="CCEEFF"/>
          </w:tcPr>
          <w:p>
            <w:pPr>
              <w:spacing w:after="0"/>
              <w:rPr>
                <w:sz w:val="21"/>
                <w:szCs w:val="21"/>
                <w:color w:val="auto"/>
              </w:rPr>
            </w:pPr>
          </w:p>
        </w:tc>
        <w:tc>
          <w:tcPr>
            <w:tcW w:w="10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rPr>
              <w:t>4,617</w:t>
            </w:r>
          </w:p>
        </w:tc>
        <w:tc>
          <w:tcPr>
            <w:tcW w:w="120" w:type="dxa"/>
            <w:vAlign w:val="bottom"/>
            <w:shd w:val="clear" w:color="auto" w:fill="CCEEFF"/>
          </w:tcPr>
          <w:p>
            <w:pPr>
              <w:spacing w:after="0"/>
              <w:rPr>
                <w:sz w:val="21"/>
                <w:szCs w:val="21"/>
                <w:color w:val="auto"/>
              </w:rPr>
            </w:pPr>
          </w:p>
        </w:tc>
        <w:tc>
          <w:tcPr>
            <w:tcW w:w="2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04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5,437</w:t>
            </w:r>
          </w:p>
        </w:tc>
      </w:tr>
      <w:tr>
        <w:trPr>
          <w:trHeight w:val="27"/>
        </w:trPr>
        <w:tc>
          <w:tcPr>
            <w:tcW w:w="470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980" w:type="dxa"/>
            <w:vAlign w:val="bottom"/>
            <w:shd w:val="clear" w:color="auto" w:fill="CCEEFF"/>
          </w:tcPr>
          <w:p>
            <w:pPr>
              <w:spacing w:after="0"/>
              <w:rPr>
                <w:sz w:val="2"/>
                <w:szCs w:val="2"/>
                <w:color w:val="auto"/>
              </w:rPr>
            </w:pPr>
          </w:p>
        </w:tc>
        <w:tc>
          <w:tcPr>
            <w:tcW w:w="6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06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20" w:type="dxa"/>
            <w:vAlign w:val="bottom"/>
            <w:shd w:val="clear" w:color="auto" w:fill="CCEEFF"/>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r>
    </w:tbl>
    <w:p>
      <w:pPr>
        <w:spacing w:after="0" w:line="94" w:lineRule="exact"/>
        <w:rPr>
          <w:sz w:val="20"/>
          <w:szCs w:val="20"/>
          <w:color w:val="auto"/>
        </w:rPr>
      </w:pPr>
    </w:p>
    <w:p>
      <w:pPr>
        <w:ind w:left="660" w:right="120" w:hanging="652"/>
        <w:spacing w:after="0" w:line="257" w:lineRule="auto"/>
        <w:tabs>
          <w:tab w:leader="none" w:pos="654" w:val="left"/>
        </w:tabs>
        <w:numPr>
          <w:ilvl w:val="0"/>
          <w:numId w:val="21"/>
        </w:numPr>
        <w:rPr>
          <w:rFonts w:ascii="Arial" w:cs="Arial" w:eastAsia="Arial" w:hAnsi="Arial"/>
          <w:sz w:val="18"/>
          <w:szCs w:val="18"/>
          <w:color w:val="auto"/>
        </w:rPr>
      </w:pPr>
      <w:r>
        <w:rPr>
          <w:rFonts w:ascii="Arial" w:cs="Arial" w:eastAsia="Arial" w:hAnsi="Arial"/>
          <w:sz w:val="18"/>
          <w:szCs w:val="18"/>
          <w:color w:val="auto"/>
        </w:rPr>
        <w:t>Fiscal 2020 financial data includes the effect of the adoption of the new lease accounting standard, restructuring related charges from our December 2019 restructuring plan, and from the acquisitions of Aquantia and Avera, as well as the divestiture of the Wi-Fi connectivity business, including the effects on income taxes. Refer to “Note 7 - Leases,” “Note 6 - Restructuring and Other Related Charges,” “Note 3 - Business Combinations,” and “Note 16 - Income Taxes” respectively, in our Notes to the Consolidated Financial Statements set forth in Part II, Item 8 of this Annual Report on Form 10-K for further details.</w:t>
      </w:r>
    </w:p>
    <w:p>
      <w:pPr>
        <w:spacing w:after="0" w:line="25" w:lineRule="exact"/>
        <w:rPr>
          <w:rFonts w:ascii="Arial" w:cs="Arial" w:eastAsia="Arial" w:hAnsi="Arial"/>
          <w:sz w:val="18"/>
          <w:szCs w:val="18"/>
          <w:color w:val="auto"/>
        </w:rPr>
      </w:pPr>
    </w:p>
    <w:p>
      <w:pPr>
        <w:ind w:left="660" w:right="760" w:hanging="652"/>
        <w:spacing w:after="0" w:line="277" w:lineRule="auto"/>
        <w:tabs>
          <w:tab w:leader="none" w:pos="654" w:val="left"/>
        </w:tabs>
        <w:numPr>
          <w:ilvl w:val="0"/>
          <w:numId w:val="21"/>
        </w:numPr>
        <w:rPr>
          <w:rFonts w:ascii="Arial" w:cs="Arial" w:eastAsia="Arial" w:hAnsi="Arial"/>
          <w:sz w:val="18"/>
          <w:szCs w:val="18"/>
          <w:color w:val="auto"/>
        </w:rPr>
      </w:pPr>
      <w:r>
        <w:rPr>
          <w:rFonts w:ascii="Arial" w:cs="Arial" w:eastAsia="Arial" w:hAnsi="Arial"/>
          <w:sz w:val="18"/>
          <w:szCs w:val="18"/>
          <w:color w:val="auto"/>
        </w:rPr>
        <w:t>Fiscal 2019 includes the effect of the adoption of the new revenue recognition standard, restructuring related charges from our July 2018 restructuring plan, and from the acquisition of Cavium, including its effect on income taxes.</w:t>
      </w:r>
    </w:p>
    <w:p>
      <w:pPr>
        <w:spacing w:after="0" w:line="8" w:lineRule="exact"/>
        <w:rPr>
          <w:rFonts w:ascii="Arial" w:cs="Arial" w:eastAsia="Arial" w:hAnsi="Arial"/>
          <w:sz w:val="18"/>
          <w:szCs w:val="18"/>
          <w:color w:val="auto"/>
        </w:rPr>
      </w:pPr>
    </w:p>
    <w:p>
      <w:pPr>
        <w:ind w:left="640" w:hanging="632"/>
        <w:spacing w:after="0"/>
        <w:tabs>
          <w:tab w:leader="none" w:pos="640" w:val="left"/>
        </w:tabs>
        <w:numPr>
          <w:ilvl w:val="0"/>
          <w:numId w:val="21"/>
        </w:numPr>
        <w:rPr>
          <w:rFonts w:ascii="Arial" w:cs="Arial" w:eastAsia="Arial" w:hAnsi="Arial"/>
          <w:sz w:val="18"/>
          <w:szCs w:val="18"/>
          <w:color w:val="auto"/>
        </w:rPr>
      </w:pPr>
      <w:r>
        <w:rPr>
          <w:rFonts w:ascii="Arial" w:cs="Arial" w:eastAsia="Arial" w:hAnsi="Arial"/>
          <w:sz w:val="18"/>
          <w:szCs w:val="18"/>
          <w:color w:val="auto"/>
        </w:rPr>
        <w:t>Fiscal 2018 includes a $74.4 million charge related to the Luna litigation settlement and related costs.</w:t>
      </w:r>
    </w:p>
    <w:p>
      <w:pPr>
        <w:sectPr>
          <w:pgSz w:w="11900" w:h="16838" w:orient="portrait"/>
          <w:cols w:equalWidth="0" w:num="1">
            <w:col w:w="11240"/>
          </w:cols>
          <w:pgMar w:left="320" w:top="1390" w:right="339" w:bottom="1440" w:gutter="0" w:footer="0" w:header="0"/>
        </w:sect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0" w:right="339" w:bottom="1440" w:gutter="0" w:footer="0" w:header="0"/>
          <w:type w:val="continuous"/>
        </w:sectPr>
      </w:pPr>
    </w:p>
    <w:bookmarkStart w:id="36" w:name="page37"/>
    <w:bookmarkEnd w:id="36"/>
    <w:p>
      <w:pPr>
        <w:jc w:val="both"/>
        <w:ind w:left="660" w:right="20" w:hanging="652"/>
        <w:spacing w:after="0" w:line="263" w:lineRule="auto"/>
        <w:tabs>
          <w:tab w:leader="none" w:pos="654" w:val="left"/>
        </w:tabs>
        <w:numPr>
          <w:ilvl w:val="0"/>
          <w:numId w:val="22"/>
        </w:numPr>
        <w:rPr>
          <w:rFonts w:ascii="Arial" w:cs="Arial" w:eastAsia="Arial" w:hAnsi="Arial"/>
          <w:sz w:val="18"/>
          <w:szCs w:val="18"/>
          <w:color w:val="auto"/>
        </w:rPr>
      </w:pPr>
      <w:r>
        <w:rPr>
          <w:rFonts w:ascii="Arial" w:cs="Arial" w:eastAsia="Arial" w:hAnsi="Arial"/>
          <w:sz w:val="18"/>
          <w:szCs w:val="18"/>
          <w:color w:val="auto"/>
        </w:rPr>
        <w:t>Fiscal 2017 includes $96.8 million of restructuring and other related charges that include $52.6 million for impairment of a nonrefundable deposit due to the non-utilization of the related contract and for impairment of certain equipment and technology licenses. Fiscal 2017 also included $68.0 million of tax expense related to restructuring actions taken.</w:t>
      </w:r>
    </w:p>
    <w:p>
      <w:pPr>
        <w:spacing w:after="0" w:line="21" w:lineRule="exact"/>
        <w:rPr>
          <w:rFonts w:ascii="Arial" w:cs="Arial" w:eastAsia="Arial" w:hAnsi="Arial"/>
          <w:sz w:val="18"/>
          <w:szCs w:val="18"/>
          <w:color w:val="auto"/>
        </w:rPr>
      </w:pPr>
    </w:p>
    <w:p>
      <w:pPr>
        <w:ind w:left="660" w:right="80" w:hanging="652"/>
        <w:spacing w:after="0" w:line="279" w:lineRule="auto"/>
        <w:tabs>
          <w:tab w:leader="none" w:pos="654" w:val="left"/>
        </w:tabs>
        <w:numPr>
          <w:ilvl w:val="0"/>
          <w:numId w:val="22"/>
        </w:numPr>
        <w:rPr>
          <w:rFonts w:ascii="Arial" w:cs="Arial" w:eastAsia="Arial" w:hAnsi="Arial"/>
          <w:sz w:val="17"/>
          <w:szCs w:val="17"/>
          <w:color w:val="auto"/>
        </w:rPr>
      </w:pPr>
      <w:r>
        <w:rPr>
          <w:rFonts w:ascii="Arial" w:cs="Arial" w:eastAsia="Arial" w:hAnsi="Arial"/>
          <w:sz w:val="17"/>
          <w:szCs w:val="17"/>
          <w:color w:val="auto"/>
        </w:rPr>
        <w:t>Fiscal 2016 includes $750 million legal settlement with CMU. In addition, fiscal 2016 included $63.5 million of restructuring and other related charges that include $8.0 million for impairment of certain equipment and technology licenses, and $8.0 million for the write down of inventory due to the restructuring of the mobile platform business, a charge for a cash payment authorized by our Board of Directors of $15.4 million to our former CEO Dr. Sehat Sutardja and $11.4 million of costs for the surety bonds related to the CMU legal matter.</w:t>
      </w:r>
    </w:p>
    <w:p>
      <w:pPr>
        <w:spacing w:after="0" w:line="35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7.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121" w:lineRule="exact"/>
        <w:rPr>
          <w:sz w:val="20"/>
          <w:szCs w:val="20"/>
          <w:color w:val="auto"/>
        </w:rPr>
      </w:pPr>
    </w:p>
    <w:p>
      <w:pPr>
        <w:ind w:right="80" w:firstLine="445"/>
        <w:spacing w:after="0" w:line="259" w:lineRule="auto"/>
        <w:rPr>
          <w:sz w:val="20"/>
          <w:szCs w:val="20"/>
          <w:color w:val="auto"/>
        </w:rPr>
      </w:pPr>
      <w:r>
        <w:rPr>
          <w:rFonts w:ascii="Arial" w:cs="Arial" w:eastAsia="Arial" w:hAnsi="Arial"/>
          <w:sz w:val="18"/>
          <w:szCs w:val="18"/>
          <w:i w:val="1"/>
          <w:iCs w:val="1"/>
          <w:color w:val="auto"/>
        </w:rPr>
        <w:t>The following discussion of our financial condition and results of operations should be read in conjunction with the financial statements and related notes included in this Annual Report on Form 10-K. This discussion may contain forward-looking statements based upon current expectations that involve risks and uncertainties, including those discussed under Part I, Item 1A, “Risk Factors.” These risks and uncertainties may cause actual results to differ materially from those discussed in the forward-looking statements.</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right="140" w:firstLine="405"/>
        <w:spacing w:after="0" w:line="257"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communications across 5G, cloud, automotive, industrial and artificial intelligence applications.</w:t>
      </w:r>
    </w:p>
    <w:p>
      <w:pPr>
        <w:spacing w:after="0" w:line="80"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On September 19, 2019, we completed the acquisition of Aquantia Corp. (“Aquantia”). Aquantia is a manufacturer of high-speed transceivers which includes copper and optical physical layer products. The unaudited condensed consolidated financial statements include the operating results of Aquantia for the period from the date of acquisition to the Company’s year ended February 1, 2020. See “Note 3 - Business Combinations” in the Notes to the Consolidated Financial Statements for more information.</w:t>
      </w:r>
    </w:p>
    <w:p>
      <w:pPr>
        <w:spacing w:after="0" w:line="79"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On November 5, 2019, we completed the acquisition of Avera Semiconductor (“Avera”), the Application Specific Integrated Circuit (“ASIC”) business of GlobalFoundries. Avera is a leading provider of ASIC semiconductor solutions. The unaudited condensed consolidated financial statements include the operating results of Avera for the period from the date of acquisition to our year ended February 1, 2020. See “Note 3 - Business Combinations” in the Notes to the Consolidated Financial Statements for more information.</w:t>
      </w:r>
    </w:p>
    <w:p>
      <w:pPr>
        <w:spacing w:after="0" w:line="79" w:lineRule="exact"/>
        <w:rPr>
          <w:sz w:val="20"/>
          <w:szCs w:val="20"/>
          <w:color w:val="auto"/>
        </w:rPr>
      </w:pPr>
    </w:p>
    <w:p>
      <w:pPr>
        <w:ind w:right="120" w:firstLine="405"/>
        <w:spacing w:after="0" w:line="263" w:lineRule="auto"/>
        <w:rPr>
          <w:sz w:val="20"/>
          <w:szCs w:val="20"/>
          <w:color w:val="auto"/>
        </w:rPr>
      </w:pPr>
      <w:r>
        <w:rPr>
          <w:rFonts w:ascii="Arial" w:cs="Arial" w:eastAsia="Arial" w:hAnsi="Arial"/>
          <w:sz w:val="18"/>
          <w:szCs w:val="18"/>
          <w:color w:val="auto"/>
        </w:rPr>
        <w:t>On December 6, 2019, we completed the sale of our Wi-Fi Connectivity business to NXP. The divestiture encompasses our Wi-Fi and Wi-Fi/Bluetooth technology portfolios and related assets. See “Note 1 - Basis of Presentation” in the Notes to the Consolidated Financial Statements for more information.</w:t>
      </w:r>
    </w:p>
    <w:p>
      <w:pPr>
        <w:spacing w:after="0" w:line="76" w:lineRule="exact"/>
        <w:rPr>
          <w:sz w:val="20"/>
          <w:szCs w:val="20"/>
          <w:color w:val="auto"/>
        </w:rPr>
      </w:pPr>
    </w:p>
    <w:p>
      <w:pPr>
        <w:ind w:right="220" w:firstLine="445"/>
        <w:spacing w:after="0" w:line="241" w:lineRule="auto"/>
        <w:rPr>
          <w:sz w:val="20"/>
          <w:szCs w:val="20"/>
          <w:color w:val="auto"/>
        </w:rPr>
      </w:pPr>
      <w:r>
        <w:rPr>
          <w:rFonts w:ascii="Arial" w:cs="Arial" w:eastAsia="Arial" w:hAnsi="Arial"/>
          <w:sz w:val="18"/>
          <w:szCs w:val="18"/>
          <w:color w:val="auto"/>
        </w:rPr>
        <w:t>On December 31, 2019, we completed an intra-entity transfer of the majority of our intellectual property to a subsidiary in Singapore. The transfer aligns the global economic ownership of our intellectual property rights with our current and future business operations. The income tax benefit of $763.0 million in fiscal 2020 is primarily due to the recognition of a deferred tax asset of $659.0 million from the Singapore tax basis in the intellectual property. In addition, we recognized $104.0 million of income tax benefit from the reversal of deferred tax liabilities primarily related to previously acquired intangible assets. See “Note 16 - Income Taxes” for additional information.</w:t>
      </w:r>
    </w:p>
    <w:p>
      <w:pPr>
        <w:spacing w:after="0" w:line="81" w:lineRule="exact"/>
        <w:rPr>
          <w:sz w:val="20"/>
          <w:szCs w:val="20"/>
          <w:color w:val="auto"/>
        </w:rPr>
      </w:pPr>
    </w:p>
    <w:p>
      <w:pPr>
        <w:ind w:right="100" w:firstLine="405"/>
        <w:spacing w:after="0" w:line="263" w:lineRule="auto"/>
        <w:rPr>
          <w:sz w:val="20"/>
          <w:szCs w:val="20"/>
          <w:color w:val="auto"/>
        </w:rPr>
      </w:pPr>
      <w:r>
        <w:rPr>
          <w:rFonts w:ascii="Arial" w:cs="Arial" w:eastAsia="Arial" w:hAnsi="Arial"/>
          <w:sz w:val="18"/>
          <w:szCs w:val="18"/>
          <w:color w:val="auto"/>
        </w:rPr>
        <w:t>Net revenue in fiscal 2020 was $2.7 billion and was 6% lower than net revenue of $2.9 billion in fiscal 2019. The decrease was primarily due to a 17% decrease in sales of our storage products, partially offset by a 5% increase in sales of our networking products and a 5% increase in sales of our other products.</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7"/>
          <w:szCs w:val="17"/>
          <w:color w:val="auto"/>
        </w:rPr>
        <w:t>We expect that the U.S. government's export restrictions on certain Chinese customers will continue to impact our revenue in fiscal year 2021.</w:t>
      </w:r>
    </w:p>
    <w:p>
      <w:pPr>
        <w:spacing w:after="0" w:line="129" w:lineRule="exact"/>
        <w:rPr>
          <w:sz w:val="20"/>
          <w:szCs w:val="20"/>
          <w:color w:val="auto"/>
        </w:rPr>
      </w:pPr>
    </w:p>
    <w:p>
      <w:pPr>
        <w:ind w:right="80" w:firstLine="405"/>
        <w:spacing w:after="0" w:line="263" w:lineRule="auto"/>
        <w:rPr>
          <w:sz w:val="20"/>
          <w:szCs w:val="20"/>
          <w:color w:val="auto"/>
        </w:rPr>
      </w:pPr>
      <w:r>
        <w:rPr>
          <w:rFonts w:ascii="Arial" w:cs="Arial" w:eastAsia="Arial" w:hAnsi="Arial"/>
          <w:sz w:val="18"/>
          <w:szCs w:val="18"/>
          <w:color w:val="auto"/>
        </w:rPr>
        <w:t>Our fiscal year is the 52- or 53-week period ending on the Saturday closest to January 31. Accordingly, every fifth or sixth fiscal year will have a 53-week period. The additional week in a 53-week year is added to the fourth quarter, making such quarter consist of 14 weeks. Fiscal 2019 had a 52-week period. Fiscal 2020 is a 52-week period.</w:t>
      </w:r>
    </w:p>
    <w:p>
      <w:pPr>
        <w:spacing w:after="0" w:line="3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40" w:right="359" w:bottom="1440" w:gutter="0" w:footer="0" w:header="0"/>
        </w:sectPr>
      </w:pPr>
    </w:p>
    <w:bookmarkStart w:id="37" w:name="page38"/>
    <w:bookmarkEnd w:id="37"/>
    <w:p>
      <w:pPr>
        <w:ind w:right="60" w:firstLine="405"/>
        <w:spacing w:after="0" w:line="301" w:lineRule="auto"/>
        <w:rPr>
          <w:sz w:val="20"/>
          <w:szCs w:val="20"/>
          <w:color w:val="auto"/>
        </w:rPr>
      </w:pPr>
      <w:r>
        <w:rPr>
          <w:rFonts w:ascii="Arial" w:cs="Arial" w:eastAsia="Arial" w:hAnsi="Arial"/>
          <w:sz w:val="16"/>
          <w:szCs w:val="16"/>
          <w:i w:val="1"/>
          <w:iCs w:val="1"/>
          <w:color w:val="auto"/>
        </w:rPr>
        <w:t xml:space="preserve">Restructuring. </w:t>
      </w:r>
      <w:r>
        <w:rPr>
          <w:rFonts w:ascii="Arial" w:cs="Arial" w:eastAsia="Arial" w:hAnsi="Arial"/>
          <w:sz w:val="16"/>
          <w:szCs w:val="16"/>
          <w:color w:val="auto"/>
        </w:rPr>
        <w:t>We continuously evaluate our existing operations to increase operational efficiency, decrease costs and increase profitability. In July</w:t>
      </w:r>
      <w:r>
        <w:rPr>
          <w:rFonts w:ascii="Arial" w:cs="Arial" w:eastAsia="Arial" w:hAnsi="Arial"/>
          <w:sz w:val="16"/>
          <w:szCs w:val="16"/>
          <w:i w:val="1"/>
          <w:iCs w:val="1"/>
          <w:color w:val="auto"/>
        </w:rPr>
        <w:t xml:space="preserve"> </w:t>
      </w:r>
      <w:r>
        <w:rPr>
          <w:rFonts w:ascii="Arial" w:cs="Arial" w:eastAsia="Arial" w:hAnsi="Arial"/>
          <w:sz w:val="16"/>
          <w:szCs w:val="16"/>
          <w:color w:val="auto"/>
        </w:rPr>
        <w:t>2018, as part of the integration of the acquired Cavium business, we initiated a restructuring plan intended to achieve these goals. As part of this restructuring plan, revenue from our former Networking and Connectivity product groups were combined into one group named Networking. In December 2019, as part of the integration of the acquired Avera business, we initiated a restructuring plan intended to further achieve the aforementioned goals.</w:t>
      </w:r>
    </w:p>
    <w:p>
      <w:pPr>
        <w:spacing w:after="0" w:line="49" w:lineRule="exact"/>
        <w:rPr>
          <w:sz w:val="20"/>
          <w:szCs w:val="20"/>
          <w:color w:val="auto"/>
        </w:rPr>
      </w:pPr>
    </w:p>
    <w:p>
      <w:pPr>
        <w:ind w:right="120" w:firstLine="405"/>
        <w:spacing w:after="0" w:line="277" w:lineRule="auto"/>
        <w:rPr>
          <w:sz w:val="20"/>
          <w:szCs w:val="20"/>
          <w:color w:val="auto"/>
        </w:rPr>
      </w:pPr>
      <w:r>
        <w:rPr>
          <w:rFonts w:ascii="Arial" w:cs="Arial" w:eastAsia="Arial" w:hAnsi="Arial"/>
          <w:sz w:val="18"/>
          <w:szCs w:val="18"/>
          <w:color w:val="auto"/>
        </w:rPr>
        <w:t>During fiscal 2020, we recorded restructuring and other related charges of $55.3 million. See “Note 6 - Restructuring and Other Related Charges” in the Notes to the Consolidated Financial Statements for further information.</w:t>
      </w:r>
    </w:p>
    <w:p>
      <w:pPr>
        <w:spacing w:after="0" w:line="62" w:lineRule="exact"/>
        <w:rPr>
          <w:sz w:val="20"/>
          <w:szCs w:val="20"/>
          <w:color w:val="auto"/>
        </w:rPr>
      </w:pPr>
    </w:p>
    <w:p>
      <w:pPr>
        <w:ind w:firstLine="405"/>
        <w:spacing w:after="0" w:line="296" w:lineRule="auto"/>
        <w:rPr>
          <w:sz w:val="20"/>
          <w:szCs w:val="20"/>
          <w:color w:val="auto"/>
        </w:rPr>
      </w:pPr>
      <w:r>
        <w:rPr>
          <w:rFonts w:ascii="Arial" w:cs="Arial" w:eastAsia="Arial" w:hAnsi="Arial"/>
          <w:sz w:val="16"/>
          <w:szCs w:val="16"/>
          <w:color w:val="auto"/>
        </w:rPr>
        <w:t>In November 2016, we announced a restructuring plan intended to refocus our research and development, increase operational efficiency and improve profitability. In connection with this restructuring plan, we divested three businesses during fiscal 2018. These businesses are classified as discontinued operations for all periods presented in our accompanying consolidated financial statements. See “Note 6 - Restructuring and Other Related Charges” and “Note 5 - Discontinued Operations” in the Notes to the Consolidated Financial Statements for further information. Unless noted otherwise, our discussion under Part II, Item 7, Management’s Discussion and Analysis of Financial Condition and Results of Operations refers to our continuing operations.</w:t>
      </w:r>
    </w:p>
    <w:p>
      <w:pPr>
        <w:spacing w:after="0" w:line="53" w:lineRule="exact"/>
        <w:rPr>
          <w:sz w:val="20"/>
          <w:szCs w:val="20"/>
          <w:color w:val="auto"/>
        </w:rPr>
      </w:pPr>
    </w:p>
    <w:p>
      <w:pPr>
        <w:ind w:firstLine="405"/>
        <w:spacing w:after="0" w:line="293" w:lineRule="auto"/>
        <w:rPr>
          <w:sz w:val="20"/>
          <w:szCs w:val="20"/>
          <w:color w:val="auto"/>
        </w:rPr>
      </w:pPr>
      <w:r>
        <w:rPr>
          <w:rFonts w:ascii="Arial" w:cs="Arial" w:eastAsia="Arial" w:hAnsi="Arial"/>
          <w:sz w:val="16"/>
          <w:szCs w:val="16"/>
          <w:i w:val="1"/>
          <w:iCs w:val="1"/>
          <w:color w:val="auto"/>
        </w:rPr>
        <w:t xml:space="preserve">Capital Return Program. </w:t>
      </w:r>
      <w:r>
        <w:rPr>
          <w:rFonts w:ascii="Arial" w:cs="Arial" w:eastAsia="Arial" w:hAnsi="Arial"/>
          <w:sz w:val="16"/>
          <w:szCs w:val="16"/>
          <w:color w:val="auto"/>
        </w:rPr>
        <w:t>We remain committed to delivering shareholder value through our share repurchase and dividend programs. On October 16,</w:t>
      </w:r>
      <w:r>
        <w:rPr>
          <w:rFonts w:ascii="Arial" w:cs="Arial" w:eastAsia="Arial" w:hAnsi="Arial"/>
          <w:sz w:val="16"/>
          <w:szCs w:val="16"/>
          <w:i w:val="1"/>
          <w:iCs w:val="1"/>
          <w:color w:val="auto"/>
        </w:rPr>
        <w:t xml:space="preserve"> </w:t>
      </w:r>
      <w:r>
        <w:rPr>
          <w:rFonts w:ascii="Arial" w:cs="Arial" w:eastAsia="Arial" w:hAnsi="Arial"/>
          <w:sz w:val="16"/>
          <w:szCs w:val="16"/>
          <w:color w:val="auto"/>
        </w:rPr>
        <w:t>2018, we announced that our Board of Directors authorized a $700 million addition to the balance of our existing share repurchase plan. Under the program authorized by our Board of Directors, we may repurchase shares in the open-market or through privately negotiated transactions. The extent to which we repurchase our shares and the timing of such repurchases will depend upon market conditions and other corporate considerations, as determined by our management team. The repurchase program may be suspended or discontinued at any time. As of February 1, 2020, there was $589.7 million remaining available for future share repurchases. See “Note 14 - Shareholder’s Equity” in the Notes to the Consolidated Financial Statements for further information.</w:t>
      </w:r>
    </w:p>
    <w:p>
      <w:pPr>
        <w:spacing w:after="0" w:line="56" w:lineRule="exact"/>
        <w:rPr>
          <w:sz w:val="20"/>
          <w:szCs w:val="20"/>
          <w:color w:val="auto"/>
        </w:rPr>
      </w:pPr>
    </w:p>
    <w:p>
      <w:pPr>
        <w:ind w:right="20" w:firstLine="405"/>
        <w:spacing w:after="0" w:line="277" w:lineRule="auto"/>
        <w:rPr>
          <w:sz w:val="20"/>
          <w:szCs w:val="20"/>
          <w:color w:val="auto"/>
        </w:rPr>
      </w:pPr>
      <w:r>
        <w:rPr>
          <w:rFonts w:ascii="Arial" w:cs="Arial" w:eastAsia="Arial" w:hAnsi="Arial"/>
          <w:sz w:val="18"/>
          <w:szCs w:val="18"/>
          <w:color w:val="auto"/>
        </w:rPr>
        <w:t>We returned $523.9 million to stockholders in fiscal 2020, including $364.3 million through repurchases of common stock and $159.6 million of cash dividends.</w:t>
      </w:r>
    </w:p>
    <w:p>
      <w:pPr>
        <w:spacing w:after="0" w:line="62" w:lineRule="exact"/>
        <w:rPr>
          <w:sz w:val="20"/>
          <w:szCs w:val="20"/>
          <w:color w:val="auto"/>
        </w:rPr>
      </w:pPr>
    </w:p>
    <w:p>
      <w:pPr>
        <w:ind w:right="40" w:firstLine="405"/>
        <w:spacing w:after="0" w:line="277" w:lineRule="auto"/>
        <w:rPr>
          <w:sz w:val="20"/>
          <w:szCs w:val="20"/>
          <w:color w:val="auto"/>
        </w:rPr>
      </w:pPr>
      <w:r>
        <w:rPr>
          <w:rFonts w:ascii="Arial" w:cs="Arial" w:eastAsia="Arial" w:hAnsi="Arial"/>
          <w:sz w:val="18"/>
          <w:szCs w:val="18"/>
          <w:i w:val="1"/>
          <w:iCs w:val="1"/>
          <w:color w:val="auto"/>
        </w:rPr>
        <w:t xml:space="preserve">Cash and Short-Term Investments. </w:t>
      </w:r>
      <w:r>
        <w:rPr>
          <w:rFonts w:ascii="Arial" w:cs="Arial" w:eastAsia="Arial" w:hAnsi="Arial"/>
          <w:sz w:val="18"/>
          <w:szCs w:val="18"/>
          <w:color w:val="auto"/>
        </w:rPr>
        <w:t>Our cash, cash equivalents and short-term investments were $647.6 million at February 1, 2020. We had cash flow</w:t>
      </w:r>
      <w:r>
        <w:rPr>
          <w:rFonts w:ascii="Arial" w:cs="Arial" w:eastAsia="Arial" w:hAnsi="Arial"/>
          <w:sz w:val="18"/>
          <w:szCs w:val="18"/>
          <w:i w:val="1"/>
          <w:iCs w:val="1"/>
          <w:color w:val="auto"/>
        </w:rPr>
        <w:t xml:space="preserve"> </w:t>
      </w:r>
      <w:r>
        <w:rPr>
          <w:rFonts w:ascii="Arial" w:cs="Arial" w:eastAsia="Arial" w:hAnsi="Arial"/>
          <w:sz w:val="18"/>
          <w:szCs w:val="18"/>
          <w:color w:val="auto"/>
        </w:rPr>
        <w:t>provided by operations of $360.3 million during fiscal 2020.</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Sales and Customer Composition.</w:t>
      </w:r>
    </w:p>
    <w:p>
      <w:pPr>
        <w:spacing w:after="0" w:line="117" w:lineRule="exact"/>
        <w:rPr>
          <w:sz w:val="20"/>
          <w:szCs w:val="20"/>
          <w:color w:val="auto"/>
        </w:rPr>
      </w:pPr>
    </w:p>
    <w:p>
      <w:pPr>
        <w:ind w:right="40" w:firstLine="405"/>
        <w:spacing w:after="0" w:line="311"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See the table in our discussion of “Customers, Sales and Marketing” in Item 1 of this Annual Report on Form 10-K for further information. We continuously monitor the creditworthiness of our distributors and believe these distributors’ sales to diverse end customers and geographies further serve to mitigate our exposure to credit risk.</w:t>
      </w:r>
    </w:p>
    <w:p>
      <w:pPr>
        <w:spacing w:after="0" w:line="41" w:lineRule="exact"/>
        <w:rPr>
          <w:sz w:val="20"/>
          <w:szCs w:val="20"/>
          <w:color w:val="auto"/>
        </w:rPr>
      </w:pPr>
    </w:p>
    <w:p>
      <w:pPr>
        <w:ind w:firstLine="445"/>
        <w:spacing w:after="0" w:line="254" w:lineRule="auto"/>
        <w:rPr>
          <w:sz w:val="20"/>
          <w:szCs w:val="20"/>
          <w:color w:val="auto"/>
        </w:rPr>
      </w:pPr>
      <w:r>
        <w:rPr>
          <w:rFonts w:ascii="Arial" w:cs="Arial" w:eastAsia="Arial" w:hAnsi="Arial"/>
          <w:sz w:val="18"/>
          <w:szCs w:val="18"/>
          <w:color w:val="auto"/>
        </w:rPr>
        <w:t>Most of our sales are made to customers located outside of the United States, primarily in Asia, and majority of our products are manufactured outside the United States. Sales shipped to customers with operations in Asia represented approximately 82% of our net revenues in fiscal 2020 and 85% of our net revenue in fiscal 2019 and 95% of our net revenue in fiscal 2018. Because many manufacturers and manufacturing subcontractors of our customers are located in Asia, we expect that most of our net revenue will continue to be represented by sales to our customers in that region. For risks related to our global operations, see Part I, Item 1A, “Risk Factors,” including but not limited to the risk detailed under the caption “</w:t>
      </w:r>
      <w:r>
        <w:rPr>
          <w:rFonts w:ascii="Arial" w:cs="Arial" w:eastAsia="Arial" w:hAnsi="Arial"/>
          <w:sz w:val="18"/>
          <w:szCs w:val="18"/>
          <w:i w:val="1"/>
          <w:iCs w:val="1"/>
          <w:color w:val="auto"/>
        </w:rPr>
        <w:t>We face additional risks due to the</w:t>
      </w:r>
      <w:r>
        <w:rPr>
          <w:rFonts w:ascii="Arial" w:cs="Arial" w:eastAsia="Arial" w:hAnsi="Arial"/>
          <w:sz w:val="18"/>
          <w:szCs w:val="18"/>
          <w:color w:val="auto"/>
        </w:rPr>
        <w:t xml:space="preserve"> </w:t>
      </w:r>
      <w:r>
        <w:rPr>
          <w:rFonts w:ascii="Arial" w:cs="Arial" w:eastAsia="Arial" w:hAnsi="Arial"/>
          <w:sz w:val="18"/>
          <w:szCs w:val="18"/>
          <w:i w:val="1"/>
          <w:iCs w:val="1"/>
          <w:color w:val="auto"/>
        </w:rPr>
        <w:t>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84" w:lineRule="exact"/>
        <w:rPr>
          <w:sz w:val="20"/>
          <w:szCs w:val="20"/>
          <w:color w:val="auto"/>
        </w:rPr>
      </w:pPr>
    </w:p>
    <w:p>
      <w:pPr>
        <w:ind w:right="40" w:firstLine="405"/>
        <w:spacing w:after="0" w:line="291" w:lineRule="auto"/>
        <w:rPr>
          <w:sz w:val="20"/>
          <w:szCs w:val="20"/>
          <w:color w:val="auto"/>
        </w:rPr>
      </w:pPr>
      <w:r>
        <w:rPr>
          <w:rFonts w:ascii="Arial" w:cs="Arial" w:eastAsia="Arial" w:hAnsi="Arial"/>
          <w:sz w:val="16"/>
          <w:szCs w:val="16"/>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 see Part I, Item 1A, “Risk Factors,” including but not limited to the risk detailed under the caption, “</w:t>
      </w:r>
      <w:r>
        <w:rPr>
          <w:rFonts w:ascii="Arial" w:cs="Arial" w:eastAsia="Arial" w:hAnsi="Arial"/>
          <w:sz w:val="16"/>
          <w:szCs w:val="16"/>
          <w:i w:val="1"/>
          <w:iCs w:val="1"/>
          <w:color w:val="auto"/>
        </w:rPr>
        <w:t>We are subject to order and shipment uncertainties. If we are unable to accurately predict</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94" w:right="359" w:bottom="1440" w:gutter="0" w:footer="0" w:header="0"/>
        </w:sectPr>
      </w:pPr>
    </w:p>
    <w:bookmarkStart w:id="38" w:name="page39"/>
    <w:bookmarkEnd w:id="38"/>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121" w:lineRule="exact"/>
        <w:rPr>
          <w:sz w:val="20"/>
          <w:szCs w:val="20"/>
          <w:color w:val="auto"/>
        </w:rPr>
      </w:pPr>
    </w:p>
    <w:p>
      <w:pPr>
        <w:ind w:right="80" w:firstLine="445"/>
        <w:spacing w:after="0" w:line="270" w:lineRule="auto"/>
        <w:rPr>
          <w:sz w:val="20"/>
          <w:szCs w:val="20"/>
          <w:color w:val="auto"/>
        </w:rPr>
      </w:pPr>
      <w:r>
        <w:rPr>
          <w:rFonts w:ascii="Arial" w:cs="Arial" w:eastAsia="Arial" w:hAnsi="Arial"/>
          <w:sz w:val="17"/>
          <w:szCs w:val="17"/>
          <w:color w:val="auto"/>
        </w:rPr>
        <w:t>The preparation of consolidated financial statements in conformity with generally accepted accounting principles in the United States (“GAAP”) requires management to make estimates, judgments and assumptions that affect the reported amounts of assets, liabilities, revenues and expenses, and related disclosure of contingent assets and liabilities. On an ongoing basis, we evaluate our estimates, including those related to revenue recognition, income taxes, goodwill and other intangible assets, and business combinations. We base our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 We believe the following critical accounting policies affect our more significant judgments and estimates used in the preparation of our consolidated financial statements. For further information on our significant accounting policies, see “Note 2 - Significant Accounting Policies” in the Notes to Consolidated Financial Statements.</w:t>
      </w:r>
    </w:p>
    <w:p>
      <w:pPr>
        <w:spacing w:after="0" w:line="73" w:lineRule="exact"/>
        <w:rPr>
          <w:sz w:val="20"/>
          <w:szCs w:val="20"/>
          <w:color w:val="auto"/>
        </w:rPr>
      </w:pPr>
    </w:p>
    <w:p>
      <w:pPr>
        <w:ind w:right="60" w:firstLine="445"/>
        <w:spacing w:after="0" w:line="301" w:lineRule="auto"/>
        <w:rPr>
          <w:sz w:val="20"/>
          <w:szCs w:val="20"/>
          <w:color w:val="auto"/>
        </w:rPr>
      </w:pPr>
      <w:r>
        <w:rPr>
          <w:rFonts w:ascii="Arial" w:cs="Arial" w:eastAsia="Arial" w:hAnsi="Arial"/>
          <w:sz w:val="16"/>
          <w:szCs w:val="16"/>
          <w:i w:val="1"/>
          <w:iCs w:val="1"/>
          <w:color w:val="auto"/>
        </w:rPr>
        <w:t xml:space="preserve">Revenue Recognition. </w:t>
      </w:r>
      <w:r>
        <w:rPr>
          <w:rFonts w:ascii="Arial" w:cs="Arial" w:eastAsia="Arial" w:hAnsi="Arial"/>
          <w:sz w:val="16"/>
          <w:szCs w:val="16"/>
          <w:color w:val="auto"/>
        </w:rPr>
        <w:t>We recognize revenue upon transfer of control of promised products or services to customers in an amount that reflects the</w:t>
      </w:r>
      <w:r>
        <w:rPr>
          <w:rFonts w:ascii="Arial" w:cs="Arial" w:eastAsia="Arial" w:hAnsi="Arial"/>
          <w:sz w:val="16"/>
          <w:szCs w:val="16"/>
          <w:i w:val="1"/>
          <w:iCs w:val="1"/>
          <w:color w:val="auto"/>
        </w:rPr>
        <w:t xml:space="preserve"> </w:t>
      </w:r>
      <w:r>
        <w:rPr>
          <w:rFonts w:ascii="Arial" w:cs="Arial" w:eastAsia="Arial" w:hAnsi="Arial"/>
          <w:sz w:val="16"/>
          <w:szCs w:val="16"/>
          <w:color w:val="auto"/>
        </w:rPr>
        <w:t>consideration we expect to receive in exchange for those products or services. Under the revenue recognition standard, we apply the following five step approach: (1) identify the contract with a customer, (2) identify the performance obligations in the contract, (3) determine the transaction price, (4) allocate the transaction price to the performance obligations in the contract, and (5) recognize revenue when a performance obligation is satisfied.</w:t>
      </w:r>
    </w:p>
    <w:p>
      <w:pPr>
        <w:spacing w:after="0" w:line="49" w:lineRule="exact"/>
        <w:rPr>
          <w:sz w:val="20"/>
          <w:szCs w:val="20"/>
          <w:color w:val="auto"/>
        </w:rPr>
      </w:pPr>
    </w:p>
    <w:p>
      <w:pPr>
        <w:ind w:firstLine="364"/>
        <w:spacing w:after="0" w:line="286" w:lineRule="auto"/>
        <w:rPr>
          <w:sz w:val="20"/>
          <w:szCs w:val="20"/>
          <w:color w:val="auto"/>
        </w:rPr>
      </w:pPr>
      <w:r>
        <w:rPr>
          <w:rFonts w:ascii="Arial" w:cs="Arial" w:eastAsia="Arial" w:hAnsi="Arial"/>
          <w:sz w:val="16"/>
          <w:szCs w:val="16"/>
          <w:color w:val="auto"/>
        </w:rPr>
        <w:t>We enter into contracts that may include various combinations of products and services that are capable of being distinct and accounted for as separate performance obligations. To date, the majority of the revenue has been generated by sales associated with storage and networking products. Revenue from services has been insignificant. Performance obligations associated with product sales transactions are generally satisfied when control passes to customers upon shipment. Accordingly, product revenue is recognized at a point in time when control of the asset is transferred to the customer. We recognize revenue when we satisfy a performance obligation by transferring control of a product to a customer in an amount that reflects the consideration to which we expect to be entitled in exchange for those goods or services. For product revenue, the performance obligation is deemed to be the delivery of the product and therefore, the revenue is generally recognized upon shipment to customers, net of accruals for estimated sales returns and rebates. These estimates are based on historical returns, analysis of credit memo data and other known factors. Actual returns could differ from these estimates. We account for rebates by recording reductions to revenue for rebates in the same period that the related revenue is recorded. The amount of these reductions is based upon the terms agreed to with the customer. Some of our sales are made to distributors under agreements allowing for price protection, price discounts and limited rights of stock rotation on products unsold by the distributors. Control passes to the distributor upon shipment, and terms and payment by our distributors is not contingent on resale of the product. Product revenue on sales made to distributors with price protection and stock rotation rights is recognized upon shipment to distributors, with an accrual for the variable consideration aspect of sales to distributors, estimated based on historical experience, including estimates for price discounts, price protection, rebates, and stock rotation programs. Actual variable consideration could differ from these estimates.</w:t>
      </w:r>
    </w:p>
    <w:p>
      <w:pPr>
        <w:spacing w:after="0" w:line="63" w:lineRule="exact"/>
        <w:rPr>
          <w:sz w:val="20"/>
          <w:szCs w:val="20"/>
          <w:color w:val="auto"/>
        </w:rPr>
      </w:pPr>
    </w:p>
    <w:p>
      <w:pPr>
        <w:jc w:val="both"/>
        <w:ind w:right="580" w:firstLine="445"/>
        <w:spacing w:after="0" w:line="263" w:lineRule="auto"/>
        <w:rPr>
          <w:sz w:val="20"/>
          <w:szCs w:val="20"/>
          <w:color w:val="auto"/>
        </w:rPr>
      </w:pPr>
      <w:r>
        <w:rPr>
          <w:rFonts w:ascii="Arial" w:cs="Arial" w:eastAsia="Arial" w:hAnsi="Arial"/>
          <w:sz w:val="18"/>
          <w:szCs w:val="18"/>
          <w:color w:val="auto"/>
        </w:rPr>
        <w:t>A portion of our net revenue is derived from sales through third-party logistics providers who maintain warehouses in close proximity to our customer’s facilities. Revenue from sales through these third-party logistics providers is not recognized until the product is pulled from stock by the customer.</w:t>
      </w:r>
    </w:p>
    <w:p>
      <w:pPr>
        <w:spacing w:after="0" w:line="76" w:lineRule="exact"/>
        <w:rPr>
          <w:sz w:val="20"/>
          <w:szCs w:val="20"/>
          <w:color w:val="auto"/>
        </w:rPr>
      </w:pPr>
    </w:p>
    <w:p>
      <w:pPr>
        <w:ind w:right="220" w:firstLine="445"/>
        <w:spacing w:after="0" w:line="257" w:lineRule="auto"/>
        <w:rPr>
          <w:sz w:val="20"/>
          <w:szCs w:val="20"/>
          <w:color w:val="auto"/>
        </w:rPr>
      </w:pPr>
      <w:r>
        <w:rPr>
          <w:rFonts w:ascii="Arial" w:cs="Arial" w:eastAsia="Arial" w:hAnsi="Arial"/>
          <w:sz w:val="18"/>
          <w:szCs w:val="18"/>
          <w:color w:val="auto"/>
        </w:rPr>
        <w:t>Our products are generally subject to warranty, which provides for the estimated future costs of replacement upon shipment of the product. Our products carry a standard one-year warranty, with certain exceptions in which the warranty period can extend to more than one year based on contractual agreements. The warranty accrual is estimated primarily based on historical claims compared to historical revenues and assumes that we will have to replace products subject to a claim. From time to time, we become aware of specific warranty situations, and we record specific accruals to cover these exposures. Warranty expenses were not material for the periods presented.</w:t>
      </w:r>
    </w:p>
    <w:p>
      <w:pPr>
        <w:spacing w:after="0" w:line="80" w:lineRule="exact"/>
        <w:rPr>
          <w:sz w:val="20"/>
          <w:szCs w:val="20"/>
          <w:color w:val="auto"/>
        </w:rPr>
      </w:pPr>
    </w:p>
    <w:p>
      <w:pPr>
        <w:ind w:right="120" w:firstLine="445"/>
        <w:spacing w:after="0" w:line="311" w:lineRule="auto"/>
        <w:rPr>
          <w:sz w:val="20"/>
          <w:szCs w:val="20"/>
          <w:color w:val="auto"/>
        </w:rPr>
      </w:pPr>
      <w:r>
        <w:rPr>
          <w:rFonts w:ascii="Arial" w:cs="Arial" w:eastAsia="Arial" w:hAnsi="Arial"/>
          <w:sz w:val="16"/>
          <w:szCs w:val="16"/>
          <w:i w:val="1"/>
          <w:iCs w:val="1"/>
          <w:color w:val="auto"/>
        </w:rPr>
        <w:t xml:space="preserve">Accounting for Income Taxes. </w:t>
      </w:r>
      <w:r>
        <w:rPr>
          <w:rFonts w:ascii="Arial" w:cs="Arial" w:eastAsia="Arial" w:hAnsi="Arial"/>
          <w:sz w:val="16"/>
          <w:szCs w:val="16"/>
          <w:color w:val="auto"/>
        </w:rPr>
        <w:t>We estimate our income taxes in each of the jurisdictions in which we operate. This process involves estimating our</w:t>
      </w:r>
      <w:r>
        <w:rPr>
          <w:rFonts w:ascii="Arial" w:cs="Arial" w:eastAsia="Arial" w:hAnsi="Arial"/>
          <w:sz w:val="16"/>
          <w:szCs w:val="16"/>
          <w:i w:val="1"/>
          <w:iCs w:val="1"/>
          <w:color w:val="auto"/>
        </w:rPr>
        <w:t xml:space="preserve"> </w:t>
      </w:r>
      <w:r>
        <w:rPr>
          <w:rFonts w:ascii="Arial" w:cs="Arial" w:eastAsia="Arial" w:hAnsi="Arial"/>
          <w:sz w:val="16"/>
          <w:szCs w:val="16"/>
          <w:color w:val="auto"/>
        </w:rPr>
        <w:t>actual tax exposure together with assessing temporary differences resulting from the differing treatment of certain items for tax return and financial statement purposes. These differences result in deferred tax assets and liabilities, which are included in our consolidated balance sheets.</w:t>
      </w:r>
    </w:p>
    <w:p>
      <w:pPr>
        <w:spacing w:after="0" w:line="41" w:lineRule="exact"/>
        <w:rPr>
          <w:sz w:val="20"/>
          <w:szCs w:val="20"/>
          <w:color w:val="auto"/>
        </w:rPr>
      </w:pPr>
    </w:p>
    <w:p>
      <w:pPr>
        <w:ind w:right="120" w:firstLine="445"/>
        <w:spacing w:after="0" w:line="259" w:lineRule="auto"/>
        <w:rPr>
          <w:sz w:val="20"/>
          <w:szCs w:val="20"/>
          <w:color w:val="auto"/>
        </w:rPr>
      </w:pPr>
      <w:r>
        <w:rPr>
          <w:rFonts w:ascii="Arial" w:cs="Arial" w:eastAsia="Arial" w:hAnsi="Arial"/>
          <w:sz w:val="18"/>
          <w:szCs w:val="18"/>
          <w:color w:val="auto"/>
        </w:rPr>
        <w:t>We recognize income taxes using an asset and liability approach. This approach requires the recognition of taxes payable or refundable for the current year, and deferred tax liabilities and assets for the future tax consequences of events that have been recognized in our consolidated financial statements or tax returns. The measurement of current and deferred taxes is based on provisions of the enacted tax law and the effects of future changes in tax laws or rates are not anticipated.</w:t>
      </w:r>
    </w:p>
    <w:p>
      <w:pPr>
        <w:spacing w:after="0" w:line="3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90" w:right="359" w:bottom="1440" w:gutter="0" w:footer="0" w:header="0"/>
        </w:sectPr>
      </w:pPr>
    </w:p>
    <w:bookmarkStart w:id="39" w:name="page40"/>
    <w:bookmarkEnd w:id="39"/>
    <w:p>
      <w:pPr>
        <w:ind w:right="40" w:firstLine="445"/>
        <w:spacing w:after="0" w:line="254" w:lineRule="auto"/>
        <w:rPr>
          <w:sz w:val="20"/>
          <w:szCs w:val="20"/>
          <w:color w:val="auto"/>
        </w:rPr>
      </w:pPr>
      <w:r>
        <w:rPr>
          <w:rFonts w:ascii="Arial" w:cs="Arial" w:eastAsia="Arial" w:hAnsi="Arial"/>
          <w:sz w:val="18"/>
          <w:szCs w:val="18"/>
          <w:color w:val="auto"/>
        </w:rPr>
        <w:t>Evaluating the need for an amount of a valuation allowance for deferred tax assets often requires judgment and analysis of all the positive and negative evidence available, including cumulative losses in recent years and projected future taxable income, to determine whether all or some portion of the deferred tax assets will not be realized. Using available evidence and judgment, we establish a valuation allowance for deferred tax assets, when it is determined that it is more likely than not that they will not be realized. Valuation allowances have been provided primarily against the U.S. research and development credits. Valuation allowances have also been provided against certain acquired operating losses and the deferred tax assets of foreign subsidiaries. A change in the assessment of the realization of deferred tax assets may materially impact our tax provision in the period in which a change of assessment occurs.</w:t>
      </w:r>
    </w:p>
    <w:p>
      <w:pPr>
        <w:spacing w:after="0" w:line="87" w:lineRule="exact"/>
        <w:rPr>
          <w:sz w:val="20"/>
          <w:szCs w:val="20"/>
          <w:color w:val="auto"/>
        </w:rPr>
      </w:pPr>
    </w:p>
    <w:p>
      <w:pPr>
        <w:ind w:right="20" w:firstLine="445"/>
        <w:spacing w:after="0" w:line="254" w:lineRule="auto"/>
        <w:rPr>
          <w:sz w:val="20"/>
          <w:szCs w:val="20"/>
          <w:color w:val="auto"/>
        </w:rPr>
      </w:pPr>
      <w:r>
        <w:rPr>
          <w:rFonts w:ascii="Arial" w:cs="Arial" w:eastAsia="Arial" w:hAnsi="Arial"/>
          <w:sz w:val="18"/>
          <w:szCs w:val="18"/>
          <w:color w:val="auto"/>
        </w:rPr>
        <w:t>As a multinational corporation, we conduct our business in many countries and are subject to taxation in many jurisdictions. The taxation of our business is subject to the application of various and sometimes conflicting tax laws and regulations as well as multinational tax conventions. Our effective tax rate is highly dependent upon the geographic distribution of our worldwide earnings or losses, the tax regulations and tax holidays in each geographic region, the availability of tax credits and carryforwards, and the effectiveness of our tax planning strategies which includes our estimates of the fair value of our intellectual property.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84" w:lineRule="exact"/>
        <w:rPr>
          <w:sz w:val="20"/>
          <w:szCs w:val="20"/>
          <w:color w:val="auto"/>
        </w:rPr>
      </w:pPr>
    </w:p>
    <w:p>
      <w:pPr>
        <w:ind w:right="40" w:firstLine="445"/>
        <w:spacing w:after="0" w:line="289" w:lineRule="auto"/>
        <w:rPr>
          <w:sz w:val="20"/>
          <w:szCs w:val="20"/>
          <w:color w:val="auto"/>
        </w:rPr>
      </w:pPr>
      <w:r>
        <w:rPr>
          <w:rFonts w:ascii="Arial" w:cs="Arial" w:eastAsia="Arial" w:hAnsi="Arial"/>
          <w:sz w:val="16"/>
          <w:szCs w:val="16"/>
          <w:color w:val="auto"/>
        </w:rPr>
        <w:t>We are subject to income tax audits by the respective tax authorities in all of the jurisdictions in which we operate. We recognize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We record interest and penalties related to unrecognized tax benefits in income tax expense. The calculation of our tax liabilities involves the inherent uncertainty associated with complex tax laws. We believe we have adequately provided for in our financial statements additional taxes that we estimate may be required to be paid as a result of such examinations. While we believe that we have adequately provided for all tax positions, amounts asserted by tax authorities could be greater or less than our accrued position. These tax liabilities, including the interest and penalties, are released pursuant to a settlement with tax authorities, completion of audit or expiration of various statutes of limitation. The material jurisdictions in which we may be subject to potential examination by tax authorities throughout the world include China, India, Israel, Singapore, Switzerland and the United States.</w:t>
      </w:r>
    </w:p>
    <w:p>
      <w:pPr>
        <w:spacing w:after="0" w:line="58" w:lineRule="exact"/>
        <w:rPr>
          <w:sz w:val="20"/>
          <w:szCs w:val="20"/>
          <w:color w:val="auto"/>
        </w:rPr>
      </w:pPr>
    </w:p>
    <w:p>
      <w:pPr>
        <w:ind w:firstLine="445"/>
        <w:spacing w:after="0" w:line="308" w:lineRule="auto"/>
        <w:rPr>
          <w:sz w:val="20"/>
          <w:szCs w:val="20"/>
          <w:color w:val="auto"/>
        </w:rPr>
      </w:pPr>
      <w:r>
        <w:rPr>
          <w:rFonts w:ascii="Arial" w:cs="Arial" w:eastAsia="Arial" w:hAnsi="Arial"/>
          <w:sz w:val="17"/>
          <w:szCs w:val="17"/>
          <w:color w:val="auto"/>
        </w:rPr>
        <w:t>The recognition and measurement of current taxes payable or refundable, and deferred tax assets and liabilities require that we make certain estimates and judgments. Changes to these estimates or a change in judgment may have a material impact on our tax provision in a future period.</w:t>
      </w:r>
    </w:p>
    <w:p>
      <w:pPr>
        <w:spacing w:after="0" w:line="38" w:lineRule="exact"/>
        <w:rPr>
          <w:sz w:val="20"/>
          <w:szCs w:val="20"/>
          <w:color w:val="auto"/>
        </w:rPr>
      </w:pPr>
    </w:p>
    <w:p>
      <w:pPr>
        <w:ind w:right="480" w:firstLine="445"/>
        <w:spacing w:after="0" w:line="263" w:lineRule="auto"/>
        <w:rPr>
          <w:sz w:val="20"/>
          <w:szCs w:val="20"/>
          <w:color w:val="auto"/>
        </w:rPr>
      </w:pPr>
      <w:r>
        <w:rPr>
          <w:rFonts w:ascii="Arial" w:cs="Arial" w:eastAsia="Arial" w:hAnsi="Arial"/>
          <w:sz w:val="18"/>
          <w:szCs w:val="18"/>
          <w:i w:val="1"/>
          <w:iCs w:val="1"/>
          <w:color w:val="auto"/>
        </w:rPr>
        <w:t xml:space="preserve">Long-lived Assets and Intangible Assets. </w:t>
      </w:r>
      <w:r>
        <w:rPr>
          <w:rFonts w:ascii="Arial" w:cs="Arial" w:eastAsia="Arial" w:hAnsi="Arial"/>
          <w:sz w:val="18"/>
          <w:szCs w:val="18"/>
          <w:color w:val="auto"/>
        </w:rPr>
        <w:t>We assess the impairment of long-lived assets and intangible assets whenever events or changes in</w:t>
      </w:r>
      <w:r>
        <w:rPr>
          <w:rFonts w:ascii="Arial" w:cs="Arial" w:eastAsia="Arial" w:hAnsi="Arial"/>
          <w:sz w:val="18"/>
          <w:szCs w:val="18"/>
          <w:i w:val="1"/>
          <w:iCs w:val="1"/>
          <w:color w:val="auto"/>
        </w:rPr>
        <w:t xml:space="preserve"> </w:t>
      </w:r>
      <w:r>
        <w:rPr>
          <w:rFonts w:ascii="Arial" w:cs="Arial" w:eastAsia="Arial" w:hAnsi="Arial"/>
          <w:sz w:val="18"/>
          <w:szCs w:val="18"/>
          <w:color w:val="auto"/>
        </w:rPr>
        <w:t>circumstances indicate that the carrying value of such assets may not be recoverable. Circumstances which could trigger a review include, but are not limited to the following:</w:t>
      </w:r>
    </w:p>
    <w:p>
      <w:pPr>
        <w:spacing w:after="0" w:line="22" w:lineRule="exact"/>
        <w:rPr>
          <w:sz w:val="20"/>
          <w:szCs w:val="20"/>
          <w:color w:val="auto"/>
        </w:rPr>
      </w:pPr>
    </w:p>
    <w:p>
      <w:pPr>
        <w:ind w:left="660" w:hanging="328"/>
        <w:spacing w:after="0"/>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significant decreases in the market price of the asset;</w:t>
      </w:r>
    </w:p>
    <w:p>
      <w:pPr>
        <w:spacing w:after="0" w:line="63" w:lineRule="exact"/>
        <w:rPr>
          <w:rFonts w:ascii="Arial" w:cs="Arial" w:eastAsia="Arial" w:hAnsi="Arial"/>
          <w:sz w:val="18"/>
          <w:szCs w:val="18"/>
          <w:color w:val="auto"/>
        </w:rPr>
      </w:pPr>
    </w:p>
    <w:p>
      <w:pPr>
        <w:ind w:left="660" w:hanging="328"/>
        <w:spacing w:after="0"/>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significant adverse changes in the business climate or legal factors;</w:t>
      </w:r>
    </w:p>
    <w:p>
      <w:pPr>
        <w:spacing w:after="0" w:line="63" w:lineRule="exact"/>
        <w:rPr>
          <w:rFonts w:ascii="Arial" w:cs="Arial" w:eastAsia="Arial" w:hAnsi="Arial"/>
          <w:sz w:val="18"/>
          <w:szCs w:val="18"/>
          <w:color w:val="auto"/>
        </w:rPr>
      </w:pPr>
    </w:p>
    <w:p>
      <w:pPr>
        <w:ind w:left="660" w:hanging="328"/>
        <w:spacing w:after="0"/>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accumulation of costs significantly in excess of the amount originally expected for the acquisition or construction of the asset;</w:t>
      </w:r>
    </w:p>
    <w:p>
      <w:pPr>
        <w:spacing w:after="0" w:line="63" w:lineRule="exact"/>
        <w:rPr>
          <w:rFonts w:ascii="Arial" w:cs="Arial" w:eastAsia="Arial" w:hAnsi="Arial"/>
          <w:sz w:val="18"/>
          <w:szCs w:val="18"/>
          <w:color w:val="auto"/>
        </w:rPr>
      </w:pPr>
    </w:p>
    <w:p>
      <w:pPr>
        <w:ind w:left="660" w:right="400" w:hanging="328"/>
        <w:spacing w:after="0" w:line="277" w:lineRule="auto"/>
        <w:tabs>
          <w:tab w:leader="none" w:pos="655" w:val="left"/>
        </w:tabs>
        <w:numPr>
          <w:ilvl w:val="0"/>
          <w:numId w:val="23"/>
        </w:numPr>
        <w:rPr>
          <w:rFonts w:ascii="Arial" w:cs="Arial" w:eastAsia="Arial" w:hAnsi="Arial"/>
          <w:sz w:val="18"/>
          <w:szCs w:val="18"/>
          <w:color w:val="auto"/>
        </w:rPr>
      </w:pPr>
      <w:r>
        <w:rPr>
          <w:rFonts w:ascii="Arial" w:cs="Arial" w:eastAsia="Arial" w:hAnsi="Arial"/>
          <w:sz w:val="18"/>
          <w:szCs w:val="18"/>
          <w:color w:val="auto"/>
        </w:rPr>
        <w:t>current period cash flow or operating losses combined with a history of losses or a forecast of continuing losses associated with the use of the asset; and</w:t>
      </w:r>
    </w:p>
    <w:p>
      <w:pPr>
        <w:spacing w:after="0" w:line="8" w:lineRule="exact"/>
        <w:rPr>
          <w:rFonts w:ascii="Arial" w:cs="Arial" w:eastAsia="Arial" w:hAnsi="Arial"/>
          <w:sz w:val="18"/>
          <w:szCs w:val="18"/>
          <w:color w:val="auto"/>
        </w:rPr>
      </w:pPr>
    </w:p>
    <w:p>
      <w:pPr>
        <w:ind w:left="660" w:hanging="328"/>
        <w:spacing w:after="0"/>
        <w:tabs>
          <w:tab w:leader="none" w:pos="660" w:val="left"/>
        </w:tabs>
        <w:numPr>
          <w:ilvl w:val="0"/>
          <w:numId w:val="23"/>
        </w:numPr>
        <w:rPr>
          <w:rFonts w:ascii="Arial" w:cs="Arial" w:eastAsia="Arial" w:hAnsi="Arial"/>
          <w:sz w:val="17"/>
          <w:szCs w:val="17"/>
          <w:color w:val="auto"/>
        </w:rPr>
      </w:pPr>
      <w:r>
        <w:rPr>
          <w:rFonts w:ascii="Arial" w:cs="Arial" w:eastAsia="Arial" w:hAnsi="Arial"/>
          <w:sz w:val="17"/>
          <w:szCs w:val="17"/>
          <w:color w:val="auto"/>
        </w:rPr>
        <w:t>current expectation that the asset will more likely than not be sold or disposed of significantly before the end of its estimated useful life.</w:t>
      </w:r>
    </w:p>
    <w:p>
      <w:pPr>
        <w:spacing w:after="0" w:line="129" w:lineRule="exact"/>
        <w:rPr>
          <w:sz w:val="20"/>
          <w:szCs w:val="20"/>
          <w:color w:val="auto"/>
        </w:rPr>
      </w:pPr>
    </w:p>
    <w:p>
      <w:pPr>
        <w:jc w:val="both"/>
        <w:ind w:right="60" w:firstLine="445"/>
        <w:spacing w:after="0" w:line="286" w:lineRule="auto"/>
        <w:rPr>
          <w:sz w:val="20"/>
          <w:szCs w:val="20"/>
          <w:color w:val="auto"/>
        </w:rPr>
      </w:pPr>
      <w:r>
        <w:rPr>
          <w:rFonts w:ascii="Arial" w:cs="Arial" w:eastAsia="Arial" w:hAnsi="Arial"/>
          <w:sz w:val="16"/>
          <w:szCs w:val="16"/>
          <w:color w:val="auto"/>
        </w:rPr>
        <w:t>Whenever events or changes in circumstances suggest that the carrying amount of long-lived assets and intangible assets may not be recoverable, we estimate the future cash flows expected to be generated by the asset from its use or eventual disposition. If the sum of the expected future cash flows is less than the carrying amount of those assets, we recognize an impairment loss based on the excess of the carrying amount over the fair value of the assets. Significant management judgment is required in the forecasts of future operating results that are used in the discounted cash flow method of valuation.</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color w:val="auto"/>
        </w:rPr>
        <w:t>These significant judgments may include future expected revenue, expenses, capital expenditures and other costs, and discount rates.</w:t>
      </w:r>
    </w:p>
    <w:p>
      <w:pPr>
        <w:spacing w:after="0" w:line="34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40" w:name="page41"/>
    <w:bookmarkEnd w:id="40"/>
    <w:p>
      <w:pPr>
        <w:ind w:firstLine="445"/>
        <w:spacing w:after="0" w:line="272" w:lineRule="auto"/>
        <w:rPr>
          <w:sz w:val="20"/>
          <w:szCs w:val="20"/>
          <w:color w:val="auto"/>
        </w:rPr>
      </w:pPr>
      <w:r>
        <w:rPr>
          <w:rFonts w:ascii="Arial" w:cs="Arial" w:eastAsia="Arial" w:hAnsi="Arial"/>
          <w:sz w:val="17"/>
          <w:szCs w:val="17"/>
          <w:i w:val="1"/>
          <w:iCs w:val="1"/>
          <w:color w:val="auto"/>
        </w:rPr>
        <w:t xml:space="preserve">Goodwill. </w:t>
      </w:r>
      <w:r>
        <w:rPr>
          <w:rFonts w:ascii="Arial" w:cs="Arial" w:eastAsia="Arial" w:hAnsi="Arial"/>
          <w:sz w:val="17"/>
          <w:szCs w:val="17"/>
          <w:color w:val="auto"/>
        </w:rPr>
        <w:t>We record goodwill when the consideration paid for a business acquisition exceeds the fair value of net tangible and intangible assets</w:t>
      </w:r>
      <w:r>
        <w:rPr>
          <w:rFonts w:ascii="Arial" w:cs="Arial" w:eastAsia="Arial" w:hAnsi="Arial"/>
          <w:sz w:val="17"/>
          <w:szCs w:val="17"/>
          <w:i w:val="1"/>
          <w:iCs w:val="1"/>
          <w:color w:val="auto"/>
        </w:rPr>
        <w:t xml:space="preserve"> </w:t>
      </w:r>
      <w:r>
        <w:rPr>
          <w:rFonts w:ascii="Arial" w:cs="Arial" w:eastAsia="Arial" w:hAnsi="Arial"/>
          <w:sz w:val="17"/>
          <w:szCs w:val="17"/>
          <w:color w:val="auto"/>
        </w:rPr>
        <w:t>acquired. We review goodwill for impairment annually on the last business day of our fiscal fourth quarter, and more frequently, if an event occurs or circumstances change that indicate the fair value of the reporting unit may be below its carrying amount. We have identified that our business operates as a single operating segment which can further be divided into two components; Storage and Networking. Management concluded that goodwill is recoverable from these two components working jointly due to a fact pattern demonstrating significant sharing of assets, corporate resources, and benefits from common research and development. The two components also exhibit similar economic characteristics. Accordingly, management concluded that these two components should be aggregated into a single reporting unit for purposes of testing goodwill impairment.</w:t>
      </w:r>
    </w:p>
    <w:p>
      <w:pPr>
        <w:spacing w:after="0" w:line="69" w:lineRule="exact"/>
        <w:rPr>
          <w:sz w:val="20"/>
          <w:szCs w:val="20"/>
          <w:color w:val="auto"/>
        </w:rPr>
      </w:pPr>
    </w:p>
    <w:p>
      <w:pPr>
        <w:ind w:right="520" w:firstLine="445"/>
        <w:spacing w:after="0" w:line="277" w:lineRule="auto"/>
        <w:rPr>
          <w:sz w:val="20"/>
          <w:szCs w:val="20"/>
          <w:color w:val="auto"/>
        </w:rPr>
      </w:pPr>
      <w:r>
        <w:rPr>
          <w:rFonts w:ascii="Arial" w:cs="Arial" w:eastAsia="Arial" w:hAnsi="Arial"/>
          <w:sz w:val="18"/>
          <w:szCs w:val="18"/>
          <w:color w:val="auto"/>
        </w:rPr>
        <w:t>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w:t>
      </w:r>
    </w:p>
    <w:p>
      <w:pPr>
        <w:spacing w:after="0" w:line="63" w:lineRule="exact"/>
        <w:rPr>
          <w:sz w:val="20"/>
          <w:szCs w:val="20"/>
          <w:color w:val="auto"/>
        </w:rPr>
      </w:pPr>
    </w:p>
    <w:p>
      <w:pPr>
        <w:ind w:left="660" w:hanging="328"/>
        <w:spacing w:after="0"/>
        <w:tabs>
          <w:tab w:leader="none" w:pos="6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significant underperformance relative to historical or projected future operating results;</w:t>
      </w:r>
    </w:p>
    <w:p>
      <w:pPr>
        <w:spacing w:after="0" w:line="63" w:lineRule="exact"/>
        <w:rPr>
          <w:rFonts w:ascii="Arial" w:cs="Arial" w:eastAsia="Arial" w:hAnsi="Arial"/>
          <w:sz w:val="18"/>
          <w:szCs w:val="18"/>
          <w:color w:val="auto"/>
        </w:rPr>
      </w:pPr>
    </w:p>
    <w:p>
      <w:pPr>
        <w:ind w:left="660" w:hanging="328"/>
        <w:spacing w:after="0"/>
        <w:tabs>
          <w:tab w:leader="none" w:pos="6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significant changes in the manner of our use of the acquired assets or the strategy for our overall business;</w:t>
      </w:r>
    </w:p>
    <w:p>
      <w:pPr>
        <w:spacing w:after="0" w:line="63" w:lineRule="exact"/>
        <w:rPr>
          <w:rFonts w:ascii="Arial" w:cs="Arial" w:eastAsia="Arial" w:hAnsi="Arial"/>
          <w:sz w:val="18"/>
          <w:szCs w:val="18"/>
          <w:color w:val="auto"/>
        </w:rPr>
      </w:pPr>
    </w:p>
    <w:p>
      <w:pPr>
        <w:ind w:left="660" w:hanging="328"/>
        <w:spacing w:after="0"/>
        <w:tabs>
          <w:tab w:leader="none" w:pos="6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significant negative industry or economic trends;</w:t>
      </w:r>
    </w:p>
    <w:p>
      <w:pPr>
        <w:spacing w:after="0" w:line="63" w:lineRule="exact"/>
        <w:rPr>
          <w:rFonts w:ascii="Arial" w:cs="Arial" w:eastAsia="Arial" w:hAnsi="Arial"/>
          <w:sz w:val="18"/>
          <w:szCs w:val="18"/>
          <w:color w:val="auto"/>
        </w:rPr>
      </w:pPr>
    </w:p>
    <w:p>
      <w:pPr>
        <w:ind w:left="660" w:hanging="328"/>
        <w:spacing w:after="0"/>
        <w:tabs>
          <w:tab w:leader="none" w:pos="6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 significant decline in our stock price for a sustained period; and</w:t>
      </w:r>
    </w:p>
    <w:p>
      <w:pPr>
        <w:spacing w:after="0" w:line="63" w:lineRule="exact"/>
        <w:rPr>
          <w:rFonts w:ascii="Arial" w:cs="Arial" w:eastAsia="Arial" w:hAnsi="Arial"/>
          <w:sz w:val="18"/>
          <w:szCs w:val="18"/>
          <w:color w:val="auto"/>
        </w:rPr>
      </w:pPr>
    </w:p>
    <w:p>
      <w:pPr>
        <w:ind w:left="660" w:hanging="328"/>
        <w:spacing w:after="0"/>
        <w:tabs>
          <w:tab w:leader="none" w:pos="6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 significant change in our market capitalization relative to our net book value.</w:t>
      </w:r>
    </w:p>
    <w:p>
      <w:pPr>
        <w:spacing w:after="0" w:line="117" w:lineRule="exact"/>
        <w:rPr>
          <w:sz w:val="20"/>
          <w:szCs w:val="20"/>
          <w:color w:val="auto"/>
        </w:rPr>
      </w:pPr>
    </w:p>
    <w:p>
      <w:pPr>
        <w:ind w:firstLine="445"/>
        <w:spacing w:after="0" w:line="257" w:lineRule="auto"/>
        <w:rPr>
          <w:sz w:val="20"/>
          <w:szCs w:val="20"/>
          <w:color w:val="auto"/>
        </w:rPr>
      </w:pPr>
      <w:r>
        <w:rPr>
          <w:rFonts w:ascii="Arial" w:cs="Arial" w:eastAsia="Arial" w:hAnsi="Arial"/>
          <w:sz w:val="18"/>
          <w:szCs w:val="18"/>
          <w:color w:val="auto"/>
        </w:rPr>
        <w:t>If we assess qualitative factors and conclude that it is more likely than not that the fair value of a reporting unit is less than its carrying amount, or if we determine not to use qualitative assessment, then a quantitative impairment test is performed. The quantitative impairment test requires comparing the fair value of the reporting unit to its carrying value, including goodwill. An impairment exists if the fair value of the reporting unit is lower than its carrying value. We would record an impairment loss in the fiscal quarter in which an impairment determination is made. Determining the fair value of a reporting unit involves the use of significant estimates and assumptions.</w:t>
      </w:r>
    </w:p>
    <w:p>
      <w:pPr>
        <w:spacing w:after="0" w:line="80" w:lineRule="exact"/>
        <w:rPr>
          <w:sz w:val="20"/>
          <w:szCs w:val="20"/>
          <w:color w:val="auto"/>
        </w:rPr>
      </w:pPr>
    </w:p>
    <w:p>
      <w:pPr>
        <w:ind w:right="180" w:firstLine="445"/>
        <w:spacing w:after="0" w:line="277" w:lineRule="auto"/>
        <w:rPr>
          <w:sz w:val="20"/>
          <w:szCs w:val="20"/>
          <w:color w:val="auto"/>
        </w:rPr>
      </w:pPr>
      <w:r>
        <w:rPr>
          <w:rFonts w:ascii="Arial" w:cs="Arial" w:eastAsia="Arial" w:hAnsi="Arial"/>
          <w:sz w:val="18"/>
          <w:szCs w:val="18"/>
          <w:color w:val="auto"/>
        </w:rPr>
        <w:t>As of the last day of the fourth quarter of fiscal 2020, we performed our annual impairment assessment for testing goodwill. A step one assessment was performed. Based on our assessment, we determined there was no goodwill impairment.</w:t>
      </w:r>
    </w:p>
    <w:p>
      <w:pPr>
        <w:spacing w:after="0" w:line="62" w:lineRule="exact"/>
        <w:rPr>
          <w:sz w:val="20"/>
          <w:szCs w:val="20"/>
          <w:color w:val="auto"/>
        </w:rPr>
      </w:pPr>
    </w:p>
    <w:p>
      <w:pPr>
        <w:ind w:firstLine="445"/>
        <w:spacing w:after="0" w:line="269" w:lineRule="auto"/>
        <w:rPr>
          <w:sz w:val="20"/>
          <w:szCs w:val="20"/>
          <w:color w:val="auto"/>
        </w:rPr>
      </w:pPr>
      <w:r>
        <w:rPr>
          <w:rFonts w:ascii="Arial" w:cs="Arial" w:eastAsia="Arial" w:hAnsi="Arial"/>
          <w:sz w:val="17"/>
          <w:szCs w:val="17"/>
          <w:i w:val="1"/>
          <w:iCs w:val="1"/>
          <w:color w:val="auto"/>
        </w:rPr>
        <w:t xml:space="preserve">Business Combinations. </w:t>
      </w:r>
      <w:r>
        <w:rPr>
          <w:rFonts w:ascii="Arial" w:cs="Arial" w:eastAsia="Arial" w:hAnsi="Arial"/>
          <w:sz w:val="17"/>
          <w:szCs w:val="17"/>
          <w:color w:val="auto"/>
        </w:rPr>
        <w:t>We allocate the fair value of the purchase consideration of a business acquisition to the tangible assets, liabilities, and</w:t>
      </w:r>
      <w:r>
        <w:rPr>
          <w:rFonts w:ascii="Arial" w:cs="Arial" w:eastAsia="Arial" w:hAnsi="Arial"/>
          <w:sz w:val="17"/>
          <w:szCs w:val="17"/>
          <w:i w:val="1"/>
          <w:iCs w:val="1"/>
          <w:color w:val="auto"/>
        </w:rPr>
        <w:t xml:space="preserve"> </w:t>
      </w:r>
      <w:r>
        <w:rPr>
          <w:rFonts w:ascii="Arial" w:cs="Arial" w:eastAsia="Arial" w:hAnsi="Arial"/>
          <w:sz w:val="17"/>
          <w:szCs w:val="17"/>
          <w:color w:val="auto"/>
        </w:rPr>
        <w:t>intangible assets acquired, including in-process research and development (“IPR&amp;D”), based on their estimated fair values. The excess of the fair value of purchase consideration over the fair values of these identifiable assets and liabilities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Our valuation of acquired assets and assumed liabilities requires significant estimates, especially with respect to intangible assets. The valuation of intangible assets, in particular, requires that we use valuation techniques such as the income approach. The income approach includes the use of a discounted cash flow model, which includes discounted cash flow scenarios and requires the following significant estimates: future expected revenue, expenses, capital expenditures and other costs, and discount rates. We estimate the fair value based upon assumptions we believe to be reasonable, but which are inherently uncertain and unpredictable and, as a result, actual results may differ from estimates. Estimates associated with the accounting for acquisitions may change as additional information becomes available regarding the assets acquired and liabilities assumed. Acquisition-related expenses and related restructuring costs are recognized separately from the business combination and are expensed as incurred.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94" w:right="359" w:bottom="1440" w:gutter="0" w:footer="0" w:header="0"/>
        </w:sectPr>
      </w:pPr>
    </w:p>
    <w:bookmarkStart w:id="41" w:name="page42"/>
    <w:bookmarkEnd w:id="41"/>
    <w:p>
      <w:pPr>
        <w:spacing w:after="0"/>
        <w:rPr>
          <w:sz w:val="20"/>
          <w:szCs w:val="20"/>
          <w:color w:val="auto"/>
        </w:rPr>
      </w:pPr>
      <w:r>
        <w:rPr>
          <w:rFonts w:ascii="Arial" w:cs="Arial" w:eastAsia="Arial" w:hAnsi="Arial"/>
          <w:sz w:val="18"/>
          <w:szCs w:val="18"/>
          <w:b w:val="1"/>
          <w:bCs w:val="1"/>
          <w:color w:val="auto"/>
        </w:rPr>
        <w:t>Results of Operations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Years Ended February 1, 2020 and February 2, 2019</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7"/>
          <w:szCs w:val="17"/>
          <w:color w:val="auto"/>
        </w:rPr>
        <w:t>The following table sets forth information derived from our consolidated statements of operations expressed as a percentage of net revenue:</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6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40" w:type="dxa"/>
            <w:vAlign w:val="bottom"/>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gridSpan w:val="4"/>
          </w:tcPr>
          <w:p>
            <w:pPr>
              <w:ind w:left="820"/>
              <w:spacing w:after="0"/>
              <w:rPr>
                <w:sz w:val="20"/>
                <w:szCs w:val="20"/>
                <w:color w:val="auto"/>
              </w:rPr>
            </w:pPr>
            <w:r>
              <w:rPr>
                <w:rFonts w:ascii="Arial" w:cs="Arial" w:eastAsia="Arial" w:hAnsi="Arial"/>
                <w:sz w:val="14"/>
                <w:szCs w:val="14"/>
                <w:b w:val="1"/>
                <w:bCs w:val="1"/>
                <w:color w:val="auto"/>
                <w:w w:val="96"/>
              </w:rPr>
              <w:t>Year Ended</w:t>
            </w:r>
          </w:p>
        </w:tc>
        <w:tc>
          <w:tcPr>
            <w:tcW w:w="96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6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940" w:type="dxa"/>
            <w:vAlign w:val="bottom"/>
          </w:tcPr>
          <w:p>
            <w:pPr>
              <w:jc w:val="right"/>
              <w:ind w:right="115"/>
              <w:spacing w:after="0" w:line="153" w:lineRule="exact"/>
              <w:rPr>
                <w:sz w:val="20"/>
                <w:szCs w:val="20"/>
                <w:color w:val="auto"/>
              </w:rPr>
            </w:pPr>
            <w:r>
              <w:rPr>
                <w:rFonts w:ascii="Arial" w:cs="Arial" w:eastAsia="Arial" w:hAnsi="Arial"/>
                <w:sz w:val="14"/>
                <w:szCs w:val="14"/>
                <w:b w:val="1"/>
                <w:bCs w:val="1"/>
                <w:color w:val="auto"/>
                <w:w w:val="95"/>
              </w:rPr>
              <w:t>February 1,</w:t>
            </w:r>
          </w:p>
        </w:tc>
        <w:tc>
          <w:tcPr>
            <w:tcW w:w="1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960" w:type="dxa"/>
            <w:vAlign w:val="bottom"/>
          </w:tcPr>
          <w:p>
            <w:pPr>
              <w:jc w:val="center"/>
              <w:ind w:right="94"/>
              <w:spacing w:after="0" w:line="153" w:lineRule="exact"/>
              <w:rPr>
                <w:sz w:val="20"/>
                <w:szCs w:val="20"/>
                <w:color w:val="auto"/>
              </w:rPr>
            </w:pPr>
            <w:r>
              <w:rPr>
                <w:rFonts w:ascii="Arial" w:cs="Arial" w:eastAsia="Arial" w:hAnsi="Arial"/>
                <w:sz w:val="14"/>
                <w:szCs w:val="14"/>
                <w:b w:val="1"/>
                <w:bCs w:val="1"/>
                <w:color w:val="auto"/>
                <w:w w:val="97"/>
              </w:rPr>
              <w:t>February 2,</w:t>
            </w:r>
          </w:p>
        </w:tc>
        <w:tc>
          <w:tcPr>
            <w:tcW w:w="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2"/>
        </w:trPr>
        <w:tc>
          <w:tcPr>
            <w:tcW w:w="6660" w:type="dxa"/>
            <w:vAlign w:val="bottom"/>
            <w:tcBorders>
              <w:bottom w:val="single" w:sz="8" w:color="CCEEFF"/>
            </w:tcBorders>
          </w:tcPr>
          <w:p>
            <w:pPr>
              <w:spacing w:after="0"/>
              <w:rPr>
                <w:sz w:val="16"/>
                <w:szCs w:val="16"/>
                <w:color w:val="auto"/>
              </w:rPr>
            </w:pPr>
          </w:p>
        </w:tc>
        <w:tc>
          <w:tcPr>
            <w:tcW w:w="240" w:type="dxa"/>
            <w:vAlign w:val="bottom"/>
            <w:tcBorders>
              <w:bottom w:val="single" w:sz="8" w:color="CCEEFF"/>
            </w:tcBorders>
          </w:tcPr>
          <w:p>
            <w:pPr>
              <w:spacing w:after="0"/>
              <w:rPr>
                <w:sz w:val="16"/>
                <w:szCs w:val="16"/>
                <w:color w:val="auto"/>
              </w:rPr>
            </w:pPr>
          </w:p>
        </w:tc>
        <w:tc>
          <w:tcPr>
            <w:tcW w:w="1240" w:type="dxa"/>
            <w:vAlign w:val="bottom"/>
            <w:tcBorders>
              <w:bottom w:val="single" w:sz="8" w:color="CCEEFF"/>
            </w:tcBorders>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right"/>
              <w:ind w:right="335"/>
              <w:spacing w:after="0"/>
              <w:rPr>
                <w:sz w:val="20"/>
                <w:szCs w:val="20"/>
                <w:color w:val="auto"/>
              </w:rPr>
            </w:pPr>
            <w:r>
              <w:rPr>
                <w:rFonts w:ascii="Arial" w:cs="Arial" w:eastAsia="Arial" w:hAnsi="Arial"/>
                <w:sz w:val="14"/>
                <w:szCs w:val="14"/>
                <w:b w:val="1"/>
                <w:bCs w:val="1"/>
                <w:color w:val="auto"/>
              </w:rPr>
              <w:t>2020</w:t>
            </w:r>
          </w:p>
        </w:tc>
        <w:tc>
          <w:tcPr>
            <w:tcW w:w="18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6"/>
              </w:rPr>
              <w:t>2019</w:t>
            </w:r>
          </w:p>
        </w:tc>
        <w:tc>
          <w:tcPr>
            <w:tcW w:w="1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249"/>
        </w:trPr>
        <w:tc>
          <w:tcPr>
            <w:tcW w:w="6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43"/>
        </w:trPr>
        <w:tc>
          <w:tcPr>
            <w:tcW w:w="6660" w:type="dxa"/>
            <w:vAlign w:val="bottom"/>
          </w:tcPr>
          <w:p>
            <w:pPr>
              <w:ind w:left="20"/>
              <w:spacing w:after="0"/>
              <w:rPr>
                <w:sz w:val="20"/>
                <w:szCs w:val="20"/>
                <w:color w:val="auto"/>
              </w:rPr>
            </w:pPr>
            <w:r>
              <w:rPr>
                <w:rFonts w:ascii="Arial" w:cs="Arial" w:eastAsia="Arial" w:hAnsi="Arial"/>
                <w:sz w:val="18"/>
                <w:szCs w:val="18"/>
                <w:color w:val="auto"/>
              </w:rPr>
              <w:t>Cost of goods sold</w:t>
            </w: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49.7</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49.1</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66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124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6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50.3</w:t>
            </w:r>
          </w:p>
        </w:tc>
        <w:tc>
          <w:tcPr>
            <w:tcW w:w="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50.9</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66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6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3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6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40.0</w:t>
            </w:r>
          </w:p>
        </w:tc>
        <w:tc>
          <w:tcPr>
            <w:tcW w:w="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31.9</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660" w:type="dxa"/>
            <w:vAlign w:val="bottom"/>
          </w:tcPr>
          <w:p>
            <w:pPr>
              <w:ind w:left="34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17.3</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14.8</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6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3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6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Restructuring related charges</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spacing w:after="0"/>
              <w:rPr>
                <w:sz w:val="23"/>
                <w:szCs w:val="23"/>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w:t>
            </w:r>
          </w:p>
        </w:tc>
        <w:tc>
          <w:tcPr>
            <w:tcW w:w="18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36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w:t>
            </w:r>
          </w:p>
        </w:tc>
        <w:tc>
          <w:tcPr>
            <w:tcW w:w="180" w:type="dxa"/>
            <w:vAlign w:val="bottom"/>
            <w:tcBorders>
              <w:bottom w:val="single" w:sz="8" w:color="CCEEFF"/>
            </w:tcBorders>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37"/>
        </w:trPr>
        <w:tc>
          <w:tcPr>
            <w:tcW w:w="6660" w:type="dxa"/>
            <w:vAlign w:val="bottom"/>
          </w:tcPr>
          <w:p>
            <w:pPr>
              <w:ind w:left="660"/>
              <w:spacing w:after="0"/>
              <w:rPr>
                <w:sz w:val="20"/>
                <w:szCs w:val="20"/>
                <w:color w:val="auto"/>
              </w:rPr>
            </w:pPr>
            <w:r>
              <w:rPr>
                <w:rFonts w:ascii="Arial" w:cs="Arial" w:eastAsia="Arial" w:hAnsi="Arial"/>
                <w:sz w:val="18"/>
                <w:szCs w:val="18"/>
                <w:color w:val="auto"/>
              </w:rPr>
              <w:t>Total operating expenses</w:t>
            </w:r>
          </w:p>
        </w:tc>
        <w:tc>
          <w:tcPr>
            <w:tcW w:w="24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59.3</w:t>
            </w:r>
          </w:p>
        </w:tc>
        <w:tc>
          <w:tcPr>
            <w:tcW w:w="18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36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49.4</w:t>
            </w:r>
          </w:p>
        </w:tc>
        <w:tc>
          <w:tcPr>
            <w:tcW w:w="180" w:type="dxa"/>
            <w:vAlign w:val="bottom"/>
            <w:tcBorders>
              <w:top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666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124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6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Operating income (loss)</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(9.0)</w:t>
            </w:r>
          </w:p>
        </w:tc>
        <w:tc>
          <w:tcPr>
            <w:tcW w:w="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660" w:type="dxa"/>
            <w:vAlign w:val="bottom"/>
          </w:tcPr>
          <w:p>
            <w:pPr>
              <w:ind w:left="20"/>
              <w:spacing w:after="0"/>
              <w:rPr>
                <w:sz w:val="20"/>
                <w:szCs w:val="20"/>
                <w:color w:val="auto"/>
              </w:rPr>
            </w:pPr>
            <w:r>
              <w:rPr>
                <w:rFonts w:ascii="Arial" w:cs="Arial" w:eastAsia="Arial" w:hAnsi="Arial"/>
                <w:sz w:val="18"/>
                <w:szCs w:val="18"/>
                <w:color w:val="auto"/>
              </w:rPr>
              <w:t>Interest income</w:t>
            </w: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0.2</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0.4</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6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3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w:t>
            </w:r>
          </w:p>
        </w:tc>
        <w:tc>
          <w:tcPr>
            <w:tcW w:w="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660" w:type="dxa"/>
            <w:vAlign w:val="bottom"/>
          </w:tcPr>
          <w:p>
            <w:pPr>
              <w:ind w:left="20"/>
              <w:spacing w:after="0"/>
              <w:rPr>
                <w:sz w:val="20"/>
                <w:szCs w:val="20"/>
                <w:color w:val="auto"/>
              </w:rPr>
            </w:pPr>
            <w:r>
              <w:rPr>
                <w:rFonts w:ascii="Arial" w:cs="Arial" w:eastAsia="Arial" w:hAnsi="Arial"/>
                <w:sz w:val="18"/>
                <w:szCs w:val="18"/>
                <w:color w:val="auto"/>
              </w:rPr>
              <w:t>Other income, net</w:t>
            </w: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41.6</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66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124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6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Income (loss) before income taxes</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29.6</w:t>
            </w:r>
          </w:p>
        </w:tc>
        <w:tc>
          <w:tcPr>
            <w:tcW w:w="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660" w:type="dxa"/>
            <w:vAlign w:val="bottom"/>
          </w:tcPr>
          <w:p>
            <w:pPr>
              <w:ind w:left="20"/>
              <w:spacing w:after="0"/>
              <w:rPr>
                <w:sz w:val="20"/>
                <w:szCs w:val="20"/>
                <w:color w:val="auto"/>
              </w:rPr>
            </w:pPr>
            <w:r>
              <w:rPr>
                <w:rFonts w:ascii="Arial" w:cs="Arial" w:eastAsia="Arial" w:hAnsi="Arial"/>
                <w:sz w:val="18"/>
                <w:szCs w:val="18"/>
                <w:color w:val="auto"/>
              </w:rPr>
              <w:t>Provision (benefit) for income taxes</w:t>
            </w: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(29.0)</w:t>
            </w: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6.0</w:t>
            </w:r>
          </w:p>
        </w:tc>
        <w:tc>
          <w:tcPr>
            <w:tcW w:w="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66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124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gridSpan w:val="2"/>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6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Income (loss), net of tax</w:t>
            </w:r>
          </w:p>
        </w:tc>
        <w:tc>
          <w:tcPr>
            <w:tcW w:w="240" w:type="dxa"/>
            <w:vAlign w:val="bottom"/>
            <w:tcBorders>
              <w:bottom w:val="single" w:sz="8" w:color="CCEEFF"/>
            </w:tcBorders>
            <w:shd w:val="clear" w:color="auto" w:fill="CCEEFF"/>
          </w:tcPr>
          <w:p>
            <w:pPr>
              <w:spacing w:after="0"/>
              <w:rPr>
                <w:sz w:val="24"/>
                <w:szCs w:val="24"/>
                <w:color w:val="auto"/>
              </w:rPr>
            </w:pPr>
          </w:p>
        </w:tc>
        <w:tc>
          <w:tcPr>
            <w:tcW w:w="1240" w:type="dxa"/>
            <w:vAlign w:val="bottom"/>
            <w:tcBorders>
              <w:bottom w:val="single" w:sz="8" w:color="CCEEFF"/>
            </w:tcBorders>
            <w:shd w:val="clear" w:color="auto" w:fill="CCEEFF"/>
          </w:tcPr>
          <w:p>
            <w:pPr>
              <w:spacing w:after="0"/>
              <w:rPr>
                <w:sz w:val="24"/>
                <w:szCs w:val="24"/>
                <w:color w:val="auto"/>
              </w:rPr>
            </w:pPr>
          </w:p>
        </w:tc>
        <w:tc>
          <w:tcPr>
            <w:tcW w:w="380" w:type="dxa"/>
            <w:vAlign w:val="bottom"/>
            <w:tcBorders>
              <w:bottom w:val="single" w:sz="8" w:color="CCEEFF"/>
            </w:tcBorders>
            <w:shd w:val="clear" w:color="auto" w:fill="CCEEFF"/>
          </w:tcPr>
          <w:p>
            <w:pPr>
              <w:spacing w:after="0"/>
              <w:rPr>
                <w:sz w:val="24"/>
                <w:szCs w:val="24"/>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58.6</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00" w:type="dxa"/>
            <w:vAlign w:val="bottom"/>
            <w:tcBorders>
              <w:bottom w:val="single" w:sz="8" w:color="CCEEFF"/>
            </w:tcBorders>
            <w:shd w:val="clear" w:color="auto" w:fill="CCEEFF"/>
          </w:tcPr>
          <w:p>
            <w:pPr>
              <w:spacing w:after="0"/>
              <w:rPr>
                <w:sz w:val="24"/>
                <w:szCs w:val="24"/>
                <w:color w:val="auto"/>
              </w:rPr>
            </w:pPr>
          </w:p>
        </w:tc>
        <w:tc>
          <w:tcPr>
            <w:tcW w:w="360" w:type="dxa"/>
            <w:vAlign w:val="bottom"/>
            <w:tcBorders>
              <w:bottom w:val="single" w:sz="8" w:color="CCEEFF"/>
            </w:tcBorders>
            <w:shd w:val="clear" w:color="auto" w:fill="CCEEFF"/>
          </w:tcPr>
          <w:p>
            <w:pPr>
              <w:spacing w:after="0"/>
              <w:rPr>
                <w:sz w:val="24"/>
                <w:szCs w:val="24"/>
                <w:color w:val="auto"/>
              </w:rPr>
            </w:pPr>
          </w:p>
        </w:tc>
        <w:tc>
          <w:tcPr>
            <w:tcW w:w="11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0"/>
        </w:trPr>
        <w:tc>
          <w:tcPr>
            <w:tcW w:w="6660" w:type="dxa"/>
            <w:vAlign w:val="bottom"/>
            <w:tcBorders>
              <w:top w:val="single" w:sz="8" w:color="CCEEFF"/>
              <w:bottom w:val="single" w:sz="8" w:color="CCEEFF"/>
            </w:tcBorders>
            <w:vMerge w:val="restart"/>
          </w:tcPr>
          <w:p>
            <w:pPr>
              <w:ind w:left="460"/>
              <w:spacing w:after="0"/>
              <w:rPr>
                <w:sz w:val="20"/>
                <w:szCs w:val="20"/>
                <w:color w:val="auto"/>
              </w:rPr>
            </w:pPr>
            <w:r>
              <w:rPr>
                <w:rFonts w:ascii="Arial" w:cs="Arial" w:eastAsia="Arial" w:hAnsi="Arial"/>
                <w:sz w:val="18"/>
                <w:szCs w:val="18"/>
                <w:i w:val="1"/>
                <w:iCs w:val="1"/>
                <w:color w:val="auto"/>
              </w:rPr>
              <w:t>Net Revenue</w:t>
            </w:r>
          </w:p>
        </w:tc>
        <w:tc>
          <w:tcPr>
            <w:tcW w:w="240" w:type="dxa"/>
            <w:vAlign w:val="bottom"/>
            <w:tcBorders>
              <w:top w:val="single" w:sz="8" w:color="CCEEFF"/>
            </w:tcBorders>
          </w:tcPr>
          <w:p>
            <w:pPr>
              <w:spacing w:after="0" w:line="20" w:lineRule="exact"/>
              <w:rPr>
                <w:sz w:val="1"/>
                <w:szCs w:val="1"/>
                <w:color w:val="auto"/>
              </w:rPr>
            </w:pPr>
          </w:p>
        </w:tc>
        <w:tc>
          <w:tcPr>
            <w:tcW w:w="124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49"/>
        </w:trPr>
        <w:tc>
          <w:tcPr>
            <w:tcW w:w="6660" w:type="dxa"/>
            <w:vAlign w:val="bottom"/>
            <w:vMerge w:val="continue"/>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6660" w:type="dxa"/>
            <w:vAlign w:val="bottom"/>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620" w:type="dxa"/>
            <w:vAlign w:val="bottom"/>
            <w:tcBorders>
              <w:bottom w:val="single" w:sz="8" w:color="auto"/>
            </w:tcBorders>
            <w:gridSpan w:val="2"/>
          </w:tcPr>
          <w:p>
            <w:pPr>
              <w:ind w:left="880"/>
              <w:spacing w:after="0"/>
              <w:rPr>
                <w:sz w:val="20"/>
                <w:szCs w:val="20"/>
                <w:color w:val="auto"/>
              </w:rPr>
            </w:pPr>
            <w:r>
              <w:rPr>
                <w:rFonts w:ascii="Arial" w:cs="Arial" w:eastAsia="Arial" w:hAnsi="Arial"/>
                <w:sz w:val="14"/>
                <w:szCs w:val="14"/>
                <w:b w:val="1"/>
                <w:bCs w:val="1"/>
                <w:color w:val="auto"/>
                <w:w w:val="93"/>
              </w:rPr>
              <w:t>Year Ended</w:t>
            </w:r>
          </w:p>
        </w:tc>
        <w:tc>
          <w:tcPr>
            <w:tcW w:w="94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3"/>
        </w:trPr>
        <w:tc>
          <w:tcPr>
            <w:tcW w:w="66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40" w:type="dxa"/>
            <w:vAlign w:val="bottom"/>
          </w:tcPr>
          <w:p>
            <w:pPr>
              <w:ind w:left="120"/>
              <w:spacing w:after="0" w:line="153" w:lineRule="exact"/>
              <w:rPr>
                <w:sz w:val="20"/>
                <w:szCs w:val="20"/>
                <w:color w:val="auto"/>
              </w:rPr>
            </w:pPr>
            <w:r>
              <w:rPr>
                <w:rFonts w:ascii="Arial" w:cs="Arial" w:eastAsia="Arial" w:hAnsi="Arial"/>
                <w:sz w:val="14"/>
                <w:szCs w:val="14"/>
                <w:b w:val="1"/>
                <w:bCs w:val="1"/>
                <w:color w:val="auto"/>
              </w:rPr>
              <w:t>February 1,</w:t>
            </w:r>
          </w:p>
        </w:tc>
        <w:tc>
          <w:tcPr>
            <w:tcW w:w="380" w:type="dxa"/>
            <w:vAlign w:val="bottom"/>
          </w:tcPr>
          <w:p>
            <w:pPr>
              <w:spacing w:after="0"/>
              <w:rPr>
                <w:sz w:val="13"/>
                <w:szCs w:val="13"/>
                <w:color w:val="auto"/>
              </w:rPr>
            </w:pPr>
          </w:p>
        </w:tc>
        <w:tc>
          <w:tcPr>
            <w:tcW w:w="940" w:type="dxa"/>
            <w:vAlign w:val="bottom"/>
          </w:tcPr>
          <w:p>
            <w:pPr>
              <w:jc w:val="right"/>
              <w:ind w:right="95"/>
              <w:spacing w:after="0" w:line="153" w:lineRule="exact"/>
              <w:rPr>
                <w:sz w:val="20"/>
                <w:szCs w:val="20"/>
                <w:color w:val="auto"/>
              </w:rPr>
            </w:pPr>
            <w:r>
              <w:rPr>
                <w:rFonts w:ascii="Arial" w:cs="Arial" w:eastAsia="Arial" w:hAnsi="Arial"/>
                <w:sz w:val="14"/>
                <w:szCs w:val="14"/>
                <w:b w:val="1"/>
                <w:bCs w:val="1"/>
                <w:color w:val="auto"/>
                <w:w w:val="97"/>
              </w:rPr>
              <w:t>February 2,</w:t>
            </w:r>
          </w:p>
        </w:tc>
        <w:tc>
          <w:tcPr>
            <w:tcW w:w="1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960" w:type="dxa"/>
            <w:vAlign w:val="bottom"/>
          </w:tcPr>
          <w:p>
            <w:pPr>
              <w:jc w:val="center"/>
              <w:ind w:right="94"/>
              <w:spacing w:after="0" w:line="153" w:lineRule="exact"/>
              <w:rPr>
                <w:sz w:val="20"/>
                <w:szCs w:val="20"/>
                <w:color w:val="auto"/>
              </w:rPr>
            </w:pPr>
            <w:r>
              <w:rPr>
                <w:rFonts w:ascii="Arial" w:cs="Arial" w:eastAsia="Arial" w:hAnsi="Arial"/>
                <w:sz w:val="14"/>
                <w:szCs w:val="14"/>
                <w:b w:val="1"/>
                <w:bCs w:val="1"/>
                <w:color w:val="auto"/>
                <w:w w:val="97"/>
              </w:rPr>
              <w:t>% Change</w:t>
            </w:r>
          </w:p>
        </w:tc>
        <w:tc>
          <w:tcPr>
            <w:tcW w:w="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2"/>
        </w:trPr>
        <w:tc>
          <w:tcPr>
            <w:tcW w:w="66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ind w:left="340"/>
              <w:spacing w:after="0"/>
              <w:rPr>
                <w:sz w:val="20"/>
                <w:szCs w:val="20"/>
                <w:color w:val="auto"/>
              </w:rPr>
            </w:pPr>
            <w:r>
              <w:rPr>
                <w:rFonts w:ascii="Arial" w:cs="Arial" w:eastAsia="Arial" w:hAnsi="Arial"/>
                <w:sz w:val="14"/>
                <w:szCs w:val="14"/>
                <w:b w:val="1"/>
                <w:bCs w:val="1"/>
                <w:color w:val="auto"/>
              </w:rPr>
              <w:t>2020</w:t>
            </w:r>
          </w:p>
        </w:tc>
        <w:tc>
          <w:tcPr>
            <w:tcW w:w="38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right"/>
              <w:ind w:right="315"/>
              <w:spacing w:after="0"/>
              <w:rPr>
                <w:sz w:val="20"/>
                <w:szCs w:val="20"/>
                <w:color w:val="auto"/>
              </w:rPr>
            </w:pPr>
            <w:r>
              <w:rPr>
                <w:rFonts w:ascii="Arial" w:cs="Arial" w:eastAsia="Arial" w:hAnsi="Arial"/>
                <w:sz w:val="14"/>
                <w:szCs w:val="14"/>
                <w:b w:val="1"/>
                <w:bCs w:val="1"/>
                <w:color w:val="auto"/>
              </w:rPr>
              <w:t>2019</w:t>
            </w:r>
          </w:p>
        </w:tc>
        <w:tc>
          <w:tcPr>
            <w:tcW w:w="1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6"/>
              </w:rPr>
              <w:t>in 2020</w:t>
            </w:r>
          </w:p>
        </w:tc>
        <w:tc>
          <w:tcPr>
            <w:tcW w:w="1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96"/>
        </w:trPr>
        <w:tc>
          <w:tcPr>
            <w:tcW w:w="66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3200" w:type="dxa"/>
            <w:vAlign w:val="bottom"/>
            <w:gridSpan w:val="6"/>
          </w:tcPr>
          <w:p>
            <w:pPr>
              <w:ind w:left="1040"/>
              <w:spacing w:after="0"/>
              <w:rPr>
                <w:sz w:val="20"/>
                <w:szCs w:val="20"/>
                <w:color w:val="auto"/>
              </w:rPr>
            </w:pPr>
            <w:r>
              <w:rPr>
                <w:rFonts w:ascii="Arial" w:cs="Arial" w:eastAsia="Arial" w:hAnsi="Arial"/>
                <w:sz w:val="14"/>
                <w:szCs w:val="14"/>
                <w:b w:val="1"/>
                <w:bCs w:val="1"/>
                <w:color w:val="auto"/>
                <w:w w:val="94"/>
              </w:rPr>
              <w:t>(in thousands, except percentage)</w:t>
            </w:r>
          </w:p>
        </w:tc>
        <w:tc>
          <w:tcPr>
            <w:tcW w:w="9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666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ind w:left="320"/>
              <w:spacing w:after="0"/>
              <w:rPr>
                <w:sz w:val="20"/>
                <w:szCs w:val="20"/>
                <w:color w:val="auto"/>
              </w:rPr>
            </w:pPr>
            <w:r>
              <w:rPr>
                <w:rFonts w:ascii="Arial" w:cs="Arial" w:eastAsia="Arial" w:hAnsi="Arial"/>
                <w:sz w:val="18"/>
                <w:szCs w:val="18"/>
                <w:color w:val="auto"/>
              </w:rPr>
              <w:t>2,699,161</w:t>
            </w:r>
          </w:p>
        </w:tc>
        <w:tc>
          <w:tcPr>
            <w:tcW w:w="38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2,865,791</w:t>
            </w:r>
          </w:p>
        </w:tc>
        <w:tc>
          <w:tcPr>
            <w:tcW w:w="100" w:type="dxa"/>
            <w:vAlign w:val="bottom"/>
            <w:shd w:val="clear" w:color="auto" w:fill="CCEEFF"/>
          </w:tcPr>
          <w:p>
            <w:pPr>
              <w:spacing w:after="0"/>
              <w:rPr>
                <w:sz w:val="21"/>
                <w:szCs w:val="21"/>
                <w:color w:val="auto"/>
              </w:rPr>
            </w:pPr>
          </w:p>
        </w:tc>
        <w:tc>
          <w:tcPr>
            <w:tcW w:w="360" w:type="dxa"/>
            <w:vAlign w:val="bottom"/>
            <w:shd w:val="clear" w:color="auto" w:fill="CCEEFF"/>
          </w:tcPr>
          <w:p>
            <w:pPr>
              <w:spacing w:after="0"/>
              <w:rPr>
                <w:sz w:val="21"/>
                <w:szCs w:val="21"/>
                <w:color w:val="auto"/>
              </w:rPr>
            </w:pP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7"/>
        </w:trPr>
        <w:tc>
          <w:tcPr>
            <w:tcW w:w="666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240" w:type="dxa"/>
            <w:vAlign w:val="bottom"/>
            <w:shd w:val="clear" w:color="auto" w:fill="CCEEFF"/>
          </w:tcPr>
          <w:p>
            <w:pPr>
              <w:spacing w:after="0"/>
              <w:rPr>
                <w:sz w:val="2"/>
                <w:szCs w:val="2"/>
                <w:color w:val="auto"/>
              </w:rPr>
            </w:pPr>
          </w:p>
        </w:tc>
        <w:tc>
          <w:tcPr>
            <w:tcW w:w="380" w:type="dxa"/>
            <w:vAlign w:val="bottom"/>
            <w:shd w:val="clear" w:color="auto" w:fill="CCEEFF"/>
          </w:tcPr>
          <w:p>
            <w:pPr>
              <w:spacing w:after="0"/>
              <w:rPr>
                <w:sz w:val="2"/>
                <w:szCs w:val="2"/>
                <w:color w:val="auto"/>
              </w:rPr>
            </w:pPr>
          </w:p>
        </w:tc>
        <w:tc>
          <w:tcPr>
            <w:tcW w:w="94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360" w:type="dxa"/>
            <w:vAlign w:val="bottom"/>
            <w:shd w:val="clear" w:color="auto" w:fill="CCEEFF"/>
          </w:tcPr>
          <w:p>
            <w:pPr>
              <w:spacing w:after="0"/>
              <w:rPr>
                <w:sz w:val="2"/>
                <w:szCs w:val="2"/>
                <w:color w:val="auto"/>
              </w:rPr>
            </w:pPr>
          </w:p>
        </w:tc>
        <w:tc>
          <w:tcPr>
            <w:tcW w:w="96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337" w:lineRule="exact"/>
        <w:rPr>
          <w:sz w:val="20"/>
          <w:szCs w:val="20"/>
          <w:color w:val="auto"/>
        </w:rPr>
      </w:pPr>
    </w:p>
    <w:p>
      <w:pPr>
        <w:ind w:right="320" w:firstLine="405"/>
        <w:spacing w:after="0" w:line="342" w:lineRule="auto"/>
        <w:rPr>
          <w:sz w:val="20"/>
          <w:szCs w:val="20"/>
          <w:color w:val="auto"/>
        </w:rPr>
      </w:pPr>
      <w:r>
        <w:rPr>
          <w:rFonts w:ascii="Arial" w:cs="Arial" w:eastAsia="Arial" w:hAnsi="Arial"/>
          <w:sz w:val="16"/>
          <w:szCs w:val="16"/>
          <w:color w:val="auto"/>
        </w:rPr>
        <w:t>At the beginning of fiscal 2019, we adopted the new revenue recognition standard using the modified retrospective method. Refer to “Note 8 - Revenue” in the Notes to the Consolidated Financial Statements set forth in Part II, Item 8 of this Annual Report on Form 10-K for further information.</w:t>
      </w:r>
    </w:p>
    <w:p>
      <w:pPr>
        <w:spacing w:after="0" w:line="151" w:lineRule="exact"/>
        <w:rPr>
          <w:sz w:val="20"/>
          <w:szCs w:val="20"/>
          <w:color w:val="auto"/>
        </w:rPr>
      </w:pPr>
    </w:p>
    <w:p>
      <w:pPr>
        <w:jc w:val="both"/>
        <w:ind w:right="480" w:firstLine="405"/>
        <w:spacing w:after="0" w:line="259" w:lineRule="auto"/>
        <w:rPr>
          <w:sz w:val="20"/>
          <w:szCs w:val="20"/>
          <w:color w:val="auto"/>
        </w:rPr>
      </w:pPr>
      <w:r>
        <w:rPr>
          <w:rFonts w:ascii="Arial" w:cs="Arial" w:eastAsia="Arial" w:hAnsi="Arial"/>
          <w:sz w:val="18"/>
          <w:szCs w:val="18"/>
          <w:color w:val="auto"/>
        </w:rPr>
        <w:t>Our net revenue for fiscal 2020 decreased by $166.6 million compared to net revenue for fiscal 2019. This decrease was primarily due to a 17% decrease in sales of our storage products, partially offset by a 5% increase in sales of our networking products and a 5% increase in sales of our other products. Average selling prices increased 11% compared to fiscal 2019, and unit shipments were 19% lower compared to fiscal 2019, for an overall decrease in net revenue of 6%.</w:t>
      </w:r>
    </w:p>
    <w:p>
      <w:pPr>
        <w:spacing w:after="0" w:line="200" w:lineRule="exact"/>
        <w:rPr>
          <w:sz w:val="20"/>
          <w:szCs w:val="20"/>
          <w:color w:val="auto"/>
        </w:rPr>
      </w:pPr>
    </w:p>
    <w:p>
      <w:pPr>
        <w:spacing w:after="0" w:line="23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 and Gross Profit</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7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94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600" w:type="dxa"/>
            <w:vAlign w:val="bottom"/>
          </w:tcPr>
          <w:p>
            <w:pPr>
              <w:spacing w:after="0"/>
              <w:rPr>
                <w:sz w:val="16"/>
                <w:szCs w:val="16"/>
                <w:color w:val="auto"/>
              </w:rPr>
            </w:pPr>
          </w:p>
        </w:tc>
      </w:tr>
      <w:tr>
        <w:trPr>
          <w:trHeight w:val="153"/>
        </w:trPr>
        <w:tc>
          <w:tcPr>
            <w:tcW w:w="65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040" w:type="dxa"/>
            <w:vAlign w:val="bottom"/>
          </w:tcPr>
          <w:p>
            <w:pPr>
              <w:jc w:val="right"/>
              <w:ind w:right="78"/>
              <w:spacing w:after="0" w:line="153" w:lineRule="exact"/>
              <w:rPr>
                <w:sz w:val="20"/>
                <w:szCs w:val="20"/>
                <w:color w:val="auto"/>
              </w:rPr>
            </w:pPr>
            <w:r>
              <w:rPr>
                <w:rFonts w:ascii="Arial" w:cs="Arial" w:eastAsia="Arial" w:hAnsi="Arial"/>
                <w:sz w:val="14"/>
                <w:szCs w:val="14"/>
                <w:b w:val="1"/>
                <w:bCs w:val="1"/>
                <w:color w:val="auto"/>
              </w:rPr>
              <w:t>February 1,</w:t>
            </w:r>
          </w:p>
        </w:tc>
        <w:tc>
          <w:tcPr>
            <w:tcW w:w="680" w:type="dxa"/>
            <w:vAlign w:val="bottom"/>
          </w:tcPr>
          <w:p>
            <w:pPr>
              <w:spacing w:after="0"/>
              <w:rPr>
                <w:sz w:val="13"/>
                <w:szCs w:val="13"/>
                <w:color w:val="auto"/>
              </w:rPr>
            </w:pPr>
          </w:p>
        </w:tc>
        <w:tc>
          <w:tcPr>
            <w:tcW w:w="940" w:type="dxa"/>
            <w:vAlign w:val="bottom"/>
          </w:tcPr>
          <w:p>
            <w:pPr>
              <w:jc w:val="center"/>
              <w:ind w:right="56"/>
              <w:spacing w:after="0" w:line="153" w:lineRule="exact"/>
              <w:rPr>
                <w:sz w:val="20"/>
                <w:szCs w:val="20"/>
                <w:color w:val="auto"/>
              </w:rPr>
            </w:pPr>
            <w:r>
              <w:rPr>
                <w:rFonts w:ascii="Arial" w:cs="Arial" w:eastAsia="Arial" w:hAnsi="Arial"/>
                <w:sz w:val="14"/>
                <w:szCs w:val="14"/>
                <w:b w:val="1"/>
                <w:bCs w:val="1"/>
                <w:color w:val="auto"/>
                <w:w w:val="95"/>
              </w:rPr>
              <w:t>February 2,</w:t>
            </w:r>
          </w:p>
        </w:tc>
        <w:tc>
          <w:tcPr>
            <w:tcW w:w="200" w:type="dxa"/>
            <w:vAlign w:val="bottom"/>
          </w:tcPr>
          <w:p>
            <w:pPr>
              <w:spacing w:after="0"/>
              <w:rPr>
                <w:sz w:val="13"/>
                <w:szCs w:val="13"/>
                <w:color w:val="auto"/>
              </w:rPr>
            </w:pPr>
          </w:p>
        </w:tc>
        <w:tc>
          <w:tcPr>
            <w:tcW w:w="1600" w:type="dxa"/>
            <w:vAlign w:val="bottom"/>
          </w:tcPr>
          <w:p>
            <w:pPr>
              <w:jc w:val="right"/>
              <w:ind w:right="348"/>
              <w:spacing w:after="0" w:line="153" w:lineRule="exact"/>
              <w:rPr>
                <w:sz w:val="20"/>
                <w:szCs w:val="20"/>
                <w:color w:val="auto"/>
              </w:rPr>
            </w:pPr>
            <w:r>
              <w:rPr>
                <w:rFonts w:ascii="Arial" w:cs="Arial" w:eastAsia="Arial" w:hAnsi="Arial"/>
                <w:sz w:val="14"/>
                <w:szCs w:val="14"/>
                <w:b w:val="1"/>
                <w:bCs w:val="1"/>
                <w:color w:val="auto"/>
              </w:rPr>
              <w:t>% Change</w:t>
            </w:r>
          </w:p>
        </w:tc>
      </w:t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298"/>
              <w:spacing w:after="0"/>
              <w:rPr>
                <w:sz w:val="20"/>
                <w:szCs w:val="20"/>
                <w:color w:val="auto"/>
              </w:rPr>
            </w:pPr>
            <w:r>
              <w:rPr>
                <w:rFonts w:ascii="Arial" w:cs="Arial" w:eastAsia="Arial" w:hAnsi="Arial"/>
                <w:sz w:val="14"/>
                <w:szCs w:val="14"/>
                <w:b w:val="1"/>
                <w:bCs w:val="1"/>
                <w:color w:val="auto"/>
              </w:rPr>
              <w:t>2020</w:t>
            </w:r>
          </w:p>
        </w:tc>
        <w:tc>
          <w:tcPr>
            <w:tcW w:w="68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center"/>
              <w:ind w:right="56"/>
              <w:spacing w:after="0"/>
              <w:rPr>
                <w:sz w:val="20"/>
                <w:szCs w:val="20"/>
                <w:color w:val="auto"/>
              </w:rPr>
            </w:pPr>
            <w:r>
              <w:rPr>
                <w:rFonts w:ascii="Arial" w:cs="Arial" w:eastAsia="Arial" w:hAnsi="Arial"/>
                <w:sz w:val="14"/>
                <w:szCs w:val="14"/>
                <w:b w:val="1"/>
                <w:bCs w:val="1"/>
                <w:color w:val="auto"/>
                <w:w w:val="89"/>
              </w:rPr>
              <w:t>2019</w:t>
            </w:r>
          </w:p>
        </w:tc>
        <w:tc>
          <w:tcPr>
            <w:tcW w:w="20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tcPr>
          <w:p>
            <w:pPr>
              <w:jc w:val="right"/>
              <w:ind w:right="448"/>
              <w:spacing w:after="0"/>
              <w:rPr>
                <w:sz w:val="20"/>
                <w:szCs w:val="20"/>
                <w:color w:val="auto"/>
              </w:rPr>
            </w:pPr>
            <w:r>
              <w:rPr>
                <w:rFonts w:ascii="Arial" w:cs="Arial" w:eastAsia="Arial" w:hAnsi="Arial"/>
                <w:sz w:val="14"/>
                <w:szCs w:val="14"/>
                <w:b w:val="1"/>
                <w:bCs w:val="1"/>
                <w:color w:val="auto"/>
              </w:rPr>
              <w:t>in 2020</w:t>
            </w:r>
          </w:p>
        </w:tc>
      </w:tr>
      <w:tr>
        <w:trPr>
          <w:trHeight w:val="196"/>
        </w:trPr>
        <w:tc>
          <w:tcPr>
            <w:tcW w:w="65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3420" w:type="dxa"/>
            <w:vAlign w:val="bottom"/>
            <w:gridSpan w:val="4"/>
          </w:tcPr>
          <w:p>
            <w:pPr>
              <w:jc w:val="center"/>
              <w:ind w:right="1208"/>
              <w:spacing w:after="0"/>
              <w:rPr>
                <w:sz w:val="20"/>
                <w:szCs w:val="20"/>
                <w:color w:val="auto"/>
              </w:rPr>
            </w:pPr>
            <w:r>
              <w:rPr>
                <w:rFonts w:ascii="Arial" w:cs="Arial" w:eastAsia="Arial" w:hAnsi="Arial"/>
                <w:sz w:val="14"/>
                <w:szCs w:val="14"/>
                <w:b w:val="1"/>
                <w:bCs w:val="1"/>
                <w:color w:val="auto"/>
                <w:w w:val="89"/>
              </w:rPr>
              <w:t>(in thousands, except percentages)</w:t>
            </w:r>
          </w:p>
        </w:tc>
      </w:tr>
      <w:tr>
        <w:trPr>
          <w:trHeight w:val="256"/>
        </w:trPr>
        <w:tc>
          <w:tcPr>
            <w:tcW w:w="65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1,342,220</w:t>
            </w:r>
          </w:p>
        </w:tc>
        <w:tc>
          <w:tcPr>
            <w:tcW w:w="68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1,407,399</w:t>
            </w:r>
          </w:p>
        </w:tc>
        <w:tc>
          <w:tcPr>
            <w:tcW w:w="18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(4.6)%</w:t>
            </w:r>
          </w:p>
        </w:tc>
      </w:tr>
      <w:tr>
        <w:trPr>
          <w:trHeight w:val="243"/>
        </w:trPr>
        <w:tc>
          <w:tcPr>
            <w:tcW w:w="65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49.7</w:t>
            </w:r>
          </w:p>
        </w:tc>
        <w:tc>
          <w:tcPr>
            <w:tcW w:w="680" w:type="dxa"/>
            <w:vAlign w:val="bottom"/>
          </w:tcPr>
          <w:p>
            <w:pPr>
              <w:jc w:val="right"/>
              <w:ind w:right="394"/>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49.1</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600" w:type="dxa"/>
            <w:vAlign w:val="bottom"/>
          </w:tcPr>
          <w:p>
            <w:pPr>
              <w:spacing w:after="0"/>
              <w:rPr>
                <w:sz w:val="21"/>
                <w:szCs w:val="21"/>
                <w:color w:val="auto"/>
              </w:rPr>
            </w:pPr>
          </w:p>
        </w:tc>
      </w:tr>
      <w:tr>
        <w:trPr>
          <w:trHeight w:val="27"/>
        </w:trPr>
        <w:tc>
          <w:tcPr>
            <w:tcW w:w="65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680" w:type="dxa"/>
            <w:vAlign w:val="bottom"/>
          </w:tcPr>
          <w:p>
            <w:pPr>
              <w:spacing w:after="0"/>
              <w:rPr>
                <w:sz w:val="2"/>
                <w:szCs w:val="2"/>
                <w:color w:val="auto"/>
              </w:rPr>
            </w:pPr>
          </w:p>
        </w:tc>
        <w:tc>
          <w:tcPr>
            <w:tcW w:w="9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0" w:type="dxa"/>
            <w:vAlign w:val="bottom"/>
          </w:tcPr>
          <w:p>
            <w:pPr>
              <w:spacing w:after="0"/>
              <w:rPr>
                <w:sz w:val="2"/>
                <w:szCs w:val="2"/>
                <w:color w:val="auto"/>
              </w:rPr>
            </w:pPr>
          </w:p>
        </w:tc>
      </w:tr>
      <w:tr>
        <w:trPr>
          <w:trHeight w:val="250"/>
        </w:trPr>
        <w:tc>
          <w:tcPr>
            <w:tcW w:w="65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1,356,941</w:t>
            </w:r>
          </w:p>
        </w:tc>
        <w:tc>
          <w:tcPr>
            <w:tcW w:w="68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1,458,392</w:t>
            </w:r>
          </w:p>
        </w:tc>
        <w:tc>
          <w:tcPr>
            <w:tcW w:w="18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(7.0)%</w:t>
            </w:r>
          </w:p>
        </w:tc>
      </w:tr>
      <w:tr>
        <w:trPr>
          <w:trHeight w:val="243"/>
        </w:trPr>
        <w:tc>
          <w:tcPr>
            <w:tcW w:w="65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50.3</w:t>
            </w:r>
          </w:p>
        </w:tc>
        <w:tc>
          <w:tcPr>
            <w:tcW w:w="680" w:type="dxa"/>
            <w:vAlign w:val="bottom"/>
          </w:tcPr>
          <w:p>
            <w:pPr>
              <w:jc w:val="right"/>
              <w:ind w:right="394"/>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50.9</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600" w:type="dxa"/>
            <w:vAlign w:val="bottom"/>
          </w:tcPr>
          <w:p>
            <w:pPr>
              <w:spacing w:after="0"/>
              <w:rPr>
                <w:sz w:val="21"/>
                <w:szCs w:val="21"/>
                <w:color w:val="auto"/>
              </w:rPr>
            </w:pPr>
          </w:p>
        </w:tc>
      </w:tr>
    </w:tbl>
    <w:p>
      <w:pPr>
        <w:spacing w:after="0" w:line="200" w:lineRule="exact"/>
        <w:rPr>
          <w:sz w:val="20"/>
          <w:szCs w:val="20"/>
          <w:color w:val="auto"/>
        </w:rPr>
      </w:pPr>
    </w:p>
    <w:p>
      <w:pPr>
        <w:sectPr>
          <w:pgSz w:w="11900" w:h="16838" w:orient="portrait"/>
          <w:cols w:equalWidth="0" w:num="1">
            <w:col w:w="11240"/>
          </w:cols>
          <w:pgMar w:left="320" w:top="1390" w:right="339" w:bottom="1440" w:gutter="0" w:footer="0" w:header="0"/>
        </w:sectPr>
      </w:pPr>
    </w:p>
    <w:p>
      <w:pPr>
        <w:spacing w:after="0" w:line="272"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0" w:right="339" w:bottom="1440" w:gutter="0" w:footer="0" w:header="0"/>
          <w:type w:val="continuous"/>
        </w:sectPr>
      </w:pPr>
    </w:p>
    <w:bookmarkStart w:id="42" w:name="page43"/>
    <w:bookmarkEnd w:id="42"/>
    <w:p>
      <w:pPr>
        <w:ind w:right="300" w:firstLine="445"/>
        <w:spacing w:after="0" w:line="279" w:lineRule="auto"/>
        <w:rPr>
          <w:sz w:val="20"/>
          <w:szCs w:val="20"/>
          <w:color w:val="auto"/>
        </w:rPr>
      </w:pPr>
      <w:r>
        <w:rPr>
          <w:rFonts w:ascii="Arial" w:cs="Arial" w:eastAsia="Arial" w:hAnsi="Arial"/>
          <w:sz w:val="17"/>
          <w:szCs w:val="17"/>
          <w:color w:val="auto"/>
        </w:rPr>
        <w:t>The cost of goods sold as a percentage of net revenue was higher for fiscal 2020 primarily due to increased costs from higher amortization of acquired intangible assets related to acquisitions and higher manufacturing costs, partially offset by decreased costs from amortization of inventory fair value adjustment associated with the Aquantia and Avera acquisitions compared to the costs associated with the Cavium acquisition in fiscal 2019. As a result, gross margin for fiscal 2020 decreased 0.6 percentage points compared to fiscal 2019.</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7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94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600" w:type="dxa"/>
            <w:vAlign w:val="bottom"/>
          </w:tcPr>
          <w:p>
            <w:pPr>
              <w:spacing w:after="0"/>
              <w:rPr>
                <w:sz w:val="16"/>
                <w:szCs w:val="16"/>
                <w:color w:val="auto"/>
              </w:rPr>
            </w:pPr>
          </w:p>
        </w:tc>
      </w:tr>
      <w:tr>
        <w:trPr>
          <w:trHeight w:val="153"/>
        </w:trPr>
        <w:tc>
          <w:tcPr>
            <w:tcW w:w="65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040" w:type="dxa"/>
            <w:vAlign w:val="bottom"/>
          </w:tcPr>
          <w:p>
            <w:pPr>
              <w:jc w:val="right"/>
              <w:ind w:right="81"/>
              <w:spacing w:after="0" w:line="153" w:lineRule="exact"/>
              <w:rPr>
                <w:sz w:val="20"/>
                <w:szCs w:val="20"/>
                <w:color w:val="auto"/>
              </w:rPr>
            </w:pPr>
            <w:r>
              <w:rPr>
                <w:rFonts w:ascii="Arial" w:cs="Arial" w:eastAsia="Arial" w:hAnsi="Arial"/>
                <w:sz w:val="14"/>
                <w:szCs w:val="14"/>
                <w:b w:val="1"/>
                <w:bCs w:val="1"/>
                <w:color w:val="auto"/>
              </w:rPr>
              <w:t>February 1,</w:t>
            </w:r>
          </w:p>
        </w:tc>
        <w:tc>
          <w:tcPr>
            <w:tcW w:w="680" w:type="dxa"/>
            <w:vAlign w:val="bottom"/>
          </w:tcPr>
          <w:p>
            <w:pPr>
              <w:spacing w:after="0"/>
              <w:rPr>
                <w:sz w:val="13"/>
                <w:szCs w:val="13"/>
                <w:color w:val="auto"/>
              </w:rPr>
            </w:pPr>
          </w:p>
        </w:tc>
        <w:tc>
          <w:tcPr>
            <w:tcW w:w="940" w:type="dxa"/>
            <w:vAlign w:val="bottom"/>
          </w:tcPr>
          <w:p>
            <w:pPr>
              <w:jc w:val="center"/>
              <w:ind w:right="59"/>
              <w:spacing w:after="0" w:line="153" w:lineRule="exact"/>
              <w:rPr>
                <w:sz w:val="20"/>
                <w:szCs w:val="20"/>
                <w:color w:val="auto"/>
              </w:rPr>
            </w:pPr>
            <w:r>
              <w:rPr>
                <w:rFonts w:ascii="Arial" w:cs="Arial" w:eastAsia="Arial" w:hAnsi="Arial"/>
                <w:sz w:val="14"/>
                <w:szCs w:val="14"/>
                <w:b w:val="1"/>
                <w:bCs w:val="1"/>
                <w:color w:val="auto"/>
                <w:w w:val="95"/>
              </w:rPr>
              <w:t>February 2,</w:t>
            </w:r>
          </w:p>
        </w:tc>
        <w:tc>
          <w:tcPr>
            <w:tcW w:w="200" w:type="dxa"/>
            <w:vAlign w:val="bottom"/>
          </w:tcPr>
          <w:p>
            <w:pPr>
              <w:spacing w:after="0"/>
              <w:rPr>
                <w:sz w:val="13"/>
                <w:szCs w:val="13"/>
                <w:color w:val="auto"/>
              </w:rPr>
            </w:pPr>
          </w:p>
        </w:tc>
        <w:tc>
          <w:tcPr>
            <w:tcW w:w="1600" w:type="dxa"/>
            <w:vAlign w:val="bottom"/>
          </w:tcPr>
          <w:p>
            <w:pPr>
              <w:jc w:val="center"/>
              <w:ind w:left="48"/>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01"/>
              <w:spacing w:after="0"/>
              <w:rPr>
                <w:sz w:val="20"/>
                <w:szCs w:val="20"/>
                <w:color w:val="auto"/>
              </w:rPr>
            </w:pPr>
            <w:r>
              <w:rPr>
                <w:rFonts w:ascii="Arial" w:cs="Arial" w:eastAsia="Arial" w:hAnsi="Arial"/>
                <w:sz w:val="14"/>
                <w:szCs w:val="14"/>
                <w:b w:val="1"/>
                <w:bCs w:val="1"/>
                <w:color w:val="auto"/>
              </w:rPr>
              <w:t>2020</w:t>
            </w:r>
          </w:p>
        </w:tc>
        <w:tc>
          <w:tcPr>
            <w:tcW w:w="68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center"/>
              <w:ind w:right="59"/>
              <w:spacing w:after="0"/>
              <w:rPr>
                <w:sz w:val="20"/>
                <w:szCs w:val="20"/>
                <w:color w:val="auto"/>
              </w:rPr>
            </w:pPr>
            <w:r>
              <w:rPr>
                <w:rFonts w:ascii="Arial" w:cs="Arial" w:eastAsia="Arial" w:hAnsi="Arial"/>
                <w:sz w:val="14"/>
                <w:szCs w:val="14"/>
                <w:b w:val="1"/>
                <w:bCs w:val="1"/>
                <w:color w:val="auto"/>
                <w:w w:val="89"/>
              </w:rPr>
              <w:t>2019</w:t>
            </w:r>
          </w:p>
        </w:tc>
        <w:tc>
          <w:tcPr>
            <w:tcW w:w="20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tcPr>
          <w:p>
            <w:pPr>
              <w:jc w:val="center"/>
              <w:ind w:left="48"/>
              <w:spacing w:after="0"/>
              <w:rPr>
                <w:sz w:val="20"/>
                <w:szCs w:val="20"/>
                <w:color w:val="auto"/>
              </w:rPr>
            </w:pPr>
            <w:r>
              <w:rPr>
                <w:rFonts w:ascii="Arial" w:cs="Arial" w:eastAsia="Arial" w:hAnsi="Arial"/>
                <w:sz w:val="14"/>
                <w:szCs w:val="14"/>
                <w:b w:val="1"/>
                <w:bCs w:val="1"/>
                <w:color w:val="auto"/>
                <w:w w:val="92"/>
              </w:rPr>
              <w:t>in 2020</w:t>
            </w:r>
          </w:p>
        </w:tc>
      </w:tr>
      <w:tr>
        <w:trPr>
          <w:trHeight w:val="196"/>
        </w:trPr>
        <w:tc>
          <w:tcPr>
            <w:tcW w:w="65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3420" w:type="dxa"/>
            <w:vAlign w:val="bottom"/>
            <w:gridSpan w:val="4"/>
          </w:tcPr>
          <w:p>
            <w:pPr>
              <w:jc w:val="center"/>
              <w:ind w:right="1208"/>
              <w:spacing w:after="0"/>
              <w:rPr>
                <w:sz w:val="20"/>
                <w:szCs w:val="20"/>
                <w:color w:val="auto"/>
              </w:rPr>
            </w:pPr>
            <w:r>
              <w:rPr>
                <w:rFonts w:ascii="Arial" w:cs="Arial" w:eastAsia="Arial" w:hAnsi="Arial"/>
                <w:sz w:val="14"/>
                <w:szCs w:val="14"/>
                <w:b w:val="1"/>
                <w:bCs w:val="1"/>
                <w:color w:val="auto"/>
                <w:w w:val="89"/>
              </w:rPr>
              <w:t>(in thousands, except percentages)</w:t>
            </w:r>
          </w:p>
        </w:tc>
      </w:tr>
      <w:tr>
        <w:trPr>
          <w:trHeight w:val="256"/>
        </w:trPr>
        <w:tc>
          <w:tcPr>
            <w:tcW w:w="65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Research and development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1,080,391</w:t>
            </w:r>
          </w:p>
        </w:tc>
        <w:tc>
          <w:tcPr>
            <w:tcW w:w="680" w:type="dxa"/>
            <w:vAlign w:val="bottom"/>
            <w:tcBorders>
              <w:bottom w:val="single" w:sz="8" w:color="CCEEFF"/>
            </w:tcBorders>
            <w:shd w:val="clear" w:color="auto" w:fill="CCEEFF"/>
          </w:tcPr>
          <w:p>
            <w:pPr>
              <w:jc w:val="right"/>
              <w:ind w:right="156"/>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914,009</w:t>
            </w:r>
          </w:p>
        </w:tc>
        <w:tc>
          <w:tcPr>
            <w:tcW w:w="18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18.2 %</w:t>
            </w:r>
          </w:p>
        </w:tc>
      </w:tr>
      <w:tr>
        <w:trPr>
          <w:trHeight w:val="243"/>
        </w:trPr>
        <w:tc>
          <w:tcPr>
            <w:tcW w:w="65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40.0</w:t>
            </w:r>
          </w:p>
        </w:tc>
        <w:tc>
          <w:tcPr>
            <w:tcW w:w="680" w:type="dxa"/>
            <w:vAlign w:val="bottom"/>
          </w:tcPr>
          <w:p>
            <w:pPr>
              <w:jc w:val="right"/>
              <w:ind w:right="396"/>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31.9</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600" w:type="dxa"/>
            <w:vAlign w:val="bottom"/>
          </w:tcPr>
          <w:p>
            <w:pPr>
              <w:spacing w:after="0"/>
              <w:rPr>
                <w:sz w:val="21"/>
                <w:szCs w:val="21"/>
                <w:color w:val="auto"/>
              </w:rPr>
            </w:pPr>
          </w:p>
        </w:tc>
      </w:tr>
    </w:tbl>
    <w:p>
      <w:pPr>
        <w:spacing w:after="0" w:line="121" w:lineRule="exact"/>
        <w:rPr>
          <w:sz w:val="20"/>
          <w:szCs w:val="20"/>
          <w:color w:val="auto"/>
        </w:rPr>
      </w:pPr>
    </w:p>
    <w:p>
      <w:pPr>
        <w:ind w:right="60" w:firstLine="445"/>
        <w:spacing w:after="0" w:line="279" w:lineRule="auto"/>
        <w:rPr>
          <w:sz w:val="20"/>
          <w:szCs w:val="20"/>
          <w:color w:val="auto"/>
        </w:rPr>
      </w:pPr>
      <w:r>
        <w:rPr>
          <w:rFonts w:ascii="Arial" w:cs="Arial" w:eastAsia="Arial" w:hAnsi="Arial"/>
          <w:sz w:val="17"/>
          <w:szCs w:val="17"/>
          <w:color w:val="auto"/>
        </w:rPr>
        <w:t>Research and development expense increased by $166.4 million in fiscal 2020 compared to fiscal 2019. The increase was due primarily to additional costs from our acquisitions of Cavium, Aquantia and Avera, including $186.2 million of higher employee personnel-related costs, $10.7 million of higher depreciation and amortization expense, $10.5 million of higher engineering supplies expense and $8.9 million of higher computer-aided design software related costs. The increase was partially offset by $71.8 million of higher non-recurring engineering credits.</w:t>
      </w:r>
    </w:p>
    <w:p>
      <w:pPr>
        <w:spacing w:after="0" w:line="200" w:lineRule="exact"/>
        <w:rPr>
          <w:sz w:val="20"/>
          <w:szCs w:val="20"/>
          <w:color w:val="auto"/>
        </w:rPr>
      </w:pPr>
    </w:p>
    <w:p>
      <w:pPr>
        <w:spacing w:after="0" w:line="21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General and Administrative</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7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94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600" w:type="dxa"/>
            <w:vAlign w:val="bottom"/>
          </w:tcPr>
          <w:p>
            <w:pPr>
              <w:spacing w:after="0"/>
              <w:rPr>
                <w:sz w:val="16"/>
                <w:szCs w:val="16"/>
                <w:color w:val="auto"/>
              </w:rPr>
            </w:pPr>
          </w:p>
        </w:tc>
      </w:tr>
      <w:tr>
        <w:trPr>
          <w:trHeight w:val="153"/>
        </w:trPr>
        <w:tc>
          <w:tcPr>
            <w:tcW w:w="65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040" w:type="dxa"/>
            <w:vAlign w:val="bottom"/>
          </w:tcPr>
          <w:p>
            <w:pPr>
              <w:jc w:val="right"/>
              <w:ind w:right="81"/>
              <w:spacing w:after="0" w:line="153" w:lineRule="exact"/>
              <w:rPr>
                <w:sz w:val="20"/>
                <w:szCs w:val="20"/>
                <w:color w:val="auto"/>
              </w:rPr>
            </w:pPr>
            <w:r>
              <w:rPr>
                <w:rFonts w:ascii="Arial" w:cs="Arial" w:eastAsia="Arial" w:hAnsi="Arial"/>
                <w:sz w:val="14"/>
                <w:szCs w:val="14"/>
                <w:b w:val="1"/>
                <w:bCs w:val="1"/>
                <w:color w:val="auto"/>
              </w:rPr>
              <w:t>February 1,</w:t>
            </w:r>
          </w:p>
        </w:tc>
        <w:tc>
          <w:tcPr>
            <w:tcW w:w="680" w:type="dxa"/>
            <w:vAlign w:val="bottom"/>
          </w:tcPr>
          <w:p>
            <w:pPr>
              <w:spacing w:after="0"/>
              <w:rPr>
                <w:sz w:val="13"/>
                <w:szCs w:val="13"/>
                <w:color w:val="auto"/>
              </w:rPr>
            </w:pPr>
          </w:p>
        </w:tc>
        <w:tc>
          <w:tcPr>
            <w:tcW w:w="940" w:type="dxa"/>
            <w:vAlign w:val="bottom"/>
          </w:tcPr>
          <w:p>
            <w:pPr>
              <w:jc w:val="center"/>
              <w:ind w:right="59"/>
              <w:spacing w:after="0" w:line="153" w:lineRule="exact"/>
              <w:rPr>
                <w:sz w:val="20"/>
                <w:szCs w:val="20"/>
                <w:color w:val="auto"/>
              </w:rPr>
            </w:pPr>
            <w:r>
              <w:rPr>
                <w:rFonts w:ascii="Arial" w:cs="Arial" w:eastAsia="Arial" w:hAnsi="Arial"/>
                <w:sz w:val="14"/>
                <w:szCs w:val="14"/>
                <w:b w:val="1"/>
                <w:bCs w:val="1"/>
                <w:color w:val="auto"/>
                <w:w w:val="95"/>
              </w:rPr>
              <w:t>February 2,</w:t>
            </w:r>
          </w:p>
        </w:tc>
        <w:tc>
          <w:tcPr>
            <w:tcW w:w="200" w:type="dxa"/>
            <w:vAlign w:val="bottom"/>
          </w:tcPr>
          <w:p>
            <w:pPr>
              <w:spacing w:after="0"/>
              <w:rPr>
                <w:sz w:val="13"/>
                <w:szCs w:val="13"/>
                <w:color w:val="auto"/>
              </w:rPr>
            </w:pPr>
          </w:p>
        </w:tc>
        <w:tc>
          <w:tcPr>
            <w:tcW w:w="1600" w:type="dxa"/>
            <w:vAlign w:val="bottom"/>
          </w:tcPr>
          <w:p>
            <w:pPr>
              <w:jc w:val="center"/>
              <w:ind w:left="48"/>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01"/>
              <w:spacing w:after="0"/>
              <w:rPr>
                <w:sz w:val="20"/>
                <w:szCs w:val="20"/>
                <w:color w:val="auto"/>
              </w:rPr>
            </w:pPr>
            <w:r>
              <w:rPr>
                <w:rFonts w:ascii="Arial" w:cs="Arial" w:eastAsia="Arial" w:hAnsi="Arial"/>
                <w:sz w:val="14"/>
                <w:szCs w:val="14"/>
                <w:b w:val="1"/>
                <w:bCs w:val="1"/>
                <w:color w:val="auto"/>
              </w:rPr>
              <w:t>2020</w:t>
            </w:r>
          </w:p>
        </w:tc>
        <w:tc>
          <w:tcPr>
            <w:tcW w:w="68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center"/>
              <w:ind w:right="59"/>
              <w:spacing w:after="0"/>
              <w:rPr>
                <w:sz w:val="20"/>
                <w:szCs w:val="20"/>
                <w:color w:val="auto"/>
              </w:rPr>
            </w:pPr>
            <w:r>
              <w:rPr>
                <w:rFonts w:ascii="Arial" w:cs="Arial" w:eastAsia="Arial" w:hAnsi="Arial"/>
                <w:sz w:val="14"/>
                <w:szCs w:val="14"/>
                <w:b w:val="1"/>
                <w:bCs w:val="1"/>
                <w:color w:val="auto"/>
                <w:w w:val="89"/>
              </w:rPr>
              <w:t>2019</w:t>
            </w:r>
          </w:p>
        </w:tc>
        <w:tc>
          <w:tcPr>
            <w:tcW w:w="20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tcPr>
          <w:p>
            <w:pPr>
              <w:jc w:val="center"/>
              <w:ind w:left="48"/>
              <w:spacing w:after="0"/>
              <w:rPr>
                <w:sz w:val="20"/>
                <w:szCs w:val="20"/>
                <w:color w:val="auto"/>
              </w:rPr>
            </w:pPr>
            <w:r>
              <w:rPr>
                <w:rFonts w:ascii="Arial" w:cs="Arial" w:eastAsia="Arial" w:hAnsi="Arial"/>
                <w:sz w:val="14"/>
                <w:szCs w:val="14"/>
                <w:b w:val="1"/>
                <w:bCs w:val="1"/>
                <w:color w:val="auto"/>
                <w:w w:val="92"/>
              </w:rPr>
              <w:t>in 2020</w:t>
            </w:r>
          </w:p>
        </w:tc>
      </w:tr>
      <w:tr>
        <w:trPr>
          <w:trHeight w:val="196"/>
        </w:trPr>
        <w:tc>
          <w:tcPr>
            <w:tcW w:w="65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3420" w:type="dxa"/>
            <w:vAlign w:val="bottom"/>
            <w:gridSpan w:val="4"/>
          </w:tcPr>
          <w:p>
            <w:pPr>
              <w:jc w:val="center"/>
              <w:ind w:right="1208"/>
              <w:spacing w:after="0"/>
              <w:rPr>
                <w:sz w:val="20"/>
                <w:szCs w:val="20"/>
                <w:color w:val="auto"/>
              </w:rPr>
            </w:pPr>
            <w:r>
              <w:rPr>
                <w:rFonts w:ascii="Arial" w:cs="Arial" w:eastAsia="Arial" w:hAnsi="Arial"/>
                <w:sz w:val="14"/>
                <w:szCs w:val="14"/>
                <w:b w:val="1"/>
                <w:bCs w:val="1"/>
                <w:color w:val="auto"/>
                <w:w w:val="89"/>
              </w:rPr>
              <w:t>(in thousands, except percentages)</w:t>
            </w:r>
          </w:p>
        </w:tc>
      </w:tr>
      <w:tr>
        <w:trPr>
          <w:trHeight w:val="256"/>
        </w:trPr>
        <w:tc>
          <w:tcPr>
            <w:tcW w:w="65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464,580</w:t>
            </w:r>
          </w:p>
        </w:tc>
        <w:tc>
          <w:tcPr>
            <w:tcW w:w="680" w:type="dxa"/>
            <w:vAlign w:val="bottom"/>
            <w:tcBorders>
              <w:bottom w:val="single" w:sz="8" w:color="CCEEFF"/>
            </w:tcBorders>
            <w:shd w:val="clear" w:color="auto" w:fill="CCEEFF"/>
          </w:tcPr>
          <w:p>
            <w:pPr>
              <w:jc w:val="right"/>
              <w:ind w:right="156"/>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424,360</w:t>
            </w:r>
          </w:p>
        </w:tc>
        <w:tc>
          <w:tcPr>
            <w:tcW w:w="18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9.5 %</w:t>
            </w:r>
          </w:p>
        </w:tc>
      </w:tr>
      <w:tr>
        <w:trPr>
          <w:trHeight w:val="243"/>
        </w:trPr>
        <w:tc>
          <w:tcPr>
            <w:tcW w:w="65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17.3</w:t>
            </w:r>
          </w:p>
        </w:tc>
        <w:tc>
          <w:tcPr>
            <w:tcW w:w="680" w:type="dxa"/>
            <w:vAlign w:val="bottom"/>
          </w:tcPr>
          <w:p>
            <w:pPr>
              <w:jc w:val="right"/>
              <w:ind w:right="396"/>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14.8</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600" w:type="dxa"/>
            <w:vAlign w:val="bottom"/>
          </w:tcPr>
          <w:p>
            <w:pPr>
              <w:spacing w:after="0"/>
              <w:rPr>
                <w:sz w:val="21"/>
                <w:szCs w:val="21"/>
                <w:color w:val="auto"/>
              </w:rPr>
            </w:pPr>
          </w:p>
        </w:tc>
      </w:tr>
    </w:tbl>
    <w:p>
      <w:pPr>
        <w:spacing w:after="0" w:line="121" w:lineRule="exact"/>
        <w:rPr>
          <w:sz w:val="20"/>
          <w:szCs w:val="20"/>
          <w:color w:val="auto"/>
        </w:rPr>
      </w:pPr>
    </w:p>
    <w:p>
      <w:pPr>
        <w:ind w:right="80" w:firstLine="445"/>
        <w:spacing w:after="0" w:line="259" w:lineRule="auto"/>
        <w:rPr>
          <w:sz w:val="20"/>
          <w:szCs w:val="20"/>
          <w:color w:val="auto"/>
        </w:rPr>
      </w:pPr>
      <w:r>
        <w:rPr>
          <w:rFonts w:ascii="Arial" w:cs="Arial" w:eastAsia="Arial" w:hAnsi="Arial"/>
          <w:sz w:val="18"/>
          <w:szCs w:val="18"/>
          <w:color w:val="auto"/>
        </w:rPr>
        <w:t>Selling, general and administrative expense increased by $40.2 million in fiscal 2020 compared to fiscal 2019. The increase was due primarily to additional costs from our acquisition of Cavium, Aquantia and Avera, including $39.4 million of higher intangibles amortization expense, $7.0 million of higher employee personnel-related costs, $5.5 million of higher depreciation and amortization expense, partially offset by $8.1 million of lower integration costs.</w:t>
      </w:r>
    </w:p>
    <w:p>
      <w:pPr>
        <w:spacing w:after="0" w:line="200" w:lineRule="exact"/>
        <w:rPr>
          <w:sz w:val="20"/>
          <w:szCs w:val="20"/>
          <w:color w:val="auto"/>
        </w:rPr>
      </w:pPr>
    </w:p>
    <w:p>
      <w:pPr>
        <w:spacing w:after="0" w:line="23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2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100" w:type="dxa"/>
            <w:vAlign w:val="bottom"/>
            <w:tcBorders>
              <w:bottom w:val="single" w:sz="8" w:color="auto"/>
            </w:tcBorders>
          </w:tcPr>
          <w:p>
            <w:pPr>
              <w:spacing w:after="0"/>
              <w:rPr>
                <w:sz w:val="16"/>
                <w:szCs w:val="16"/>
                <w:color w:val="auto"/>
              </w:rPr>
            </w:pPr>
          </w:p>
        </w:tc>
      </w:tr>
      <w:tr>
        <w:trPr>
          <w:trHeight w:val="152"/>
        </w:trPr>
        <w:tc>
          <w:tcPr>
            <w:tcW w:w="82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0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1,</w:t>
            </w:r>
          </w:p>
        </w:tc>
        <w:tc>
          <w:tcPr>
            <w:tcW w:w="340" w:type="dxa"/>
            <w:vAlign w:val="bottom"/>
          </w:tcPr>
          <w:p>
            <w:pPr>
              <w:spacing w:after="0"/>
              <w:rPr>
                <w:sz w:val="13"/>
                <w:szCs w:val="13"/>
                <w:color w:val="auto"/>
              </w:rPr>
            </w:pPr>
          </w:p>
        </w:tc>
        <w:tc>
          <w:tcPr>
            <w:tcW w:w="1100" w:type="dxa"/>
            <w:vAlign w:val="bottom"/>
          </w:tcPr>
          <w:p>
            <w:pPr>
              <w:jc w:val="right"/>
              <w:ind w:right="276"/>
              <w:spacing w:after="0" w:line="153" w:lineRule="exact"/>
              <w:rPr>
                <w:sz w:val="20"/>
                <w:szCs w:val="20"/>
                <w:color w:val="auto"/>
              </w:rPr>
            </w:pPr>
            <w:r>
              <w:rPr>
                <w:rFonts w:ascii="Arial" w:cs="Arial" w:eastAsia="Arial" w:hAnsi="Arial"/>
                <w:sz w:val="14"/>
                <w:szCs w:val="14"/>
                <w:b w:val="1"/>
                <w:bCs w:val="1"/>
                <w:color w:val="auto"/>
                <w:w w:val="95"/>
              </w:rPr>
              <w:t>February 2,</w:t>
            </w:r>
          </w:p>
        </w:tc>
      </w:tr>
      <w:tr>
        <w:trPr>
          <w:trHeight w:val="192"/>
        </w:trPr>
        <w:tc>
          <w:tcPr>
            <w:tcW w:w="82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2019</w:t>
            </w:r>
          </w:p>
        </w:tc>
      </w:tr>
      <w:tr>
        <w:trPr>
          <w:trHeight w:val="196"/>
        </w:trPr>
        <w:tc>
          <w:tcPr>
            <w:tcW w:w="82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740" w:type="dxa"/>
            <w:vAlign w:val="bottom"/>
            <w:gridSpan w:val="4"/>
          </w:tcPr>
          <w:p>
            <w:pPr>
              <w:jc w:val="right"/>
              <w:ind w:right="956"/>
              <w:spacing w:after="0"/>
              <w:rPr>
                <w:sz w:val="20"/>
                <w:szCs w:val="20"/>
                <w:color w:val="auto"/>
              </w:rPr>
            </w:pPr>
            <w:r>
              <w:rPr>
                <w:rFonts w:ascii="Arial" w:cs="Arial" w:eastAsia="Arial" w:hAnsi="Arial"/>
                <w:sz w:val="14"/>
                <w:szCs w:val="14"/>
                <w:b w:val="1"/>
                <w:bCs w:val="1"/>
                <w:color w:val="auto"/>
              </w:rPr>
              <w:t>(in thousands)</w:t>
            </w:r>
          </w:p>
        </w:tc>
      </w:tr>
      <w:tr>
        <w:trPr>
          <w:trHeight w:val="256"/>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8"/>
                <w:szCs w:val="18"/>
                <w:color w:val="auto"/>
              </w:rPr>
              <w:t>13,759</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12,024</w:t>
            </w:r>
          </w:p>
        </w:tc>
      </w:tr>
      <w:tr>
        <w:trPr>
          <w:trHeight w:val="243"/>
        </w:trPr>
        <w:tc>
          <w:tcPr>
            <w:tcW w:w="8260" w:type="dxa"/>
            <w:vAlign w:val="bottom"/>
          </w:tcPr>
          <w:p>
            <w:pPr>
              <w:ind w:left="20"/>
              <w:spacing w:after="0"/>
              <w:rPr>
                <w:sz w:val="20"/>
                <w:szCs w:val="20"/>
                <w:color w:val="auto"/>
              </w:rPr>
            </w:pPr>
            <w:r>
              <w:rPr>
                <w:rFonts w:ascii="Arial" w:cs="Arial" w:eastAsia="Arial" w:hAnsi="Arial"/>
                <w:sz w:val="18"/>
                <w:szCs w:val="18"/>
                <w:color w:val="auto"/>
              </w:rPr>
              <w:t>Research and development</w:t>
            </w:r>
          </w:p>
        </w:tc>
        <w:tc>
          <w:tcPr>
            <w:tcW w:w="240" w:type="dxa"/>
            <w:vAlign w:val="bottom"/>
          </w:tcPr>
          <w:p>
            <w:pPr>
              <w:spacing w:after="0"/>
              <w:rPr>
                <w:sz w:val="21"/>
                <w:szCs w:val="21"/>
                <w:color w:val="auto"/>
              </w:rPr>
            </w:pPr>
          </w:p>
        </w:tc>
        <w:tc>
          <w:tcPr>
            <w:tcW w:w="1200" w:type="dxa"/>
            <w:vAlign w:val="bottom"/>
          </w:tcPr>
          <w:p>
            <w:pPr>
              <w:jc w:val="right"/>
              <w:ind w:right="79"/>
              <w:spacing w:after="0"/>
              <w:rPr>
                <w:sz w:val="20"/>
                <w:szCs w:val="20"/>
                <w:color w:val="auto"/>
              </w:rPr>
            </w:pPr>
            <w:r>
              <w:rPr>
                <w:rFonts w:ascii="Arial" w:cs="Arial" w:eastAsia="Arial" w:hAnsi="Arial"/>
                <w:sz w:val="18"/>
                <w:szCs w:val="18"/>
                <w:color w:val="auto"/>
              </w:rPr>
              <w:t>157,054</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00" w:type="dxa"/>
            <w:vAlign w:val="bottom"/>
          </w:tcPr>
          <w:p>
            <w:pPr>
              <w:jc w:val="right"/>
              <w:ind w:right="76"/>
              <w:spacing w:after="0"/>
              <w:rPr>
                <w:sz w:val="20"/>
                <w:szCs w:val="20"/>
                <w:color w:val="auto"/>
              </w:rPr>
            </w:pPr>
            <w:r>
              <w:rPr>
                <w:rFonts w:ascii="Arial" w:cs="Arial" w:eastAsia="Arial" w:hAnsi="Arial"/>
                <w:sz w:val="18"/>
                <w:szCs w:val="18"/>
                <w:color w:val="auto"/>
              </w:rPr>
              <w:t>108,762</w:t>
            </w:r>
          </w:p>
        </w:tc>
      </w:tr>
      <w:tr>
        <w:trPr>
          <w:trHeight w:val="27"/>
        </w:trPr>
        <w:tc>
          <w:tcPr>
            <w:tcW w:w="8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8"/>
                <w:szCs w:val="18"/>
                <w:color w:val="auto"/>
              </w:rPr>
              <w:t>71,996</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77,309</w:t>
            </w:r>
          </w:p>
        </w:tc>
      </w:tr>
      <w:tr>
        <w:trPr>
          <w:trHeight w:val="237"/>
        </w:trPr>
        <w:tc>
          <w:tcPr>
            <w:tcW w:w="8260" w:type="dxa"/>
            <w:vAlign w:val="bottom"/>
          </w:tcPr>
          <w:p>
            <w:pPr>
              <w:ind w:left="20"/>
              <w:spacing w:after="0"/>
              <w:rPr>
                <w:sz w:val="20"/>
                <w:szCs w:val="20"/>
                <w:color w:val="auto"/>
              </w:rPr>
            </w:pPr>
            <w:r>
              <w:rPr>
                <w:rFonts w:ascii="Arial" w:cs="Arial" w:eastAsia="Arial" w:hAnsi="Arial"/>
                <w:sz w:val="18"/>
                <w:szCs w:val="18"/>
                <w:color w:val="auto"/>
              </w:rPr>
              <w:t>Total share-based compensation</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9"/>
              <w:spacing w:after="0"/>
              <w:rPr>
                <w:sz w:val="20"/>
                <w:szCs w:val="20"/>
                <w:color w:val="auto"/>
              </w:rPr>
            </w:pPr>
            <w:r>
              <w:rPr>
                <w:rFonts w:ascii="Arial" w:cs="Arial" w:eastAsia="Arial" w:hAnsi="Arial"/>
                <w:sz w:val="18"/>
                <w:szCs w:val="18"/>
                <w:color w:val="auto"/>
              </w:rPr>
              <w:t>242,809</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198,095</w:t>
            </w:r>
          </w:p>
        </w:tc>
      </w:tr>
      <w:tr>
        <w:trPr>
          <w:trHeight w:val="27"/>
        </w:trPr>
        <w:tc>
          <w:tcPr>
            <w:tcW w:w="826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0"/>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120" w:firstLine="445"/>
        <w:spacing w:after="0" w:line="259" w:lineRule="auto"/>
        <w:rPr>
          <w:sz w:val="20"/>
          <w:szCs w:val="20"/>
          <w:color w:val="auto"/>
        </w:rPr>
      </w:pPr>
      <w:r>
        <w:rPr>
          <w:rFonts w:ascii="Arial" w:cs="Arial" w:eastAsia="Arial" w:hAnsi="Arial"/>
          <w:sz w:val="18"/>
          <w:szCs w:val="18"/>
          <w:color w:val="auto"/>
        </w:rPr>
        <w:t>Share-based compensation expense increased by $44.7 million in fiscal 2020 compared to fiscal 2019. The increase was mainly due to additional equity awards assumed upon the Cavium and Aquantia acquisitions as described in “Note 3 - Business Combinations” in the Notes to the Consolidated Financial Statements. The increase was partially offset by the higher acceleration expense from the Cavium acquisition which occurred only in fiscal 2019 as well as forfeitures from the divestiture of the Wi-Fi Connectivity business in fiscal 2020.</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43" w:name="page44"/>
    <w:bookmarkEnd w:id="43"/>
    <w:p>
      <w:pPr>
        <w:ind w:left="460"/>
        <w:spacing w:after="0"/>
        <w:rPr>
          <w:sz w:val="20"/>
          <w:szCs w:val="20"/>
          <w:color w:val="auto"/>
        </w:rPr>
      </w:pPr>
      <w:r>
        <w:rPr>
          <w:rFonts w:ascii="Arial" w:cs="Arial" w:eastAsia="Arial" w:hAnsi="Arial"/>
          <w:sz w:val="18"/>
          <w:szCs w:val="18"/>
          <w:i w:val="1"/>
          <w:iCs w:val="1"/>
          <w:color w:val="auto"/>
        </w:rPr>
        <w:t>Restructuring and Other Related Charges</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2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gridSpan w:val="2"/>
          </w:tcPr>
          <w:p>
            <w:pPr>
              <w:jc w:val="center"/>
              <w:ind w:left="804"/>
              <w:spacing w:after="0"/>
              <w:rPr>
                <w:sz w:val="20"/>
                <w:szCs w:val="20"/>
                <w:color w:val="auto"/>
              </w:rPr>
            </w:pPr>
            <w:r>
              <w:rPr>
                <w:rFonts w:ascii="Arial" w:cs="Arial" w:eastAsia="Arial" w:hAnsi="Arial"/>
                <w:sz w:val="14"/>
                <w:szCs w:val="14"/>
                <w:b w:val="1"/>
                <w:bCs w:val="1"/>
                <w:color w:val="auto"/>
                <w:w w:val="93"/>
              </w:rPr>
              <w:t>Year Ended</w:t>
            </w:r>
          </w:p>
        </w:tc>
        <w:tc>
          <w:tcPr>
            <w:tcW w:w="1100" w:type="dxa"/>
            <w:vAlign w:val="bottom"/>
            <w:tcBorders>
              <w:bottom w:val="single" w:sz="8" w:color="auto"/>
            </w:tcBorders>
          </w:tcPr>
          <w:p>
            <w:pPr>
              <w:spacing w:after="0"/>
              <w:rPr>
                <w:sz w:val="16"/>
                <w:szCs w:val="16"/>
                <w:color w:val="auto"/>
              </w:rPr>
            </w:pPr>
          </w:p>
        </w:tc>
      </w:tr>
      <w:tr>
        <w:trPr>
          <w:trHeight w:val="152"/>
        </w:trPr>
        <w:tc>
          <w:tcPr>
            <w:tcW w:w="82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180" w:type="dxa"/>
            <w:vAlign w:val="bottom"/>
          </w:tcPr>
          <w:p>
            <w:pPr>
              <w:jc w:val="center"/>
              <w:ind w:right="144"/>
              <w:spacing w:after="0" w:line="153" w:lineRule="exact"/>
              <w:rPr>
                <w:sz w:val="20"/>
                <w:szCs w:val="20"/>
                <w:color w:val="auto"/>
              </w:rPr>
            </w:pPr>
            <w:r>
              <w:rPr>
                <w:rFonts w:ascii="Arial" w:cs="Arial" w:eastAsia="Arial" w:hAnsi="Arial"/>
                <w:sz w:val="14"/>
                <w:szCs w:val="14"/>
                <w:b w:val="1"/>
                <w:bCs w:val="1"/>
                <w:color w:val="auto"/>
                <w:w w:val="95"/>
              </w:rPr>
              <w:t>February 1,</w:t>
            </w:r>
          </w:p>
        </w:tc>
        <w:tc>
          <w:tcPr>
            <w:tcW w:w="460" w:type="dxa"/>
            <w:vAlign w:val="bottom"/>
          </w:tcPr>
          <w:p>
            <w:pPr>
              <w:spacing w:after="0"/>
              <w:rPr>
                <w:sz w:val="13"/>
                <w:szCs w:val="13"/>
                <w:color w:val="auto"/>
              </w:rPr>
            </w:pPr>
          </w:p>
        </w:tc>
        <w:tc>
          <w:tcPr>
            <w:tcW w:w="110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5"/>
              </w:rPr>
              <w:t>February 2,</w:t>
            </w:r>
          </w:p>
        </w:tc>
      </w:tr>
      <w:tr>
        <w:trPr>
          <w:trHeight w:val="192"/>
        </w:trPr>
        <w:tc>
          <w:tcPr>
            <w:tcW w:w="82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2020</w:t>
            </w:r>
          </w:p>
        </w:tc>
        <w:tc>
          <w:tcPr>
            <w:tcW w:w="4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502"/>
              <w:spacing w:after="0"/>
              <w:rPr>
                <w:sz w:val="20"/>
                <w:szCs w:val="20"/>
                <w:color w:val="auto"/>
              </w:rPr>
            </w:pPr>
            <w:r>
              <w:rPr>
                <w:rFonts w:ascii="Arial" w:cs="Arial" w:eastAsia="Arial" w:hAnsi="Arial"/>
                <w:sz w:val="14"/>
                <w:szCs w:val="14"/>
                <w:b w:val="1"/>
                <w:bCs w:val="1"/>
                <w:color w:val="auto"/>
              </w:rPr>
              <w:t>2019</w:t>
            </w:r>
          </w:p>
        </w:tc>
      </w:tr>
      <w:tr>
        <w:trPr>
          <w:trHeight w:val="196"/>
        </w:trPr>
        <w:tc>
          <w:tcPr>
            <w:tcW w:w="82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740" w:type="dxa"/>
            <w:vAlign w:val="bottom"/>
            <w:gridSpan w:val="3"/>
          </w:tcPr>
          <w:p>
            <w:pPr>
              <w:jc w:val="center"/>
              <w:ind w:right="142"/>
              <w:spacing w:after="0"/>
              <w:rPr>
                <w:sz w:val="20"/>
                <w:szCs w:val="20"/>
                <w:color w:val="auto"/>
              </w:rPr>
            </w:pPr>
            <w:r>
              <w:rPr>
                <w:rFonts w:ascii="Arial" w:cs="Arial" w:eastAsia="Arial" w:hAnsi="Arial"/>
                <w:sz w:val="14"/>
                <w:szCs w:val="14"/>
                <w:b w:val="1"/>
                <w:bCs w:val="1"/>
                <w:color w:val="auto"/>
                <w:w w:val="91"/>
              </w:rPr>
              <w:t>(in thousands)</w:t>
            </w:r>
          </w:p>
        </w:tc>
      </w:tr>
      <w:tr>
        <w:trPr>
          <w:trHeight w:val="249"/>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Restructuring related charges</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64"/>
              <w:spacing w:after="0"/>
              <w:rPr>
                <w:sz w:val="20"/>
                <w:szCs w:val="20"/>
                <w:color w:val="auto"/>
              </w:rPr>
            </w:pPr>
            <w:r>
              <w:rPr>
                <w:rFonts w:ascii="Arial" w:cs="Arial" w:eastAsia="Arial" w:hAnsi="Arial"/>
                <w:sz w:val="18"/>
                <w:szCs w:val="18"/>
                <w:color w:val="auto"/>
              </w:rPr>
              <w:t>55,328</w:t>
            </w:r>
          </w:p>
        </w:tc>
        <w:tc>
          <w:tcPr>
            <w:tcW w:w="46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ind w:right="82"/>
              <w:spacing w:after="0"/>
              <w:rPr>
                <w:sz w:val="20"/>
                <w:szCs w:val="20"/>
                <w:color w:val="auto"/>
              </w:rPr>
            </w:pPr>
            <w:r>
              <w:rPr>
                <w:rFonts w:ascii="Arial" w:cs="Arial" w:eastAsia="Arial" w:hAnsi="Arial"/>
                <w:sz w:val="18"/>
                <w:szCs w:val="18"/>
                <w:color w:val="auto"/>
              </w:rPr>
              <w:t>76,753</w:t>
            </w:r>
          </w:p>
        </w:tc>
      </w:tr>
      <w:tr>
        <w:trPr>
          <w:trHeight w:val="27"/>
        </w:trPr>
        <w:tc>
          <w:tcPr>
            <w:tcW w:w="826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180" w:type="dxa"/>
            <w:vAlign w:val="bottom"/>
            <w:shd w:val="clear" w:color="auto" w:fill="CCEEFF"/>
          </w:tcPr>
          <w:p>
            <w:pPr>
              <w:spacing w:after="0"/>
              <w:rPr>
                <w:sz w:val="2"/>
                <w:szCs w:val="2"/>
                <w:color w:val="auto"/>
              </w:rPr>
            </w:pPr>
          </w:p>
        </w:tc>
        <w:tc>
          <w:tcPr>
            <w:tcW w:w="460" w:type="dxa"/>
            <w:vAlign w:val="bottom"/>
            <w:shd w:val="clear" w:color="auto" w:fill="CCEEFF"/>
          </w:tcPr>
          <w:p>
            <w:pPr>
              <w:spacing w:after="0"/>
              <w:rPr>
                <w:sz w:val="2"/>
                <w:szCs w:val="2"/>
                <w:color w:val="auto"/>
              </w:rPr>
            </w:pPr>
          </w:p>
        </w:tc>
        <w:tc>
          <w:tcPr>
            <w:tcW w:w="1100" w:type="dxa"/>
            <w:vAlign w:val="bottom"/>
            <w:shd w:val="clear" w:color="auto" w:fill="CCEEFF"/>
          </w:tcPr>
          <w:p>
            <w:pPr>
              <w:spacing w:after="0"/>
              <w:rPr>
                <w:sz w:val="2"/>
                <w:szCs w:val="2"/>
                <w:color w:val="auto"/>
              </w:rPr>
            </w:pPr>
          </w:p>
        </w:tc>
      </w:tr>
    </w:tbl>
    <w:p>
      <w:pPr>
        <w:spacing w:after="0" w:line="337" w:lineRule="exact"/>
        <w:rPr>
          <w:sz w:val="20"/>
          <w:szCs w:val="20"/>
          <w:color w:val="auto"/>
        </w:rPr>
      </w:pPr>
    </w:p>
    <w:p>
      <w:pPr>
        <w:jc w:val="both"/>
        <w:ind w:right="280" w:firstLine="405"/>
        <w:spacing w:after="0" w:line="248" w:lineRule="auto"/>
        <w:rPr>
          <w:sz w:val="20"/>
          <w:szCs w:val="20"/>
          <w:color w:val="auto"/>
        </w:rPr>
      </w:pPr>
      <w:r>
        <w:rPr>
          <w:rFonts w:ascii="Arial" w:cs="Arial" w:eastAsia="Arial" w:hAnsi="Arial"/>
          <w:sz w:val="18"/>
          <w:szCs w:val="18"/>
          <w:color w:val="auto"/>
        </w:rPr>
        <w:t>We recorded total restructuring charges and other related charges of $55.3 million in fiscal 2020 as we integrate the newly acquired businesses and continue to evaluate our existing operations to increase operational efficiency, decrease costs and improve profitability. See “Note 6 - Restructuring and Other Related Charges” in the Notes to the Consolidated Financial Statements for further information.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Income</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7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40" w:type="dxa"/>
            <w:vAlign w:val="bottom"/>
            <w:tcBorders>
              <w:bottom w:val="single" w:sz="8" w:color="auto"/>
            </w:tcBorders>
          </w:tcPr>
          <w:p>
            <w:pPr>
              <w:spacing w:after="0"/>
              <w:rPr>
                <w:sz w:val="16"/>
                <w:szCs w:val="16"/>
                <w:color w:val="auto"/>
              </w:rPr>
            </w:pPr>
          </w:p>
        </w:tc>
        <w:tc>
          <w:tcPr>
            <w:tcW w:w="420" w:type="dxa"/>
            <w:vAlign w:val="bottom"/>
          </w:tcPr>
          <w:p>
            <w:pPr>
              <w:spacing w:after="0"/>
              <w:rPr>
                <w:sz w:val="16"/>
                <w:szCs w:val="16"/>
                <w:color w:val="auto"/>
              </w:rPr>
            </w:pPr>
          </w:p>
        </w:tc>
        <w:tc>
          <w:tcPr>
            <w:tcW w:w="1180" w:type="dxa"/>
            <w:vAlign w:val="bottom"/>
          </w:tcPr>
          <w:p>
            <w:pPr>
              <w:spacing w:after="0"/>
              <w:rPr>
                <w:sz w:val="16"/>
                <w:szCs w:val="16"/>
                <w:color w:val="auto"/>
              </w:rPr>
            </w:pPr>
          </w:p>
        </w:tc>
      </w:tr>
      <w:tr>
        <w:trPr>
          <w:trHeight w:val="153"/>
        </w:trPr>
        <w:tc>
          <w:tcPr>
            <w:tcW w:w="65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00" w:type="dxa"/>
            <w:vAlign w:val="bottom"/>
          </w:tcPr>
          <w:p>
            <w:pPr>
              <w:jc w:val="center"/>
              <w:ind w:right="202"/>
              <w:spacing w:after="0" w:line="153" w:lineRule="exact"/>
              <w:rPr>
                <w:sz w:val="20"/>
                <w:szCs w:val="20"/>
                <w:color w:val="auto"/>
              </w:rPr>
            </w:pPr>
            <w:r>
              <w:rPr>
                <w:rFonts w:ascii="Arial" w:cs="Arial" w:eastAsia="Arial" w:hAnsi="Arial"/>
                <w:sz w:val="14"/>
                <w:szCs w:val="14"/>
                <w:b w:val="1"/>
                <w:bCs w:val="1"/>
                <w:color w:val="auto"/>
                <w:w w:val="97"/>
              </w:rPr>
              <w:t>February 1,</w:t>
            </w:r>
          </w:p>
        </w:tc>
        <w:tc>
          <w:tcPr>
            <w:tcW w:w="420" w:type="dxa"/>
            <w:vAlign w:val="bottom"/>
          </w:tcPr>
          <w:p>
            <w:pPr>
              <w:spacing w:after="0"/>
              <w:rPr>
                <w:sz w:val="13"/>
                <w:szCs w:val="13"/>
                <w:color w:val="auto"/>
              </w:rPr>
            </w:pPr>
          </w:p>
        </w:tc>
        <w:tc>
          <w:tcPr>
            <w:tcW w:w="1560" w:type="dxa"/>
            <w:vAlign w:val="bottom"/>
            <w:gridSpan w:val="2"/>
          </w:tcPr>
          <w:p>
            <w:pPr>
              <w:jc w:val="center"/>
              <w:ind w:right="780"/>
              <w:spacing w:after="0" w:line="153" w:lineRule="exact"/>
              <w:rPr>
                <w:sz w:val="20"/>
                <w:szCs w:val="20"/>
                <w:color w:val="auto"/>
              </w:rPr>
            </w:pPr>
            <w:r>
              <w:rPr>
                <w:rFonts w:ascii="Arial" w:cs="Arial" w:eastAsia="Arial" w:hAnsi="Arial"/>
                <w:sz w:val="14"/>
                <w:szCs w:val="14"/>
                <w:b w:val="1"/>
                <w:bCs w:val="1"/>
                <w:color w:val="auto"/>
                <w:w w:val="97"/>
              </w:rPr>
              <w:t>February 2,</w:t>
            </w:r>
          </w:p>
        </w:tc>
        <w:tc>
          <w:tcPr>
            <w:tcW w:w="1180" w:type="dxa"/>
            <w:vAlign w:val="bottom"/>
          </w:tcPr>
          <w:p>
            <w:pPr>
              <w:jc w:val="center"/>
              <w:ind w:right="242"/>
              <w:spacing w:after="0" w:line="153" w:lineRule="exact"/>
              <w:rPr>
                <w:sz w:val="20"/>
                <w:szCs w:val="20"/>
                <w:color w:val="auto"/>
              </w:rPr>
            </w:pPr>
            <w:r>
              <w:rPr>
                <w:rFonts w:ascii="Arial" w:cs="Arial" w:eastAsia="Arial" w:hAnsi="Arial"/>
                <w:sz w:val="14"/>
                <w:szCs w:val="14"/>
                <w:b w:val="1"/>
                <w:bCs w:val="1"/>
                <w:color w:val="auto"/>
                <w:w w:val="97"/>
              </w:rPr>
              <w:t>% Change</w:t>
            </w:r>
          </w:p>
        </w:tc>
      </w:tr>
      <w:tr>
        <w:trPr>
          <w:trHeight w:val="192"/>
        </w:trPr>
        <w:tc>
          <w:tcPr>
            <w:tcW w:w="65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center"/>
              <w:ind w:right="202"/>
              <w:spacing w:after="0"/>
              <w:rPr>
                <w:sz w:val="20"/>
                <w:szCs w:val="20"/>
                <w:color w:val="auto"/>
              </w:rPr>
            </w:pPr>
            <w:r>
              <w:rPr>
                <w:rFonts w:ascii="Arial" w:cs="Arial" w:eastAsia="Arial" w:hAnsi="Arial"/>
                <w:sz w:val="14"/>
                <w:szCs w:val="14"/>
                <w:b w:val="1"/>
                <w:bCs w:val="1"/>
                <w:color w:val="auto"/>
                <w:w w:val="96"/>
              </w:rPr>
              <w:t>2020</w:t>
            </w:r>
          </w:p>
        </w:tc>
        <w:tc>
          <w:tcPr>
            <w:tcW w:w="4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279"/>
              <w:spacing w:after="0"/>
              <w:rPr>
                <w:sz w:val="20"/>
                <w:szCs w:val="20"/>
                <w:color w:val="auto"/>
              </w:rPr>
            </w:pPr>
            <w:r>
              <w:rPr>
                <w:rFonts w:ascii="Arial" w:cs="Arial" w:eastAsia="Arial" w:hAnsi="Arial"/>
                <w:sz w:val="14"/>
                <w:szCs w:val="14"/>
                <w:b w:val="1"/>
                <w:bCs w:val="1"/>
                <w:color w:val="auto"/>
                <w:w w:val="96"/>
              </w:rPr>
              <w:t>2019</w:t>
            </w:r>
          </w:p>
        </w:tc>
        <w:tc>
          <w:tcPr>
            <w:tcW w:w="4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242"/>
              <w:spacing w:after="0"/>
              <w:rPr>
                <w:sz w:val="20"/>
                <w:szCs w:val="20"/>
                <w:color w:val="auto"/>
              </w:rPr>
            </w:pPr>
            <w:r>
              <w:rPr>
                <w:rFonts w:ascii="Arial" w:cs="Arial" w:eastAsia="Arial" w:hAnsi="Arial"/>
                <w:sz w:val="14"/>
                <w:szCs w:val="14"/>
                <w:b w:val="1"/>
                <w:bCs w:val="1"/>
                <w:color w:val="auto"/>
                <w:w w:val="96"/>
              </w:rPr>
              <w:t>in 2020</w:t>
            </w:r>
          </w:p>
        </w:tc>
      </w:tr>
      <w:tr>
        <w:trPr>
          <w:trHeight w:val="196"/>
        </w:trPr>
        <w:tc>
          <w:tcPr>
            <w:tcW w:w="65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3280" w:type="dxa"/>
            <w:vAlign w:val="bottom"/>
            <w:gridSpan w:val="4"/>
          </w:tcPr>
          <w:p>
            <w:pPr>
              <w:jc w:val="center"/>
              <w:ind w:left="862"/>
              <w:spacing w:after="0"/>
              <w:rPr>
                <w:sz w:val="20"/>
                <w:szCs w:val="20"/>
                <w:color w:val="auto"/>
              </w:rPr>
            </w:pPr>
            <w:r>
              <w:rPr>
                <w:rFonts w:ascii="Arial" w:cs="Arial" w:eastAsia="Arial" w:hAnsi="Arial"/>
                <w:sz w:val="14"/>
                <w:szCs w:val="14"/>
                <w:b w:val="1"/>
                <w:bCs w:val="1"/>
                <w:color w:val="auto"/>
                <w:w w:val="89"/>
              </w:rPr>
              <w:t>(in thousands, except percentages)</w:t>
            </w:r>
          </w:p>
        </w:tc>
        <w:tc>
          <w:tcPr>
            <w:tcW w:w="1180" w:type="dxa"/>
            <w:vAlign w:val="bottom"/>
          </w:tcPr>
          <w:p>
            <w:pPr>
              <w:spacing w:after="0"/>
              <w:rPr>
                <w:sz w:val="17"/>
                <w:szCs w:val="17"/>
                <w:color w:val="auto"/>
              </w:rPr>
            </w:pPr>
          </w:p>
        </w:tc>
      </w:tr>
      <w:tr>
        <w:trPr>
          <w:trHeight w:val="256"/>
        </w:trPr>
        <w:tc>
          <w:tcPr>
            <w:tcW w:w="65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202"/>
              <w:spacing w:after="0"/>
              <w:rPr>
                <w:sz w:val="20"/>
                <w:szCs w:val="20"/>
                <w:color w:val="auto"/>
              </w:rPr>
            </w:pPr>
            <w:r>
              <w:rPr>
                <w:rFonts w:ascii="Arial" w:cs="Arial" w:eastAsia="Arial" w:hAnsi="Arial"/>
                <w:sz w:val="18"/>
                <w:szCs w:val="18"/>
                <w:color w:val="auto"/>
              </w:rPr>
              <w:t>4,816</w:t>
            </w:r>
          </w:p>
        </w:tc>
        <w:tc>
          <w:tcPr>
            <w:tcW w:w="42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11,926</w:t>
            </w:r>
          </w:p>
        </w:tc>
        <w:tc>
          <w:tcPr>
            <w:tcW w:w="42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(59.6)%</w:t>
            </w:r>
          </w:p>
        </w:tc>
      </w:tr>
      <w:tr>
        <w:trPr>
          <w:trHeight w:val="243"/>
        </w:trPr>
        <w:tc>
          <w:tcPr>
            <w:tcW w:w="65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0.2 %</w:t>
            </w:r>
          </w:p>
        </w:tc>
        <w:tc>
          <w:tcPr>
            <w:tcW w:w="42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0.4 %</w:t>
            </w:r>
          </w:p>
        </w:tc>
        <w:tc>
          <w:tcPr>
            <w:tcW w:w="420" w:type="dxa"/>
            <w:vAlign w:val="bottom"/>
          </w:tcPr>
          <w:p>
            <w:pPr>
              <w:spacing w:after="0"/>
              <w:rPr>
                <w:sz w:val="21"/>
                <w:szCs w:val="21"/>
                <w:color w:val="auto"/>
              </w:rPr>
            </w:pPr>
          </w:p>
        </w:tc>
        <w:tc>
          <w:tcPr>
            <w:tcW w:w="1180" w:type="dxa"/>
            <w:vAlign w:val="bottom"/>
          </w:tcPr>
          <w:p>
            <w:pPr>
              <w:spacing w:after="0"/>
              <w:rPr>
                <w:sz w:val="21"/>
                <w:szCs w:val="21"/>
                <w:color w:val="auto"/>
              </w:rPr>
            </w:pPr>
          </w:p>
        </w:tc>
      </w:tr>
      <w:tr>
        <w:trPr>
          <w:trHeight w:val="337"/>
        </w:trPr>
        <w:tc>
          <w:tcPr>
            <w:tcW w:w="11220" w:type="dxa"/>
            <w:vAlign w:val="bottom"/>
            <w:gridSpan w:val="7"/>
          </w:tcPr>
          <w:p>
            <w:pPr>
              <w:ind w:left="460"/>
              <w:spacing w:after="0"/>
              <w:rPr>
                <w:sz w:val="20"/>
                <w:szCs w:val="20"/>
                <w:color w:val="auto"/>
              </w:rPr>
            </w:pPr>
            <w:r>
              <w:rPr>
                <w:rFonts w:ascii="Arial" w:cs="Arial" w:eastAsia="Arial" w:hAnsi="Arial"/>
                <w:sz w:val="18"/>
                <w:szCs w:val="18"/>
                <w:color w:val="auto"/>
                <w:w w:val="97"/>
              </w:rPr>
              <w:t>Interest income decreased by $7.1 million in fiscal 2020 compared to fiscal 2019. The decrease in fiscal 2020 is primarily due to the sale of</w:t>
            </w:r>
          </w:p>
        </w:tc>
      </w:tr>
      <w:tr>
        <w:trPr>
          <w:trHeight w:val="230"/>
        </w:trPr>
        <w:tc>
          <w:tcPr>
            <w:tcW w:w="6520" w:type="dxa"/>
            <w:vAlign w:val="bottom"/>
          </w:tcPr>
          <w:p>
            <w:pPr>
              <w:spacing w:after="0"/>
              <w:rPr>
                <w:sz w:val="20"/>
                <w:szCs w:val="20"/>
                <w:color w:val="auto"/>
              </w:rPr>
            </w:pPr>
            <w:r>
              <w:rPr>
                <w:rFonts w:ascii="Arial" w:cs="Arial" w:eastAsia="Arial" w:hAnsi="Arial"/>
                <w:sz w:val="18"/>
                <w:szCs w:val="18"/>
                <w:color w:val="auto"/>
              </w:rPr>
              <w:t>investments in fiscal 2019.</w:t>
            </w:r>
          </w:p>
        </w:tc>
        <w:tc>
          <w:tcPr>
            <w:tcW w:w="24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180" w:type="dxa"/>
            <w:vAlign w:val="bottom"/>
          </w:tcPr>
          <w:p>
            <w:pPr>
              <w:spacing w:after="0"/>
              <w:rPr>
                <w:sz w:val="20"/>
                <w:szCs w:val="20"/>
                <w:color w:val="auto"/>
              </w:rPr>
            </w:pPr>
          </w:p>
        </w:tc>
      </w:tr>
      <w:tr>
        <w:trPr>
          <w:trHeight w:val="675"/>
        </w:trPr>
        <w:tc>
          <w:tcPr>
            <w:tcW w:w="6520" w:type="dxa"/>
            <w:vAlign w:val="bottom"/>
          </w:tcPr>
          <w:p>
            <w:pPr>
              <w:ind w:left="460"/>
              <w:spacing w:after="0"/>
              <w:rPr>
                <w:sz w:val="20"/>
                <w:szCs w:val="20"/>
                <w:color w:val="auto"/>
              </w:rPr>
            </w:pPr>
            <w:r>
              <w:rPr>
                <w:rFonts w:ascii="Arial" w:cs="Arial" w:eastAsia="Arial" w:hAnsi="Arial"/>
                <w:sz w:val="18"/>
                <w:szCs w:val="18"/>
                <w:i w:val="1"/>
                <w:iCs w:val="1"/>
                <w:color w:val="auto"/>
              </w:rPr>
              <w:t>Interest Expense</w:t>
            </w:r>
          </w:p>
        </w:tc>
        <w:tc>
          <w:tcPr>
            <w:tcW w:w="24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180" w:type="dxa"/>
            <w:vAlign w:val="bottom"/>
          </w:tcPr>
          <w:p>
            <w:pPr>
              <w:spacing w:after="0"/>
              <w:rPr>
                <w:sz w:val="24"/>
                <w:szCs w:val="24"/>
                <w:color w:val="auto"/>
              </w:rPr>
            </w:pPr>
          </w:p>
        </w:tc>
      </w:tr>
      <w:tr>
        <w:trPr>
          <w:trHeight w:val="331"/>
        </w:trPr>
        <w:tc>
          <w:tcPr>
            <w:tcW w:w="6520" w:type="dxa"/>
            <w:vAlign w:val="bottom"/>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4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1180" w:type="dxa"/>
            <w:vAlign w:val="bottom"/>
          </w:tcPr>
          <w:p>
            <w:pPr>
              <w:spacing w:after="0"/>
              <w:rPr>
                <w:sz w:val="24"/>
                <w:szCs w:val="24"/>
                <w:color w:val="auto"/>
              </w:rPr>
            </w:pPr>
          </w:p>
        </w:tc>
      </w:tr>
      <w:tr>
        <w:trPr>
          <w:trHeight w:val="153"/>
        </w:trPr>
        <w:tc>
          <w:tcPr>
            <w:tcW w:w="65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00" w:type="dxa"/>
            <w:vAlign w:val="bottom"/>
          </w:tcPr>
          <w:p>
            <w:pPr>
              <w:jc w:val="center"/>
              <w:ind w:right="222"/>
              <w:spacing w:after="0" w:line="153" w:lineRule="exact"/>
              <w:rPr>
                <w:sz w:val="20"/>
                <w:szCs w:val="20"/>
                <w:color w:val="auto"/>
              </w:rPr>
            </w:pPr>
            <w:r>
              <w:rPr>
                <w:rFonts w:ascii="Arial" w:cs="Arial" w:eastAsia="Arial" w:hAnsi="Arial"/>
                <w:sz w:val="14"/>
                <w:szCs w:val="14"/>
                <w:b w:val="1"/>
                <w:bCs w:val="1"/>
                <w:color w:val="auto"/>
                <w:w w:val="95"/>
              </w:rPr>
              <w:t>February 1,</w:t>
            </w:r>
          </w:p>
        </w:tc>
        <w:tc>
          <w:tcPr>
            <w:tcW w:w="420" w:type="dxa"/>
            <w:vAlign w:val="bottom"/>
          </w:tcPr>
          <w:p>
            <w:pPr>
              <w:spacing w:after="0"/>
              <w:rPr>
                <w:sz w:val="13"/>
                <w:szCs w:val="13"/>
                <w:color w:val="auto"/>
              </w:rPr>
            </w:pPr>
          </w:p>
        </w:tc>
        <w:tc>
          <w:tcPr>
            <w:tcW w:w="1560" w:type="dxa"/>
            <w:vAlign w:val="bottom"/>
            <w:gridSpan w:val="2"/>
          </w:tcPr>
          <w:p>
            <w:pPr>
              <w:jc w:val="center"/>
              <w:ind w:right="780"/>
              <w:spacing w:after="0" w:line="153" w:lineRule="exact"/>
              <w:rPr>
                <w:sz w:val="20"/>
                <w:szCs w:val="20"/>
                <w:color w:val="auto"/>
              </w:rPr>
            </w:pPr>
            <w:r>
              <w:rPr>
                <w:rFonts w:ascii="Arial" w:cs="Arial" w:eastAsia="Arial" w:hAnsi="Arial"/>
                <w:sz w:val="14"/>
                <w:szCs w:val="14"/>
                <w:b w:val="1"/>
                <w:bCs w:val="1"/>
                <w:color w:val="auto"/>
                <w:w w:val="97"/>
              </w:rPr>
              <w:t>February 2,</w:t>
            </w:r>
          </w:p>
        </w:tc>
        <w:tc>
          <w:tcPr>
            <w:tcW w:w="1180" w:type="dxa"/>
            <w:vAlign w:val="bottom"/>
          </w:tcPr>
          <w:p>
            <w:pPr>
              <w:jc w:val="center"/>
              <w:ind w:right="242"/>
              <w:spacing w:after="0" w:line="153" w:lineRule="exact"/>
              <w:rPr>
                <w:sz w:val="20"/>
                <w:szCs w:val="20"/>
                <w:color w:val="auto"/>
              </w:rPr>
            </w:pPr>
            <w:r>
              <w:rPr>
                <w:rFonts w:ascii="Arial" w:cs="Arial" w:eastAsia="Arial" w:hAnsi="Arial"/>
                <w:sz w:val="14"/>
                <w:szCs w:val="14"/>
                <w:b w:val="1"/>
                <w:bCs w:val="1"/>
                <w:color w:val="auto"/>
                <w:w w:val="97"/>
              </w:rPr>
              <w:t>% Change</w:t>
            </w:r>
          </w:p>
        </w:tc>
      </w:tr>
      <w:tr>
        <w:trPr>
          <w:trHeight w:val="192"/>
        </w:trPr>
        <w:tc>
          <w:tcPr>
            <w:tcW w:w="65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center"/>
              <w:ind w:right="222"/>
              <w:spacing w:after="0"/>
              <w:rPr>
                <w:sz w:val="20"/>
                <w:szCs w:val="20"/>
                <w:color w:val="auto"/>
              </w:rPr>
            </w:pPr>
            <w:r>
              <w:rPr>
                <w:rFonts w:ascii="Arial" w:cs="Arial" w:eastAsia="Arial" w:hAnsi="Arial"/>
                <w:sz w:val="14"/>
                <w:szCs w:val="14"/>
                <w:b w:val="1"/>
                <w:bCs w:val="1"/>
                <w:color w:val="auto"/>
                <w:w w:val="89"/>
              </w:rPr>
              <w:t>2020</w:t>
            </w:r>
          </w:p>
        </w:tc>
        <w:tc>
          <w:tcPr>
            <w:tcW w:w="4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279"/>
              <w:spacing w:after="0"/>
              <w:rPr>
                <w:sz w:val="20"/>
                <w:szCs w:val="20"/>
                <w:color w:val="auto"/>
              </w:rPr>
            </w:pPr>
            <w:r>
              <w:rPr>
                <w:rFonts w:ascii="Arial" w:cs="Arial" w:eastAsia="Arial" w:hAnsi="Arial"/>
                <w:sz w:val="14"/>
                <w:szCs w:val="14"/>
                <w:b w:val="1"/>
                <w:bCs w:val="1"/>
                <w:color w:val="auto"/>
                <w:w w:val="96"/>
              </w:rPr>
              <w:t>2019</w:t>
            </w:r>
          </w:p>
        </w:tc>
        <w:tc>
          <w:tcPr>
            <w:tcW w:w="4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242"/>
              <w:spacing w:after="0"/>
              <w:rPr>
                <w:sz w:val="20"/>
                <w:szCs w:val="20"/>
                <w:color w:val="auto"/>
              </w:rPr>
            </w:pPr>
            <w:r>
              <w:rPr>
                <w:rFonts w:ascii="Arial" w:cs="Arial" w:eastAsia="Arial" w:hAnsi="Arial"/>
                <w:sz w:val="14"/>
                <w:szCs w:val="14"/>
                <w:b w:val="1"/>
                <w:bCs w:val="1"/>
                <w:color w:val="auto"/>
                <w:w w:val="96"/>
              </w:rPr>
              <w:t>in 2020</w:t>
            </w:r>
          </w:p>
        </w:tc>
      </w:tr>
      <w:tr>
        <w:trPr>
          <w:trHeight w:val="196"/>
        </w:trPr>
        <w:tc>
          <w:tcPr>
            <w:tcW w:w="65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3280" w:type="dxa"/>
            <w:vAlign w:val="bottom"/>
            <w:gridSpan w:val="4"/>
          </w:tcPr>
          <w:p>
            <w:pPr>
              <w:jc w:val="center"/>
              <w:ind w:left="862"/>
              <w:spacing w:after="0"/>
              <w:rPr>
                <w:sz w:val="20"/>
                <w:szCs w:val="20"/>
                <w:color w:val="auto"/>
              </w:rPr>
            </w:pPr>
            <w:r>
              <w:rPr>
                <w:rFonts w:ascii="Arial" w:cs="Arial" w:eastAsia="Arial" w:hAnsi="Arial"/>
                <w:sz w:val="14"/>
                <w:szCs w:val="14"/>
                <w:b w:val="1"/>
                <w:bCs w:val="1"/>
                <w:color w:val="auto"/>
                <w:w w:val="89"/>
              </w:rPr>
              <w:t>(in thousands, except percentages)</w:t>
            </w:r>
          </w:p>
        </w:tc>
        <w:tc>
          <w:tcPr>
            <w:tcW w:w="1180" w:type="dxa"/>
            <w:vAlign w:val="bottom"/>
          </w:tcPr>
          <w:p>
            <w:pPr>
              <w:spacing w:after="0"/>
              <w:rPr>
                <w:sz w:val="17"/>
                <w:szCs w:val="17"/>
                <w:color w:val="auto"/>
              </w:rPr>
            </w:pPr>
          </w:p>
        </w:tc>
      </w:tr>
      <w:tr>
        <w:trPr>
          <w:trHeight w:val="256"/>
        </w:trPr>
        <w:tc>
          <w:tcPr>
            <w:tcW w:w="65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300" w:type="dxa"/>
            <w:vAlign w:val="bottom"/>
            <w:tcBorders>
              <w:bottom w:val="single" w:sz="8" w:color="CCEEFF"/>
            </w:tcBorders>
            <w:shd w:val="clear" w:color="auto" w:fill="CCEEFF"/>
          </w:tcPr>
          <w:p>
            <w:pPr>
              <w:jc w:val="right"/>
              <w:ind w:right="162"/>
              <w:spacing w:after="0"/>
              <w:rPr>
                <w:sz w:val="20"/>
                <w:szCs w:val="20"/>
                <w:color w:val="auto"/>
              </w:rPr>
            </w:pPr>
            <w:r>
              <w:rPr>
                <w:rFonts w:ascii="Arial" w:cs="Arial" w:eastAsia="Arial" w:hAnsi="Arial"/>
                <w:sz w:val="18"/>
                <w:szCs w:val="18"/>
                <w:color w:val="auto"/>
              </w:rPr>
              <w:t>(85,631)</w:t>
            </w:r>
          </w:p>
        </w:tc>
        <w:tc>
          <w:tcPr>
            <w:tcW w:w="42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ind w:right="99"/>
              <w:spacing w:after="0"/>
              <w:rPr>
                <w:sz w:val="20"/>
                <w:szCs w:val="20"/>
                <w:color w:val="auto"/>
              </w:rPr>
            </w:pPr>
            <w:r>
              <w:rPr>
                <w:rFonts w:ascii="Arial" w:cs="Arial" w:eastAsia="Arial" w:hAnsi="Arial"/>
                <w:sz w:val="18"/>
                <w:szCs w:val="18"/>
                <w:color w:val="auto"/>
              </w:rPr>
              <w:t>(60,362)</w:t>
            </w:r>
          </w:p>
        </w:tc>
        <w:tc>
          <w:tcPr>
            <w:tcW w:w="42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41.9 %</w:t>
            </w:r>
          </w:p>
        </w:tc>
      </w:tr>
      <w:tr>
        <w:trPr>
          <w:trHeight w:val="243"/>
        </w:trPr>
        <w:tc>
          <w:tcPr>
            <w:tcW w:w="65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(3.2)%</w:t>
            </w:r>
          </w:p>
        </w:tc>
        <w:tc>
          <w:tcPr>
            <w:tcW w:w="42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(2.1)%</w:t>
            </w:r>
          </w:p>
        </w:tc>
        <w:tc>
          <w:tcPr>
            <w:tcW w:w="420" w:type="dxa"/>
            <w:vAlign w:val="bottom"/>
          </w:tcPr>
          <w:p>
            <w:pPr>
              <w:spacing w:after="0"/>
              <w:rPr>
                <w:sz w:val="21"/>
                <w:szCs w:val="21"/>
                <w:color w:val="auto"/>
              </w:rPr>
            </w:pPr>
          </w:p>
        </w:tc>
        <w:tc>
          <w:tcPr>
            <w:tcW w:w="1180" w:type="dxa"/>
            <w:vAlign w:val="bottom"/>
          </w:tcPr>
          <w:p>
            <w:pPr>
              <w:spacing w:after="0"/>
              <w:rPr>
                <w:sz w:val="21"/>
                <w:szCs w:val="21"/>
                <w:color w:val="auto"/>
              </w:rPr>
            </w:pPr>
          </w:p>
        </w:tc>
      </w:tr>
    </w:tbl>
    <w:p>
      <w:pPr>
        <w:spacing w:after="0" w:line="121" w:lineRule="exact"/>
        <w:rPr>
          <w:sz w:val="20"/>
          <w:szCs w:val="20"/>
          <w:color w:val="auto"/>
        </w:rPr>
      </w:pPr>
    </w:p>
    <w:p>
      <w:pPr>
        <w:ind w:right="260" w:firstLine="445"/>
        <w:spacing w:after="0" w:line="342" w:lineRule="auto"/>
        <w:rPr>
          <w:sz w:val="20"/>
          <w:szCs w:val="20"/>
          <w:color w:val="auto"/>
        </w:rPr>
      </w:pPr>
      <w:r>
        <w:rPr>
          <w:rFonts w:ascii="Arial" w:cs="Arial" w:eastAsia="Arial" w:hAnsi="Arial"/>
          <w:sz w:val="16"/>
          <w:szCs w:val="16"/>
          <w:color w:val="auto"/>
        </w:rPr>
        <w:t>Interest expense increased by $25.3 million in fiscal 2020 compared to fiscal 2019. The increase in fiscal 2020 is primarily due to interest expense incurred for a full year in fiscal 2020 resulting from the issuance of our 2023 Notes, 2028 Notes and amounts borrowed under our credit agreement.</w:t>
      </w:r>
    </w:p>
    <w:p>
      <w:pPr>
        <w:spacing w:after="0" w:line="36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Other Income, net</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60" w:type="dxa"/>
            <w:vAlign w:val="bottom"/>
            <w:tcBorders>
              <w:bottom w:val="single" w:sz="8" w:color="auto"/>
            </w:tcBorders>
          </w:tcPr>
          <w:p>
            <w:pPr>
              <w:spacing w:after="0"/>
              <w:rPr>
                <w:sz w:val="16"/>
                <w:szCs w:val="16"/>
                <w:color w:val="auto"/>
              </w:rPr>
            </w:pPr>
          </w:p>
        </w:tc>
        <w:tc>
          <w:tcPr>
            <w:tcW w:w="360" w:type="dxa"/>
            <w:vAlign w:val="bottom"/>
          </w:tcPr>
          <w:p>
            <w:pPr>
              <w:spacing w:after="0"/>
              <w:rPr>
                <w:sz w:val="16"/>
                <w:szCs w:val="16"/>
                <w:color w:val="auto"/>
              </w:rPr>
            </w:pPr>
          </w:p>
        </w:tc>
        <w:tc>
          <w:tcPr>
            <w:tcW w:w="1160" w:type="dxa"/>
            <w:vAlign w:val="bottom"/>
          </w:tcPr>
          <w:p>
            <w:pPr>
              <w:spacing w:after="0"/>
              <w:rPr>
                <w:sz w:val="16"/>
                <w:szCs w:val="16"/>
                <w:color w:val="auto"/>
              </w:rPr>
            </w:pPr>
          </w:p>
        </w:tc>
      </w:tr>
      <w:tr>
        <w:trPr>
          <w:trHeight w:val="153"/>
        </w:trPr>
        <w:tc>
          <w:tcPr>
            <w:tcW w:w="65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00" w:type="dxa"/>
            <w:vAlign w:val="bottom"/>
          </w:tcPr>
          <w:p>
            <w:pPr>
              <w:jc w:val="right"/>
              <w:ind w:right="362"/>
              <w:spacing w:after="0" w:line="153" w:lineRule="exact"/>
              <w:rPr>
                <w:sz w:val="20"/>
                <w:szCs w:val="20"/>
                <w:color w:val="auto"/>
              </w:rPr>
            </w:pPr>
            <w:r>
              <w:rPr>
                <w:rFonts w:ascii="Arial" w:cs="Arial" w:eastAsia="Arial" w:hAnsi="Arial"/>
                <w:sz w:val="14"/>
                <w:szCs w:val="14"/>
                <w:b w:val="1"/>
                <w:bCs w:val="1"/>
                <w:color w:val="auto"/>
              </w:rPr>
              <w:t>February 1,</w:t>
            </w:r>
          </w:p>
        </w:tc>
        <w:tc>
          <w:tcPr>
            <w:tcW w:w="400" w:type="dxa"/>
            <w:vAlign w:val="bottom"/>
          </w:tcPr>
          <w:p>
            <w:pPr>
              <w:spacing w:after="0"/>
              <w:rPr>
                <w:sz w:val="13"/>
                <w:szCs w:val="13"/>
                <w:color w:val="auto"/>
              </w:rPr>
            </w:pPr>
          </w:p>
        </w:tc>
        <w:tc>
          <w:tcPr>
            <w:tcW w:w="1520" w:type="dxa"/>
            <w:vAlign w:val="bottom"/>
            <w:gridSpan w:val="2"/>
          </w:tcPr>
          <w:p>
            <w:pPr>
              <w:jc w:val="center"/>
              <w:ind w:right="700"/>
              <w:spacing w:after="0" w:line="153" w:lineRule="exact"/>
              <w:rPr>
                <w:sz w:val="20"/>
                <w:szCs w:val="20"/>
                <w:color w:val="auto"/>
              </w:rPr>
            </w:pPr>
            <w:r>
              <w:rPr>
                <w:rFonts w:ascii="Arial" w:cs="Arial" w:eastAsia="Arial" w:hAnsi="Arial"/>
                <w:sz w:val="14"/>
                <w:szCs w:val="14"/>
                <w:b w:val="1"/>
                <w:bCs w:val="1"/>
                <w:color w:val="auto"/>
                <w:w w:val="97"/>
              </w:rPr>
              <w:t>February 2,</w:t>
            </w:r>
          </w:p>
        </w:tc>
        <w:tc>
          <w:tcPr>
            <w:tcW w:w="1160" w:type="dxa"/>
            <w:vAlign w:val="bottom"/>
          </w:tcPr>
          <w:p>
            <w:pPr>
              <w:jc w:val="center"/>
              <w:ind w:right="182"/>
              <w:spacing w:after="0" w:line="153" w:lineRule="exact"/>
              <w:rPr>
                <w:sz w:val="20"/>
                <w:szCs w:val="20"/>
                <w:color w:val="auto"/>
              </w:rPr>
            </w:pPr>
            <w:r>
              <w:rPr>
                <w:rFonts w:ascii="Arial" w:cs="Arial" w:eastAsia="Arial" w:hAnsi="Arial"/>
                <w:sz w:val="14"/>
                <w:szCs w:val="14"/>
                <w:b w:val="1"/>
                <w:bCs w:val="1"/>
                <w:color w:val="auto"/>
                <w:w w:val="97"/>
              </w:rPr>
              <w:t>% Change</w:t>
            </w:r>
          </w:p>
        </w:tc>
      </w:tr>
      <w:tr>
        <w:trPr>
          <w:trHeight w:val="192"/>
        </w:trPr>
        <w:tc>
          <w:tcPr>
            <w:tcW w:w="65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right"/>
              <w:ind w:right="582"/>
              <w:spacing w:after="0"/>
              <w:rPr>
                <w:sz w:val="20"/>
                <w:szCs w:val="20"/>
                <w:color w:val="auto"/>
              </w:rPr>
            </w:pPr>
            <w:r>
              <w:rPr>
                <w:rFonts w:ascii="Arial" w:cs="Arial" w:eastAsia="Arial" w:hAnsi="Arial"/>
                <w:sz w:val="14"/>
                <w:szCs w:val="14"/>
                <w:b w:val="1"/>
                <w:bCs w:val="1"/>
                <w:color w:val="auto"/>
              </w:rPr>
              <w:t>2020</w:t>
            </w:r>
          </w:p>
        </w:tc>
        <w:tc>
          <w:tcPr>
            <w:tcW w:w="4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2019</w:t>
            </w:r>
          </w:p>
        </w:tc>
        <w:tc>
          <w:tcPr>
            <w:tcW w:w="3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center"/>
              <w:ind w:right="182"/>
              <w:spacing w:after="0"/>
              <w:rPr>
                <w:sz w:val="20"/>
                <w:szCs w:val="20"/>
                <w:color w:val="auto"/>
              </w:rPr>
            </w:pPr>
            <w:r>
              <w:rPr>
                <w:rFonts w:ascii="Arial" w:cs="Arial" w:eastAsia="Arial" w:hAnsi="Arial"/>
                <w:sz w:val="14"/>
                <w:szCs w:val="14"/>
                <w:b w:val="1"/>
                <w:bCs w:val="1"/>
                <w:color w:val="auto"/>
                <w:w w:val="96"/>
              </w:rPr>
              <w:t>in 2020</w:t>
            </w:r>
          </w:p>
        </w:tc>
      </w:tr>
      <w:tr>
        <w:trPr>
          <w:trHeight w:val="196"/>
        </w:trPr>
        <w:tc>
          <w:tcPr>
            <w:tcW w:w="65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3220" w:type="dxa"/>
            <w:vAlign w:val="bottom"/>
            <w:gridSpan w:val="4"/>
          </w:tcPr>
          <w:p>
            <w:pPr>
              <w:ind w:left="1000"/>
              <w:spacing w:after="0"/>
              <w:rPr>
                <w:sz w:val="20"/>
                <w:szCs w:val="20"/>
                <w:color w:val="auto"/>
              </w:rPr>
            </w:pPr>
            <w:r>
              <w:rPr>
                <w:rFonts w:ascii="Arial" w:cs="Arial" w:eastAsia="Arial" w:hAnsi="Arial"/>
                <w:sz w:val="14"/>
                <w:szCs w:val="14"/>
                <w:b w:val="1"/>
                <w:bCs w:val="1"/>
                <w:color w:val="auto"/>
                <w:w w:val="93"/>
              </w:rPr>
              <w:t>(in thousands, except percentages)</w:t>
            </w:r>
          </w:p>
        </w:tc>
        <w:tc>
          <w:tcPr>
            <w:tcW w:w="1160" w:type="dxa"/>
            <w:vAlign w:val="bottom"/>
          </w:tcPr>
          <w:p>
            <w:pPr>
              <w:spacing w:after="0"/>
              <w:rPr>
                <w:sz w:val="17"/>
                <w:szCs w:val="17"/>
                <w:color w:val="auto"/>
              </w:rPr>
            </w:pPr>
          </w:p>
        </w:tc>
      </w:tr>
      <w:tr>
        <w:trPr>
          <w:trHeight w:val="256"/>
        </w:trPr>
        <w:tc>
          <w:tcPr>
            <w:tcW w:w="65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income, net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202"/>
              <w:spacing w:after="0"/>
              <w:rPr>
                <w:sz w:val="20"/>
                <w:szCs w:val="20"/>
                <w:color w:val="auto"/>
              </w:rPr>
            </w:pPr>
            <w:r>
              <w:rPr>
                <w:rFonts w:ascii="Arial" w:cs="Arial" w:eastAsia="Arial" w:hAnsi="Arial"/>
                <w:sz w:val="18"/>
                <w:szCs w:val="18"/>
                <w:color w:val="auto"/>
              </w:rPr>
              <w:t>1,122,555</w:t>
            </w:r>
          </w:p>
        </w:tc>
        <w:tc>
          <w:tcPr>
            <w:tcW w:w="40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519</w:t>
            </w:r>
          </w:p>
        </w:tc>
        <w:tc>
          <w:tcPr>
            <w:tcW w:w="36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662"/>
              <w:spacing w:after="0"/>
              <w:rPr>
                <w:sz w:val="20"/>
                <w:szCs w:val="20"/>
                <w:color w:val="auto"/>
              </w:rPr>
            </w:pPr>
            <w:r>
              <w:rPr>
                <w:rFonts w:ascii="Arial" w:cs="Arial" w:eastAsia="Arial" w:hAnsi="Arial"/>
                <w:sz w:val="18"/>
                <w:szCs w:val="18"/>
                <w:color w:val="auto"/>
              </w:rPr>
              <w:t>*</w:t>
            </w:r>
          </w:p>
        </w:tc>
      </w:tr>
      <w:tr>
        <w:trPr>
          <w:trHeight w:val="243"/>
        </w:trPr>
        <w:tc>
          <w:tcPr>
            <w:tcW w:w="65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41.6 %</w:t>
            </w:r>
          </w:p>
        </w:tc>
        <w:tc>
          <w:tcPr>
            <w:tcW w:w="400" w:type="dxa"/>
            <w:vAlign w:val="bottom"/>
          </w:tcPr>
          <w:p>
            <w:pPr>
              <w:spacing w:after="0"/>
              <w:rPr>
                <w:sz w:val="21"/>
                <w:szCs w:val="21"/>
                <w:color w:val="auto"/>
              </w:rPr>
            </w:pPr>
          </w:p>
        </w:tc>
        <w:tc>
          <w:tcPr>
            <w:tcW w:w="1520" w:type="dxa"/>
            <w:vAlign w:val="bottom"/>
            <w:gridSpan w:val="2"/>
          </w:tcPr>
          <w:p>
            <w:pPr>
              <w:ind w:left="740"/>
              <w:spacing w:after="0"/>
              <w:rPr>
                <w:sz w:val="20"/>
                <w:szCs w:val="20"/>
                <w:color w:val="auto"/>
              </w:rPr>
            </w:pPr>
            <w:r>
              <w:rPr>
                <w:rFonts w:ascii="Arial" w:cs="Arial" w:eastAsia="Arial" w:hAnsi="Arial"/>
                <w:sz w:val="18"/>
                <w:szCs w:val="18"/>
                <w:color w:val="auto"/>
              </w:rPr>
              <w:t>— %</w:t>
            </w:r>
          </w:p>
        </w:tc>
        <w:tc>
          <w:tcPr>
            <w:tcW w:w="1160" w:type="dxa"/>
            <w:vAlign w:val="bottom"/>
          </w:tcPr>
          <w:p>
            <w:pPr>
              <w:spacing w:after="0"/>
              <w:rPr>
                <w:sz w:val="21"/>
                <w:szCs w:val="21"/>
                <w:color w:val="auto"/>
              </w:rPr>
            </w:pPr>
          </w:p>
        </w:tc>
      </w:tr>
      <w:tr>
        <w:trPr>
          <w:trHeight w:val="351"/>
        </w:trPr>
        <w:tc>
          <w:tcPr>
            <w:tcW w:w="6580" w:type="dxa"/>
            <w:vAlign w:val="bottom"/>
          </w:tcPr>
          <w:p>
            <w:pPr>
              <w:spacing w:after="0"/>
              <w:rPr>
                <w:sz w:val="20"/>
                <w:szCs w:val="20"/>
                <w:color w:val="auto"/>
              </w:rPr>
            </w:pPr>
            <w:r>
              <w:rPr>
                <w:rFonts w:ascii="Arial" w:cs="Arial" w:eastAsia="Arial" w:hAnsi="Arial"/>
                <w:sz w:val="18"/>
                <w:szCs w:val="18"/>
                <w:color w:val="auto"/>
              </w:rPr>
              <w:t>*Not meaningful</w:t>
            </w:r>
          </w:p>
        </w:tc>
        <w:tc>
          <w:tcPr>
            <w:tcW w:w="26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160" w:type="dxa"/>
            <w:vAlign w:val="bottom"/>
          </w:tcPr>
          <w:p>
            <w:pPr>
              <w:spacing w:after="0"/>
              <w:rPr>
                <w:sz w:val="24"/>
                <w:szCs w:val="24"/>
                <w:color w:val="auto"/>
              </w:rPr>
            </w:pPr>
          </w:p>
        </w:tc>
      </w:tr>
    </w:tbl>
    <w:p>
      <w:pPr>
        <w:spacing w:after="0" w:line="94" w:lineRule="exact"/>
        <w:rPr>
          <w:sz w:val="20"/>
          <w:szCs w:val="20"/>
          <w:color w:val="auto"/>
        </w:rPr>
      </w:pPr>
    </w:p>
    <w:p>
      <w:pPr>
        <w:ind w:right="140" w:firstLine="445"/>
        <w:spacing w:after="0" w:line="277" w:lineRule="auto"/>
        <w:rPr>
          <w:sz w:val="20"/>
          <w:szCs w:val="20"/>
          <w:color w:val="auto"/>
        </w:rPr>
      </w:pPr>
      <w:r>
        <w:rPr>
          <w:rFonts w:ascii="Arial" w:cs="Arial" w:eastAsia="Arial" w:hAnsi="Arial"/>
          <w:sz w:val="18"/>
          <w:szCs w:val="18"/>
          <w:color w:val="auto"/>
        </w:rPr>
        <w:t>Other income increased by $1.1 billion in fiscal 2020 compared to fiscal 2019. The increase in fiscal 2020 is primarily due to the gain on sale of the Wi-Fi Connectivity business in fiscal 2020.</w:t>
      </w:r>
    </w:p>
    <w:p>
      <w:pPr>
        <w:sectPr>
          <w:pgSz w:w="11900" w:h="16838" w:orient="portrait"/>
          <w:cols w:equalWidth="0" w:num="1">
            <w:col w:w="11240"/>
          </w:cols>
          <w:pgMar w:left="320" w:top="1394"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type w:val="continuous"/>
        </w:sectPr>
      </w:pPr>
    </w:p>
    <w:bookmarkStart w:id="44" w:name="page45"/>
    <w:bookmarkEnd w:id="44"/>
    <w:p>
      <w:pPr>
        <w:ind w:left="460"/>
        <w:spacing w:after="0"/>
        <w:rPr>
          <w:sz w:val="20"/>
          <w:szCs w:val="20"/>
          <w:color w:val="auto"/>
        </w:rPr>
      </w:pPr>
      <w:r>
        <w:rPr>
          <w:rFonts w:ascii="Arial" w:cs="Arial" w:eastAsia="Arial" w:hAnsi="Arial"/>
          <w:sz w:val="18"/>
          <w:szCs w:val="18"/>
          <w:i w:val="1"/>
          <w:iCs w:val="1"/>
          <w:color w:val="auto"/>
        </w:rPr>
        <w:t>Provision for Income Taxes</w:t>
      </w:r>
    </w:p>
    <w:p>
      <w:pPr>
        <w:spacing w:after="0" w:line="5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6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0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180" w:type="dxa"/>
            <w:vAlign w:val="bottom"/>
          </w:tcPr>
          <w:p>
            <w:pPr>
              <w:spacing w:after="0"/>
              <w:rPr>
                <w:sz w:val="16"/>
                <w:szCs w:val="16"/>
                <w:color w:val="auto"/>
              </w:rPr>
            </w:pPr>
          </w:p>
        </w:tc>
      </w:tr>
      <w:tr>
        <w:trPr>
          <w:trHeight w:val="153"/>
        </w:trPr>
        <w:tc>
          <w:tcPr>
            <w:tcW w:w="6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220" w:type="dxa"/>
            <w:vAlign w:val="bottom"/>
          </w:tcPr>
          <w:p>
            <w:pPr>
              <w:jc w:val="center"/>
              <w:ind w:right="164"/>
              <w:spacing w:after="0" w:line="153" w:lineRule="exact"/>
              <w:rPr>
                <w:sz w:val="20"/>
                <w:szCs w:val="20"/>
                <w:color w:val="auto"/>
              </w:rPr>
            </w:pPr>
            <w:r>
              <w:rPr>
                <w:rFonts w:ascii="Arial" w:cs="Arial" w:eastAsia="Arial" w:hAnsi="Arial"/>
                <w:sz w:val="14"/>
                <w:szCs w:val="14"/>
                <w:b w:val="1"/>
                <w:bCs w:val="1"/>
                <w:color w:val="auto"/>
                <w:w w:val="97"/>
              </w:rPr>
              <w:t>February 1,</w:t>
            </w:r>
          </w:p>
        </w:tc>
        <w:tc>
          <w:tcPr>
            <w:tcW w:w="420" w:type="dxa"/>
            <w:vAlign w:val="bottom"/>
          </w:tcPr>
          <w:p>
            <w:pPr>
              <w:spacing w:after="0"/>
              <w:rPr>
                <w:sz w:val="13"/>
                <w:szCs w:val="13"/>
                <w:color w:val="auto"/>
              </w:rPr>
            </w:pPr>
          </w:p>
        </w:tc>
        <w:tc>
          <w:tcPr>
            <w:tcW w:w="1540" w:type="dxa"/>
            <w:vAlign w:val="bottom"/>
            <w:gridSpan w:val="2"/>
          </w:tcPr>
          <w:p>
            <w:pPr>
              <w:jc w:val="center"/>
              <w:ind w:right="760"/>
              <w:spacing w:after="0" w:line="153" w:lineRule="exact"/>
              <w:rPr>
                <w:sz w:val="20"/>
                <w:szCs w:val="20"/>
                <w:color w:val="auto"/>
              </w:rPr>
            </w:pPr>
            <w:r>
              <w:rPr>
                <w:rFonts w:ascii="Arial" w:cs="Arial" w:eastAsia="Arial" w:hAnsi="Arial"/>
                <w:sz w:val="14"/>
                <w:szCs w:val="14"/>
                <w:b w:val="1"/>
                <w:bCs w:val="1"/>
                <w:color w:val="auto"/>
                <w:w w:val="97"/>
              </w:rPr>
              <w:t>February 2,</w:t>
            </w:r>
          </w:p>
        </w:tc>
        <w:tc>
          <w:tcPr>
            <w:tcW w:w="118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6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04"/>
              <w:spacing w:after="0"/>
              <w:rPr>
                <w:sz w:val="20"/>
                <w:szCs w:val="20"/>
                <w:color w:val="auto"/>
              </w:rPr>
            </w:pPr>
            <w:r>
              <w:rPr>
                <w:rFonts w:ascii="Arial" w:cs="Arial" w:eastAsia="Arial" w:hAnsi="Arial"/>
                <w:sz w:val="14"/>
                <w:szCs w:val="14"/>
                <w:b w:val="1"/>
                <w:bCs w:val="1"/>
                <w:color w:val="auto"/>
              </w:rPr>
              <w:t>2020</w:t>
            </w:r>
          </w:p>
        </w:tc>
        <w:tc>
          <w:tcPr>
            <w:tcW w:w="42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2019</w:t>
            </w:r>
          </w:p>
        </w:tc>
        <w:tc>
          <w:tcPr>
            <w:tcW w:w="4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2020</w:t>
            </w:r>
          </w:p>
        </w:tc>
      </w:tr>
      <w:tr>
        <w:trPr>
          <w:trHeight w:val="196"/>
        </w:trPr>
        <w:tc>
          <w:tcPr>
            <w:tcW w:w="66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3180" w:type="dxa"/>
            <w:vAlign w:val="bottom"/>
            <w:gridSpan w:val="4"/>
          </w:tcPr>
          <w:p>
            <w:pPr>
              <w:ind w:left="1040"/>
              <w:spacing w:after="0"/>
              <w:rPr>
                <w:sz w:val="20"/>
                <w:szCs w:val="20"/>
                <w:color w:val="auto"/>
              </w:rPr>
            </w:pPr>
            <w:r>
              <w:rPr>
                <w:rFonts w:ascii="Arial" w:cs="Arial" w:eastAsia="Arial" w:hAnsi="Arial"/>
                <w:sz w:val="14"/>
                <w:szCs w:val="14"/>
                <w:b w:val="1"/>
                <w:bCs w:val="1"/>
                <w:color w:val="auto"/>
                <w:w w:val="93"/>
              </w:rPr>
              <w:t>(in thousands, except percentage)</w:t>
            </w:r>
          </w:p>
        </w:tc>
        <w:tc>
          <w:tcPr>
            <w:tcW w:w="1180" w:type="dxa"/>
            <w:vAlign w:val="bottom"/>
          </w:tcPr>
          <w:p>
            <w:pPr>
              <w:spacing w:after="0"/>
              <w:rPr>
                <w:sz w:val="17"/>
                <w:szCs w:val="17"/>
                <w:color w:val="auto"/>
              </w:rPr>
            </w:pPr>
          </w:p>
        </w:tc>
      </w:tr>
      <w:tr>
        <w:trPr>
          <w:trHeight w:val="249"/>
        </w:trPr>
        <w:tc>
          <w:tcPr>
            <w:tcW w:w="6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Provision for income taxes</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44"/>
              <w:spacing w:after="0"/>
              <w:rPr>
                <w:sz w:val="20"/>
                <w:szCs w:val="20"/>
                <w:color w:val="auto"/>
              </w:rPr>
            </w:pPr>
            <w:r>
              <w:rPr>
                <w:rFonts w:ascii="Arial" w:cs="Arial" w:eastAsia="Arial" w:hAnsi="Arial"/>
                <w:sz w:val="18"/>
                <w:szCs w:val="18"/>
                <w:color w:val="auto"/>
              </w:rPr>
              <w:t>(786,009)</w:t>
            </w:r>
          </w:p>
        </w:tc>
        <w:tc>
          <w:tcPr>
            <w:tcW w:w="4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ind w:right="62"/>
              <w:spacing w:after="0"/>
              <w:rPr>
                <w:sz w:val="20"/>
                <w:szCs w:val="20"/>
                <w:color w:val="auto"/>
              </w:rPr>
            </w:pPr>
            <w:r>
              <w:rPr>
                <w:rFonts w:ascii="Arial" w:cs="Arial" w:eastAsia="Arial" w:hAnsi="Arial"/>
                <w:sz w:val="18"/>
                <w:szCs w:val="18"/>
                <w:color w:val="auto"/>
              </w:rPr>
              <w:t>174,447</w:t>
            </w:r>
          </w:p>
        </w:tc>
        <w:tc>
          <w:tcPr>
            <w:tcW w:w="440" w:type="dxa"/>
            <w:vAlign w:val="bottom"/>
            <w:shd w:val="clear" w:color="auto" w:fill="CCEEFF"/>
          </w:tcPr>
          <w:p>
            <w:pPr>
              <w:spacing w:after="0"/>
              <w:rPr>
                <w:sz w:val="21"/>
                <w:szCs w:val="21"/>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(550.6)%</w:t>
            </w:r>
          </w:p>
        </w:tc>
      </w:tr>
      <w:tr>
        <w:trPr>
          <w:trHeight w:val="27"/>
        </w:trPr>
        <w:tc>
          <w:tcPr>
            <w:tcW w:w="6640" w:type="dxa"/>
            <w:vAlign w:val="bottom"/>
            <w:shd w:val="clear" w:color="auto" w:fill="CCEEFF"/>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1220" w:type="dxa"/>
            <w:vAlign w:val="bottom"/>
            <w:shd w:val="clear" w:color="auto" w:fill="CCEEFF"/>
          </w:tcPr>
          <w:p>
            <w:pPr>
              <w:spacing w:after="0"/>
              <w:rPr>
                <w:sz w:val="2"/>
                <w:szCs w:val="2"/>
                <w:color w:val="auto"/>
              </w:rPr>
            </w:pPr>
          </w:p>
        </w:tc>
        <w:tc>
          <w:tcPr>
            <w:tcW w:w="420" w:type="dxa"/>
            <w:vAlign w:val="bottom"/>
            <w:shd w:val="clear" w:color="auto" w:fill="CCEEFF"/>
          </w:tcPr>
          <w:p>
            <w:pPr>
              <w:spacing w:after="0"/>
              <w:rPr>
                <w:sz w:val="2"/>
                <w:szCs w:val="2"/>
                <w:color w:val="auto"/>
              </w:rPr>
            </w:pPr>
          </w:p>
        </w:tc>
        <w:tc>
          <w:tcPr>
            <w:tcW w:w="1100" w:type="dxa"/>
            <w:vAlign w:val="bottom"/>
            <w:shd w:val="clear" w:color="auto" w:fill="CCEEFF"/>
          </w:tcPr>
          <w:p>
            <w:pPr>
              <w:spacing w:after="0"/>
              <w:rPr>
                <w:sz w:val="2"/>
                <w:szCs w:val="2"/>
                <w:color w:val="auto"/>
              </w:rPr>
            </w:pPr>
          </w:p>
        </w:tc>
        <w:tc>
          <w:tcPr>
            <w:tcW w:w="440" w:type="dxa"/>
            <w:vAlign w:val="bottom"/>
            <w:shd w:val="clear" w:color="auto" w:fill="CCEEFF"/>
          </w:tcPr>
          <w:p>
            <w:pPr>
              <w:spacing w:after="0"/>
              <w:rPr>
                <w:sz w:val="2"/>
                <w:szCs w:val="2"/>
                <w:color w:val="auto"/>
              </w:rPr>
            </w:pPr>
          </w:p>
        </w:tc>
        <w:tc>
          <w:tcPr>
            <w:tcW w:w="1180" w:type="dxa"/>
            <w:vAlign w:val="bottom"/>
            <w:shd w:val="clear" w:color="auto" w:fill="CCEEFF"/>
          </w:tcPr>
          <w:p>
            <w:pPr>
              <w:spacing w:after="0"/>
              <w:rPr>
                <w:sz w:val="2"/>
                <w:szCs w:val="2"/>
                <w:color w:val="auto"/>
              </w:rPr>
            </w:pPr>
          </w:p>
        </w:tc>
      </w:tr>
    </w:tbl>
    <w:p>
      <w:pPr>
        <w:spacing w:after="0" w:line="337" w:lineRule="exact"/>
        <w:rPr>
          <w:sz w:val="20"/>
          <w:szCs w:val="20"/>
          <w:color w:val="auto"/>
        </w:rPr>
      </w:pPr>
    </w:p>
    <w:p>
      <w:pPr>
        <w:ind w:right="20" w:firstLine="445"/>
        <w:spacing w:after="0" w:line="254" w:lineRule="auto"/>
        <w:rPr>
          <w:sz w:val="20"/>
          <w:szCs w:val="20"/>
          <w:color w:val="auto"/>
        </w:rPr>
      </w:pPr>
      <w:r>
        <w:rPr>
          <w:rFonts w:ascii="Arial" w:cs="Arial" w:eastAsia="Arial" w:hAnsi="Arial"/>
          <w:sz w:val="17"/>
          <w:szCs w:val="17"/>
          <w:color w:val="auto"/>
        </w:rPr>
        <w:t>The income tax benefit for fiscal 2020 is primarily related to the recognition of a $763.0 million tax benefit for the intra-entity transfer of the majority of our intellectual property to a subsidiary in Singapore. This resulted in the recognition of a deferred tax asset and tax benefit of $659.0 million related to the Singapore tax basis in the intellectual property. In addition, we recognized $104.0 million of income tax benefit from the reversal of deferred tax liabilities primarily related to previously acquired intangible assets. The income tax expense for fiscal 2019 was primarily the result of restructurings involving the transfer of certain assets and intellectual property used in the business among various subsidiaries and represented the estimated U.S. tax to be paid currently and in future years on income generated from the intellectual property transfer. These transactions align the global economic ownership of our intellectual property rights with our current and future business operations. We continue to evaluate potential changes to our legal entity structure in response to guidelines and requirements in various international tax jurisdictions where we conduct business.</w:t>
      </w:r>
    </w:p>
    <w:p>
      <w:pPr>
        <w:spacing w:after="0" w:line="73" w:lineRule="exact"/>
        <w:rPr>
          <w:sz w:val="20"/>
          <w:szCs w:val="20"/>
          <w:color w:val="auto"/>
        </w:rPr>
      </w:pPr>
    </w:p>
    <w:p>
      <w:pPr>
        <w:ind w:right="180" w:firstLine="445"/>
        <w:spacing w:after="0" w:line="286" w:lineRule="auto"/>
        <w:rPr>
          <w:sz w:val="20"/>
          <w:szCs w:val="20"/>
          <w:color w:val="auto"/>
        </w:rPr>
      </w:pPr>
      <w:r>
        <w:rPr>
          <w:rFonts w:ascii="Arial" w:cs="Arial" w:eastAsia="Arial" w:hAnsi="Arial"/>
          <w:sz w:val="16"/>
          <w:szCs w:val="16"/>
          <w:color w:val="auto"/>
        </w:rPr>
        <w:t>Our provision for incomes taxes may be affected by changes in the geographic mix of earnings with different applicable tax rates, changes in the realizability of deferred tax assets and liabilities,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Additionally, please see the information in “Item 1A: Risk Factors” under the caption “</w:t>
      </w:r>
      <w:r>
        <w:rPr>
          <w:rFonts w:ascii="Arial" w:cs="Arial" w:eastAsia="Arial" w:hAnsi="Arial"/>
          <w:sz w:val="16"/>
          <w:szCs w:val="16"/>
          <w:i w:val="1"/>
          <w:iCs w:val="1"/>
          <w:color w:val="auto"/>
        </w:rPr>
        <w:t>Changes in existing taxation</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benefits, rules or practices may adversely affect our financial results</w:t>
      </w:r>
      <w:r>
        <w:rPr>
          <w:rFonts w:ascii="Arial" w:cs="Arial" w:eastAsia="Arial" w:hAnsi="Arial"/>
          <w:sz w:val="18"/>
          <w:szCs w:val="18"/>
          <w:color w:val="auto"/>
        </w:rPr>
        <w:t>.”</w:t>
      </w:r>
    </w:p>
    <w:p>
      <w:pPr>
        <w:spacing w:after="0" w:line="103" w:lineRule="exact"/>
        <w:rPr>
          <w:sz w:val="20"/>
          <w:szCs w:val="20"/>
          <w:color w:val="auto"/>
        </w:rPr>
      </w:pPr>
    </w:p>
    <w:p>
      <w:pPr>
        <w:ind w:firstLine="405"/>
        <w:spacing w:after="0" w:line="263" w:lineRule="auto"/>
        <w:rPr>
          <w:sz w:val="20"/>
          <w:szCs w:val="20"/>
          <w:color w:val="auto"/>
        </w:rPr>
      </w:pPr>
      <w:r>
        <w:rPr>
          <w:rFonts w:ascii="Arial" w:cs="Arial" w:eastAsia="Arial" w:hAnsi="Arial"/>
          <w:sz w:val="18"/>
          <w:szCs w:val="18"/>
          <w:color w:val="auto"/>
        </w:rPr>
        <w:t>Our Annual Report on Form 10-K for the year ended February 2, 2019 includes a discussion and analysis of our financial condition and results of operations for the year ended February 3, 2018 and year-to-year comparisons between the fiscal years ended February 2, 2019 and February 3, 2018 in Item 7 of Part II, “Management’s Discussion and Analysis of Financial Condition and Results of Operations.”</w:t>
      </w:r>
    </w:p>
    <w:p>
      <w:pPr>
        <w:spacing w:after="0" w:line="7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121" w:lineRule="exact"/>
        <w:rPr>
          <w:sz w:val="20"/>
          <w:szCs w:val="20"/>
          <w:color w:val="auto"/>
        </w:rPr>
      </w:pPr>
    </w:p>
    <w:p>
      <w:pPr>
        <w:ind w:right="440" w:firstLine="445"/>
        <w:spacing w:after="0" w:line="286" w:lineRule="auto"/>
        <w:rPr>
          <w:sz w:val="20"/>
          <w:szCs w:val="20"/>
          <w:color w:val="auto"/>
        </w:rPr>
      </w:pPr>
      <w:r>
        <w:rPr>
          <w:rFonts w:ascii="Arial" w:cs="Arial" w:eastAsia="Arial" w:hAnsi="Arial"/>
          <w:sz w:val="17"/>
          <w:szCs w:val="17"/>
          <w:color w:val="auto"/>
        </w:rPr>
        <w:t>Our principal source of liquidity as of February 1, 2020 consisted of approximately $648 million of cash and cash equivalents, of which approximately $421 million was held by subsidiaries outside of Bermuda. We plan to use such amounts to fund various activities outside of Bermuda, including working capital requirements, capital expenditures for expansion, funding of future acquisitions or other financing activities.</w:t>
      </w:r>
    </w:p>
    <w:p>
      <w:pPr>
        <w:spacing w:after="0" w:line="57" w:lineRule="exact"/>
        <w:rPr>
          <w:sz w:val="20"/>
          <w:szCs w:val="20"/>
          <w:color w:val="auto"/>
        </w:rPr>
      </w:pPr>
    </w:p>
    <w:p>
      <w:pPr>
        <w:ind w:right="80" w:firstLine="405"/>
        <w:spacing w:after="0" w:line="257" w:lineRule="auto"/>
        <w:rPr>
          <w:sz w:val="20"/>
          <w:szCs w:val="20"/>
          <w:color w:val="auto"/>
        </w:rPr>
      </w:pPr>
      <w:r>
        <w:rPr>
          <w:rFonts w:ascii="Arial" w:cs="Arial" w:eastAsia="Arial" w:hAnsi="Arial"/>
          <w:sz w:val="18"/>
          <w:szCs w:val="18"/>
          <w:color w:val="auto"/>
        </w:rPr>
        <w:t>In June 2018, we executed debt agreements to obtain a $900 million term loan and $1.0 billion of senior unsecured notes in order to fund the Cavium acquisition. In addition, we executed a debt agreement in June 2018 to obtain a $500 million Revolving Credit Facility. On September 17, 2019, we drew down $350 million of the Revolving Credit Facility to fund a portion of the cash consideration for the Aquantia acquisition. On November 4, 2019, we entered into a Term Credit Agreement with certain lenders which provides for borrowings of $600 million in the form of a Bridge loan in order to fund the Avera acquisition.</w:t>
      </w:r>
    </w:p>
    <w:p>
      <w:pPr>
        <w:spacing w:after="0" w:line="80" w:lineRule="exact"/>
        <w:rPr>
          <w:sz w:val="20"/>
          <w:szCs w:val="20"/>
          <w:color w:val="auto"/>
        </w:rPr>
      </w:pPr>
    </w:p>
    <w:p>
      <w:pPr>
        <w:ind w:right="60" w:firstLine="405"/>
        <w:spacing w:after="0" w:line="255" w:lineRule="auto"/>
        <w:rPr>
          <w:sz w:val="20"/>
          <w:szCs w:val="20"/>
          <w:color w:val="auto"/>
        </w:rPr>
      </w:pPr>
      <w:r>
        <w:rPr>
          <w:rFonts w:ascii="Arial" w:cs="Arial" w:eastAsia="Arial" w:hAnsi="Arial"/>
          <w:sz w:val="18"/>
          <w:szCs w:val="18"/>
          <w:color w:val="auto"/>
        </w:rPr>
        <w:t>On December 6, 2019, we completed the sale of our Wi-Fi Connectivity business to NXP. The divestiture encompasses our Wi-Fi and Wi-Fi/Bluetooth technology portfolios and related assets. See “Note 1 - Basis of Presentation” in the Notes to the Consolidated Financial Statements for more information. During the year ended February 1, 2020, we used a portion of the $1.7 billion cash consideration to pay down the bridge loan of $600 million, pay down the Revolving Credit Facility of $350 million as mentioned above, as well as to pay down the term loan by $250 million and to repurchase our common shares. As of February 1, 2020, our net carrying amount of debt was $1.4 billion. See “Note 12 - Debt” and “Note 14 - Shareholders’ Equity” in the Notes to the Consolidated Financial Statements for further information.</w:t>
      </w:r>
    </w:p>
    <w:p>
      <w:pPr>
        <w:spacing w:after="0" w:line="84" w:lineRule="exact"/>
        <w:rPr>
          <w:sz w:val="20"/>
          <w:szCs w:val="20"/>
          <w:color w:val="auto"/>
        </w:rPr>
      </w:pPr>
    </w:p>
    <w:p>
      <w:pPr>
        <w:ind w:firstLine="445"/>
        <w:spacing w:after="0" w:line="257" w:lineRule="auto"/>
        <w:rPr>
          <w:sz w:val="20"/>
          <w:szCs w:val="20"/>
          <w:color w:val="auto"/>
        </w:rPr>
      </w:pPr>
      <w:r>
        <w:rPr>
          <w:rFonts w:ascii="Arial" w:cs="Arial" w:eastAsia="Arial" w:hAnsi="Arial"/>
          <w:sz w:val="18"/>
          <w:szCs w:val="18"/>
          <w:color w:val="auto"/>
        </w:rPr>
        <w:t>We believe that our existing cash, cash equivalents, together with cash generated from operations, and funds from our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w:t>
      </w:r>
    </w:p>
    <w:p>
      <w:pPr>
        <w:spacing w:after="0" w:line="3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45" w:name="page46"/>
    <w:bookmarkEnd w:id="45"/>
    <w:p>
      <w:pPr>
        <w:ind w:firstLine="405"/>
        <w:spacing w:after="0" w:line="273" w:lineRule="auto"/>
        <w:rPr>
          <w:sz w:val="20"/>
          <w:szCs w:val="20"/>
          <w:color w:val="auto"/>
        </w:rPr>
      </w:pPr>
      <w:r>
        <w:rPr>
          <w:rFonts w:ascii="Arial" w:cs="Arial" w:eastAsia="Arial" w:hAnsi="Arial"/>
          <w:sz w:val="17"/>
          <w:szCs w:val="17"/>
          <w:color w:val="auto"/>
        </w:rPr>
        <w:t>To the extent that our existing cash, cash equivalents and short-term investments together with cash generated by operations, and funds available under our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70" w:lineRule="exact"/>
        <w:rPr>
          <w:sz w:val="20"/>
          <w:szCs w:val="20"/>
          <w:color w:val="auto"/>
        </w:rPr>
      </w:pPr>
    </w:p>
    <w:p>
      <w:pPr>
        <w:ind w:firstLine="405"/>
        <w:spacing w:after="0" w:line="275" w:lineRule="auto"/>
        <w:rPr>
          <w:sz w:val="20"/>
          <w:szCs w:val="20"/>
          <w:color w:val="auto"/>
        </w:rPr>
      </w:pPr>
      <w:r>
        <w:rPr>
          <w:rFonts w:ascii="Arial" w:cs="Arial" w:eastAsia="Arial" w:hAnsi="Arial"/>
          <w:sz w:val="17"/>
          <w:szCs w:val="17"/>
          <w:color w:val="auto"/>
        </w:rPr>
        <w:t>Future payment of a regular quarterly cash dividend on our common shares and our planned repurchases of common stock will be subject to, among other things, the best interests of the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w:t>
      </w:r>
    </w:p>
    <w:p>
      <w:pPr>
        <w:spacing w:after="0" w:line="20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117" w:lineRule="exact"/>
        <w:rPr>
          <w:sz w:val="20"/>
          <w:szCs w:val="20"/>
          <w:color w:val="auto"/>
        </w:rPr>
      </w:pPr>
    </w:p>
    <w:p>
      <w:pPr>
        <w:ind w:right="40" w:firstLine="445"/>
        <w:spacing w:after="0" w:line="279" w:lineRule="auto"/>
        <w:rPr>
          <w:sz w:val="20"/>
          <w:szCs w:val="20"/>
          <w:color w:val="auto"/>
        </w:rPr>
      </w:pPr>
      <w:r>
        <w:rPr>
          <w:rFonts w:ascii="Arial" w:cs="Arial" w:eastAsia="Arial" w:hAnsi="Arial"/>
          <w:sz w:val="17"/>
          <w:szCs w:val="17"/>
          <w:color w:val="auto"/>
        </w:rPr>
        <w:t>Net cash provided by operating activities was $360.3 million for fiscal 2020 compared to net cash provided by operating activities of $596.7 million for fiscal 2019. The cash inflows from operations for fiscal 2020 were primarily due to $1.6 billion of net income adjusted for $1.0 billion of non-cash items and a net decrease from changes in working capital of $190.8 million. The cash outflow from working capital for fiscal 2020 was primarily driven by a decrease in accrued liabilities and other non-current liabilities due to payment of interest, deal cost and severance.</w:t>
      </w:r>
    </w:p>
    <w:p>
      <w:pPr>
        <w:spacing w:after="0" w:line="63" w:lineRule="exact"/>
        <w:rPr>
          <w:sz w:val="20"/>
          <w:szCs w:val="20"/>
          <w:color w:val="auto"/>
        </w:rPr>
      </w:pPr>
    </w:p>
    <w:p>
      <w:pPr>
        <w:ind w:right="200" w:firstLine="445"/>
        <w:spacing w:after="0" w:line="263" w:lineRule="auto"/>
        <w:rPr>
          <w:sz w:val="20"/>
          <w:szCs w:val="20"/>
          <w:color w:val="auto"/>
        </w:rPr>
      </w:pPr>
      <w:r>
        <w:rPr>
          <w:rFonts w:ascii="Arial" w:cs="Arial" w:eastAsia="Arial" w:hAnsi="Arial"/>
          <w:sz w:val="18"/>
          <w:szCs w:val="18"/>
          <w:color w:val="auto"/>
        </w:rPr>
        <w:t>The cash inflows from operations for fiscal 2019 were primarily due to $179.1 million of net loss adjusted for $850.3 million of non-cash items, offset by a net decrease from changes in working capital of $74.4 million. The cash outflow from working capital for fiscal 2019 was primarily driven by an increase in accounts receivable, which was primarily due to an increase in the days sales outstanding.</w:t>
      </w:r>
    </w:p>
    <w:p>
      <w:pPr>
        <w:spacing w:after="0" w:line="7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117" w:lineRule="exact"/>
        <w:rPr>
          <w:sz w:val="20"/>
          <w:szCs w:val="20"/>
          <w:color w:val="auto"/>
        </w:rPr>
      </w:pPr>
    </w:p>
    <w:p>
      <w:pPr>
        <w:jc w:val="both"/>
        <w:ind w:right="300" w:firstLine="445"/>
        <w:spacing w:after="0" w:line="263" w:lineRule="auto"/>
        <w:rPr>
          <w:sz w:val="20"/>
          <w:szCs w:val="20"/>
          <w:color w:val="auto"/>
        </w:rPr>
      </w:pPr>
      <w:r>
        <w:rPr>
          <w:rFonts w:ascii="Arial" w:cs="Arial" w:eastAsia="Arial" w:hAnsi="Arial"/>
          <w:sz w:val="18"/>
          <w:szCs w:val="18"/>
          <w:color w:val="auto"/>
        </w:rPr>
        <w:t>Net cash provided by investing activities of $558.8 million in fiscal year 2020 was primarily driven by the proceeds from sale of business of $1.7 billion and maturities of available-for-sale securities of $18.8 million, partially offset by net cash paid to acquire Aquantia and Avera of $1.1 billion and purchases of property and equipment of $81.9 million.</w:t>
      </w:r>
    </w:p>
    <w:p>
      <w:pPr>
        <w:spacing w:after="0" w:line="76" w:lineRule="exact"/>
        <w:rPr>
          <w:sz w:val="20"/>
          <w:szCs w:val="20"/>
          <w:color w:val="auto"/>
        </w:rPr>
      </w:pPr>
    </w:p>
    <w:p>
      <w:pPr>
        <w:ind w:right="300" w:firstLine="445"/>
        <w:spacing w:after="0" w:line="263" w:lineRule="auto"/>
        <w:rPr>
          <w:sz w:val="20"/>
          <w:szCs w:val="20"/>
          <w:color w:val="auto"/>
        </w:rPr>
      </w:pPr>
      <w:r>
        <w:rPr>
          <w:rFonts w:ascii="Arial" w:cs="Arial" w:eastAsia="Arial" w:hAnsi="Arial"/>
          <w:sz w:val="18"/>
          <w:szCs w:val="18"/>
          <w:color w:val="auto"/>
        </w:rPr>
        <w:t>Net cash used in investing activities of $1.8 billion in fiscal year 2019 was primarily driven by the net cash paid to acquire Cavium of $2.6 billion and purchases of property and equipment of $75.9 million, partially offset by sales and maturities of available-for-sale securities and time deposits of $986.9 million.</w:t>
      </w:r>
    </w:p>
    <w:p>
      <w:pPr>
        <w:spacing w:after="0" w:line="7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117" w:lineRule="exact"/>
        <w:rPr>
          <w:sz w:val="20"/>
          <w:szCs w:val="20"/>
          <w:color w:val="auto"/>
        </w:rPr>
      </w:pPr>
    </w:p>
    <w:p>
      <w:pPr>
        <w:ind w:right="100" w:firstLine="445"/>
        <w:spacing w:after="0" w:line="259" w:lineRule="auto"/>
        <w:rPr>
          <w:sz w:val="20"/>
          <w:szCs w:val="20"/>
          <w:color w:val="auto"/>
        </w:rPr>
      </w:pPr>
      <w:r>
        <w:rPr>
          <w:rFonts w:ascii="Arial" w:cs="Arial" w:eastAsia="Arial" w:hAnsi="Arial"/>
          <w:sz w:val="18"/>
          <w:szCs w:val="18"/>
          <w:color w:val="auto"/>
        </w:rPr>
        <w:t>Net cash used in financing activities of $853.9 million in fiscal year 2020 was primarily attributable to $1.3 billion repayment of debt principal, $364.3 million payment for repurchases of our common stock and $159.6 million payment for our quarterly dividends. This cash outflow was partially offset by $1.0 billion proceeds from issuance of debt and $49.0 million net proceeds from the issuance of our common shares under our share-based plans, less the tax withholding on behalf of employees for net share settlements.</w:t>
      </w:r>
    </w:p>
    <w:p>
      <w:pPr>
        <w:spacing w:after="0" w:line="79" w:lineRule="exact"/>
        <w:rPr>
          <w:sz w:val="20"/>
          <w:szCs w:val="20"/>
          <w:color w:val="auto"/>
        </w:rPr>
      </w:pPr>
    </w:p>
    <w:p>
      <w:pPr>
        <w:ind w:right="100" w:firstLine="445"/>
        <w:spacing w:after="0" w:line="259" w:lineRule="auto"/>
        <w:rPr>
          <w:sz w:val="20"/>
          <w:szCs w:val="20"/>
          <w:color w:val="auto"/>
        </w:rPr>
      </w:pPr>
      <w:r>
        <w:rPr>
          <w:rFonts w:ascii="Arial" w:cs="Arial" w:eastAsia="Arial" w:hAnsi="Arial"/>
          <w:sz w:val="18"/>
          <w:szCs w:val="18"/>
          <w:color w:val="auto"/>
        </w:rPr>
        <w:t>Net cash provided by financing activities of $849.7 million in fiscal year 2019 was primarily attributable to $1.9 billion proceeds from issuance of debt and $46.0 million net proceeds from the issuance of our common shares under our share-based plans, less the tax withholding on behalf of employees for net share settlements. This cash inflow was partially offset by $756.1 million payment of debt principal, $148.1 million payment for our quarterly dividends, and $104.0 million payment for repurchases of our common stock.</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121" w:lineRule="exact"/>
        <w:rPr>
          <w:sz w:val="20"/>
          <w:szCs w:val="20"/>
          <w:color w:val="auto"/>
        </w:rPr>
      </w:pPr>
    </w:p>
    <w:p>
      <w:pPr>
        <w:ind w:right="60" w:firstLine="445"/>
        <w:spacing w:after="0" w:line="259"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or variable interest entities, which would have been established for the purpose of facilitating off-balance sheet arrangements or other contractually narrow or limited purposes. As of February 1, 2020, we did not have any off-balance sheet arrangements.</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121" w:lineRule="exact"/>
        <w:rPr>
          <w:sz w:val="20"/>
          <w:szCs w:val="20"/>
          <w:color w:val="auto"/>
        </w:rPr>
      </w:pPr>
    </w:p>
    <w:p>
      <w:pPr>
        <w:ind w:right="20" w:firstLine="445"/>
        <w:spacing w:after="0" w:line="263" w:lineRule="auto"/>
        <w:rPr>
          <w:sz w:val="20"/>
          <w:szCs w:val="20"/>
          <w:color w:val="auto"/>
        </w:rPr>
      </w:pPr>
      <w:r>
        <w:rPr>
          <w:rFonts w:ascii="Arial" w:cs="Arial" w:eastAsia="Arial" w:hAnsi="Arial"/>
          <w:sz w:val="18"/>
          <w:szCs w:val="18"/>
          <w:color w:val="auto"/>
        </w:rPr>
        <w:t>Under our manufacturing relationships with our foundry partners, cancellation of outstanding purchase orders is allowed but requires repayment of all expenses incurred through the date of cancellation. As of February 1, 2020, these foundries had incurred approximately $163.7 million of manufacturing costs and expenses relating to our outstanding purchase orders.</w:t>
      </w:r>
    </w:p>
    <w:p>
      <w:pPr>
        <w:spacing w:after="0" w:line="3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46" w:name="page47"/>
    <w:bookmarkEnd w:id="46"/>
    <w:p>
      <w:pPr>
        <w:ind w:right="240" w:firstLine="445"/>
        <w:spacing w:after="0" w:line="277" w:lineRule="auto"/>
        <w:rPr>
          <w:sz w:val="20"/>
          <w:szCs w:val="20"/>
          <w:color w:val="auto"/>
        </w:rPr>
      </w:pPr>
      <w:r>
        <w:rPr>
          <w:rFonts w:ascii="Arial" w:cs="Arial" w:eastAsia="Arial" w:hAnsi="Arial"/>
          <w:sz w:val="18"/>
          <w:szCs w:val="18"/>
          <w:color w:val="auto"/>
        </w:rPr>
        <w:t>The following table summarizes our contractual obligations as of February 1, 2020 and the effect that such obligations are expected to have on our liquidity and cash flow in future periods (in thousands):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1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8"/>
          </w:tcPr>
          <w:p>
            <w:pPr>
              <w:ind w:left="180"/>
              <w:spacing w:after="0"/>
              <w:rPr>
                <w:sz w:val="20"/>
                <w:szCs w:val="20"/>
                <w:color w:val="auto"/>
              </w:rPr>
            </w:pPr>
            <w:r>
              <w:rPr>
                <w:rFonts w:ascii="Arial" w:cs="Arial" w:eastAsia="Arial" w:hAnsi="Arial"/>
                <w:sz w:val="14"/>
                <w:szCs w:val="14"/>
                <w:b w:val="1"/>
                <w:bCs w:val="1"/>
                <w:color w:val="auto"/>
              </w:rPr>
              <w:t>Payment Obligations by Fiscal Year</w:t>
            </w:r>
          </w:p>
        </w:tc>
        <w:tc>
          <w:tcPr>
            <w:tcW w:w="120" w:type="dxa"/>
            <w:vAlign w:val="bottom"/>
            <w:tcBorders>
              <w:bottom w:val="single" w:sz="8" w:color="auto"/>
            </w:tcBorders>
          </w:tcPr>
          <w:p>
            <w:pPr>
              <w:spacing w:after="0"/>
              <w:rPr>
                <w:sz w:val="16"/>
                <w:szCs w:val="16"/>
                <w:color w:val="auto"/>
              </w:rPr>
            </w:pPr>
          </w:p>
        </w:tc>
        <w:tc>
          <w:tcPr>
            <w:tcW w:w="8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780" w:type="dxa"/>
            <w:vAlign w:val="bottom"/>
            <w:tcBorders>
              <w:bottom w:val="single" w:sz="8" w:color="auto"/>
            </w:tcBorders>
          </w:tcPr>
          <w:p>
            <w:pPr>
              <w:spacing w:after="0"/>
              <w:rPr>
                <w:sz w:val="16"/>
                <w:szCs w:val="16"/>
                <w:color w:val="auto"/>
              </w:rPr>
            </w:pPr>
          </w:p>
        </w:tc>
      </w:tr>
      <w:tr>
        <w:trPr>
          <w:trHeight w:val="196"/>
        </w:trPr>
        <w:tc>
          <w:tcPr>
            <w:tcW w:w="4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20" w:type="dxa"/>
            <w:vAlign w:val="bottom"/>
          </w:tcPr>
          <w:p>
            <w:pPr>
              <w:jc w:val="right"/>
              <w:ind w:right="248"/>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20" w:type="dxa"/>
            <w:vAlign w:val="bottom"/>
          </w:tcPr>
          <w:p>
            <w:pPr>
              <w:jc w:val="right"/>
              <w:ind w:right="248"/>
              <w:spacing w:after="0"/>
              <w:rPr>
                <w:sz w:val="20"/>
                <w:szCs w:val="20"/>
                <w:color w:val="auto"/>
              </w:rPr>
            </w:pPr>
            <w:r>
              <w:rPr>
                <w:rFonts w:ascii="Arial" w:cs="Arial" w:eastAsia="Arial" w:hAnsi="Arial"/>
                <w:sz w:val="14"/>
                <w:szCs w:val="14"/>
                <w:b w:val="1"/>
                <w:bCs w:val="1"/>
                <w:color w:val="auto"/>
              </w:rPr>
              <w:t>2022</w:t>
            </w:r>
          </w:p>
        </w:tc>
        <w:tc>
          <w:tcPr>
            <w:tcW w:w="1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00" w:type="dxa"/>
            <w:vAlign w:val="bottom"/>
          </w:tcPr>
          <w:p>
            <w:pPr>
              <w:jc w:val="right"/>
              <w:ind w:right="228"/>
              <w:spacing w:after="0"/>
              <w:rPr>
                <w:sz w:val="20"/>
                <w:szCs w:val="20"/>
                <w:color w:val="auto"/>
              </w:rPr>
            </w:pPr>
            <w:r>
              <w:rPr>
                <w:rFonts w:ascii="Arial" w:cs="Arial" w:eastAsia="Arial" w:hAnsi="Arial"/>
                <w:sz w:val="14"/>
                <w:szCs w:val="14"/>
                <w:b w:val="1"/>
                <w:bCs w:val="1"/>
                <w:color w:val="auto"/>
              </w:rPr>
              <w:t>2023</w:t>
            </w:r>
          </w:p>
        </w:tc>
        <w:tc>
          <w:tcPr>
            <w:tcW w:w="1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20" w:type="dxa"/>
            <w:vAlign w:val="bottom"/>
          </w:tcPr>
          <w:p>
            <w:pPr>
              <w:jc w:val="right"/>
              <w:ind w:right="248"/>
              <w:spacing w:after="0"/>
              <w:rPr>
                <w:sz w:val="20"/>
                <w:szCs w:val="20"/>
                <w:color w:val="auto"/>
              </w:rPr>
            </w:pPr>
            <w:r>
              <w:rPr>
                <w:rFonts w:ascii="Arial" w:cs="Arial" w:eastAsia="Arial" w:hAnsi="Arial"/>
                <w:sz w:val="14"/>
                <w:szCs w:val="14"/>
                <w:b w:val="1"/>
                <w:bCs w:val="1"/>
                <w:color w:val="auto"/>
              </w:rPr>
              <w:t>2024</w:t>
            </w: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20" w:type="dxa"/>
            <w:vAlign w:val="bottom"/>
          </w:tcPr>
          <w:p>
            <w:pPr>
              <w:jc w:val="right"/>
              <w:ind w:right="248"/>
              <w:spacing w:after="0"/>
              <w:rPr>
                <w:sz w:val="20"/>
                <w:szCs w:val="20"/>
                <w:color w:val="auto"/>
              </w:rPr>
            </w:pPr>
            <w:r>
              <w:rPr>
                <w:rFonts w:ascii="Arial" w:cs="Arial" w:eastAsia="Arial" w:hAnsi="Arial"/>
                <w:sz w:val="14"/>
                <w:szCs w:val="14"/>
                <w:b w:val="1"/>
                <w:bCs w:val="1"/>
                <w:color w:val="auto"/>
              </w:rPr>
              <w:t>2025</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20" w:type="dxa"/>
            <w:vAlign w:val="bottom"/>
            <w:gridSpan w:val="2"/>
          </w:tcPr>
          <w:p>
            <w:pPr>
              <w:ind w:left="20"/>
              <w:spacing w:after="0"/>
              <w:rPr>
                <w:sz w:val="20"/>
                <w:szCs w:val="20"/>
                <w:color w:val="auto"/>
              </w:rPr>
            </w:pPr>
            <w:r>
              <w:rPr>
                <w:rFonts w:ascii="Arial" w:cs="Arial" w:eastAsia="Arial" w:hAnsi="Arial"/>
                <w:sz w:val="14"/>
                <w:szCs w:val="14"/>
                <w:b w:val="1"/>
                <w:bCs w:val="1"/>
                <w:color w:val="auto"/>
              </w:rPr>
              <w:t>Thereafter</w:t>
            </w:r>
          </w:p>
        </w:tc>
        <w:tc>
          <w:tcPr>
            <w:tcW w:w="140" w:type="dxa"/>
            <w:vAlign w:val="bottom"/>
          </w:tcPr>
          <w:p>
            <w:pPr>
              <w:spacing w:after="0"/>
              <w:rPr>
                <w:sz w:val="17"/>
                <w:szCs w:val="17"/>
                <w:color w:val="auto"/>
              </w:rPr>
            </w:pPr>
          </w:p>
        </w:tc>
        <w:tc>
          <w:tcPr>
            <w:tcW w:w="780" w:type="dxa"/>
            <w:vAlign w:val="bottom"/>
          </w:tcPr>
          <w:p>
            <w:pPr>
              <w:jc w:val="right"/>
              <w:ind w:right="228"/>
              <w:spacing w:after="0"/>
              <w:rPr>
                <w:sz w:val="20"/>
                <w:szCs w:val="20"/>
                <w:color w:val="auto"/>
              </w:rPr>
            </w:pPr>
            <w:r>
              <w:rPr>
                <w:rFonts w:ascii="Arial" w:cs="Arial" w:eastAsia="Arial" w:hAnsi="Arial"/>
                <w:sz w:val="14"/>
                <w:szCs w:val="14"/>
                <w:b w:val="1"/>
                <w:bCs w:val="1"/>
                <w:color w:val="auto"/>
              </w:rPr>
              <w:t>Total</w:t>
            </w:r>
          </w:p>
        </w:tc>
      </w:tr>
      <w:tr>
        <w:trPr>
          <w:trHeight w:val="223"/>
        </w:trPr>
        <w:tc>
          <w:tcPr>
            <w:tcW w:w="41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Contractual obligations:</w:t>
            </w:r>
          </w:p>
        </w:tc>
        <w:tc>
          <w:tcPr>
            <w:tcW w:w="200" w:type="dxa"/>
            <w:vAlign w:val="bottom"/>
            <w:tcBorders>
              <w:top w:val="single" w:sz="8" w:color="auto"/>
              <w:bottom w:val="single" w:sz="8" w:color="CCEEFF"/>
            </w:tcBorders>
            <w:shd w:val="clear" w:color="auto" w:fill="CCEEFF"/>
          </w:tcPr>
          <w:p>
            <w:pPr>
              <w:spacing w:after="0"/>
              <w:rPr>
                <w:sz w:val="19"/>
                <w:szCs w:val="19"/>
                <w:color w:val="auto"/>
              </w:rPr>
            </w:pPr>
          </w:p>
        </w:tc>
        <w:tc>
          <w:tcPr>
            <w:tcW w:w="720" w:type="dxa"/>
            <w:vAlign w:val="bottom"/>
            <w:tcBorders>
              <w:top w:val="single" w:sz="8" w:color="auto"/>
              <w:bottom w:val="single" w:sz="8" w:color="CCEEFF"/>
            </w:tcBorders>
            <w:shd w:val="clear" w:color="auto" w:fill="CCEEFF"/>
          </w:tcPr>
          <w:p>
            <w:pPr>
              <w:spacing w:after="0"/>
              <w:rPr>
                <w:sz w:val="19"/>
                <w:szCs w:val="19"/>
                <w:color w:val="auto"/>
              </w:rPr>
            </w:pP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CCEEFF"/>
            </w:tcBorders>
            <w:shd w:val="clear" w:color="auto" w:fill="CCEEFF"/>
          </w:tcPr>
          <w:p>
            <w:pPr>
              <w:spacing w:after="0"/>
              <w:rPr>
                <w:sz w:val="19"/>
                <w:szCs w:val="19"/>
                <w:color w:val="auto"/>
              </w:rPr>
            </w:pPr>
          </w:p>
        </w:tc>
        <w:tc>
          <w:tcPr>
            <w:tcW w:w="720" w:type="dxa"/>
            <w:vAlign w:val="bottom"/>
            <w:tcBorders>
              <w:top w:val="single" w:sz="8" w:color="auto"/>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CCEEFF"/>
            </w:tcBorders>
            <w:shd w:val="clear" w:color="auto" w:fill="CCEEFF"/>
          </w:tcPr>
          <w:p>
            <w:pPr>
              <w:spacing w:after="0"/>
              <w:rPr>
                <w:sz w:val="19"/>
                <w:szCs w:val="19"/>
                <w:color w:val="auto"/>
              </w:rPr>
            </w:pPr>
          </w:p>
        </w:tc>
        <w:tc>
          <w:tcPr>
            <w:tcW w:w="700" w:type="dxa"/>
            <w:vAlign w:val="bottom"/>
            <w:tcBorders>
              <w:top w:val="single" w:sz="8" w:color="auto"/>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CCEEFF"/>
            </w:tcBorders>
            <w:shd w:val="clear" w:color="auto" w:fill="CCEEFF"/>
          </w:tcPr>
          <w:p>
            <w:pPr>
              <w:spacing w:after="0"/>
              <w:rPr>
                <w:sz w:val="19"/>
                <w:szCs w:val="19"/>
                <w:color w:val="auto"/>
              </w:rPr>
            </w:pPr>
          </w:p>
        </w:tc>
        <w:tc>
          <w:tcPr>
            <w:tcW w:w="720" w:type="dxa"/>
            <w:vAlign w:val="bottom"/>
            <w:tcBorders>
              <w:top w:val="single" w:sz="8" w:color="auto"/>
              <w:bottom w:val="single" w:sz="8" w:color="CCEEFF"/>
            </w:tcBorders>
            <w:shd w:val="clear" w:color="auto" w:fill="CCEEFF"/>
          </w:tcPr>
          <w:p>
            <w:pPr>
              <w:spacing w:after="0"/>
              <w:rPr>
                <w:sz w:val="19"/>
                <w:szCs w:val="19"/>
                <w:color w:val="auto"/>
              </w:rPr>
            </w:pP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CCEEFF"/>
            </w:tcBorders>
            <w:shd w:val="clear" w:color="auto" w:fill="CCEEFF"/>
          </w:tcPr>
          <w:p>
            <w:pPr>
              <w:spacing w:after="0"/>
              <w:rPr>
                <w:sz w:val="19"/>
                <w:szCs w:val="19"/>
                <w:color w:val="auto"/>
              </w:rPr>
            </w:pPr>
          </w:p>
        </w:tc>
        <w:tc>
          <w:tcPr>
            <w:tcW w:w="720" w:type="dxa"/>
            <w:vAlign w:val="bottom"/>
            <w:tcBorders>
              <w:top w:val="single" w:sz="8" w:color="auto"/>
              <w:bottom w:val="single" w:sz="8" w:color="CCEEFF"/>
            </w:tcBorders>
            <w:shd w:val="clear" w:color="auto" w:fill="CCEEFF"/>
          </w:tcPr>
          <w:p>
            <w:pPr>
              <w:spacing w:after="0"/>
              <w:rPr>
                <w:sz w:val="19"/>
                <w:szCs w:val="19"/>
                <w:color w:val="auto"/>
              </w:rPr>
            </w:pP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auto"/>
              <w:bottom w:val="single" w:sz="8" w:color="CCEEFF"/>
            </w:tcBorders>
            <w:shd w:val="clear" w:color="auto" w:fill="CCEEFF"/>
          </w:tcPr>
          <w:p>
            <w:pPr>
              <w:spacing w:after="0"/>
              <w:rPr>
                <w:sz w:val="19"/>
                <w:szCs w:val="19"/>
                <w:color w:val="auto"/>
              </w:rPr>
            </w:pPr>
          </w:p>
        </w:tc>
        <w:tc>
          <w:tcPr>
            <w:tcW w:w="800" w:type="dxa"/>
            <w:vAlign w:val="bottom"/>
            <w:tcBorders>
              <w:top w:val="single" w:sz="8" w:color="auto"/>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CCEEFF"/>
            </w:tcBorders>
            <w:shd w:val="clear" w:color="auto" w:fill="CCEEFF"/>
          </w:tcPr>
          <w:p>
            <w:pPr>
              <w:spacing w:after="0"/>
              <w:rPr>
                <w:sz w:val="19"/>
                <w:szCs w:val="19"/>
                <w:color w:val="auto"/>
              </w:rPr>
            </w:pPr>
          </w:p>
        </w:tc>
        <w:tc>
          <w:tcPr>
            <w:tcW w:w="780" w:type="dxa"/>
            <w:vAlign w:val="bottom"/>
            <w:tcBorders>
              <w:top w:val="single" w:sz="8" w:color="auto"/>
              <w:bottom w:val="single" w:sz="8" w:color="CCEEFF"/>
            </w:tcBorders>
            <w:shd w:val="clear" w:color="auto" w:fill="CCEEFF"/>
          </w:tcPr>
          <w:p>
            <w:pPr>
              <w:spacing w:after="0"/>
              <w:rPr>
                <w:sz w:val="19"/>
                <w:szCs w:val="19"/>
                <w:color w:val="auto"/>
              </w:rPr>
            </w:pPr>
          </w:p>
        </w:tc>
      </w:tr>
      <w:tr>
        <w:trPr>
          <w:trHeight w:val="250"/>
        </w:trPr>
        <w:tc>
          <w:tcPr>
            <w:tcW w:w="4100" w:type="dxa"/>
            <w:vAlign w:val="bottom"/>
          </w:tcPr>
          <w:p>
            <w:pPr>
              <w:ind w:left="20"/>
              <w:spacing w:after="0"/>
              <w:rPr>
                <w:sz w:val="20"/>
                <w:szCs w:val="20"/>
                <w:color w:val="auto"/>
              </w:rPr>
            </w:pPr>
            <w:r>
              <w:rPr>
                <w:rFonts w:ascii="Arial" w:cs="Arial" w:eastAsia="Arial" w:hAnsi="Arial"/>
                <w:sz w:val="16"/>
                <w:szCs w:val="16"/>
                <w:color w:val="auto"/>
              </w:rPr>
              <w:t>Principal payments on debt</w:t>
            </w:r>
          </w:p>
        </w:tc>
        <w:tc>
          <w:tcPr>
            <w:tcW w:w="200" w:type="dxa"/>
            <w:vAlign w:val="bottom"/>
          </w:tcPr>
          <w:p>
            <w:pPr>
              <w:jc w:val="right"/>
              <w:ind w:right="48"/>
              <w:spacing w:after="0"/>
              <w:rPr>
                <w:sz w:val="20"/>
                <w:szCs w:val="20"/>
                <w:color w:val="auto"/>
              </w:rPr>
            </w:pPr>
            <w:r>
              <w:rPr>
                <w:rFonts w:ascii="Arial" w:cs="Arial" w:eastAsia="Arial" w:hAnsi="Arial"/>
                <w:sz w:val="14"/>
                <w:szCs w:val="14"/>
                <w:color w:val="auto"/>
                <w:w w:val="76"/>
              </w:rPr>
              <w:t>$</w:t>
            </w:r>
          </w:p>
        </w:tc>
        <w:tc>
          <w:tcPr>
            <w:tcW w:w="82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tcPr>
          <w:p>
            <w:pPr>
              <w:jc w:val="right"/>
              <w:ind w:right="28"/>
              <w:spacing w:after="0"/>
              <w:rPr>
                <w:sz w:val="20"/>
                <w:szCs w:val="20"/>
                <w:color w:val="auto"/>
              </w:rPr>
            </w:pPr>
            <w:r>
              <w:rPr>
                <w:rFonts w:ascii="Arial" w:cs="Arial" w:eastAsia="Arial" w:hAnsi="Arial"/>
                <w:sz w:val="14"/>
                <w:szCs w:val="14"/>
                <w:color w:val="auto"/>
              </w:rPr>
              <w:t>$</w:t>
            </w:r>
          </w:p>
        </w:tc>
        <w:tc>
          <w:tcPr>
            <w:tcW w:w="720" w:type="dxa"/>
            <w:vAlign w:val="bottom"/>
          </w:tcPr>
          <w:p>
            <w:pPr>
              <w:jc w:val="right"/>
              <w:ind w:right="68"/>
              <w:spacing w:after="0"/>
              <w:rPr>
                <w:sz w:val="20"/>
                <w:szCs w:val="20"/>
                <w:color w:val="auto"/>
              </w:rPr>
            </w:pPr>
            <w:r>
              <w:rPr>
                <w:rFonts w:ascii="Arial" w:cs="Arial" w:eastAsia="Arial" w:hAnsi="Arial"/>
                <w:sz w:val="14"/>
                <w:szCs w:val="14"/>
                <w:color w:val="auto"/>
              </w:rPr>
              <w:t>450,000</w:t>
            </w:r>
          </w:p>
        </w:tc>
        <w:tc>
          <w:tcPr>
            <w:tcW w:w="120" w:type="dxa"/>
            <w:vAlign w:val="bottom"/>
          </w:tcPr>
          <w:p>
            <w:pPr>
              <w:spacing w:after="0"/>
              <w:rPr>
                <w:sz w:val="21"/>
                <w:szCs w:val="21"/>
                <w:color w:val="auto"/>
              </w:rPr>
            </w:pPr>
          </w:p>
        </w:tc>
        <w:tc>
          <w:tcPr>
            <w:tcW w:w="200" w:type="dxa"/>
            <w:vAlign w:val="bottom"/>
          </w:tcPr>
          <w:p>
            <w:pPr>
              <w:jc w:val="right"/>
              <w:ind w:right="48"/>
              <w:spacing w:after="0"/>
              <w:rPr>
                <w:sz w:val="20"/>
                <w:szCs w:val="20"/>
                <w:color w:val="auto"/>
              </w:rPr>
            </w:pPr>
            <w:r>
              <w:rPr>
                <w:rFonts w:ascii="Arial" w:cs="Arial" w:eastAsia="Arial" w:hAnsi="Arial"/>
                <w:sz w:val="14"/>
                <w:szCs w:val="14"/>
                <w:color w:val="auto"/>
                <w:w w:val="76"/>
              </w:rPr>
              <w:t>$</w:t>
            </w:r>
          </w:p>
        </w:tc>
        <w:tc>
          <w:tcPr>
            <w:tcW w:w="8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200" w:type="dxa"/>
            <w:vAlign w:val="bottom"/>
          </w:tcPr>
          <w:p>
            <w:pPr>
              <w:jc w:val="right"/>
              <w:ind w:right="48"/>
              <w:spacing w:after="0"/>
              <w:rPr>
                <w:sz w:val="20"/>
                <w:szCs w:val="20"/>
                <w:color w:val="auto"/>
              </w:rPr>
            </w:pPr>
            <w:r>
              <w:rPr>
                <w:rFonts w:ascii="Arial" w:cs="Arial" w:eastAsia="Arial" w:hAnsi="Arial"/>
                <w:sz w:val="14"/>
                <w:szCs w:val="14"/>
                <w:color w:val="auto"/>
                <w:w w:val="76"/>
              </w:rPr>
              <w:t>$</w:t>
            </w:r>
          </w:p>
        </w:tc>
        <w:tc>
          <w:tcPr>
            <w:tcW w:w="720" w:type="dxa"/>
            <w:vAlign w:val="bottom"/>
          </w:tcPr>
          <w:p>
            <w:pPr>
              <w:jc w:val="right"/>
              <w:ind w:right="68"/>
              <w:spacing w:after="0"/>
              <w:rPr>
                <w:sz w:val="20"/>
                <w:szCs w:val="20"/>
                <w:color w:val="auto"/>
              </w:rPr>
            </w:pPr>
            <w:r>
              <w:rPr>
                <w:rFonts w:ascii="Arial" w:cs="Arial" w:eastAsia="Arial" w:hAnsi="Arial"/>
                <w:sz w:val="14"/>
                <w:szCs w:val="14"/>
                <w:color w:val="auto"/>
              </w:rPr>
              <w:t>500,000</w:t>
            </w:r>
          </w:p>
        </w:tc>
        <w:tc>
          <w:tcPr>
            <w:tcW w:w="100" w:type="dxa"/>
            <w:vAlign w:val="bottom"/>
          </w:tcPr>
          <w:p>
            <w:pPr>
              <w:spacing w:after="0"/>
              <w:rPr>
                <w:sz w:val="21"/>
                <w:szCs w:val="21"/>
                <w:color w:val="auto"/>
              </w:rPr>
            </w:pPr>
          </w:p>
        </w:tc>
        <w:tc>
          <w:tcPr>
            <w:tcW w:w="200" w:type="dxa"/>
            <w:vAlign w:val="bottom"/>
          </w:tcPr>
          <w:p>
            <w:pPr>
              <w:jc w:val="right"/>
              <w:ind w:right="28"/>
              <w:spacing w:after="0"/>
              <w:rPr>
                <w:sz w:val="20"/>
                <w:szCs w:val="20"/>
                <w:color w:val="auto"/>
              </w:rPr>
            </w:pPr>
            <w:r>
              <w:rPr>
                <w:rFonts w:ascii="Arial" w:cs="Arial" w:eastAsia="Arial" w:hAnsi="Arial"/>
                <w:sz w:val="14"/>
                <w:szCs w:val="14"/>
                <w:color w:val="auto"/>
              </w:rPr>
              <w:t>$</w:t>
            </w:r>
          </w:p>
        </w:tc>
        <w:tc>
          <w:tcPr>
            <w:tcW w:w="82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120" w:type="dxa"/>
            <w:vAlign w:val="bottom"/>
          </w:tcPr>
          <w:p>
            <w:pPr>
              <w:jc w:val="right"/>
              <w:spacing w:after="0"/>
              <w:rPr>
                <w:sz w:val="20"/>
                <w:szCs w:val="20"/>
                <w:color w:val="auto"/>
              </w:rPr>
            </w:pPr>
            <w:r>
              <w:rPr>
                <w:rFonts w:ascii="Arial" w:cs="Arial" w:eastAsia="Arial" w:hAnsi="Arial"/>
                <w:sz w:val="14"/>
                <w:szCs w:val="14"/>
                <w:color w:val="auto"/>
              </w:rPr>
              <w:t>$</w:t>
            </w:r>
          </w:p>
        </w:tc>
        <w:tc>
          <w:tcPr>
            <w:tcW w:w="800" w:type="dxa"/>
            <w:vAlign w:val="bottom"/>
          </w:tcPr>
          <w:p>
            <w:pPr>
              <w:jc w:val="right"/>
              <w:ind w:right="68"/>
              <w:spacing w:after="0"/>
              <w:rPr>
                <w:sz w:val="20"/>
                <w:szCs w:val="20"/>
                <w:color w:val="auto"/>
              </w:rPr>
            </w:pPr>
            <w:r>
              <w:rPr>
                <w:rFonts w:ascii="Arial" w:cs="Arial" w:eastAsia="Arial" w:hAnsi="Arial"/>
                <w:sz w:val="14"/>
                <w:szCs w:val="14"/>
                <w:color w:val="auto"/>
              </w:rPr>
              <w:t>500,000</w:t>
            </w:r>
          </w:p>
        </w:tc>
        <w:tc>
          <w:tcPr>
            <w:tcW w:w="12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4"/>
                <w:szCs w:val="14"/>
                <w:color w:val="auto"/>
                <w:w w:val="76"/>
              </w:rPr>
              <w:t>$</w:t>
            </w:r>
          </w:p>
        </w:tc>
        <w:tc>
          <w:tcPr>
            <w:tcW w:w="780" w:type="dxa"/>
            <w:vAlign w:val="bottom"/>
          </w:tcPr>
          <w:p>
            <w:pPr>
              <w:jc w:val="right"/>
              <w:ind w:right="88"/>
              <w:spacing w:after="0"/>
              <w:rPr>
                <w:sz w:val="20"/>
                <w:szCs w:val="20"/>
                <w:color w:val="auto"/>
              </w:rPr>
            </w:pPr>
            <w:r>
              <w:rPr>
                <w:rFonts w:ascii="Arial" w:cs="Arial" w:eastAsia="Arial" w:hAnsi="Arial"/>
                <w:sz w:val="14"/>
                <w:szCs w:val="14"/>
                <w:color w:val="auto"/>
                <w:w w:val="96"/>
              </w:rPr>
              <w:t>1,450,000</w:t>
            </w:r>
          </w:p>
        </w:tc>
      </w:tr>
      <w:tr>
        <w:trPr>
          <w:trHeight w:val="263"/>
        </w:trPr>
        <w:tc>
          <w:tcPr>
            <w:tcW w:w="4100" w:type="dxa"/>
            <w:vAlign w:val="bottom"/>
            <w:shd w:val="clear" w:color="auto" w:fill="CCEEFF"/>
          </w:tcPr>
          <w:p>
            <w:pPr>
              <w:ind w:left="20"/>
              <w:spacing w:after="0"/>
              <w:rPr>
                <w:sz w:val="20"/>
                <w:szCs w:val="20"/>
                <w:color w:val="auto"/>
              </w:rPr>
            </w:pPr>
            <w:r>
              <w:rPr>
                <w:rFonts w:ascii="Arial" w:cs="Arial" w:eastAsia="Arial" w:hAnsi="Arial"/>
                <w:sz w:val="16"/>
                <w:szCs w:val="16"/>
                <w:color w:val="auto"/>
              </w:rPr>
              <w:t>Interest obligations on debt</w:t>
            </w:r>
          </w:p>
        </w:tc>
        <w:tc>
          <w:tcPr>
            <w:tcW w:w="200" w:type="dxa"/>
            <w:vAlign w:val="bottom"/>
            <w:shd w:val="clear" w:color="auto" w:fill="CCEEFF"/>
          </w:tcPr>
          <w:p>
            <w:pPr>
              <w:spacing w:after="0"/>
              <w:rPr>
                <w:sz w:val="22"/>
                <w:szCs w:val="22"/>
                <w:color w:val="auto"/>
              </w:rPr>
            </w:pPr>
          </w:p>
        </w:tc>
        <w:tc>
          <w:tcPr>
            <w:tcW w:w="720" w:type="dxa"/>
            <w:vAlign w:val="bottom"/>
            <w:shd w:val="clear" w:color="auto" w:fill="CCEEFF"/>
          </w:tcPr>
          <w:p>
            <w:pPr>
              <w:jc w:val="right"/>
              <w:ind w:right="68"/>
              <w:spacing w:after="0"/>
              <w:rPr>
                <w:sz w:val="20"/>
                <w:szCs w:val="20"/>
                <w:color w:val="auto"/>
              </w:rPr>
            </w:pPr>
            <w:r>
              <w:rPr>
                <w:rFonts w:ascii="Arial" w:cs="Arial" w:eastAsia="Arial" w:hAnsi="Arial"/>
                <w:sz w:val="14"/>
                <w:szCs w:val="14"/>
                <w:color w:val="auto"/>
              </w:rPr>
              <w:t>60,052</w:t>
            </w: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720" w:type="dxa"/>
            <w:vAlign w:val="bottom"/>
            <w:shd w:val="clear" w:color="auto" w:fill="CCEEFF"/>
          </w:tcPr>
          <w:p>
            <w:pPr>
              <w:jc w:val="right"/>
              <w:ind w:right="68"/>
              <w:spacing w:after="0"/>
              <w:rPr>
                <w:sz w:val="20"/>
                <w:szCs w:val="20"/>
                <w:color w:val="auto"/>
              </w:rPr>
            </w:pPr>
            <w:r>
              <w:rPr>
                <w:rFonts w:ascii="Arial" w:cs="Arial" w:eastAsia="Arial" w:hAnsi="Arial"/>
                <w:sz w:val="14"/>
                <w:szCs w:val="14"/>
                <w:color w:val="auto"/>
              </w:rPr>
              <w:t>51,953</w:t>
            </w:r>
          </w:p>
        </w:tc>
        <w:tc>
          <w:tcPr>
            <w:tcW w:w="12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700" w:type="dxa"/>
            <w:vAlign w:val="bottom"/>
            <w:shd w:val="clear" w:color="auto" w:fill="CCEEFF"/>
          </w:tcPr>
          <w:p>
            <w:pPr>
              <w:jc w:val="right"/>
              <w:ind w:right="68"/>
              <w:spacing w:after="0"/>
              <w:rPr>
                <w:sz w:val="20"/>
                <w:szCs w:val="20"/>
                <w:color w:val="auto"/>
              </w:rPr>
            </w:pPr>
            <w:r>
              <w:rPr>
                <w:rFonts w:ascii="Arial" w:cs="Arial" w:eastAsia="Arial" w:hAnsi="Arial"/>
                <w:sz w:val="14"/>
                <w:szCs w:val="14"/>
                <w:color w:val="auto"/>
              </w:rPr>
              <w:t>45,879</w:t>
            </w:r>
          </w:p>
        </w:tc>
        <w:tc>
          <w:tcPr>
            <w:tcW w:w="12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720" w:type="dxa"/>
            <w:vAlign w:val="bottom"/>
            <w:shd w:val="clear" w:color="auto" w:fill="CCEEFF"/>
          </w:tcPr>
          <w:p>
            <w:pPr>
              <w:jc w:val="right"/>
              <w:ind w:right="68"/>
              <w:spacing w:after="0"/>
              <w:rPr>
                <w:sz w:val="20"/>
                <w:szCs w:val="20"/>
                <w:color w:val="auto"/>
              </w:rPr>
            </w:pPr>
            <w:r>
              <w:rPr>
                <w:rFonts w:ascii="Arial" w:cs="Arial" w:eastAsia="Arial" w:hAnsi="Arial"/>
                <w:sz w:val="14"/>
                <w:szCs w:val="14"/>
                <w:color w:val="auto"/>
              </w:rPr>
              <w:t>33,578</w:t>
            </w: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720" w:type="dxa"/>
            <w:vAlign w:val="bottom"/>
            <w:shd w:val="clear" w:color="auto" w:fill="CCEEFF"/>
          </w:tcPr>
          <w:p>
            <w:pPr>
              <w:jc w:val="right"/>
              <w:ind w:right="68"/>
              <w:spacing w:after="0"/>
              <w:rPr>
                <w:sz w:val="20"/>
                <w:szCs w:val="20"/>
                <w:color w:val="auto"/>
              </w:rPr>
            </w:pPr>
            <w:r>
              <w:rPr>
                <w:rFonts w:ascii="Arial" w:cs="Arial" w:eastAsia="Arial" w:hAnsi="Arial"/>
                <w:sz w:val="14"/>
                <w:szCs w:val="14"/>
                <w:color w:val="auto"/>
              </w:rPr>
              <w:t>24,646</w:t>
            </w:r>
          </w:p>
        </w:tc>
        <w:tc>
          <w:tcPr>
            <w:tcW w:w="10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800" w:type="dxa"/>
            <w:vAlign w:val="bottom"/>
            <w:shd w:val="clear" w:color="auto" w:fill="CCEEFF"/>
          </w:tcPr>
          <w:p>
            <w:pPr>
              <w:jc w:val="right"/>
              <w:ind w:right="68"/>
              <w:spacing w:after="0"/>
              <w:rPr>
                <w:sz w:val="20"/>
                <w:szCs w:val="20"/>
                <w:color w:val="auto"/>
              </w:rPr>
            </w:pPr>
            <w:r>
              <w:rPr>
                <w:rFonts w:ascii="Arial" w:cs="Arial" w:eastAsia="Arial" w:hAnsi="Arial"/>
                <w:sz w:val="14"/>
                <w:szCs w:val="14"/>
                <w:color w:val="auto"/>
              </w:rPr>
              <w:t>83,755</w:t>
            </w:r>
          </w:p>
        </w:tc>
        <w:tc>
          <w:tcPr>
            <w:tcW w:w="12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780" w:type="dxa"/>
            <w:vAlign w:val="bottom"/>
            <w:shd w:val="clear" w:color="auto" w:fill="CCEEFF"/>
          </w:tcPr>
          <w:p>
            <w:pPr>
              <w:jc w:val="right"/>
              <w:ind w:right="88"/>
              <w:spacing w:after="0"/>
              <w:rPr>
                <w:sz w:val="20"/>
                <w:szCs w:val="20"/>
                <w:color w:val="auto"/>
              </w:rPr>
            </w:pPr>
            <w:r>
              <w:rPr>
                <w:rFonts w:ascii="Arial" w:cs="Arial" w:eastAsia="Arial" w:hAnsi="Arial"/>
                <w:sz w:val="14"/>
                <w:szCs w:val="14"/>
                <w:color w:val="auto"/>
              </w:rPr>
              <w:t>299,863</w:t>
            </w:r>
          </w:p>
        </w:tc>
      </w:tr>
      <w:tr>
        <w:trPr>
          <w:trHeight w:val="216"/>
        </w:trPr>
        <w:tc>
          <w:tcPr>
            <w:tcW w:w="4100" w:type="dxa"/>
            <w:vAlign w:val="bottom"/>
          </w:tcPr>
          <w:p>
            <w:pPr>
              <w:ind w:left="20"/>
              <w:spacing w:after="0" w:line="216" w:lineRule="exact"/>
              <w:rPr>
                <w:sz w:val="20"/>
                <w:szCs w:val="20"/>
                <w:color w:val="auto"/>
              </w:rPr>
            </w:pPr>
            <w:r>
              <w:rPr>
                <w:rFonts w:ascii="Arial" w:cs="Arial" w:eastAsia="Arial" w:hAnsi="Arial"/>
                <w:sz w:val="16"/>
                <w:szCs w:val="16"/>
                <w:color w:val="auto"/>
              </w:rPr>
              <w:t xml:space="preserve">Facilities operating leases, net </w:t>
            </w:r>
            <w:r>
              <w:rPr>
                <w:rFonts w:ascii="Arial" w:cs="Arial" w:eastAsia="Arial" w:hAnsi="Arial"/>
                <w:sz w:val="21"/>
                <w:szCs w:val="21"/>
                <w:color w:val="auto"/>
                <w:vertAlign w:val="superscript"/>
              </w:rPr>
              <w:t>(1)</w:t>
            </w:r>
          </w:p>
        </w:tc>
        <w:tc>
          <w:tcPr>
            <w:tcW w:w="200" w:type="dxa"/>
            <w:vAlign w:val="bottom"/>
          </w:tcPr>
          <w:p>
            <w:pPr>
              <w:spacing w:after="0"/>
              <w:rPr>
                <w:sz w:val="18"/>
                <w:szCs w:val="18"/>
                <w:color w:val="auto"/>
              </w:rPr>
            </w:pPr>
          </w:p>
        </w:tc>
        <w:tc>
          <w:tcPr>
            <w:tcW w:w="720" w:type="dxa"/>
            <w:vAlign w:val="bottom"/>
          </w:tcPr>
          <w:p>
            <w:pPr>
              <w:jc w:val="right"/>
              <w:ind w:right="68"/>
              <w:spacing w:after="0"/>
              <w:rPr>
                <w:sz w:val="20"/>
                <w:szCs w:val="20"/>
                <w:color w:val="auto"/>
              </w:rPr>
            </w:pPr>
            <w:r>
              <w:rPr>
                <w:rFonts w:ascii="Arial" w:cs="Arial" w:eastAsia="Arial" w:hAnsi="Arial"/>
                <w:sz w:val="14"/>
                <w:szCs w:val="14"/>
                <w:color w:val="auto"/>
              </w:rPr>
              <w:t>35,272</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jc w:val="right"/>
              <w:ind w:right="68"/>
              <w:spacing w:after="0"/>
              <w:rPr>
                <w:sz w:val="20"/>
                <w:szCs w:val="20"/>
                <w:color w:val="auto"/>
              </w:rPr>
            </w:pPr>
            <w:r>
              <w:rPr>
                <w:rFonts w:ascii="Arial" w:cs="Arial" w:eastAsia="Arial" w:hAnsi="Arial"/>
                <w:sz w:val="14"/>
                <w:szCs w:val="14"/>
                <w:color w:val="auto"/>
              </w:rPr>
              <w:t>35,753</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tcPr>
          <w:p>
            <w:pPr>
              <w:jc w:val="right"/>
              <w:ind w:right="68"/>
              <w:spacing w:after="0"/>
              <w:rPr>
                <w:sz w:val="20"/>
                <w:szCs w:val="20"/>
                <w:color w:val="auto"/>
              </w:rPr>
            </w:pPr>
            <w:r>
              <w:rPr>
                <w:rFonts w:ascii="Arial" w:cs="Arial" w:eastAsia="Arial" w:hAnsi="Arial"/>
                <w:sz w:val="14"/>
                <w:szCs w:val="14"/>
                <w:color w:val="auto"/>
              </w:rPr>
              <w:t>28,932</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jc w:val="right"/>
              <w:ind w:right="68"/>
              <w:spacing w:after="0"/>
              <w:rPr>
                <w:sz w:val="20"/>
                <w:szCs w:val="20"/>
                <w:color w:val="auto"/>
              </w:rPr>
            </w:pPr>
            <w:r>
              <w:rPr>
                <w:rFonts w:ascii="Arial" w:cs="Arial" w:eastAsia="Arial" w:hAnsi="Arial"/>
                <w:sz w:val="14"/>
                <w:szCs w:val="14"/>
                <w:color w:val="auto"/>
              </w:rPr>
              <w:t>19,575</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jc w:val="right"/>
              <w:ind w:right="68"/>
              <w:spacing w:after="0"/>
              <w:rPr>
                <w:sz w:val="20"/>
                <w:szCs w:val="20"/>
                <w:color w:val="auto"/>
              </w:rPr>
            </w:pPr>
            <w:r>
              <w:rPr>
                <w:rFonts w:ascii="Arial" w:cs="Arial" w:eastAsia="Arial" w:hAnsi="Arial"/>
                <w:sz w:val="14"/>
                <w:szCs w:val="14"/>
                <w:color w:val="auto"/>
              </w:rPr>
              <w:t>12,791</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ind w:right="68"/>
              <w:spacing w:after="0"/>
              <w:rPr>
                <w:sz w:val="20"/>
                <w:szCs w:val="20"/>
                <w:color w:val="auto"/>
              </w:rPr>
            </w:pPr>
            <w:r>
              <w:rPr>
                <w:rFonts w:ascii="Arial" w:cs="Arial" w:eastAsia="Arial" w:hAnsi="Arial"/>
                <w:sz w:val="14"/>
                <w:szCs w:val="14"/>
                <w:color w:val="auto"/>
              </w:rPr>
              <w:t>34,015</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80" w:type="dxa"/>
            <w:vAlign w:val="bottom"/>
          </w:tcPr>
          <w:p>
            <w:pPr>
              <w:jc w:val="right"/>
              <w:ind w:right="88"/>
              <w:spacing w:after="0"/>
              <w:rPr>
                <w:sz w:val="20"/>
                <w:szCs w:val="20"/>
                <w:color w:val="auto"/>
              </w:rPr>
            </w:pPr>
            <w:r>
              <w:rPr>
                <w:rFonts w:ascii="Arial" w:cs="Arial" w:eastAsia="Arial" w:hAnsi="Arial"/>
                <w:sz w:val="14"/>
                <w:szCs w:val="14"/>
                <w:color w:val="auto"/>
              </w:rPr>
              <w:t>166,338</w:t>
            </w:r>
          </w:p>
        </w:tc>
      </w:tr>
      <w:tr>
        <w:trPr>
          <w:trHeight w:val="257"/>
        </w:trPr>
        <w:tc>
          <w:tcPr>
            <w:tcW w:w="4100" w:type="dxa"/>
            <w:vAlign w:val="bottom"/>
            <w:shd w:val="clear" w:color="auto" w:fill="CCEEFF"/>
          </w:tcPr>
          <w:p>
            <w:pPr>
              <w:ind w:left="20"/>
              <w:spacing w:after="0"/>
              <w:rPr>
                <w:sz w:val="20"/>
                <w:szCs w:val="20"/>
                <w:color w:val="auto"/>
              </w:rPr>
            </w:pPr>
            <w:r>
              <w:rPr>
                <w:rFonts w:ascii="Arial" w:cs="Arial" w:eastAsia="Arial" w:hAnsi="Arial"/>
                <w:sz w:val="16"/>
                <w:szCs w:val="16"/>
                <w:color w:val="auto"/>
              </w:rPr>
              <w:t>Purchase commitments to foundries</w:t>
            </w:r>
          </w:p>
        </w:tc>
        <w:tc>
          <w:tcPr>
            <w:tcW w:w="200" w:type="dxa"/>
            <w:vAlign w:val="bottom"/>
            <w:shd w:val="clear" w:color="auto" w:fill="CCEEFF"/>
          </w:tcPr>
          <w:p>
            <w:pPr>
              <w:spacing w:after="0"/>
              <w:rPr>
                <w:sz w:val="22"/>
                <w:szCs w:val="22"/>
                <w:color w:val="auto"/>
              </w:rPr>
            </w:pPr>
          </w:p>
        </w:tc>
        <w:tc>
          <w:tcPr>
            <w:tcW w:w="720" w:type="dxa"/>
            <w:vAlign w:val="bottom"/>
            <w:shd w:val="clear" w:color="auto" w:fill="CCEEFF"/>
          </w:tcPr>
          <w:p>
            <w:pPr>
              <w:jc w:val="right"/>
              <w:ind w:right="68"/>
              <w:spacing w:after="0"/>
              <w:rPr>
                <w:sz w:val="20"/>
                <w:szCs w:val="20"/>
                <w:color w:val="auto"/>
              </w:rPr>
            </w:pPr>
            <w:r>
              <w:rPr>
                <w:rFonts w:ascii="Arial" w:cs="Arial" w:eastAsia="Arial" w:hAnsi="Arial"/>
                <w:sz w:val="14"/>
                <w:szCs w:val="14"/>
                <w:color w:val="auto"/>
              </w:rPr>
              <w:t>163,666</w:t>
            </w: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22"/>
                <w:szCs w:val="22"/>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22"/>
                <w:szCs w:val="22"/>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22"/>
                <w:szCs w:val="22"/>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22"/>
                <w:szCs w:val="22"/>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22"/>
                <w:szCs w:val="22"/>
                <w:color w:val="auto"/>
              </w:rPr>
            </w:pPr>
          </w:p>
        </w:tc>
        <w:tc>
          <w:tcPr>
            <w:tcW w:w="780" w:type="dxa"/>
            <w:vAlign w:val="bottom"/>
            <w:shd w:val="clear" w:color="auto" w:fill="CCEEFF"/>
          </w:tcPr>
          <w:p>
            <w:pPr>
              <w:jc w:val="right"/>
              <w:ind w:right="88"/>
              <w:spacing w:after="0"/>
              <w:rPr>
                <w:sz w:val="20"/>
                <w:szCs w:val="20"/>
                <w:color w:val="auto"/>
              </w:rPr>
            </w:pPr>
            <w:r>
              <w:rPr>
                <w:rFonts w:ascii="Arial" w:cs="Arial" w:eastAsia="Arial" w:hAnsi="Arial"/>
                <w:sz w:val="14"/>
                <w:szCs w:val="14"/>
                <w:color w:val="auto"/>
              </w:rPr>
              <w:t>163,666</w:t>
            </w:r>
          </w:p>
        </w:tc>
      </w:tr>
      <w:tr>
        <w:trPr>
          <w:trHeight w:val="250"/>
        </w:trPr>
        <w:tc>
          <w:tcPr>
            <w:tcW w:w="4100" w:type="dxa"/>
            <w:vAlign w:val="bottom"/>
          </w:tcPr>
          <w:p>
            <w:pPr>
              <w:ind w:left="20"/>
              <w:spacing w:after="0"/>
              <w:rPr>
                <w:sz w:val="20"/>
                <w:szCs w:val="20"/>
                <w:color w:val="auto"/>
              </w:rPr>
            </w:pPr>
            <w:r>
              <w:rPr>
                <w:rFonts w:ascii="Arial" w:cs="Arial" w:eastAsia="Arial" w:hAnsi="Arial"/>
                <w:sz w:val="16"/>
                <w:szCs w:val="16"/>
                <w:color w:val="auto"/>
              </w:rPr>
              <w:t>Capital purchase obligations</w:t>
            </w:r>
          </w:p>
        </w:tc>
        <w:tc>
          <w:tcPr>
            <w:tcW w:w="200" w:type="dxa"/>
            <w:vAlign w:val="bottom"/>
          </w:tcPr>
          <w:p>
            <w:pPr>
              <w:spacing w:after="0"/>
              <w:rPr>
                <w:sz w:val="21"/>
                <w:szCs w:val="21"/>
                <w:color w:val="auto"/>
              </w:rPr>
            </w:pPr>
          </w:p>
        </w:tc>
        <w:tc>
          <w:tcPr>
            <w:tcW w:w="720" w:type="dxa"/>
            <w:vAlign w:val="bottom"/>
          </w:tcPr>
          <w:p>
            <w:pPr>
              <w:jc w:val="right"/>
              <w:ind w:right="68"/>
              <w:spacing w:after="0"/>
              <w:rPr>
                <w:sz w:val="20"/>
                <w:szCs w:val="20"/>
                <w:color w:val="auto"/>
              </w:rPr>
            </w:pPr>
            <w:r>
              <w:rPr>
                <w:rFonts w:ascii="Arial" w:cs="Arial" w:eastAsia="Arial" w:hAnsi="Arial"/>
                <w:sz w:val="14"/>
                <w:szCs w:val="14"/>
                <w:color w:val="auto"/>
              </w:rPr>
              <w:t>29,162</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1"/>
                <w:szCs w:val="21"/>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1"/>
                <w:szCs w:val="21"/>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1"/>
                <w:szCs w:val="21"/>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21"/>
                <w:szCs w:val="21"/>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1"/>
                <w:szCs w:val="21"/>
                <w:color w:val="auto"/>
              </w:rPr>
            </w:pPr>
          </w:p>
        </w:tc>
        <w:tc>
          <w:tcPr>
            <w:tcW w:w="780" w:type="dxa"/>
            <w:vAlign w:val="bottom"/>
          </w:tcPr>
          <w:p>
            <w:pPr>
              <w:jc w:val="right"/>
              <w:ind w:right="88"/>
              <w:spacing w:after="0"/>
              <w:rPr>
                <w:sz w:val="20"/>
                <w:szCs w:val="20"/>
                <w:color w:val="auto"/>
              </w:rPr>
            </w:pPr>
            <w:r>
              <w:rPr>
                <w:rFonts w:ascii="Arial" w:cs="Arial" w:eastAsia="Arial" w:hAnsi="Arial"/>
                <w:sz w:val="14"/>
                <w:szCs w:val="14"/>
                <w:color w:val="auto"/>
              </w:rPr>
              <w:t>29,162</w:t>
            </w:r>
          </w:p>
        </w:tc>
      </w:tr>
      <w:tr>
        <w:trPr>
          <w:trHeight w:val="222"/>
        </w:trPr>
        <w:tc>
          <w:tcPr>
            <w:tcW w:w="4100" w:type="dxa"/>
            <w:vAlign w:val="bottom"/>
            <w:shd w:val="clear" w:color="auto" w:fill="CCEEFF"/>
          </w:tcPr>
          <w:p>
            <w:pPr>
              <w:ind w:left="20"/>
              <w:spacing w:after="0" w:line="222" w:lineRule="exact"/>
              <w:rPr>
                <w:sz w:val="20"/>
                <w:szCs w:val="20"/>
                <w:color w:val="auto"/>
              </w:rPr>
            </w:pPr>
            <w:r>
              <w:rPr>
                <w:rFonts w:ascii="Arial" w:cs="Arial" w:eastAsia="Arial" w:hAnsi="Arial"/>
                <w:sz w:val="16"/>
                <w:szCs w:val="16"/>
                <w:color w:val="auto"/>
              </w:rPr>
              <w:t xml:space="preserve">Technology license obligations </w:t>
            </w:r>
            <w:r>
              <w:rPr>
                <w:rFonts w:ascii="Arial" w:cs="Arial" w:eastAsia="Arial" w:hAnsi="Arial"/>
                <w:sz w:val="21"/>
                <w:szCs w:val="21"/>
                <w:color w:val="auto"/>
                <w:vertAlign w:val="superscript"/>
              </w:rPr>
              <w:t>(2)</w:t>
            </w:r>
          </w:p>
        </w:tc>
        <w:tc>
          <w:tcPr>
            <w:tcW w:w="200" w:type="dxa"/>
            <w:vAlign w:val="bottom"/>
            <w:shd w:val="clear" w:color="auto" w:fill="CCEEFF"/>
          </w:tcPr>
          <w:p>
            <w:pPr>
              <w:spacing w:after="0"/>
              <w:rPr>
                <w:sz w:val="19"/>
                <w:szCs w:val="19"/>
                <w:color w:val="auto"/>
              </w:rPr>
            </w:pPr>
          </w:p>
        </w:tc>
        <w:tc>
          <w:tcPr>
            <w:tcW w:w="720" w:type="dxa"/>
            <w:vAlign w:val="bottom"/>
            <w:shd w:val="clear" w:color="auto" w:fill="CCEEFF"/>
          </w:tcPr>
          <w:p>
            <w:pPr>
              <w:jc w:val="right"/>
              <w:ind w:right="68"/>
              <w:spacing w:after="0"/>
              <w:rPr>
                <w:sz w:val="20"/>
                <w:szCs w:val="20"/>
                <w:color w:val="auto"/>
              </w:rPr>
            </w:pPr>
            <w:r>
              <w:rPr>
                <w:rFonts w:ascii="Arial" w:cs="Arial" w:eastAsia="Arial" w:hAnsi="Arial"/>
                <w:sz w:val="14"/>
                <w:szCs w:val="14"/>
                <w:color w:val="auto"/>
              </w:rPr>
              <w:t>83,746</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20" w:type="dxa"/>
            <w:vAlign w:val="bottom"/>
            <w:shd w:val="clear" w:color="auto" w:fill="CCEEFF"/>
          </w:tcPr>
          <w:p>
            <w:pPr>
              <w:jc w:val="right"/>
              <w:ind w:right="68"/>
              <w:spacing w:after="0"/>
              <w:rPr>
                <w:sz w:val="20"/>
                <w:szCs w:val="20"/>
                <w:color w:val="auto"/>
              </w:rPr>
            </w:pPr>
            <w:r>
              <w:rPr>
                <w:rFonts w:ascii="Arial" w:cs="Arial" w:eastAsia="Arial" w:hAnsi="Arial"/>
                <w:sz w:val="14"/>
                <w:szCs w:val="14"/>
                <w:color w:val="auto"/>
              </w:rPr>
              <w:t>70,659</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00" w:type="dxa"/>
            <w:vAlign w:val="bottom"/>
            <w:shd w:val="clear" w:color="auto" w:fill="CCEEFF"/>
          </w:tcPr>
          <w:p>
            <w:pPr>
              <w:jc w:val="right"/>
              <w:ind w:right="68"/>
              <w:spacing w:after="0"/>
              <w:rPr>
                <w:sz w:val="20"/>
                <w:szCs w:val="20"/>
                <w:color w:val="auto"/>
              </w:rPr>
            </w:pPr>
            <w:r>
              <w:rPr>
                <w:rFonts w:ascii="Arial" w:cs="Arial" w:eastAsia="Arial" w:hAnsi="Arial"/>
                <w:sz w:val="14"/>
                <w:szCs w:val="14"/>
                <w:color w:val="auto"/>
              </w:rPr>
              <w:t>40,084</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20" w:type="dxa"/>
            <w:vAlign w:val="bottom"/>
            <w:shd w:val="clear" w:color="auto" w:fill="CCEEFF"/>
          </w:tcPr>
          <w:p>
            <w:pPr>
              <w:jc w:val="right"/>
              <w:ind w:right="68"/>
              <w:spacing w:after="0"/>
              <w:rPr>
                <w:sz w:val="20"/>
                <w:szCs w:val="20"/>
                <w:color w:val="auto"/>
              </w:rPr>
            </w:pPr>
            <w:r>
              <w:rPr>
                <w:rFonts w:ascii="Arial" w:cs="Arial" w:eastAsia="Arial" w:hAnsi="Arial"/>
                <w:sz w:val="14"/>
                <w:szCs w:val="14"/>
                <w:color w:val="auto"/>
              </w:rPr>
              <w:t>29,309</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20" w:type="dxa"/>
            <w:vAlign w:val="bottom"/>
            <w:shd w:val="clear" w:color="auto" w:fill="CCEEFF"/>
          </w:tcPr>
          <w:p>
            <w:pPr>
              <w:jc w:val="right"/>
              <w:ind w:right="68"/>
              <w:spacing w:after="0"/>
              <w:rPr>
                <w:sz w:val="20"/>
                <w:szCs w:val="20"/>
                <w:color w:val="auto"/>
              </w:rPr>
            </w:pPr>
            <w:r>
              <w:rPr>
                <w:rFonts w:ascii="Arial" w:cs="Arial" w:eastAsia="Arial" w:hAnsi="Arial"/>
                <w:sz w:val="14"/>
                <w:szCs w:val="14"/>
                <w:color w:val="auto"/>
              </w:rPr>
              <w:t>309</w:t>
            </w: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00" w:type="dxa"/>
            <w:vAlign w:val="bottom"/>
            <w:shd w:val="clear" w:color="auto" w:fill="CCEEFF"/>
          </w:tcPr>
          <w:p>
            <w:pPr>
              <w:jc w:val="right"/>
              <w:ind w:right="68"/>
              <w:spacing w:after="0"/>
              <w:rPr>
                <w:sz w:val="20"/>
                <w:szCs w:val="20"/>
                <w:color w:val="auto"/>
              </w:rPr>
            </w:pPr>
            <w:r>
              <w:rPr>
                <w:rFonts w:ascii="Arial" w:cs="Arial" w:eastAsia="Arial" w:hAnsi="Arial"/>
                <w:sz w:val="14"/>
                <w:szCs w:val="14"/>
                <w:color w:val="auto"/>
              </w:rPr>
              <w:t>309</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780" w:type="dxa"/>
            <w:vAlign w:val="bottom"/>
            <w:shd w:val="clear" w:color="auto" w:fill="CCEEFF"/>
          </w:tcPr>
          <w:p>
            <w:pPr>
              <w:jc w:val="right"/>
              <w:ind w:right="88"/>
              <w:spacing w:after="0"/>
              <w:rPr>
                <w:sz w:val="20"/>
                <w:szCs w:val="20"/>
                <w:color w:val="auto"/>
              </w:rPr>
            </w:pPr>
            <w:r>
              <w:rPr>
                <w:rFonts w:ascii="Arial" w:cs="Arial" w:eastAsia="Arial" w:hAnsi="Arial"/>
                <w:sz w:val="14"/>
                <w:szCs w:val="14"/>
                <w:color w:val="auto"/>
              </w:rPr>
              <w:t>224,416</w:t>
            </w:r>
          </w:p>
        </w:tc>
      </w:tr>
      <w:tr>
        <w:trPr>
          <w:trHeight w:val="250"/>
        </w:trPr>
        <w:tc>
          <w:tcPr>
            <w:tcW w:w="4100" w:type="dxa"/>
            <w:vAlign w:val="bottom"/>
          </w:tcPr>
          <w:p>
            <w:pPr>
              <w:ind w:left="20"/>
              <w:spacing w:after="0"/>
              <w:rPr>
                <w:sz w:val="20"/>
                <w:szCs w:val="20"/>
                <w:color w:val="auto"/>
              </w:rPr>
            </w:pPr>
            <w:r>
              <w:rPr>
                <w:rFonts w:ascii="Arial" w:cs="Arial" w:eastAsia="Arial" w:hAnsi="Arial"/>
                <w:sz w:val="16"/>
                <w:szCs w:val="16"/>
                <w:color w:val="auto"/>
              </w:rPr>
              <w:t>Other contractual commitments</w:t>
            </w:r>
          </w:p>
        </w:tc>
        <w:tc>
          <w:tcPr>
            <w:tcW w:w="200" w:type="dxa"/>
            <w:vAlign w:val="bottom"/>
          </w:tcPr>
          <w:p>
            <w:pPr>
              <w:spacing w:after="0"/>
              <w:rPr>
                <w:sz w:val="21"/>
                <w:szCs w:val="21"/>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1"/>
                <w:szCs w:val="21"/>
                <w:color w:val="auto"/>
              </w:rPr>
            </w:pPr>
          </w:p>
        </w:tc>
        <w:tc>
          <w:tcPr>
            <w:tcW w:w="720" w:type="dxa"/>
            <w:vAlign w:val="bottom"/>
          </w:tcPr>
          <w:p>
            <w:pPr>
              <w:jc w:val="right"/>
              <w:ind w:right="68"/>
              <w:spacing w:after="0"/>
              <w:rPr>
                <w:sz w:val="20"/>
                <w:szCs w:val="20"/>
                <w:color w:val="auto"/>
              </w:rPr>
            </w:pPr>
            <w:r>
              <w:rPr>
                <w:rFonts w:ascii="Arial" w:cs="Arial" w:eastAsia="Arial" w:hAnsi="Arial"/>
                <w:sz w:val="14"/>
                <w:szCs w:val="14"/>
                <w:color w:val="auto"/>
              </w:rPr>
              <w:t>157</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700" w:type="dxa"/>
            <w:vAlign w:val="bottom"/>
          </w:tcPr>
          <w:p>
            <w:pPr>
              <w:jc w:val="right"/>
              <w:ind w:right="68"/>
              <w:spacing w:after="0"/>
              <w:rPr>
                <w:sz w:val="20"/>
                <w:szCs w:val="20"/>
                <w:color w:val="auto"/>
              </w:rPr>
            </w:pPr>
            <w:r>
              <w:rPr>
                <w:rFonts w:ascii="Arial" w:cs="Arial" w:eastAsia="Arial" w:hAnsi="Arial"/>
                <w:sz w:val="14"/>
                <w:szCs w:val="14"/>
                <w:color w:val="auto"/>
              </w:rPr>
              <w:t>111</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720" w:type="dxa"/>
            <w:vAlign w:val="bottom"/>
          </w:tcPr>
          <w:p>
            <w:pPr>
              <w:jc w:val="right"/>
              <w:ind w:right="68"/>
              <w:spacing w:after="0"/>
              <w:rPr>
                <w:sz w:val="20"/>
                <w:szCs w:val="20"/>
                <w:color w:val="auto"/>
              </w:rPr>
            </w:pPr>
            <w:r>
              <w:rPr>
                <w:rFonts w:ascii="Arial" w:cs="Arial" w:eastAsia="Arial" w:hAnsi="Arial"/>
                <w:sz w:val="14"/>
                <w:szCs w:val="14"/>
                <w:color w:val="auto"/>
              </w:rPr>
              <w:t>80</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720" w:type="dxa"/>
            <w:vAlign w:val="bottom"/>
          </w:tcPr>
          <w:p>
            <w:pPr>
              <w:jc w:val="right"/>
              <w:ind w:right="68"/>
              <w:spacing w:after="0"/>
              <w:rPr>
                <w:sz w:val="20"/>
                <w:szCs w:val="20"/>
                <w:color w:val="auto"/>
              </w:rPr>
            </w:pPr>
            <w:r>
              <w:rPr>
                <w:rFonts w:ascii="Arial" w:cs="Arial" w:eastAsia="Arial" w:hAnsi="Arial"/>
                <w:sz w:val="14"/>
                <w:szCs w:val="14"/>
                <w:color w:val="auto"/>
              </w:rPr>
              <w:t>11</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800" w:type="dxa"/>
            <w:vAlign w:val="bottom"/>
          </w:tcPr>
          <w:p>
            <w:pPr>
              <w:jc w:val="right"/>
              <w:ind w:right="68"/>
              <w:spacing w:after="0"/>
              <w:rPr>
                <w:sz w:val="20"/>
                <w:szCs w:val="20"/>
                <w:color w:val="auto"/>
              </w:rPr>
            </w:pPr>
            <w:r>
              <w:rPr>
                <w:rFonts w:ascii="Arial" w:cs="Arial" w:eastAsia="Arial" w:hAnsi="Arial"/>
                <w:sz w:val="14"/>
                <w:szCs w:val="14"/>
                <w:color w:val="auto"/>
              </w:rPr>
              <w:t>2,860</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780" w:type="dxa"/>
            <w:vAlign w:val="bottom"/>
          </w:tcPr>
          <w:p>
            <w:pPr>
              <w:jc w:val="right"/>
              <w:ind w:right="88"/>
              <w:spacing w:after="0"/>
              <w:rPr>
                <w:sz w:val="20"/>
                <w:szCs w:val="20"/>
                <w:color w:val="auto"/>
              </w:rPr>
            </w:pPr>
            <w:r>
              <w:rPr>
                <w:rFonts w:ascii="Arial" w:cs="Arial" w:eastAsia="Arial" w:hAnsi="Arial"/>
                <w:sz w:val="14"/>
                <w:szCs w:val="14"/>
                <w:color w:val="auto"/>
              </w:rPr>
              <w:t>3,219</w:t>
            </w:r>
          </w:p>
        </w:tc>
      </w:tr>
      <w:tr>
        <w:trPr>
          <w:trHeight w:val="238"/>
        </w:trPr>
        <w:tc>
          <w:tcPr>
            <w:tcW w:w="41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Total contractual cash obligations</w:t>
            </w:r>
          </w:p>
        </w:tc>
        <w:tc>
          <w:tcPr>
            <w:tcW w:w="200" w:type="dxa"/>
            <w:vAlign w:val="bottom"/>
            <w:tcBorders>
              <w:top w:val="single" w:sz="8" w:color="auto"/>
              <w:bottom w:val="single" w:sz="8" w:color="auto"/>
            </w:tcBorders>
            <w:shd w:val="clear" w:color="auto" w:fill="CCEEFF"/>
          </w:tcPr>
          <w:p>
            <w:pPr>
              <w:jc w:val="right"/>
              <w:ind w:right="48"/>
              <w:spacing w:after="0"/>
              <w:rPr>
                <w:sz w:val="20"/>
                <w:szCs w:val="20"/>
                <w:color w:val="auto"/>
              </w:rPr>
            </w:pPr>
            <w:r>
              <w:rPr>
                <w:rFonts w:ascii="Arial" w:cs="Arial" w:eastAsia="Arial" w:hAnsi="Arial"/>
                <w:sz w:val="14"/>
                <w:szCs w:val="14"/>
                <w:color w:val="auto"/>
                <w:w w:val="76"/>
              </w:rPr>
              <w:t>$</w:t>
            </w:r>
          </w:p>
        </w:tc>
        <w:tc>
          <w:tcPr>
            <w:tcW w:w="720" w:type="dxa"/>
            <w:vAlign w:val="bottom"/>
            <w:tcBorders>
              <w:top w:val="single" w:sz="8" w:color="auto"/>
              <w:bottom w:val="single" w:sz="8" w:color="auto"/>
            </w:tcBorders>
            <w:shd w:val="clear" w:color="auto" w:fill="CCEEFF"/>
          </w:tcPr>
          <w:p>
            <w:pPr>
              <w:jc w:val="right"/>
              <w:ind w:right="68"/>
              <w:spacing w:after="0"/>
              <w:rPr>
                <w:sz w:val="20"/>
                <w:szCs w:val="20"/>
                <w:color w:val="auto"/>
              </w:rPr>
            </w:pPr>
            <w:r>
              <w:rPr>
                <w:rFonts w:ascii="Arial" w:cs="Arial" w:eastAsia="Arial" w:hAnsi="Arial"/>
                <w:sz w:val="14"/>
                <w:szCs w:val="14"/>
                <w:color w:val="auto"/>
              </w:rPr>
              <w:t>371,898</w:t>
            </w: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auto"/>
            </w:tcBorders>
            <w:shd w:val="clear" w:color="auto" w:fill="CCEEFF"/>
          </w:tcPr>
          <w:p>
            <w:pPr>
              <w:jc w:val="right"/>
              <w:ind w:right="28"/>
              <w:spacing w:after="0"/>
              <w:rPr>
                <w:sz w:val="20"/>
                <w:szCs w:val="20"/>
                <w:color w:val="auto"/>
              </w:rPr>
            </w:pPr>
            <w:r>
              <w:rPr>
                <w:rFonts w:ascii="Arial" w:cs="Arial" w:eastAsia="Arial" w:hAnsi="Arial"/>
                <w:sz w:val="14"/>
                <w:szCs w:val="14"/>
                <w:color w:val="auto"/>
              </w:rPr>
              <w:t>$</w:t>
            </w:r>
          </w:p>
        </w:tc>
        <w:tc>
          <w:tcPr>
            <w:tcW w:w="720" w:type="dxa"/>
            <w:vAlign w:val="bottom"/>
            <w:tcBorders>
              <w:top w:val="single" w:sz="8" w:color="auto"/>
              <w:bottom w:val="single" w:sz="8" w:color="auto"/>
            </w:tcBorders>
            <w:shd w:val="clear" w:color="auto" w:fill="CCEEFF"/>
          </w:tcPr>
          <w:p>
            <w:pPr>
              <w:jc w:val="right"/>
              <w:ind w:right="68"/>
              <w:spacing w:after="0"/>
              <w:rPr>
                <w:sz w:val="20"/>
                <w:szCs w:val="20"/>
                <w:color w:val="auto"/>
              </w:rPr>
            </w:pPr>
            <w:r>
              <w:rPr>
                <w:rFonts w:ascii="Arial" w:cs="Arial" w:eastAsia="Arial" w:hAnsi="Arial"/>
                <w:sz w:val="14"/>
                <w:szCs w:val="14"/>
                <w:color w:val="auto"/>
              </w:rPr>
              <w:t>608,522</w:t>
            </w: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auto"/>
            </w:tcBorders>
            <w:shd w:val="clear" w:color="auto" w:fill="CCEEFF"/>
          </w:tcPr>
          <w:p>
            <w:pPr>
              <w:jc w:val="right"/>
              <w:ind w:right="48"/>
              <w:spacing w:after="0"/>
              <w:rPr>
                <w:sz w:val="20"/>
                <w:szCs w:val="20"/>
                <w:color w:val="auto"/>
              </w:rPr>
            </w:pPr>
            <w:r>
              <w:rPr>
                <w:rFonts w:ascii="Arial" w:cs="Arial" w:eastAsia="Arial" w:hAnsi="Arial"/>
                <w:sz w:val="14"/>
                <w:szCs w:val="14"/>
                <w:color w:val="auto"/>
                <w:w w:val="76"/>
              </w:rPr>
              <w:t>$</w:t>
            </w:r>
          </w:p>
        </w:tc>
        <w:tc>
          <w:tcPr>
            <w:tcW w:w="700" w:type="dxa"/>
            <w:vAlign w:val="bottom"/>
            <w:tcBorders>
              <w:top w:val="single" w:sz="8" w:color="auto"/>
              <w:bottom w:val="single" w:sz="8" w:color="auto"/>
            </w:tcBorders>
            <w:shd w:val="clear" w:color="auto" w:fill="CCEEFF"/>
          </w:tcPr>
          <w:p>
            <w:pPr>
              <w:jc w:val="right"/>
              <w:ind w:right="68"/>
              <w:spacing w:after="0"/>
              <w:rPr>
                <w:sz w:val="20"/>
                <w:szCs w:val="20"/>
                <w:color w:val="auto"/>
              </w:rPr>
            </w:pPr>
            <w:r>
              <w:rPr>
                <w:rFonts w:ascii="Arial" w:cs="Arial" w:eastAsia="Arial" w:hAnsi="Arial"/>
                <w:sz w:val="14"/>
                <w:szCs w:val="14"/>
                <w:color w:val="auto"/>
              </w:rPr>
              <w:t>115,006</w:t>
            </w: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auto"/>
            </w:tcBorders>
            <w:shd w:val="clear" w:color="auto" w:fill="CCEEFF"/>
          </w:tcPr>
          <w:p>
            <w:pPr>
              <w:jc w:val="right"/>
              <w:ind w:right="48"/>
              <w:spacing w:after="0"/>
              <w:rPr>
                <w:sz w:val="20"/>
                <w:szCs w:val="20"/>
                <w:color w:val="auto"/>
              </w:rPr>
            </w:pPr>
            <w:r>
              <w:rPr>
                <w:rFonts w:ascii="Arial" w:cs="Arial" w:eastAsia="Arial" w:hAnsi="Arial"/>
                <w:sz w:val="14"/>
                <w:szCs w:val="14"/>
                <w:color w:val="auto"/>
                <w:w w:val="76"/>
              </w:rPr>
              <w:t>$</w:t>
            </w:r>
          </w:p>
        </w:tc>
        <w:tc>
          <w:tcPr>
            <w:tcW w:w="720" w:type="dxa"/>
            <w:vAlign w:val="bottom"/>
            <w:tcBorders>
              <w:top w:val="single" w:sz="8" w:color="auto"/>
              <w:bottom w:val="single" w:sz="8" w:color="auto"/>
            </w:tcBorders>
            <w:shd w:val="clear" w:color="auto" w:fill="CCEEFF"/>
          </w:tcPr>
          <w:p>
            <w:pPr>
              <w:jc w:val="right"/>
              <w:ind w:right="68"/>
              <w:spacing w:after="0"/>
              <w:rPr>
                <w:sz w:val="20"/>
                <w:szCs w:val="20"/>
                <w:color w:val="auto"/>
              </w:rPr>
            </w:pPr>
            <w:r>
              <w:rPr>
                <w:rFonts w:ascii="Arial" w:cs="Arial" w:eastAsia="Arial" w:hAnsi="Arial"/>
                <w:sz w:val="14"/>
                <w:szCs w:val="14"/>
                <w:color w:val="auto"/>
              </w:rPr>
              <w:t>582,542</w:t>
            </w: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auto"/>
            </w:tcBorders>
            <w:shd w:val="clear" w:color="auto" w:fill="CCEEFF"/>
          </w:tcPr>
          <w:p>
            <w:pPr>
              <w:jc w:val="right"/>
              <w:ind w:right="28"/>
              <w:spacing w:after="0"/>
              <w:rPr>
                <w:sz w:val="20"/>
                <w:szCs w:val="20"/>
                <w:color w:val="auto"/>
              </w:rPr>
            </w:pPr>
            <w:r>
              <w:rPr>
                <w:rFonts w:ascii="Arial" w:cs="Arial" w:eastAsia="Arial" w:hAnsi="Arial"/>
                <w:sz w:val="14"/>
                <w:szCs w:val="14"/>
                <w:color w:val="auto"/>
              </w:rPr>
              <w:t>$</w:t>
            </w:r>
          </w:p>
        </w:tc>
        <w:tc>
          <w:tcPr>
            <w:tcW w:w="720" w:type="dxa"/>
            <w:vAlign w:val="bottom"/>
            <w:tcBorders>
              <w:top w:val="single" w:sz="8" w:color="auto"/>
              <w:bottom w:val="single" w:sz="8" w:color="auto"/>
            </w:tcBorders>
            <w:shd w:val="clear" w:color="auto" w:fill="CCEEFF"/>
          </w:tcPr>
          <w:p>
            <w:pPr>
              <w:jc w:val="right"/>
              <w:ind w:right="68"/>
              <w:spacing w:after="0"/>
              <w:rPr>
                <w:sz w:val="20"/>
                <w:szCs w:val="20"/>
                <w:color w:val="auto"/>
              </w:rPr>
            </w:pPr>
            <w:r>
              <w:rPr>
                <w:rFonts w:ascii="Arial" w:cs="Arial" w:eastAsia="Arial" w:hAnsi="Arial"/>
                <w:sz w:val="14"/>
                <w:szCs w:val="14"/>
                <w:color w:val="auto"/>
              </w:rPr>
              <w:t>37,757</w:t>
            </w: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800" w:type="dxa"/>
            <w:vAlign w:val="bottom"/>
            <w:tcBorders>
              <w:top w:val="single" w:sz="8" w:color="auto"/>
              <w:bottom w:val="single" w:sz="8" w:color="auto"/>
            </w:tcBorders>
            <w:shd w:val="clear" w:color="auto" w:fill="CCEEFF"/>
          </w:tcPr>
          <w:p>
            <w:pPr>
              <w:jc w:val="right"/>
              <w:ind w:right="68"/>
              <w:spacing w:after="0"/>
              <w:rPr>
                <w:sz w:val="20"/>
                <w:szCs w:val="20"/>
                <w:color w:val="auto"/>
              </w:rPr>
            </w:pPr>
            <w:r>
              <w:rPr>
                <w:rFonts w:ascii="Arial" w:cs="Arial" w:eastAsia="Arial" w:hAnsi="Arial"/>
                <w:sz w:val="14"/>
                <w:szCs w:val="14"/>
                <w:color w:val="auto"/>
              </w:rPr>
              <w:t>620,939</w:t>
            </w: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4"/>
                <w:szCs w:val="14"/>
                <w:color w:val="auto"/>
                <w:w w:val="76"/>
              </w:rPr>
              <w:t>$</w:t>
            </w:r>
          </w:p>
        </w:tc>
        <w:tc>
          <w:tcPr>
            <w:tcW w:w="780" w:type="dxa"/>
            <w:vAlign w:val="bottom"/>
            <w:tcBorders>
              <w:top w:val="single" w:sz="8" w:color="auto"/>
              <w:bottom w:val="single" w:sz="8" w:color="auto"/>
            </w:tcBorders>
            <w:shd w:val="clear" w:color="auto" w:fill="CCEEFF"/>
          </w:tcPr>
          <w:p>
            <w:pPr>
              <w:jc w:val="right"/>
              <w:ind w:right="88"/>
              <w:spacing w:after="0"/>
              <w:rPr>
                <w:sz w:val="20"/>
                <w:szCs w:val="20"/>
                <w:color w:val="auto"/>
              </w:rPr>
            </w:pPr>
            <w:r>
              <w:rPr>
                <w:rFonts w:ascii="Arial" w:cs="Arial" w:eastAsia="Arial" w:hAnsi="Arial"/>
                <w:sz w:val="14"/>
                <w:szCs w:val="14"/>
                <w:color w:val="auto"/>
                <w:w w:val="96"/>
              </w:rPr>
              <w:t>2,336,664</w:t>
            </w:r>
          </w:p>
        </w:tc>
      </w:tr>
      <w:tr>
        <w:trPr>
          <w:trHeight w:val="20"/>
        </w:trPr>
        <w:tc>
          <w:tcPr>
            <w:tcW w:w="4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7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8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780" w:type="dxa"/>
            <w:vAlign w:val="bottom"/>
            <w:tcBorders>
              <w:top w:val="single" w:sz="8" w:color="CCEEFF"/>
              <w:bottom w:val="single" w:sz="8" w:color="auto"/>
            </w:tcBorders>
          </w:tcPr>
          <w:p>
            <w:pPr>
              <w:spacing w:after="0" w:line="20" w:lineRule="exact"/>
              <w:rPr>
                <w:sz w:val="1"/>
                <w:szCs w:val="1"/>
                <w:color w:val="auto"/>
              </w:rPr>
            </w:pPr>
          </w:p>
        </w:tc>
      </w:tr>
    </w:tbl>
    <w:p>
      <w:pPr>
        <w:spacing w:after="0" w:line="332" w:lineRule="exact"/>
        <w:rPr>
          <w:sz w:val="20"/>
          <w:szCs w:val="20"/>
          <w:color w:val="auto"/>
        </w:rPr>
      </w:pPr>
    </w:p>
    <w:p>
      <w:pPr>
        <w:ind w:left="660" w:right="100" w:hanging="652"/>
        <w:spacing w:after="0" w:line="273" w:lineRule="auto"/>
        <w:tabs>
          <w:tab w:leader="none" w:pos="652" w:val="left"/>
        </w:tabs>
        <w:numPr>
          <w:ilvl w:val="0"/>
          <w:numId w:val="25"/>
        </w:numPr>
        <w:rPr>
          <w:rFonts w:ascii="Arial" w:cs="Arial" w:eastAsia="Arial" w:hAnsi="Arial"/>
          <w:sz w:val="14"/>
          <w:szCs w:val="14"/>
          <w:color w:val="auto"/>
        </w:rPr>
      </w:pPr>
      <w:r>
        <w:rPr>
          <w:rFonts w:ascii="Arial" w:cs="Arial" w:eastAsia="Arial" w:hAnsi="Arial"/>
          <w:sz w:val="14"/>
          <w:szCs w:val="14"/>
          <w:color w:val="auto"/>
        </w:rPr>
        <w:t>Amounts exclude contractual sublease proceeds of $26.4 million to be received through fiscal 2028. Refer to “Note 7 - Leases” in our Notes to the Consolidated Financial Statements set forth in Part II, Item 8 of this Annual Report on Form 10-K for more information.</w:t>
      </w:r>
    </w:p>
    <w:p>
      <w:pPr>
        <w:spacing w:after="0" w:line="65" w:lineRule="exact"/>
        <w:rPr>
          <w:rFonts w:ascii="Arial" w:cs="Arial" w:eastAsia="Arial" w:hAnsi="Arial"/>
          <w:sz w:val="14"/>
          <w:szCs w:val="14"/>
          <w:color w:val="auto"/>
        </w:rPr>
      </w:pPr>
    </w:p>
    <w:p>
      <w:pPr>
        <w:ind w:left="640" w:hanging="632"/>
        <w:spacing w:after="0"/>
        <w:tabs>
          <w:tab w:leader="none" w:pos="640" w:val="left"/>
        </w:tabs>
        <w:numPr>
          <w:ilvl w:val="0"/>
          <w:numId w:val="25"/>
        </w:numPr>
        <w:rPr>
          <w:rFonts w:ascii="Arial" w:cs="Arial" w:eastAsia="Arial" w:hAnsi="Arial"/>
          <w:sz w:val="14"/>
          <w:szCs w:val="14"/>
          <w:color w:val="auto"/>
        </w:rPr>
      </w:pPr>
      <w:r>
        <w:rPr>
          <w:rFonts w:ascii="Arial" w:cs="Arial" w:eastAsia="Arial" w:hAnsi="Arial"/>
          <w:sz w:val="14"/>
          <w:szCs w:val="14"/>
          <w:color w:val="auto"/>
        </w:rPr>
        <w:t>Amounts represent anticipated future cash payments, including anticipated interest payments not recorded in the consolidated balance sheet.</w:t>
      </w:r>
    </w:p>
    <w:p>
      <w:pPr>
        <w:spacing w:after="0" w:line="113" w:lineRule="exact"/>
        <w:rPr>
          <w:sz w:val="20"/>
          <w:szCs w:val="20"/>
          <w:color w:val="auto"/>
        </w:rPr>
      </w:pPr>
    </w:p>
    <w:p>
      <w:pPr>
        <w:ind w:right="60" w:firstLine="445"/>
        <w:spacing w:after="0" w:line="272" w:lineRule="auto"/>
        <w:rPr>
          <w:sz w:val="20"/>
          <w:szCs w:val="20"/>
          <w:color w:val="auto"/>
        </w:rPr>
      </w:pPr>
      <w:r>
        <w:rPr>
          <w:rFonts w:ascii="Arial" w:cs="Arial" w:eastAsia="Arial" w:hAnsi="Arial"/>
          <w:sz w:val="17"/>
          <w:szCs w:val="17"/>
          <w:color w:val="auto"/>
        </w:rPr>
        <w:t>In addition to the above commitments and contingencies, as of February 1, 2020, we have $20.3 million of unrecognized tax benefits as liabilities. We also have a liability for potential interest and penalties of $12.4 million as of February 1, 2020.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$15.2 million from the lapse of statutes of limitation in various jurisdictions during the next 12 months. Government tax authorities from several non-U.S. jurisdictions are also examining our tax returns. We believe that we have adequately provided for any reasonably foreseeable outcomes related to these tax audits and that any settlement will not have a material effect on our results at this time.</w:t>
      </w:r>
    </w:p>
    <w:p>
      <w:pPr>
        <w:spacing w:after="0" w:line="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121" w:lineRule="exact"/>
        <w:rPr>
          <w:sz w:val="20"/>
          <w:szCs w:val="20"/>
          <w:color w:val="auto"/>
        </w:rPr>
      </w:pPr>
    </w:p>
    <w:p>
      <w:pPr>
        <w:ind w:right="180" w:firstLine="445"/>
        <w:spacing w:after="0" w:line="277" w:lineRule="auto"/>
        <w:rPr>
          <w:sz w:val="20"/>
          <w:szCs w:val="20"/>
          <w:color w:val="auto"/>
        </w:rPr>
      </w:pPr>
      <w:r>
        <w:rPr>
          <w:rFonts w:ascii="Arial" w:cs="Arial" w:eastAsia="Arial" w:hAnsi="Arial"/>
          <w:sz w:val="18"/>
          <w:szCs w:val="18"/>
          <w:color w:val="auto"/>
        </w:rPr>
        <w:t>Please see “Note 2 - Significant Accounting Policies - Recent Accounting Pronouncements” in our Notes to the Consolidated Financial Statements set forth in Part II, Item 8 of this Annual Report on Form 10-K.</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7A. </w:t>
      </w:r>
      <w:r>
        <w:rPr>
          <w:rFonts w:ascii="Arial" w:cs="Arial" w:eastAsia="Arial" w:hAnsi="Arial"/>
          <w:sz w:val="18"/>
          <w:szCs w:val="18"/>
          <w:b w:val="1"/>
          <w:bCs w:val="1"/>
          <w:i w:val="1"/>
          <w:iCs w:val="1"/>
          <w:color w:val="auto"/>
        </w:rPr>
        <w:t>Quantitative and Qualitative Disclosures About Market Risk</w:t>
      </w:r>
    </w:p>
    <w:p>
      <w:pPr>
        <w:spacing w:after="0" w:line="121" w:lineRule="exact"/>
        <w:rPr>
          <w:sz w:val="20"/>
          <w:szCs w:val="20"/>
          <w:color w:val="auto"/>
        </w:rPr>
      </w:pPr>
    </w:p>
    <w:p>
      <w:pPr>
        <w:ind w:right="60" w:firstLine="445"/>
        <w:spacing w:after="0" w:line="259" w:lineRule="auto"/>
        <w:rPr>
          <w:sz w:val="20"/>
          <w:szCs w:val="20"/>
          <w:color w:val="auto"/>
        </w:rPr>
      </w:pPr>
      <w:r>
        <w:rPr>
          <w:rFonts w:ascii="Arial" w:cs="Arial" w:eastAsia="Arial" w:hAnsi="Arial"/>
          <w:sz w:val="18"/>
          <w:szCs w:val="18"/>
          <w:i w:val="1"/>
          <w:iCs w:val="1"/>
          <w:color w:val="auto"/>
        </w:rPr>
        <w:t>Interest Rate Risk</w:t>
      </w:r>
      <w:r>
        <w:rPr>
          <w:rFonts w:ascii="Arial" w:cs="Arial" w:eastAsia="Arial" w:hAnsi="Arial"/>
          <w:sz w:val="18"/>
          <w:szCs w:val="18"/>
          <w:color w:val="auto"/>
        </w:rPr>
        <w:t>. With our outstanding debt, we are exposed to various forms of market risk, including the potential losses arising from adverse</w:t>
      </w:r>
      <w:r>
        <w:rPr>
          <w:rFonts w:ascii="Arial" w:cs="Arial" w:eastAsia="Arial" w:hAnsi="Arial"/>
          <w:sz w:val="18"/>
          <w:szCs w:val="18"/>
          <w:i w:val="1"/>
          <w:iCs w:val="1"/>
          <w:color w:val="auto"/>
        </w:rPr>
        <w:t xml:space="preserve"> </w:t>
      </w:r>
      <w:r>
        <w:rPr>
          <w:rFonts w:ascii="Arial" w:cs="Arial" w:eastAsia="Arial" w:hAnsi="Arial"/>
          <w:sz w:val="18"/>
          <w:szCs w:val="18"/>
          <w:color w:val="auto"/>
        </w:rPr>
        <w:t>changes in interest rates on our outstanding Term Loan, including changes that may result from implementation of new benchmark rates that replace LIBOR. See “Note 12 - Debt” for further information. A hypothetical increase or decrease in the interest rate by 1% would result in an increase or decrease in annual interest expense by approximately $2.0 million to $4.6 million.</w:t>
      </w:r>
    </w:p>
    <w:p>
      <w:pPr>
        <w:spacing w:after="0" w:line="79" w:lineRule="exact"/>
        <w:rPr>
          <w:sz w:val="20"/>
          <w:szCs w:val="20"/>
          <w:color w:val="auto"/>
        </w:rPr>
      </w:pPr>
    </w:p>
    <w:p>
      <w:pPr>
        <w:ind w:firstLine="445"/>
        <w:spacing w:after="0" w:line="254" w:lineRule="auto"/>
        <w:rPr>
          <w:sz w:val="20"/>
          <w:szCs w:val="20"/>
          <w:color w:val="auto"/>
        </w:rPr>
      </w:pPr>
      <w:r>
        <w:rPr>
          <w:rFonts w:ascii="Arial" w:cs="Arial" w:eastAsia="Arial" w:hAnsi="Arial"/>
          <w:sz w:val="18"/>
          <w:szCs w:val="18"/>
          <w:color w:val="auto"/>
        </w:rPr>
        <w:t>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corporate debt securities and municipal debt securities that are classified as available-for-sale and time deposits. These investments are recorded on our consolidated balance sheets at fair market value with their related unrealized gain or loss reflected as a component of accumulated other comprehensive income (loss) in the consolidated statement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At February 1, 2020, our investment portfolio balance was $0.</w:t>
      </w: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47" w:name="page48"/>
    <w:bookmarkEnd w:id="47"/>
    <w:p>
      <w:pPr>
        <w:ind w:right="80" w:firstLine="445"/>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58" w:lineRule="exact"/>
        <w:rPr>
          <w:sz w:val="20"/>
          <w:szCs w:val="20"/>
          <w:color w:val="auto"/>
        </w:rPr>
      </w:pPr>
    </w:p>
    <w:p>
      <w:pPr>
        <w:ind w:right="20" w:firstLine="364"/>
        <w:spacing w:after="0" w:line="259"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79" w:lineRule="exact"/>
        <w:rPr>
          <w:sz w:val="20"/>
          <w:szCs w:val="20"/>
          <w:color w:val="auto"/>
        </w:rPr>
      </w:pPr>
    </w:p>
    <w:p>
      <w:pPr>
        <w:ind w:firstLine="364"/>
        <w:spacing w:after="0" w:line="263"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31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1394" w:right="399" w:bottom="1440" w:gutter="0" w:footer="0" w:header="0"/>
        </w:sectPr>
      </w:pPr>
    </w:p>
    <w:bookmarkStart w:id="48" w:name="page49"/>
    <w:bookmarkEnd w:id="48"/>
    <w:p>
      <w:pPr>
        <w:spacing w:after="0"/>
        <w:rPr>
          <w:sz w:val="20"/>
          <w:szCs w:val="20"/>
          <w:color w:val="auto"/>
        </w:rPr>
      </w:pPr>
      <w:r>
        <w:rPr>
          <w:rFonts w:ascii="Arial" w:cs="Arial" w:eastAsia="Arial" w:hAnsi="Arial"/>
          <w:sz w:val="18"/>
          <w:szCs w:val="18"/>
          <w:b w:val="1"/>
          <w:bCs w:val="1"/>
          <w:color w:val="auto"/>
        </w:rPr>
        <w:t xml:space="preserve">Item 8. </w:t>
      </w:r>
      <w:r>
        <w:rPr>
          <w:rFonts w:ascii="Arial" w:cs="Arial" w:eastAsia="Arial" w:hAnsi="Arial"/>
          <w:sz w:val="18"/>
          <w:szCs w:val="18"/>
          <w:b w:val="1"/>
          <w:bCs w:val="1"/>
          <w:i w:val="1"/>
          <w:iCs w:val="1"/>
          <w:color w:val="auto"/>
        </w:rPr>
        <w:t>Financial Statements and Supplementary Data</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INDEX</w:t>
      </w:r>
    </w:p>
    <w:p>
      <w:pPr>
        <w:spacing w:after="0" w:line="5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0" w:type="dxa"/>
            <w:vAlign w:val="bottom"/>
          </w:tcPr>
          <w:p>
            <w:pPr>
              <w:spacing w:after="0"/>
              <w:rPr>
                <w:sz w:val="16"/>
                <w:szCs w:val="16"/>
                <w:color w:val="auto"/>
              </w:rPr>
            </w:pPr>
          </w:p>
        </w:tc>
        <w:tc>
          <w:tcPr>
            <w:tcW w:w="24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30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040" w:type="dxa"/>
            <w:vAlign w:val="bottom"/>
            <w:gridSpan w:val="4"/>
          </w:tcPr>
          <w:p>
            <w:pPr>
              <w:ind w:left="360"/>
              <w:spacing w:after="0"/>
              <w:rPr>
                <w:sz w:val="20"/>
                <w:szCs w:val="20"/>
                <w:color w:val="auto"/>
              </w:rPr>
            </w:pPr>
            <w:r>
              <w:rPr>
                <w:rFonts w:ascii="Arial" w:cs="Arial" w:eastAsia="Arial" w:hAnsi="Arial"/>
                <w:sz w:val="14"/>
                <w:szCs w:val="14"/>
                <w:b w:val="1"/>
                <w:bCs w:val="1"/>
                <w:color w:val="auto"/>
              </w:rPr>
              <w:t>Page</w:t>
            </w:r>
          </w:p>
        </w:tc>
      </w:tr>
      <w:tr>
        <w:trPr>
          <w:trHeight w:val="176"/>
        </w:trPr>
        <w:tc>
          <w:tcPr>
            <w:tcW w:w="20" w:type="dxa"/>
            <w:vAlign w:val="bottom"/>
          </w:tcPr>
          <w:p>
            <w:pPr>
              <w:spacing w:after="0"/>
              <w:rPr>
                <w:sz w:val="15"/>
                <w:szCs w:val="15"/>
                <w:color w:val="auto"/>
              </w:rPr>
            </w:pPr>
          </w:p>
        </w:tc>
        <w:tc>
          <w:tcPr>
            <w:tcW w:w="5340" w:type="dxa"/>
            <w:vAlign w:val="bottom"/>
            <w:gridSpan w:val="4"/>
          </w:tcPr>
          <w:p>
            <w:pPr>
              <w:spacing w:after="0" w:line="156" w:lineRule="exact"/>
              <w:rPr>
                <w:rFonts w:ascii="Arial" w:cs="Arial" w:eastAsia="Arial" w:hAnsi="Arial"/>
                <w:sz w:val="18"/>
                <w:szCs w:val="18"/>
                <w:color w:val="0000FF"/>
              </w:rPr>
            </w:pPr>
            <w:hyperlink w:anchor="page49">
              <w:r>
                <w:rPr>
                  <w:rFonts w:ascii="Arial" w:cs="Arial" w:eastAsia="Arial" w:hAnsi="Arial"/>
                  <w:sz w:val="18"/>
                  <w:szCs w:val="18"/>
                  <w:color w:val="0000FF"/>
                </w:rPr>
                <w:t>Report of Independent Registered Public Accounting Firm</w:t>
              </w:r>
            </w:hyperlink>
          </w:p>
        </w:tc>
        <w:tc>
          <w:tcPr>
            <w:tcW w:w="4840" w:type="dxa"/>
            <w:vAlign w:val="bottom"/>
            <w:gridSpan w:val="4"/>
          </w:tcPr>
          <w:p>
            <w:pPr>
              <w:spacing w:after="0"/>
              <w:rPr>
                <w:sz w:val="15"/>
                <w:szCs w:val="15"/>
                <w:color w:val="auto"/>
              </w:rPr>
            </w:pPr>
          </w:p>
        </w:tc>
        <w:tc>
          <w:tcPr>
            <w:tcW w:w="1000" w:type="dxa"/>
            <w:vAlign w:val="bottom"/>
            <w:tcBorders>
              <w:top w:val="single" w:sz="8" w:color="auto"/>
            </w:tcBorders>
            <w:gridSpan w:val="2"/>
          </w:tcPr>
          <w:p>
            <w:pPr>
              <w:jc w:val="right"/>
              <w:spacing w:after="0" w:line="156" w:lineRule="exact"/>
              <w:rPr>
                <w:rFonts w:ascii="Arial" w:cs="Arial" w:eastAsia="Arial" w:hAnsi="Arial"/>
                <w:sz w:val="18"/>
                <w:szCs w:val="18"/>
                <w:color w:val="0000FF"/>
              </w:rPr>
            </w:pPr>
            <w:hyperlink w:anchor="page49">
              <w:r>
                <w:rPr>
                  <w:rFonts w:ascii="Arial" w:cs="Arial" w:eastAsia="Arial" w:hAnsi="Arial"/>
                  <w:sz w:val="18"/>
                  <w:szCs w:val="18"/>
                  <w:color w:val="0000FF"/>
                </w:rPr>
                <w:t>47</w:t>
              </w:r>
            </w:hyperlink>
          </w:p>
        </w:tc>
        <w:tc>
          <w:tcPr>
            <w:tcW w:w="20" w:type="dxa"/>
            <w:vAlign w:val="bottom"/>
            <w:tcBorders>
              <w:top w:val="single" w:sz="8" w:color="auto"/>
            </w:tcBorders>
          </w:tcPr>
          <w:p>
            <w:pPr>
              <w:spacing w:after="0"/>
              <w:rPr>
                <w:sz w:val="15"/>
                <w:szCs w:val="15"/>
                <w:color w:val="auto"/>
              </w:rPr>
            </w:pPr>
          </w:p>
        </w:tc>
        <w:tc>
          <w:tcPr>
            <w:tcW w:w="20" w:type="dxa"/>
            <w:vAlign w:val="bottom"/>
          </w:tcPr>
          <w:p>
            <w:pPr>
              <w:spacing w:after="0"/>
              <w:rPr>
                <w:sz w:val="15"/>
                <w:szCs w:val="15"/>
                <w:color w:val="auto"/>
              </w:rPr>
            </w:pPr>
          </w:p>
        </w:tc>
      </w:tr>
      <w:tr>
        <w:trPr>
          <w:trHeight w:val="27"/>
        </w:trPr>
        <w:tc>
          <w:tcPr>
            <w:tcW w:w="20" w:type="dxa"/>
            <w:vAlign w:val="bottom"/>
          </w:tcPr>
          <w:p>
            <w:pPr>
              <w:spacing w:after="0"/>
              <w:rPr>
                <w:sz w:val="2"/>
                <w:szCs w:val="2"/>
                <w:color w:val="auto"/>
              </w:rPr>
            </w:pPr>
          </w:p>
        </w:tc>
        <w:tc>
          <w:tcPr>
            <w:tcW w:w="2400" w:type="dxa"/>
            <w:vAlign w:val="bottom"/>
            <w:shd w:val="clear" w:color="auto" w:fill="0000FF"/>
          </w:tcPr>
          <w:p>
            <w:pPr>
              <w:spacing w:after="0"/>
              <w:rPr>
                <w:sz w:val="2"/>
                <w:szCs w:val="2"/>
                <w:color w:val="auto"/>
              </w:rPr>
            </w:pPr>
          </w:p>
        </w:tc>
        <w:tc>
          <w:tcPr>
            <w:tcW w:w="760" w:type="dxa"/>
            <w:vAlign w:val="bottom"/>
            <w:shd w:val="clear" w:color="auto" w:fill="0000FF"/>
          </w:tcPr>
          <w:p>
            <w:pPr>
              <w:spacing w:after="0"/>
              <w:rPr>
                <w:sz w:val="2"/>
                <w:szCs w:val="2"/>
                <w:color w:val="auto"/>
              </w:rPr>
            </w:pPr>
          </w:p>
        </w:tc>
        <w:tc>
          <w:tcPr>
            <w:tcW w:w="2180" w:type="dxa"/>
            <w:vAlign w:val="bottom"/>
            <w:gridSpan w:val="2"/>
            <w:shd w:val="clear" w:color="auto" w:fill="0000FF"/>
          </w:tcPr>
          <w:p>
            <w:pPr>
              <w:spacing w:after="0"/>
              <w:rPr>
                <w:sz w:val="2"/>
                <w:szCs w:val="2"/>
                <w:color w:val="auto"/>
              </w:rPr>
            </w:pPr>
          </w:p>
        </w:tc>
        <w:tc>
          <w:tcPr>
            <w:tcW w:w="308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3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80" w:type="dxa"/>
            <w:vAlign w:val="bottom"/>
            <w:shd w:val="clear" w:color="auto" w:fill="0000FF"/>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10180" w:type="dxa"/>
            <w:vAlign w:val="bottom"/>
            <w:gridSpan w:val="8"/>
          </w:tcPr>
          <w:p>
            <w:pPr>
              <w:spacing w:after="0"/>
              <w:rPr>
                <w:rFonts w:ascii="Arial" w:cs="Arial" w:eastAsia="Arial" w:hAnsi="Arial"/>
                <w:sz w:val="18"/>
                <w:szCs w:val="18"/>
                <w:color w:val="0000FF"/>
              </w:rPr>
            </w:pPr>
            <w:hyperlink w:anchor="page52">
              <w:r>
                <w:rPr>
                  <w:rFonts w:ascii="Arial" w:cs="Arial" w:eastAsia="Arial" w:hAnsi="Arial"/>
                  <w:sz w:val="18"/>
                  <w:szCs w:val="18"/>
                  <w:color w:val="0000FF"/>
                </w:rPr>
                <w:t xml:space="preserve">Consolidated Balance Sheets as of February </w:t>
              </w:r>
            </w:hyperlink>
            <w:r>
              <w:rPr>
                <w:rFonts w:ascii="Arial" w:cs="Arial" w:eastAsia="Arial" w:hAnsi="Arial"/>
                <w:sz w:val="18"/>
                <w:szCs w:val="18"/>
                <w:color w:val="0000FF"/>
              </w:rPr>
              <w:t xml:space="preserve">1, 2020 </w:t>
            </w:r>
            <w:hyperlink w:anchor="page52">
              <w:r>
                <w:rPr>
                  <w:rFonts w:ascii="Arial" w:cs="Arial" w:eastAsia="Arial" w:hAnsi="Arial"/>
                  <w:sz w:val="18"/>
                  <w:szCs w:val="18"/>
                  <w:color w:val="0000FF"/>
                </w:rPr>
                <w:t xml:space="preserve">and February </w:t>
              </w:r>
            </w:hyperlink>
            <w:r>
              <w:rPr>
                <w:rFonts w:ascii="Arial" w:cs="Arial" w:eastAsia="Arial" w:hAnsi="Arial"/>
                <w:sz w:val="18"/>
                <w:szCs w:val="18"/>
                <w:color w:val="0000FF"/>
              </w:rPr>
              <w:t>2, 2019</w:t>
            </w:r>
          </w:p>
        </w:tc>
        <w:tc>
          <w:tcPr>
            <w:tcW w:w="1000" w:type="dxa"/>
            <w:vAlign w:val="bottom"/>
            <w:gridSpan w:val="2"/>
          </w:tcPr>
          <w:p>
            <w:pPr>
              <w:jc w:val="right"/>
              <w:spacing w:after="0"/>
              <w:rPr>
                <w:rFonts w:ascii="Arial" w:cs="Arial" w:eastAsia="Arial" w:hAnsi="Arial"/>
                <w:sz w:val="18"/>
                <w:szCs w:val="18"/>
                <w:color w:val="0000FF"/>
              </w:rPr>
            </w:pPr>
            <w:hyperlink w:anchor="page52">
              <w:r>
                <w:rPr>
                  <w:rFonts w:ascii="Arial" w:cs="Arial" w:eastAsia="Arial" w:hAnsi="Arial"/>
                  <w:sz w:val="18"/>
                  <w:szCs w:val="18"/>
                  <w:color w:val="0000FF"/>
                </w:rPr>
                <w:t>50</w:t>
              </w:r>
            </w:hyperlink>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2400" w:type="dxa"/>
            <w:vAlign w:val="bottom"/>
            <w:shd w:val="clear" w:color="auto" w:fill="0000FF"/>
          </w:tcPr>
          <w:p>
            <w:pPr>
              <w:spacing w:after="0" w:line="20" w:lineRule="exact"/>
              <w:rPr>
                <w:sz w:val="1"/>
                <w:szCs w:val="1"/>
                <w:color w:val="auto"/>
              </w:rPr>
            </w:pPr>
          </w:p>
        </w:tc>
        <w:tc>
          <w:tcPr>
            <w:tcW w:w="76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1120" w:type="dxa"/>
            <w:vAlign w:val="bottom"/>
            <w:shd w:val="clear" w:color="auto" w:fill="0000FF"/>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10180" w:type="dxa"/>
            <w:vAlign w:val="bottom"/>
            <w:gridSpan w:val="8"/>
          </w:tcPr>
          <w:p>
            <w:pPr>
              <w:spacing w:after="0"/>
              <w:rPr>
                <w:rFonts w:ascii="Arial" w:cs="Arial" w:eastAsia="Arial" w:hAnsi="Arial"/>
                <w:sz w:val="18"/>
                <w:szCs w:val="18"/>
                <w:color w:val="0000FF"/>
              </w:rPr>
            </w:pPr>
            <w:hyperlink w:anchor="page53">
              <w:r>
                <w:rPr>
                  <w:rFonts w:ascii="Arial" w:cs="Arial" w:eastAsia="Arial" w:hAnsi="Arial"/>
                  <w:sz w:val="18"/>
                  <w:szCs w:val="18"/>
                  <w:color w:val="0000FF"/>
                </w:rPr>
                <w:t>Consolidated Statements of Operations for the years ended February 1, 2020, February 2, 2019 and February 3, 2018</w:t>
              </w:r>
            </w:hyperlink>
          </w:p>
        </w:tc>
        <w:tc>
          <w:tcPr>
            <w:tcW w:w="1000" w:type="dxa"/>
            <w:vAlign w:val="bottom"/>
            <w:gridSpan w:val="2"/>
          </w:tcPr>
          <w:p>
            <w:pPr>
              <w:jc w:val="right"/>
              <w:spacing w:after="0"/>
              <w:rPr>
                <w:rFonts w:ascii="Arial" w:cs="Arial" w:eastAsia="Arial" w:hAnsi="Arial"/>
                <w:sz w:val="18"/>
                <w:szCs w:val="18"/>
                <w:color w:val="0000FF"/>
              </w:rPr>
            </w:pPr>
            <w:hyperlink w:anchor="page53">
              <w:r>
                <w:rPr>
                  <w:rFonts w:ascii="Arial" w:cs="Arial" w:eastAsia="Arial" w:hAnsi="Arial"/>
                  <w:sz w:val="18"/>
                  <w:szCs w:val="18"/>
                  <w:color w:val="0000FF"/>
                </w:rPr>
                <w:t>51</w:t>
              </w:r>
            </w:hyperlink>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2400" w:type="dxa"/>
            <w:vAlign w:val="bottom"/>
            <w:shd w:val="clear" w:color="auto" w:fill="0000FF"/>
          </w:tcPr>
          <w:p>
            <w:pPr>
              <w:spacing w:after="0" w:line="20" w:lineRule="exact"/>
              <w:rPr>
                <w:sz w:val="1"/>
                <w:szCs w:val="1"/>
                <w:color w:val="auto"/>
              </w:rPr>
            </w:pPr>
          </w:p>
        </w:tc>
        <w:tc>
          <w:tcPr>
            <w:tcW w:w="76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1120" w:type="dxa"/>
            <w:vAlign w:val="bottom"/>
            <w:shd w:val="clear" w:color="auto" w:fill="0000FF"/>
          </w:tcPr>
          <w:p>
            <w:pPr>
              <w:spacing w:after="0" w:line="20" w:lineRule="exact"/>
              <w:rPr>
                <w:sz w:val="1"/>
                <w:szCs w:val="1"/>
                <w:color w:val="auto"/>
              </w:rPr>
            </w:pPr>
          </w:p>
        </w:tc>
        <w:tc>
          <w:tcPr>
            <w:tcW w:w="3080" w:type="dxa"/>
            <w:vAlign w:val="bottom"/>
            <w:shd w:val="clear" w:color="auto" w:fill="0000FF"/>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9860" w:type="dxa"/>
            <w:vAlign w:val="bottom"/>
            <w:gridSpan w:val="7"/>
          </w:tcPr>
          <w:p>
            <w:pPr>
              <w:spacing w:after="0"/>
              <w:rPr>
                <w:rFonts w:ascii="Arial" w:cs="Arial" w:eastAsia="Arial" w:hAnsi="Arial"/>
                <w:sz w:val="18"/>
                <w:szCs w:val="18"/>
                <w:color w:val="0000FF"/>
                <w:w w:val="89"/>
              </w:rPr>
            </w:pPr>
            <w:hyperlink w:anchor="page54">
              <w:r>
                <w:rPr>
                  <w:rFonts w:ascii="Arial" w:cs="Arial" w:eastAsia="Arial" w:hAnsi="Arial"/>
                  <w:sz w:val="18"/>
                  <w:szCs w:val="18"/>
                  <w:color w:val="0000FF"/>
                  <w:w w:val="89"/>
                </w:rPr>
                <w:t>Consolidated Statements of Comprehensive Income (Loss) for the years ended February 1, 2020, February 2, 2019 and February 3, 2018</w:t>
              </w:r>
            </w:hyperlink>
          </w:p>
        </w:tc>
        <w:tc>
          <w:tcPr>
            <w:tcW w:w="320" w:type="dxa"/>
            <w:vAlign w:val="bottom"/>
          </w:tcPr>
          <w:p>
            <w:pPr>
              <w:spacing w:after="0"/>
              <w:rPr>
                <w:sz w:val="18"/>
                <w:szCs w:val="18"/>
                <w:color w:val="auto"/>
              </w:rPr>
            </w:pPr>
          </w:p>
        </w:tc>
        <w:tc>
          <w:tcPr>
            <w:tcW w:w="1000" w:type="dxa"/>
            <w:vAlign w:val="bottom"/>
            <w:gridSpan w:val="2"/>
          </w:tcPr>
          <w:p>
            <w:pPr>
              <w:jc w:val="right"/>
              <w:spacing w:after="0"/>
              <w:rPr>
                <w:rFonts w:ascii="Arial" w:cs="Arial" w:eastAsia="Arial" w:hAnsi="Arial"/>
                <w:sz w:val="18"/>
                <w:szCs w:val="18"/>
                <w:color w:val="0000FF"/>
              </w:rPr>
            </w:pPr>
            <w:hyperlink w:anchor="page54">
              <w:r>
                <w:rPr>
                  <w:rFonts w:ascii="Arial" w:cs="Arial" w:eastAsia="Arial" w:hAnsi="Arial"/>
                  <w:sz w:val="18"/>
                  <w:szCs w:val="18"/>
                  <w:color w:val="0000FF"/>
                </w:rPr>
                <w:t>52</w:t>
              </w:r>
            </w:hyperlink>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2400" w:type="dxa"/>
            <w:vAlign w:val="bottom"/>
            <w:shd w:val="clear" w:color="auto" w:fill="0000FF"/>
          </w:tcPr>
          <w:p>
            <w:pPr>
              <w:spacing w:after="0" w:line="20" w:lineRule="exact"/>
              <w:rPr>
                <w:sz w:val="1"/>
                <w:szCs w:val="1"/>
                <w:color w:val="auto"/>
              </w:rPr>
            </w:pPr>
          </w:p>
        </w:tc>
        <w:tc>
          <w:tcPr>
            <w:tcW w:w="76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1120" w:type="dxa"/>
            <w:vAlign w:val="bottom"/>
            <w:shd w:val="clear" w:color="auto" w:fill="0000FF"/>
          </w:tcPr>
          <w:p>
            <w:pPr>
              <w:spacing w:after="0" w:line="20" w:lineRule="exact"/>
              <w:rPr>
                <w:sz w:val="1"/>
                <w:szCs w:val="1"/>
                <w:color w:val="auto"/>
              </w:rPr>
            </w:pPr>
          </w:p>
        </w:tc>
        <w:tc>
          <w:tcPr>
            <w:tcW w:w="3080" w:type="dxa"/>
            <w:vAlign w:val="bottom"/>
            <w:shd w:val="clear" w:color="auto" w:fill="0000FF"/>
          </w:tcPr>
          <w:p>
            <w:pPr>
              <w:spacing w:after="0" w:line="20" w:lineRule="exact"/>
              <w:rPr>
                <w:sz w:val="1"/>
                <w:szCs w:val="1"/>
                <w:color w:val="auto"/>
              </w:rPr>
            </w:pPr>
          </w:p>
        </w:tc>
        <w:tc>
          <w:tcPr>
            <w:tcW w:w="740" w:type="dxa"/>
            <w:vAlign w:val="bottom"/>
            <w:tcBorders>
              <w:left w:val="single" w:sz="8" w:color="0000FF"/>
            </w:tcBorders>
            <w:shd w:val="clear" w:color="auto" w:fill="0000FF"/>
          </w:tcPr>
          <w:p>
            <w:pPr>
              <w:spacing w:after="0" w:line="20" w:lineRule="exact"/>
              <w:rPr>
                <w:sz w:val="1"/>
                <w:szCs w:val="1"/>
                <w:color w:val="auto"/>
              </w:rPr>
            </w:pPr>
          </w:p>
        </w:tc>
        <w:tc>
          <w:tcPr>
            <w:tcW w:w="700" w:type="dxa"/>
            <w:vAlign w:val="bottom"/>
            <w:shd w:val="clear" w:color="auto" w:fill="0000FF"/>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9160" w:type="dxa"/>
            <w:vAlign w:val="bottom"/>
            <w:gridSpan w:val="6"/>
          </w:tcPr>
          <w:p>
            <w:pPr>
              <w:spacing w:after="0"/>
              <w:rPr>
                <w:rFonts w:ascii="Arial" w:cs="Arial" w:eastAsia="Arial" w:hAnsi="Arial"/>
                <w:sz w:val="18"/>
                <w:szCs w:val="18"/>
                <w:color w:val="0000FF"/>
                <w:w w:val="89"/>
              </w:rPr>
            </w:pPr>
            <w:hyperlink w:anchor="page55">
              <w:r>
                <w:rPr>
                  <w:rFonts w:ascii="Arial" w:cs="Arial" w:eastAsia="Arial" w:hAnsi="Arial"/>
                  <w:sz w:val="18"/>
                  <w:szCs w:val="18"/>
                  <w:color w:val="0000FF"/>
                  <w:w w:val="89"/>
                </w:rPr>
                <w:t>Consolidated Statements of Shareholders’ Equity for the years ended February 1, 2020, February 2, 2019 and February 3, 2018</w:t>
              </w:r>
            </w:hyperlink>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0" w:type="dxa"/>
            <w:vAlign w:val="bottom"/>
            <w:gridSpan w:val="2"/>
          </w:tcPr>
          <w:p>
            <w:pPr>
              <w:jc w:val="right"/>
              <w:spacing w:after="0"/>
              <w:rPr>
                <w:rFonts w:ascii="Arial" w:cs="Arial" w:eastAsia="Arial" w:hAnsi="Arial"/>
                <w:sz w:val="18"/>
                <w:szCs w:val="18"/>
                <w:color w:val="0000FF"/>
              </w:rPr>
            </w:pPr>
            <w:hyperlink w:anchor="page55">
              <w:r>
                <w:rPr>
                  <w:rFonts w:ascii="Arial" w:cs="Arial" w:eastAsia="Arial" w:hAnsi="Arial"/>
                  <w:sz w:val="18"/>
                  <w:szCs w:val="18"/>
                  <w:color w:val="0000FF"/>
                </w:rPr>
                <w:t>53</w:t>
              </w:r>
            </w:hyperlink>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2400" w:type="dxa"/>
            <w:vAlign w:val="bottom"/>
            <w:shd w:val="clear" w:color="auto" w:fill="0000FF"/>
          </w:tcPr>
          <w:p>
            <w:pPr>
              <w:spacing w:after="0" w:line="20" w:lineRule="exact"/>
              <w:rPr>
                <w:sz w:val="1"/>
                <w:szCs w:val="1"/>
                <w:color w:val="auto"/>
              </w:rPr>
            </w:pPr>
          </w:p>
        </w:tc>
        <w:tc>
          <w:tcPr>
            <w:tcW w:w="760" w:type="dxa"/>
            <w:vAlign w:val="bottom"/>
            <w:shd w:val="clear" w:color="auto" w:fill="0000FF"/>
          </w:tcPr>
          <w:p>
            <w:pPr>
              <w:spacing w:after="0" w:line="20" w:lineRule="exact"/>
              <w:rPr>
                <w:sz w:val="1"/>
                <w:szCs w:val="1"/>
                <w:color w:val="auto"/>
              </w:rPr>
            </w:pPr>
          </w:p>
        </w:tc>
        <w:tc>
          <w:tcPr>
            <w:tcW w:w="5260" w:type="dxa"/>
            <w:vAlign w:val="bottom"/>
            <w:gridSpan w:val="3"/>
            <w:shd w:val="clear" w:color="auto" w:fill="0000FF"/>
          </w:tcPr>
          <w:p>
            <w:pPr>
              <w:spacing w:after="0" w:line="20" w:lineRule="exact"/>
              <w:rPr>
                <w:sz w:val="1"/>
                <w:szCs w:val="1"/>
                <w:color w:val="auto"/>
              </w:rPr>
            </w:pPr>
          </w:p>
        </w:tc>
        <w:tc>
          <w:tcPr>
            <w:tcW w:w="740" w:type="dxa"/>
            <w:vAlign w:val="bottom"/>
            <w:tcBorders>
              <w:left w:val="single" w:sz="8" w:color="0000FF"/>
            </w:tcBorders>
            <w:shd w:val="clear" w:color="auto" w:fill="0000FF"/>
          </w:tcPr>
          <w:p>
            <w:pPr>
              <w:spacing w:after="0" w:line="20" w:lineRule="exact"/>
              <w:rPr>
                <w:sz w:val="1"/>
                <w:szCs w:val="1"/>
                <w:color w:val="auto"/>
              </w:rPr>
            </w:pPr>
          </w:p>
        </w:tc>
        <w:tc>
          <w:tcPr>
            <w:tcW w:w="1020" w:type="dxa"/>
            <w:vAlign w:val="bottom"/>
            <w:gridSpan w:val="2"/>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9160" w:type="dxa"/>
            <w:vAlign w:val="bottom"/>
            <w:gridSpan w:val="6"/>
          </w:tcPr>
          <w:p>
            <w:pPr>
              <w:spacing w:after="0"/>
              <w:rPr>
                <w:rFonts w:ascii="Arial" w:cs="Arial" w:eastAsia="Arial" w:hAnsi="Arial"/>
                <w:sz w:val="18"/>
                <w:szCs w:val="18"/>
                <w:color w:val="0000FF"/>
                <w:w w:val="96"/>
              </w:rPr>
            </w:pPr>
            <w:hyperlink w:anchor="page56">
              <w:r>
                <w:rPr>
                  <w:rFonts w:ascii="Arial" w:cs="Arial" w:eastAsia="Arial" w:hAnsi="Arial"/>
                  <w:sz w:val="18"/>
                  <w:szCs w:val="18"/>
                  <w:color w:val="0000FF"/>
                  <w:w w:val="96"/>
                </w:rPr>
                <w:t>Consolidated Statements of Cash Flows for the years ended February 1, 2020, February 2, 2019 and February 3, 2018</w:t>
              </w:r>
            </w:hyperlink>
          </w:p>
        </w:tc>
        <w:tc>
          <w:tcPr>
            <w:tcW w:w="1020" w:type="dxa"/>
            <w:vAlign w:val="bottom"/>
            <w:gridSpan w:val="2"/>
          </w:tcPr>
          <w:p>
            <w:pPr>
              <w:spacing w:after="0"/>
              <w:rPr>
                <w:sz w:val="18"/>
                <w:szCs w:val="18"/>
                <w:color w:val="auto"/>
              </w:rPr>
            </w:pPr>
          </w:p>
        </w:tc>
        <w:tc>
          <w:tcPr>
            <w:tcW w:w="1000" w:type="dxa"/>
            <w:vAlign w:val="bottom"/>
            <w:gridSpan w:val="2"/>
          </w:tcPr>
          <w:p>
            <w:pPr>
              <w:jc w:val="right"/>
              <w:spacing w:after="0"/>
              <w:rPr>
                <w:rFonts w:ascii="Arial" w:cs="Arial" w:eastAsia="Arial" w:hAnsi="Arial"/>
                <w:sz w:val="18"/>
                <w:szCs w:val="18"/>
                <w:color w:val="0000FF"/>
              </w:rPr>
            </w:pPr>
            <w:hyperlink w:anchor="page56">
              <w:r>
                <w:rPr>
                  <w:rFonts w:ascii="Arial" w:cs="Arial" w:eastAsia="Arial" w:hAnsi="Arial"/>
                  <w:sz w:val="18"/>
                  <w:szCs w:val="18"/>
                  <w:color w:val="0000FF"/>
                </w:rPr>
                <w:t>54</w:t>
              </w:r>
            </w:hyperlink>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2400" w:type="dxa"/>
            <w:vAlign w:val="bottom"/>
            <w:shd w:val="clear" w:color="auto" w:fill="0000FF"/>
          </w:tcPr>
          <w:p>
            <w:pPr>
              <w:spacing w:after="0" w:line="20" w:lineRule="exact"/>
              <w:rPr>
                <w:sz w:val="1"/>
                <w:szCs w:val="1"/>
                <w:color w:val="auto"/>
              </w:rPr>
            </w:pPr>
          </w:p>
        </w:tc>
        <w:tc>
          <w:tcPr>
            <w:tcW w:w="76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1120" w:type="dxa"/>
            <w:vAlign w:val="bottom"/>
            <w:shd w:val="clear" w:color="auto" w:fill="0000FF"/>
          </w:tcPr>
          <w:p>
            <w:pPr>
              <w:spacing w:after="0" w:line="20" w:lineRule="exact"/>
              <w:rPr>
                <w:sz w:val="1"/>
                <w:szCs w:val="1"/>
                <w:color w:val="auto"/>
              </w:rPr>
            </w:pPr>
          </w:p>
        </w:tc>
        <w:tc>
          <w:tcPr>
            <w:tcW w:w="3080" w:type="dxa"/>
            <w:vAlign w:val="bottom"/>
            <w:shd w:val="clear" w:color="auto" w:fill="0000FF"/>
          </w:tcPr>
          <w:p>
            <w:pPr>
              <w:spacing w:after="0" w:line="20" w:lineRule="exact"/>
              <w:rPr>
                <w:sz w:val="1"/>
                <w:szCs w:val="1"/>
                <w:color w:val="auto"/>
              </w:rPr>
            </w:pPr>
          </w:p>
        </w:tc>
        <w:tc>
          <w:tcPr>
            <w:tcW w:w="740" w:type="dxa"/>
            <w:vAlign w:val="bottom"/>
            <w:tcBorders>
              <w:left w:val="single" w:sz="8" w:color="0000FF"/>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3160" w:type="dxa"/>
            <w:vAlign w:val="bottom"/>
            <w:gridSpan w:val="2"/>
          </w:tcPr>
          <w:p>
            <w:pPr>
              <w:spacing w:after="0"/>
              <w:rPr>
                <w:rFonts w:ascii="Arial" w:cs="Arial" w:eastAsia="Arial" w:hAnsi="Arial"/>
                <w:sz w:val="18"/>
                <w:szCs w:val="18"/>
                <w:color w:val="0000FF"/>
                <w:w w:val="89"/>
              </w:rPr>
            </w:pPr>
            <w:hyperlink w:anchor="page57">
              <w:r>
                <w:rPr>
                  <w:rFonts w:ascii="Arial" w:cs="Arial" w:eastAsia="Arial" w:hAnsi="Arial"/>
                  <w:sz w:val="18"/>
                  <w:szCs w:val="18"/>
                  <w:color w:val="0000FF"/>
                  <w:w w:val="89"/>
                </w:rPr>
                <w:t>Notes to Consolidated Financial Statements</w:t>
              </w:r>
            </w:hyperlink>
          </w:p>
        </w:tc>
        <w:tc>
          <w:tcPr>
            <w:tcW w:w="5260" w:type="dxa"/>
            <w:vAlign w:val="bottom"/>
            <w:gridSpan w:val="3"/>
          </w:tcPr>
          <w:p>
            <w:pPr>
              <w:spacing w:after="0"/>
              <w:rPr>
                <w:sz w:val="18"/>
                <w:szCs w:val="18"/>
                <w:color w:val="auto"/>
              </w:rPr>
            </w:pPr>
          </w:p>
        </w:tc>
        <w:tc>
          <w:tcPr>
            <w:tcW w:w="1760" w:type="dxa"/>
            <w:vAlign w:val="bottom"/>
            <w:gridSpan w:val="3"/>
          </w:tcPr>
          <w:p>
            <w:pPr>
              <w:spacing w:after="0"/>
              <w:rPr>
                <w:sz w:val="18"/>
                <w:szCs w:val="18"/>
                <w:color w:val="auto"/>
              </w:rPr>
            </w:pPr>
          </w:p>
        </w:tc>
        <w:tc>
          <w:tcPr>
            <w:tcW w:w="1000" w:type="dxa"/>
            <w:vAlign w:val="bottom"/>
            <w:gridSpan w:val="2"/>
          </w:tcPr>
          <w:p>
            <w:pPr>
              <w:jc w:val="right"/>
              <w:spacing w:after="0"/>
              <w:rPr>
                <w:rFonts w:ascii="Arial" w:cs="Arial" w:eastAsia="Arial" w:hAnsi="Arial"/>
                <w:sz w:val="18"/>
                <w:szCs w:val="18"/>
                <w:color w:val="0000FF"/>
              </w:rPr>
            </w:pPr>
            <w:hyperlink w:anchor="page57">
              <w:r>
                <w:rPr>
                  <w:rFonts w:ascii="Arial" w:cs="Arial" w:eastAsia="Arial" w:hAnsi="Arial"/>
                  <w:sz w:val="18"/>
                  <w:szCs w:val="18"/>
                  <w:color w:val="0000FF"/>
                </w:rPr>
                <w:t>55</w:t>
              </w:r>
            </w:hyperlink>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2400" w:type="dxa"/>
            <w:vAlign w:val="bottom"/>
            <w:shd w:val="clear" w:color="auto" w:fill="0000FF"/>
          </w:tcPr>
          <w:p>
            <w:pPr>
              <w:spacing w:after="0" w:line="20" w:lineRule="exact"/>
              <w:rPr>
                <w:sz w:val="1"/>
                <w:szCs w:val="1"/>
                <w:color w:val="auto"/>
              </w:rPr>
            </w:pPr>
          </w:p>
        </w:tc>
        <w:tc>
          <w:tcPr>
            <w:tcW w:w="760" w:type="dxa"/>
            <w:vAlign w:val="bottom"/>
            <w:shd w:val="clear" w:color="auto" w:fill="0000FF"/>
          </w:tcPr>
          <w:p>
            <w:pPr>
              <w:spacing w:after="0" w:line="20" w:lineRule="exact"/>
              <w:rPr>
                <w:sz w:val="1"/>
                <w:szCs w:val="1"/>
                <w:color w:val="auto"/>
              </w:rPr>
            </w:pPr>
          </w:p>
        </w:tc>
        <w:tc>
          <w:tcPr>
            <w:tcW w:w="7020" w:type="dxa"/>
            <w:vAlign w:val="bottom"/>
            <w:gridSpan w:val="6"/>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2400" w:type="dxa"/>
            <w:vAlign w:val="bottom"/>
          </w:tcPr>
          <w:p>
            <w:pPr>
              <w:spacing w:after="0"/>
              <w:rPr>
                <w:rFonts w:ascii="Arial" w:cs="Arial" w:eastAsia="Arial" w:hAnsi="Arial"/>
                <w:sz w:val="18"/>
                <w:szCs w:val="18"/>
                <w:color w:val="0000FF"/>
                <w:w w:val="90"/>
              </w:rPr>
            </w:pPr>
            <w:hyperlink w:anchor="page96">
              <w:r>
                <w:rPr>
                  <w:rFonts w:ascii="Arial" w:cs="Arial" w:eastAsia="Arial" w:hAnsi="Arial"/>
                  <w:sz w:val="18"/>
                  <w:szCs w:val="18"/>
                  <w:color w:val="0000FF"/>
                  <w:w w:val="90"/>
                </w:rPr>
                <w:t>Supplementary Data (Unaudited)</w:t>
              </w:r>
            </w:hyperlink>
          </w:p>
        </w:tc>
        <w:tc>
          <w:tcPr>
            <w:tcW w:w="760" w:type="dxa"/>
            <w:vAlign w:val="bottom"/>
          </w:tcPr>
          <w:p>
            <w:pPr>
              <w:spacing w:after="0"/>
              <w:rPr>
                <w:sz w:val="18"/>
                <w:szCs w:val="18"/>
                <w:color w:val="auto"/>
              </w:rPr>
            </w:pPr>
          </w:p>
        </w:tc>
        <w:tc>
          <w:tcPr>
            <w:tcW w:w="7020" w:type="dxa"/>
            <w:vAlign w:val="bottom"/>
            <w:gridSpan w:val="6"/>
          </w:tcPr>
          <w:p>
            <w:pPr>
              <w:spacing w:after="0"/>
              <w:rPr>
                <w:sz w:val="18"/>
                <w:szCs w:val="18"/>
                <w:color w:val="auto"/>
              </w:rPr>
            </w:pPr>
          </w:p>
        </w:tc>
        <w:tc>
          <w:tcPr>
            <w:tcW w:w="1000" w:type="dxa"/>
            <w:vAlign w:val="bottom"/>
            <w:gridSpan w:val="2"/>
          </w:tcPr>
          <w:p>
            <w:pPr>
              <w:jc w:val="right"/>
              <w:spacing w:after="0"/>
              <w:rPr>
                <w:rFonts w:ascii="Arial" w:cs="Arial" w:eastAsia="Arial" w:hAnsi="Arial"/>
                <w:sz w:val="18"/>
                <w:szCs w:val="18"/>
                <w:color w:val="0000FF"/>
              </w:rPr>
            </w:pPr>
            <w:hyperlink w:anchor="page96">
              <w:r>
                <w:rPr>
                  <w:rFonts w:ascii="Arial" w:cs="Arial" w:eastAsia="Arial" w:hAnsi="Arial"/>
                  <w:sz w:val="18"/>
                  <w:szCs w:val="18"/>
                  <w:color w:val="0000FF"/>
                </w:rPr>
                <w:t>93</w:t>
              </w:r>
            </w:hyperlink>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939"/>
        </w:trPr>
        <w:tc>
          <w:tcPr>
            <w:tcW w:w="20" w:type="dxa"/>
            <w:vAlign w:val="bottom"/>
          </w:tcPr>
          <w:p>
            <w:pPr>
              <w:spacing w:after="0"/>
              <w:rPr>
                <w:sz w:val="24"/>
                <w:szCs w:val="24"/>
                <w:color w:val="auto"/>
              </w:rPr>
            </w:pPr>
          </w:p>
        </w:tc>
        <w:tc>
          <w:tcPr>
            <w:tcW w:w="2400" w:type="dxa"/>
            <w:vAlign w:val="bottom"/>
            <w:tcBorders>
              <w:top w:val="single" w:sz="8" w:color="0000FF"/>
            </w:tcBorders>
          </w:tcPr>
          <w:p>
            <w:pPr>
              <w:spacing w:after="0"/>
              <w:rPr>
                <w:sz w:val="24"/>
                <w:szCs w:val="24"/>
                <w:color w:val="auto"/>
              </w:rPr>
            </w:pPr>
          </w:p>
        </w:tc>
        <w:tc>
          <w:tcPr>
            <w:tcW w:w="6020" w:type="dxa"/>
            <w:vAlign w:val="bottom"/>
            <w:gridSpan w:val="4"/>
          </w:tcPr>
          <w:p>
            <w:pPr>
              <w:jc w:val="right"/>
              <w:ind w:right="2720"/>
              <w:spacing w:after="0"/>
              <w:rPr>
                <w:sz w:val="20"/>
                <w:szCs w:val="20"/>
                <w:color w:val="auto"/>
              </w:rPr>
            </w:pPr>
            <w:r>
              <w:rPr>
                <w:rFonts w:ascii="Arial" w:cs="Arial" w:eastAsia="Arial" w:hAnsi="Arial"/>
                <w:sz w:val="18"/>
                <w:szCs w:val="18"/>
                <w:color w:val="auto"/>
              </w:rPr>
              <w:t>46</w:t>
            </w: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358"/>
        </w:trPr>
        <w:tc>
          <w:tcPr>
            <w:tcW w:w="20" w:type="dxa"/>
            <w:vAlign w:val="bottom"/>
            <w:tcBorders>
              <w:bottom w:val="single" w:sz="8" w:color="9A9A9A"/>
            </w:tcBorders>
          </w:tcPr>
          <w:p>
            <w:pPr>
              <w:spacing w:after="0"/>
              <w:rPr>
                <w:sz w:val="24"/>
                <w:szCs w:val="24"/>
                <w:color w:val="auto"/>
              </w:rPr>
            </w:pPr>
          </w:p>
        </w:tc>
        <w:tc>
          <w:tcPr>
            <w:tcW w:w="2400" w:type="dxa"/>
            <w:vAlign w:val="bottom"/>
            <w:tcBorders>
              <w:bottom w:val="single" w:sz="8" w:color="9A9A9A"/>
            </w:tcBorders>
          </w:tcPr>
          <w:p>
            <w:pPr>
              <w:spacing w:after="0"/>
              <w:rPr>
                <w:sz w:val="24"/>
                <w:szCs w:val="24"/>
                <w:color w:val="auto"/>
              </w:rPr>
            </w:pPr>
          </w:p>
        </w:tc>
        <w:tc>
          <w:tcPr>
            <w:tcW w:w="760" w:type="dxa"/>
            <w:vAlign w:val="bottom"/>
            <w:tcBorders>
              <w:bottom w:val="single" w:sz="8" w:color="9A9A9A"/>
            </w:tcBorders>
          </w:tcPr>
          <w:p>
            <w:pPr>
              <w:spacing w:after="0"/>
              <w:rPr>
                <w:sz w:val="24"/>
                <w:szCs w:val="24"/>
                <w:color w:val="auto"/>
              </w:rPr>
            </w:pPr>
          </w:p>
        </w:tc>
        <w:tc>
          <w:tcPr>
            <w:tcW w:w="1060" w:type="dxa"/>
            <w:vAlign w:val="bottom"/>
            <w:tcBorders>
              <w:bottom w:val="single" w:sz="8" w:color="9A9A9A"/>
            </w:tcBorders>
          </w:tcPr>
          <w:p>
            <w:pPr>
              <w:spacing w:after="0"/>
              <w:rPr>
                <w:sz w:val="24"/>
                <w:szCs w:val="24"/>
                <w:color w:val="auto"/>
              </w:rPr>
            </w:pPr>
          </w:p>
        </w:tc>
        <w:tc>
          <w:tcPr>
            <w:tcW w:w="1120" w:type="dxa"/>
            <w:vAlign w:val="bottom"/>
            <w:tcBorders>
              <w:bottom w:val="single" w:sz="8" w:color="9A9A9A"/>
            </w:tcBorders>
          </w:tcPr>
          <w:p>
            <w:pPr>
              <w:spacing w:after="0"/>
              <w:rPr>
                <w:sz w:val="24"/>
                <w:szCs w:val="24"/>
                <w:color w:val="auto"/>
              </w:rPr>
            </w:pPr>
          </w:p>
        </w:tc>
        <w:tc>
          <w:tcPr>
            <w:tcW w:w="3080" w:type="dxa"/>
            <w:vAlign w:val="bottom"/>
            <w:tcBorders>
              <w:bottom w:val="single" w:sz="8" w:color="9A9A9A"/>
            </w:tcBorders>
          </w:tcPr>
          <w:p>
            <w:pPr>
              <w:spacing w:after="0"/>
              <w:rPr>
                <w:sz w:val="24"/>
                <w:szCs w:val="24"/>
                <w:color w:val="auto"/>
              </w:rPr>
            </w:pPr>
          </w:p>
        </w:tc>
        <w:tc>
          <w:tcPr>
            <w:tcW w:w="740" w:type="dxa"/>
            <w:vAlign w:val="bottom"/>
            <w:tcBorders>
              <w:bottom w:val="single" w:sz="8" w:color="9A9A9A"/>
            </w:tcBorders>
          </w:tcPr>
          <w:p>
            <w:pPr>
              <w:spacing w:after="0"/>
              <w:rPr>
                <w:sz w:val="24"/>
                <w:szCs w:val="24"/>
                <w:color w:val="auto"/>
              </w:rPr>
            </w:pPr>
          </w:p>
        </w:tc>
        <w:tc>
          <w:tcPr>
            <w:tcW w:w="700" w:type="dxa"/>
            <w:vAlign w:val="bottom"/>
            <w:tcBorders>
              <w:bottom w:val="single" w:sz="8" w:color="9A9A9A"/>
            </w:tcBorders>
          </w:tcPr>
          <w:p>
            <w:pPr>
              <w:spacing w:after="0"/>
              <w:rPr>
                <w:sz w:val="24"/>
                <w:szCs w:val="24"/>
                <w:color w:val="auto"/>
              </w:rPr>
            </w:pPr>
          </w:p>
        </w:tc>
        <w:tc>
          <w:tcPr>
            <w:tcW w:w="320" w:type="dxa"/>
            <w:vAlign w:val="bottom"/>
            <w:tcBorders>
              <w:bottom w:val="single" w:sz="8" w:color="9A9A9A"/>
            </w:tcBorders>
          </w:tcPr>
          <w:p>
            <w:pPr>
              <w:spacing w:after="0"/>
              <w:rPr>
                <w:sz w:val="24"/>
                <w:szCs w:val="24"/>
                <w:color w:val="auto"/>
              </w:rPr>
            </w:pPr>
          </w:p>
        </w:tc>
        <w:tc>
          <w:tcPr>
            <w:tcW w:w="820" w:type="dxa"/>
            <w:vAlign w:val="bottom"/>
            <w:tcBorders>
              <w:bottom w:val="single" w:sz="8" w:color="9A9A9A"/>
            </w:tcBorders>
          </w:tcPr>
          <w:p>
            <w:pPr>
              <w:spacing w:after="0"/>
              <w:rPr>
                <w:sz w:val="24"/>
                <w:szCs w:val="24"/>
                <w:color w:val="auto"/>
              </w:rPr>
            </w:pPr>
          </w:p>
        </w:tc>
        <w:tc>
          <w:tcPr>
            <w:tcW w:w="18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7128510</wp:posOffset>
            </wp:positionH>
            <wp:positionV relativeFrom="paragraph">
              <wp:posOffset>-7620</wp:posOffset>
            </wp:positionV>
            <wp:extent cx="8255" cy="825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825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8890" cy="171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8890" cy="171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49" w:name="page50"/>
    <w:bookmarkEnd w:id="49"/>
    <w:p>
      <w:pPr>
        <w:ind w:left="2540"/>
        <w:spacing w:after="0"/>
        <w:rPr>
          <w:sz w:val="20"/>
          <w:szCs w:val="20"/>
          <w:color w:val="auto"/>
        </w:rPr>
      </w:pPr>
      <w:r>
        <w:rPr>
          <w:rFonts w:ascii="Arial" w:cs="Arial" w:eastAsia="Arial" w:hAnsi="Arial"/>
          <w:sz w:val="18"/>
          <w:szCs w:val="18"/>
          <w:b w:val="1"/>
          <w:bCs w:val="1"/>
          <w:color w:val="auto"/>
        </w:rPr>
        <w:t>REPORT OF INDEPENDENT REGISTERED PUBLIC ACCOUNTING FIRM</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 and Shareholders of Marvell Technology Group Ltd.</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Opinion on the Financial Statements</w:t>
      </w:r>
    </w:p>
    <w:p>
      <w:pPr>
        <w:spacing w:after="0" w:line="175"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color w:val="auto"/>
        </w:rPr>
        <w:t>We have audited the accompanying consolidated balance sheets of Marvell Technology Group Ltd. and subsidiaries (the “Company”) as of February 1, 2020, and February 2, 2019, the related consolidated statements of operations, comprehensive income (loss), shareholders’ equity, and cash flows for each of the three years in the period ended February 1, 2020, and the related notes and the schedule listed in the Index at Item 15 (collectively referred to as the “financial statements”). In our opinion, the financial statements present fairly, in all material respects, the financial position of the Company as of February 1, 2020, and February 2, 2019, and the results of its operations and its cash flows for each of the three years in the period ended February 1, 2020, in conformity with accounting principles generally accepted in the United States of America.</w:t>
      </w:r>
    </w:p>
    <w:p>
      <w:pPr>
        <w:spacing w:after="0" w:line="178"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 xml:space="preserve">We have also audited, in accordance with the standards of the Public Company Accounting Oversight Board (United States) (PCAOB), the Company’s internal control over financial reporting as of February 1, 2020, based on criteria established in </w:t>
      </w:r>
      <w:r>
        <w:rPr>
          <w:rFonts w:ascii="Arial" w:cs="Arial" w:eastAsia="Arial" w:hAnsi="Arial"/>
          <w:sz w:val="18"/>
          <w:szCs w:val="18"/>
          <w:i w:val="1"/>
          <w:iCs w:val="1"/>
          <w:color w:val="auto"/>
        </w:rPr>
        <w:t>Internal Control-Integrated Framework (2013)</w:t>
      </w:r>
      <w:r>
        <w:rPr>
          <w:rFonts w:ascii="Arial" w:cs="Arial" w:eastAsia="Arial" w:hAnsi="Arial"/>
          <w:sz w:val="18"/>
          <w:szCs w:val="18"/>
          <w:color w:val="auto"/>
        </w:rPr>
        <w:t xml:space="preserve"> issued by the Committee of Sponsoring Organizations of the Treadway Commission and our report dated March 23, 2020, expressed an unqualified opinion on the Company’s internal control over financial reporting.</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for Opinion</w:t>
      </w:r>
    </w:p>
    <w:p>
      <w:pPr>
        <w:spacing w:after="0" w:line="175"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These financial statements are the responsibility of the Company’s management. Our responsibility is to express an opinion on the Company’s financial statements based on our audits. We are a public accounting firm registered with the PCAOB and are required to be independent with respect to the Company in accordance with the U.S. federal securities laws and the applicable rules and regulations of the Securities and Exchange Commission and the PCAOB.</w:t>
      </w:r>
    </w:p>
    <w:p>
      <w:pPr>
        <w:spacing w:after="0" w:line="187"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We conducted our audits in accordance with the standards of the PCAOB. Those standards require that we plan and perform the audit to obtain reasonable assurance about whether the financial statements are free of material misstatement, whether due to error or fraud. Our audits included performing procedures to assess the risks of material misstatement of the financial statements, whether due to error or fraud, and performing procedures that respond to those risks. Such procedures included examining, on a test basis, evidence regarding the amounts and disclosures in the financial statements. Our audits also included evaluating the accounting principles used and significant estimates made by management, as well as evaluating the overall presentation of the financial statements. We believe that our audits provide a reasonable basis for our opinion.</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Audit Matters</w:t>
      </w:r>
    </w:p>
    <w:p>
      <w:pPr>
        <w:spacing w:after="0" w:line="229" w:lineRule="exact"/>
        <w:rPr>
          <w:sz w:val="20"/>
          <w:szCs w:val="20"/>
          <w:color w:val="auto"/>
        </w:rPr>
      </w:pPr>
    </w:p>
    <w:p>
      <w:pPr>
        <w:ind w:right="40"/>
        <w:spacing w:after="0" w:line="241" w:lineRule="auto"/>
        <w:rPr>
          <w:sz w:val="20"/>
          <w:szCs w:val="20"/>
          <w:color w:val="auto"/>
        </w:rPr>
      </w:pPr>
      <w:r>
        <w:rPr>
          <w:rFonts w:ascii="Arial" w:cs="Arial" w:eastAsia="Arial" w:hAnsi="Arial"/>
          <w:sz w:val="18"/>
          <w:szCs w:val="18"/>
          <w:color w:val="auto"/>
        </w:rPr>
        <w:t>The critical audit matters communicated below are matters arising from the current-period audit of the financial statements that were communicated or required to be communicated to the audit committee and that (1) relate to accounts or disclosures that are material to the financial statements and (2) involved our especially challenging, subjective, or complex judgments. The communication of critical audit matters does not alter in any way our opinion on the financial statements, taken as a whole, and we are not, by communicating the critical audit matters below, providing separate opinions on the critical audit matters or on the accounts or disclosures to which they relate.</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Business Combinations – Refer to Note 3 to the consolidated financial statements</w:t>
      </w:r>
    </w:p>
    <w:p>
      <w:pPr>
        <w:spacing w:after="0" w:line="24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Description of the Matter</w:t>
      </w:r>
    </w:p>
    <w:p>
      <w:pPr>
        <w:spacing w:after="0" w:line="239" w:lineRule="exact"/>
        <w:rPr>
          <w:sz w:val="20"/>
          <w:szCs w:val="20"/>
          <w:color w:val="auto"/>
        </w:rPr>
      </w:pPr>
    </w:p>
    <w:p>
      <w:pPr>
        <w:ind w:right="240"/>
        <w:spacing w:after="0" w:line="243" w:lineRule="auto"/>
        <w:rPr>
          <w:sz w:val="20"/>
          <w:szCs w:val="20"/>
          <w:color w:val="auto"/>
        </w:rPr>
      </w:pPr>
      <w:r>
        <w:rPr>
          <w:rFonts w:ascii="Arial" w:cs="Arial" w:eastAsia="Arial" w:hAnsi="Arial"/>
          <w:sz w:val="18"/>
          <w:szCs w:val="18"/>
          <w:color w:val="auto"/>
        </w:rPr>
        <w:t>The Company completed the acquisitions of Aquantia and Avera for $502.2 million and $593.5 million, respectively, during the year ended February 1, 2020. The Company estimated the fair value of intangible assets acquired of $193.0 million and $379.0 million, respectively, and net tangible assets of $81.6 million and $85.1 million, respectively, with the excess purchase price over the fair value of total net assets acquired of $227.6 million and $129.4 million, respectively, recorded as goodwill.</w:t>
      </w:r>
    </w:p>
    <w:p>
      <w:pPr>
        <w:spacing w:after="0" w:line="200" w:lineRule="exact"/>
        <w:rPr>
          <w:sz w:val="20"/>
          <w:szCs w:val="20"/>
          <w:color w:val="auto"/>
        </w:rPr>
      </w:pPr>
    </w:p>
    <w:p>
      <w:pPr>
        <w:spacing w:after="0" w:line="36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282" w:right="359" w:bottom="1440" w:gutter="0" w:footer="0" w:header="0"/>
        </w:sectPr>
      </w:pPr>
    </w:p>
    <w:bookmarkStart w:id="50" w:name="page51"/>
    <w:bookmarkEnd w:id="50"/>
    <w:p>
      <w:pPr>
        <w:ind w:right="80"/>
        <w:spacing w:after="0" w:line="239" w:lineRule="auto"/>
        <w:rPr>
          <w:sz w:val="20"/>
          <w:szCs w:val="20"/>
          <w:color w:val="auto"/>
        </w:rPr>
      </w:pPr>
      <w:r>
        <w:rPr>
          <w:rFonts w:ascii="Arial" w:cs="Arial" w:eastAsia="Arial" w:hAnsi="Arial"/>
          <w:sz w:val="18"/>
          <w:szCs w:val="18"/>
          <w:color w:val="auto"/>
        </w:rPr>
        <w:t>The fair value determination of acquired intangible assets for these acquisitions required management to make significant estimates. These estimates included, among others, forecasted discounted cash flows which comprised significant assumptions for revenue growth rates and the selection of an appropriate discount rate, among others. There was a high degree of auditor judgment and subjectivity in determining the appropriate audit procedures and performing such procedures relating to the fair value measurement of acquired intangible assets due to the significant amount of management judgment in developing such estimates. Significant audit effort was required in performing procedures and evaluating the significant assumptions relating to these estimates. The audit effort also involved the use of professionals with specialized skills and knowledge to assist in evaluating the audit evidence obtained from these procedures.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How we Addressed the Matter in our Audit</w:t>
      </w:r>
    </w:p>
    <w:p>
      <w:pPr>
        <w:spacing w:after="0" w:line="239" w:lineRule="exact"/>
        <w:rPr>
          <w:sz w:val="20"/>
          <w:szCs w:val="20"/>
          <w:color w:val="auto"/>
        </w:rPr>
      </w:pPr>
    </w:p>
    <w:p>
      <w:pPr>
        <w:spacing w:after="0"/>
        <w:rPr>
          <w:sz w:val="20"/>
          <w:szCs w:val="20"/>
          <w:color w:val="auto"/>
        </w:rPr>
      </w:pPr>
      <w:r>
        <w:rPr>
          <w:rFonts w:ascii="Arial" w:cs="Arial" w:eastAsia="Arial" w:hAnsi="Arial"/>
          <w:sz w:val="17"/>
          <w:szCs w:val="17"/>
          <w:color w:val="auto"/>
        </w:rPr>
        <w:t>Our audit procedures related to management’s estimates for the fair value of acquired intangible assets included the following, among others:</w:t>
      </w:r>
    </w:p>
    <w:p>
      <w:pPr>
        <w:spacing w:after="0" w:line="250" w:lineRule="exact"/>
        <w:rPr>
          <w:sz w:val="20"/>
          <w:szCs w:val="20"/>
          <w:color w:val="auto"/>
        </w:rPr>
      </w:pPr>
    </w:p>
    <w:p>
      <w:pPr>
        <w:ind w:left="660" w:right="20" w:hanging="328"/>
        <w:spacing w:after="0"/>
        <w:tabs>
          <w:tab w:leader="none" w:pos="655" w:val="left"/>
        </w:tabs>
        <w:numPr>
          <w:ilvl w:val="0"/>
          <w:numId w:val="26"/>
        </w:numPr>
        <w:rPr>
          <w:rFonts w:ascii="Arial" w:cs="Arial" w:eastAsia="Arial" w:hAnsi="Arial"/>
          <w:sz w:val="18"/>
          <w:szCs w:val="18"/>
          <w:color w:val="auto"/>
        </w:rPr>
      </w:pPr>
      <w:r>
        <w:rPr>
          <w:rFonts w:ascii="Arial" w:cs="Arial" w:eastAsia="Arial" w:hAnsi="Arial"/>
          <w:sz w:val="18"/>
          <w:szCs w:val="18"/>
          <w:color w:val="auto"/>
        </w:rPr>
        <w:t>We tested the operating effectiveness of internal controls over business combinations, including internal controls over the modelling of future cash flows, the determination of the revenue growth rates and discount rate assumptions, and ultimately the determination of the fair value of the acquired intangible assets;</w:t>
      </w:r>
    </w:p>
    <w:p>
      <w:pPr>
        <w:spacing w:after="0" w:line="2" w:lineRule="exact"/>
        <w:rPr>
          <w:rFonts w:ascii="Arial" w:cs="Arial" w:eastAsia="Arial" w:hAnsi="Arial"/>
          <w:sz w:val="18"/>
          <w:szCs w:val="18"/>
          <w:color w:val="auto"/>
        </w:rPr>
      </w:pPr>
    </w:p>
    <w:p>
      <w:pPr>
        <w:ind w:left="660" w:right="460" w:hanging="328"/>
        <w:spacing w:after="0" w:line="264" w:lineRule="auto"/>
        <w:tabs>
          <w:tab w:leader="none" w:pos="655" w:val="left"/>
        </w:tabs>
        <w:numPr>
          <w:ilvl w:val="0"/>
          <w:numId w:val="26"/>
        </w:numPr>
        <w:rPr>
          <w:rFonts w:ascii="Arial" w:cs="Arial" w:eastAsia="Arial" w:hAnsi="Arial"/>
          <w:sz w:val="16"/>
          <w:szCs w:val="16"/>
          <w:color w:val="auto"/>
        </w:rPr>
      </w:pPr>
      <w:r>
        <w:rPr>
          <w:rFonts w:ascii="Arial" w:cs="Arial" w:eastAsia="Arial" w:hAnsi="Arial"/>
          <w:sz w:val="16"/>
          <w:szCs w:val="16"/>
          <w:color w:val="auto"/>
        </w:rPr>
        <w:t>We assessed the reasonableness of management’s revenue growth rate assumptions by comparing the projections to the acquired companies’ historical results and those of certain peer companies, as well as performing inquiries with certain members of management;</w:t>
      </w:r>
    </w:p>
    <w:p>
      <w:pPr>
        <w:ind w:left="660" w:right="180" w:hanging="328"/>
        <w:spacing w:after="0" w:line="248" w:lineRule="auto"/>
        <w:tabs>
          <w:tab w:leader="none" w:pos="655" w:val="left"/>
        </w:tabs>
        <w:numPr>
          <w:ilvl w:val="0"/>
          <w:numId w:val="26"/>
        </w:numPr>
        <w:rPr>
          <w:rFonts w:ascii="Arial" w:cs="Arial" w:eastAsia="Arial" w:hAnsi="Arial"/>
          <w:sz w:val="17"/>
          <w:szCs w:val="17"/>
          <w:color w:val="auto"/>
        </w:rPr>
      </w:pPr>
      <w:r>
        <w:rPr>
          <w:rFonts w:ascii="Arial" w:cs="Arial" w:eastAsia="Arial" w:hAnsi="Arial"/>
          <w:sz w:val="17"/>
          <w:szCs w:val="17"/>
          <w:color w:val="auto"/>
        </w:rPr>
        <w:t>With the assistance of our fair value specialists, we evaluated the reasonableness of (1) the valuation methodology and (2) discount rates, including testing the source information underlying the determination of the discount rates, testing the mathematical accuracy of the calculation, and developing a range of independent estimates and comparing those to the discount rates selected by management;</w:t>
      </w:r>
    </w:p>
    <w:p>
      <w:pPr>
        <w:spacing w:after="0" w:line="1" w:lineRule="exact"/>
        <w:rPr>
          <w:rFonts w:ascii="Arial" w:cs="Arial" w:eastAsia="Arial" w:hAnsi="Arial"/>
          <w:sz w:val="17"/>
          <w:szCs w:val="17"/>
          <w:color w:val="auto"/>
        </w:rPr>
      </w:pPr>
    </w:p>
    <w:p>
      <w:pPr>
        <w:ind w:left="660" w:hanging="328"/>
        <w:spacing w:after="0"/>
        <w:tabs>
          <w:tab w:leader="none" w:pos="660" w:val="left"/>
        </w:tabs>
        <w:numPr>
          <w:ilvl w:val="0"/>
          <w:numId w:val="26"/>
        </w:numPr>
        <w:rPr>
          <w:rFonts w:ascii="Arial" w:cs="Arial" w:eastAsia="Arial" w:hAnsi="Arial"/>
          <w:sz w:val="16"/>
          <w:szCs w:val="16"/>
          <w:color w:val="auto"/>
        </w:rPr>
      </w:pPr>
      <w:r>
        <w:rPr>
          <w:rFonts w:ascii="Arial" w:cs="Arial" w:eastAsia="Arial" w:hAnsi="Arial"/>
          <w:sz w:val="16"/>
          <w:szCs w:val="16"/>
          <w:color w:val="auto"/>
        </w:rPr>
        <w:t>We evaluated whether the audit evidence obtained through these procedures was consistent with evidence obtained in other areas of the audit.</w:t>
      </w:r>
    </w:p>
    <w:p>
      <w:pPr>
        <w:spacing w:after="0" w:line="200" w:lineRule="exact"/>
        <w:rPr>
          <w:sz w:val="20"/>
          <w:szCs w:val="20"/>
          <w:color w:val="auto"/>
        </w:rPr>
      </w:pP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Income Taxes — Refer to Note 16 to the consolidated financial statements</w:t>
      </w:r>
    </w:p>
    <w:p>
      <w:pPr>
        <w:spacing w:after="0" w:line="24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Description of the Matter</w:t>
      </w:r>
    </w:p>
    <w:p>
      <w:pPr>
        <w:spacing w:after="0" w:line="239" w:lineRule="exact"/>
        <w:rPr>
          <w:sz w:val="20"/>
          <w:szCs w:val="20"/>
          <w:color w:val="auto"/>
        </w:rPr>
      </w:pPr>
    </w:p>
    <w:p>
      <w:pPr>
        <w:ind w:right="240"/>
        <w:spacing w:after="0" w:line="243" w:lineRule="auto"/>
        <w:rPr>
          <w:sz w:val="20"/>
          <w:szCs w:val="20"/>
          <w:color w:val="auto"/>
        </w:rPr>
      </w:pPr>
      <w:r>
        <w:rPr>
          <w:rFonts w:ascii="Arial" w:cs="Arial" w:eastAsia="Arial" w:hAnsi="Arial"/>
          <w:sz w:val="18"/>
          <w:szCs w:val="18"/>
          <w:color w:val="auto"/>
        </w:rPr>
        <w:t>In connection with the Company’s intra-entity transfer of its intellectual property rights to align the Company’s legal entity structure with its current and future business operations, certain share exchange transactions were executed, and intellectual property rights were transferred between various legal entities. A failure to execute this transaction appropriately could significantly impact the amount of the Company’s current and future tax expense or benefit.</w:t>
      </w:r>
    </w:p>
    <w:p>
      <w:pPr>
        <w:spacing w:after="0" w:line="215" w:lineRule="exact"/>
        <w:rPr>
          <w:sz w:val="20"/>
          <w:szCs w:val="20"/>
          <w:color w:val="auto"/>
        </w:rPr>
      </w:pPr>
    </w:p>
    <w:p>
      <w:pPr>
        <w:spacing w:after="0" w:line="243" w:lineRule="auto"/>
        <w:rPr>
          <w:sz w:val="20"/>
          <w:szCs w:val="20"/>
          <w:color w:val="auto"/>
        </w:rPr>
      </w:pPr>
      <w:r>
        <w:rPr>
          <w:rFonts w:ascii="Arial" w:cs="Arial" w:eastAsia="Arial" w:hAnsi="Arial"/>
          <w:sz w:val="18"/>
          <w:szCs w:val="18"/>
          <w:color w:val="auto"/>
        </w:rPr>
        <w:t>The tax impact to the Company depended on the fair value determination of the intellectual property rights which required management to make significant estimates of forecasted discounted cash flows. Management estimates included significant assumptions for revenue growth rates and the selection of an appropriate discount rate, among others. Management also utilized external specialists to assist in the interpretation and application of complex tax regulations in multiple jurisdictions.</w:t>
      </w:r>
    </w:p>
    <w:p>
      <w:pPr>
        <w:spacing w:after="0" w:line="215" w:lineRule="exact"/>
        <w:rPr>
          <w:sz w:val="20"/>
          <w:szCs w:val="20"/>
          <w:color w:val="auto"/>
        </w:rPr>
      </w:pPr>
    </w:p>
    <w:p>
      <w:pPr>
        <w:spacing w:after="0" w:line="259" w:lineRule="auto"/>
        <w:rPr>
          <w:sz w:val="20"/>
          <w:szCs w:val="20"/>
          <w:color w:val="auto"/>
        </w:rPr>
      </w:pPr>
      <w:r>
        <w:rPr>
          <w:rFonts w:ascii="Arial" w:cs="Arial" w:eastAsia="Arial" w:hAnsi="Arial"/>
          <w:sz w:val="17"/>
          <w:szCs w:val="17"/>
          <w:color w:val="auto"/>
        </w:rPr>
        <w:t>There was a high degree of auditor judgment and subjectivity in applying audit procedures relating to the fair value measurement of the intellectual property rights due to the significant amount of management judgment in developing such estimates. Additionally, the evaluation of management’s tax positions involved the interpretation of complex tax regulations in multiple jurisdictions. Significant audit effort was required in performing procedures and evaluating the significant assumptions relating to the estimates and the interpretation of tax regulations. The audit effort also involved the use of professionals with specialized skills and knowledge to assist in evaluating the audit evidence obtained from these procedures.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How we Addressed the Matter in our Audit</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Our audit procedures related to the intra-entity transfer of intellectual property rights included the following, among others:</w:t>
      </w:r>
    </w:p>
    <w:p>
      <w:pPr>
        <w:spacing w:after="0" w:line="239" w:lineRule="exact"/>
        <w:rPr>
          <w:sz w:val="20"/>
          <w:szCs w:val="20"/>
          <w:color w:val="auto"/>
        </w:rPr>
      </w:pPr>
    </w:p>
    <w:p>
      <w:pPr>
        <w:ind w:left="660" w:right="200" w:hanging="328"/>
        <w:spacing w:after="0" w:line="248" w:lineRule="auto"/>
        <w:tabs>
          <w:tab w:leader="none" w:pos="655" w:val="left"/>
        </w:tabs>
        <w:numPr>
          <w:ilvl w:val="0"/>
          <w:numId w:val="27"/>
        </w:numPr>
        <w:rPr>
          <w:rFonts w:ascii="Arial" w:cs="Arial" w:eastAsia="Arial" w:hAnsi="Arial"/>
          <w:sz w:val="18"/>
          <w:szCs w:val="18"/>
          <w:color w:val="auto"/>
        </w:rPr>
      </w:pPr>
      <w:r>
        <w:rPr>
          <w:rFonts w:ascii="Arial" w:cs="Arial" w:eastAsia="Arial" w:hAnsi="Arial"/>
          <w:sz w:val="18"/>
          <w:szCs w:val="18"/>
          <w:color w:val="auto"/>
        </w:rPr>
        <w:t>We tested the operating effectiveness of internal controls over the income tax treatment of the intra-entity transfer of intellectual property rights, including internal controls over the establishment of the legal entity structure, and the valuations of the intellectual property rights and related share exchanges;</w:t>
      </w:r>
    </w:p>
    <w:p>
      <w:pPr>
        <w:spacing w:after="0" w:line="31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286" w:right="359" w:bottom="1440" w:gutter="0" w:footer="0" w:header="0"/>
        </w:sectPr>
      </w:pPr>
    </w:p>
    <w:bookmarkStart w:id="51" w:name="page52"/>
    <w:bookmarkEnd w:id="51"/>
    <w:p>
      <w:pPr>
        <w:ind w:left="660" w:hanging="328"/>
        <w:spacing w:after="0" w:line="238" w:lineRule="auto"/>
        <w:tabs>
          <w:tab w:leader="none" w:pos="655" w:val="left"/>
        </w:tabs>
        <w:numPr>
          <w:ilvl w:val="0"/>
          <w:numId w:val="28"/>
        </w:numPr>
        <w:rPr>
          <w:rFonts w:ascii="Arial" w:cs="Arial" w:eastAsia="Arial" w:hAnsi="Arial"/>
          <w:sz w:val="18"/>
          <w:szCs w:val="18"/>
          <w:color w:val="auto"/>
        </w:rPr>
      </w:pPr>
      <w:r>
        <w:rPr>
          <w:rFonts w:ascii="Arial" w:cs="Arial" w:eastAsia="Arial" w:hAnsi="Arial"/>
          <w:sz w:val="18"/>
          <w:szCs w:val="18"/>
          <w:color w:val="auto"/>
        </w:rPr>
        <w:t>With the assistance of our income tax specialists, including our international tax and transfer pricing specialists, we evaluated the reasonableness of 1) the technical merits of the Company’s tax position of the resulting legal entity structure with the relevant tax laws and legal rulings in multiple jurisdictions currently in effect, 2) the valuation methodologies for the intellectual property rights and related share exchanges, 3) the discount rates including testing the source information underlying the determination of the discount rates, and 4) the testing of the mathematical accuracy of the calculations used in the model;</w:t>
      </w:r>
    </w:p>
    <w:p>
      <w:pPr>
        <w:spacing w:after="0" w:line="2" w:lineRule="exact"/>
        <w:rPr>
          <w:rFonts w:ascii="Arial" w:cs="Arial" w:eastAsia="Arial" w:hAnsi="Arial"/>
          <w:sz w:val="18"/>
          <w:szCs w:val="18"/>
          <w:color w:val="auto"/>
        </w:rPr>
      </w:pPr>
    </w:p>
    <w:p>
      <w:pPr>
        <w:ind w:left="660" w:right="40" w:hanging="328"/>
        <w:spacing w:after="0" w:line="234" w:lineRule="auto"/>
        <w:tabs>
          <w:tab w:leader="none" w:pos="655" w:val="left"/>
        </w:tabs>
        <w:numPr>
          <w:ilvl w:val="0"/>
          <w:numId w:val="28"/>
        </w:numPr>
        <w:rPr>
          <w:rFonts w:ascii="Arial" w:cs="Arial" w:eastAsia="Arial" w:hAnsi="Arial"/>
          <w:sz w:val="18"/>
          <w:szCs w:val="18"/>
          <w:color w:val="auto"/>
        </w:rPr>
      </w:pPr>
      <w:r>
        <w:rPr>
          <w:rFonts w:ascii="Arial" w:cs="Arial" w:eastAsia="Arial" w:hAnsi="Arial"/>
          <w:sz w:val="18"/>
          <w:szCs w:val="18"/>
          <w:color w:val="auto"/>
        </w:rPr>
        <w:t>We assessed the reasonableness of management’s revenue growth rate assumptions by comparing them to the Company’s historical growth rates and industry forecasts as well as performing inquiries with certain members of management;</w:t>
      </w:r>
    </w:p>
    <w:p>
      <w:pPr>
        <w:spacing w:after="0" w:line="1" w:lineRule="exact"/>
        <w:rPr>
          <w:rFonts w:ascii="Arial" w:cs="Arial" w:eastAsia="Arial" w:hAnsi="Arial"/>
          <w:sz w:val="18"/>
          <w:szCs w:val="18"/>
          <w:color w:val="auto"/>
        </w:rPr>
      </w:pPr>
    </w:p>
    <w:p>
      <w:pPr>
        <w:ind w:left="660" w:hanging="328"/>
        <w:spacing w:after="0"/>
        <w:tabs>
          <w:tab w:leader="none" w:pos="660" w:val="left"/>
        </w:tabs>
        <w:numPr>
          <w:ilvl w:val="0"/>
          <w:numId w:val="28"/>
        </w:numPr>
        <w:rPr>
          <w:rFonts w:ascii="Arial" w:cs="Arial" w:eastAsia="Arial" w:hAnsi="Arial"/>
          <w:sz w:val="16"/>
          <w:szCs w:val="16"/>
          <w:color w:val="auto"/>
        </w:rPr>
      </w:pPr>
      <w:r>
        <w:rPr>
          <w:rFonts w:ascii="Arial" w:cs="Arial" w:eastAsia="Arial" w:hAnsi="Arial"/>
          <w:sz w:val="16"/>
          <w:szCs w:val="16"/>
          <w:color w:val="auto"/>
        </w:rPr>
        <w:t>We evaluated whether the audit evidence obtained through these procedures was consistent with evidence obtained in other areas of the audit.</w:t>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00" w:lineRule="exact"/>
        <w:rPr>
          <w:sz w:val="20"/>
          <w:szCs w:val="20"/>
          <w:color w:val="auto"/>
        </w:rPr>
      </w:pP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23, 2020</w:t>
      </w:r>
    </w:p>
    <w:p>
      <w:pPr>
        <w:spacing w:after="0" w:line="157" w:lineRule="exact"/>
        <w:rPr>
          <w:sz w:val="20"/>
          <w:szCs w:val="20"/>
          <w:color w:val="auto"/>
        </w:rPr>
      </w:pPr>
    </w:p>
    <w:p>
      <w:pPr>
        <w:spacing w:after="0"/>
        <w:rPr>
          <w:sz w:val="20"/>
          <w:szCs w:val="20"/>
          <w:color w:val="auto"/>
        </w:rPr>
      </w:pPr>
      <w:r>
        <w:rPr>
          <w:rFonts w:ascii="Arial" w:cs="Arial" w:eastAsia="Arial" w:hAnsi="Arial"/>
          <w:sz w:val="18"/>
          <w:szCs w:val="18"/>
          <w:color w:val="auto"/>
        </w:rPr>
        <w:t>We have served as the Company’s auditor since 2016.</w:t>
      </w: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080"/>
          </w:cols>
          <w:pgMar w:left="320" w:top="1286" w:right="499" w:bottom="1440" w:gutter="0" w:footer="0" w:header="0"/>
        </w:sectPr>
      </w:pPr>
    </w:p>
    <w:bookmarkStart w:id="52" w:name="page53"/>
    <w:bookmarkEnd w:id="52"/>
    <w:p>
      <w:pPr>
        <w:spacing w:after="0"/>
        <w:rPr>
          <w:rFonts w:ascii="Arial" w:cs="Arial" w:eastAsia="Arial" w:hAnsi="Arial"/>
          <w:sz w:val="14"/>
          <w:szCs w:val="14"/>
          <w:b w:val="1"/>
          <w:bCs w:val="1"/>
          <w:u w:val="single" w:color="auto"/>
          <w:color w:val="0000FF"/>
        </w:rPr>
      </w:pPr>
      <w:hyperlink w:anchor="page2">
        <w:r>
          <w:rPr>
            <w:rFonts w:ascii="Arial" w:cs="Arial" w:eastAsia="Arial" w:hAnsi="Arial"/>
            <w:sz w:val="14"/>
            <w:szCs w:val="14"/>
            <w:b w:val="1"/>
            <w:bCs w:val="1"/>
            <w:u w:val="single" w:color="auto"/>
            <w:color w:val="0000FF"/>
          </w:rPr>
          <w:t>Table of Contents</w:t>
        </w:r>
      </w:hyperlink>
    </w:p>
    <w:p>
      <w:pPr>
        <w:spacing w:after="0" w:line="24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36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CONSOLIDATED BALANCE SHEETS</w:t>
      </w:r>
    </w:p>
    <w:p>
      <w:pPr>
        <w:spacing w:after="0" w:line="27" w:lineRule="exact"/>
        <w:rPr>
          <w:sz w:val="20"/>
          <w:szCs w:val="20"/>
          <w:color w:val="auto"/>
        </w:rPr>
      </w:pPr>
    </w:p>
    <w:p>
      <w:pPr>
        <w:ind w:left="4000"/>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1,</w:t>
            </w:r>
          </w:p>
        </w:tc>
        <w:tc>
          <w:tcPr>
            <w:tcW w:w="240" w:type="dxa"/>
            <w:vAlign w:val="bottom"/>
          </w:tcPr>
          <w:p>
            <w:pPr>
              <w:spacing w:after="0"/>
              <w:rPr>
                <w:sz w:val="14"/>
                <w:szCs w:val="14"/>
                <w:color w:val="auto"/>
              </w:rPr>
            </w:pPr>
          </w:p>
        </w:tc>
        <w:tc>
          <w:tcPr>
            <w:tcW w:w="1200" w:type="dxa"/>
            <w:vAlign w:val="bottom"/>
          </w:tcPr>
          <w:p>
            <w:pPr>
              <w:jc w:val="right"/>
              <w:ind w:right="271"/>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92"/>
        </w:trPr>
        <w:tc>
          <w:tcPr>
            <w:tcW w:w="82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2019</w:t>
            </w:r>
          </w:p>
        </w:tc>
        <w:tc>
          <w:tcPr>
            <w:tcW w:w="0" w:type="dxa"/>
            <w:vAlign w:val="bottom"/>
          </w:tcPr>
          <w:p>
            <w:pPr>
              <w:spacing w:after="0"/>
              <w:rPr>
                <w:sz w:val="1"/>
                <w:szCs w:val="1"/>
                <w:color w:val="auto"/>
              </w:rPr>
            </w:pPr>
          </w:p>
        </w:tc>
      </w:tr>
      <w:tr>
        <w:trPr>
          <w:trHeight w:val="236"/>
        </w:trPr>
        <w:tc>
          <w:tcPr>
            <w:tcW w:w="8240" w:type="dxa"/>
            <w:vAlign w:val="bottom"/>
            <w:tcBorders>
              <w:bottom w:val="single" w:sz="8" w:color="CCEEFF"/>
            </w:tcBorders>
            <w:shd w:val="clear" w:color="auto" w:fill="CCEEFF"/>
          </w:tcPr>
          <w:p>
            <w:pPr>
              <w:ind w:left="3800"/>
              <w:spacing w:after="0"/>
              <w:rPr>
                <w:sz w:val="20"/>
                <w:szCs w:val="20"/>
                <w:color w:val="auto"/>
              </w:rPr>
            </w:pPr>
            <w:r>
              <w:rPr>
                <w:rFonts w:ascii="Arial" w:cs="Arial" w:eastAsia="Arial" w:hAnsi="Arial"/>
                <w:sz w:val="18"/>
                <w:szCs w:val="18"/>
                <w:b w:val="1"/>
                <w:bCs w:val="1"/>
                <w:color w:val="auto"/>
              </w:rPr>
              <w:t>ASSETS</w:t>
            </w: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824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2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8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2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Cash and cash equivalents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647,604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582,410</w:t>
            </w:r>
          </w:p>
        </w:tc>
        <w:tc>
          <w:tcPr>
            <w:tcW w:w="0" w:type="dxa"/>
            <w:vAlign w:val="bottom"/>
          </w:tcPr>
          <w:p>
            <w:pPr>
              <w:spacing w:after="0"/>
              <w:rPr>
                <w:sz w:val="1"/>
                <w:szCs w:val="1"/>
                <w:color w:val="auto"/>
              </w:rPr>
            </w:pPr>
          </w:p>
        </w:tc>
      </w:tr>
      <w:tr>
        <w:trPr>
          <w:trHeight w:val="243"/>
        </w:trPr>
        <w:tc>
          <w:tcPr>
            <w:tcW w:w="8240" w:type="dxa"/>
            <w:vAlign w:val="bottom"/>
          </w:tcPr>
          <w:p>
            <w:pPr>
              <w:ind w:left="340"/>
              <w:spacing w:after="0"/>
              <w:rPr>
                <w:sz w:val="20"/>
                <w:szCs w:val="20"/>
                <w:color w:val="auto"/>
              </w:rPr>
            </w:pPr>
            <w:r>
              <w:rPr>
                <w:rFonts w:ascii="Arial" w:cs="Arial" w:eastAsia="Arial" w:hAnsi="Arial"/>
                <w:sz w:val="18"/>
                <w:szCs w:val="18"/>
                <w:color w:val="auto"/>
              </w:rPr>
              <w:t>Accounts receivable, net</w:t>
            </w: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492,346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493,122</w:t>
            </w:r>
          </w:p>
        </w:tc>
        <w:tc>
          <w:tcPr>
            <w:tcW w:w="0" w:type="dxa"/>
            <w:vAlign w:val="bottom"/>
          </w:tcPr>
          <w:p>
            <w:pPr>
              <w:spacing w:after="0"/>
              <w:rPr>
                <w:sz w:val="1"/>
                <w:szCs w:val="1"/>
                <w:color w:val="auto"/>
              </w:rPr>
            </w:pPr>
          </w:p>
        </w:tc>
      </w:tr>
      <w:tr>
        <w:trPr>
          <w:trHeight w:val="27"/>
        </w:trPr>
        <w:tc>
          <w:tcPr>
            <w:tcW w:w="8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2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Inventories</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322,980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276,005</w:t>
            </w:r>
          </w:p>
        </w:tc>
        <w:tc>
          <w:tcPr>
            <w:tcW w:w="0" w:type="dxa"/>
            <w:vAlign w:val="bottom"/>
          </w:tcPr>
          <w:p>
            <w:pPr>
              <w:spacing w:after="0"/>
              <w:rPr>
                <w:sz w:val="1"/>
                <w:szCs w:val="1"/>
                <w:color w:val="auto"/>
              </w:rPr>
            </w:pPr>
          </w:p>
        </w:tc>
      </w:tr>
      <w:tr>
        <w:trPr>
          <w:trHeight w:val="243"/>
        </w:trPr>
        <w:tc>
          <w:tcPr>
            <w:tcW w:w="8240" w:type="dxa"/>
            <w:vAlign w:val="bottom"/>
          </w:tcPr>
          <w:p>
            <w:pPr>
              <w:ind w:left="340"/>
              <w:spacing w:after="0"/>
              <w:rPr>
                <w:sz w:val="20"/>
                <w:szCs w:val="20"/>
                <w:color w:val="auto"/>
              </w:rPr>
            </w:pPr>
            <w:r>
              <w:rPr>
                <w:rFonts w:ascii="Arial" w:cs="Arial" w:eastAsia="Arial" w:hAnsi="Arial"/>
                <w:sz w:val="18"/>
                <w:szCs w:val="18"/>
                <w:color w:val="auto"/>
              </w:rPr>
              <w:t>Prepaid expenses and other current assets</w:t>
            </w: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74,567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43,721</w:t>
            </w:r>
          </w:p>
        </w:tc>
        <w:tc>
          <w:tcPr>
            <w:tcW w:w="0" w:type="dxa"/>
            <w:vAlign w:val="bottom"/>
          </w:tcPr>
          <w:p>
            <w:pPr>
              <w:spacing w:after="0"/>
              <w:rPr>
                <w:sz w:val="1"/>
                <w:szCs w:val="1"/>
                <w:color w:val="auto"/>
              </w:rPr>
            </w:pPr>
          </w:p>
        </w:tc>
      </w:tr>
      <w:tr>
        <w:trPr>
          <w:trHeight w:val="27"/>
        </w:trPr>
        <w:tc>
          <w:tcPr>
            <w:tcW w:w="82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82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Total current assets</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1,537,497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1,395,258</w:t>
            </w:r>
          </w:p>
        </w:tc>
        <w:tc>
          <w:tcPr>
            <w:tcW w:w="0" w:type="dxa"/>
            <w:vAlign w:val="bottom"/>
          </w:tcPr>
          <w:p>
            <w:pPr>
              <w:spacing w:after="0"/>
              <w:rPr>
                <w:sz w:val="1"/>
                <w:szCs w:val="1"/>
                <w:color w:val="auto"/>
              </w:rPr>
            </w:pPr>
          </w:p>
        </w:tc>
      </w:tr>
      <w:tr>
        <w:trPr>
          <w:trHeight w:val="243"/>
        </w:trPr>
        <w:tc>
          <w:tcPr>
            <w:tcW w:w="824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357,092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318,978</w:t>
            </w:r>
          </w:p>
        </w:tc>
        <w:tc>
          <w:tcPr>
            <w:tcW w:w="0" w:type="dxa"/>
            <w:vAlign w:val="bottom"/>
          </w:tcPr>
          <w:p>
            <w:pPr>
              <w:spacing w:after="0"/>
              <w:rPr>
                <w:sz w:val="1"/>
                <w:szCs w:val="1"/>
                <w:color w:val="auto"/>
              </w:rPr>
            </w:pPr>
          </w:p>
        </w:tc>
      </w:tr>
      <w:tr>
        <w:trPr>
          <w:trHeight w:val="27"/>
        </w:trPr>
        <w:tc>
          <w:tcPr>
            <w:tcW w:w="8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5,337,405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5,494,505</w:t>
            </w:r>
          </w:p>
        </w:tc>
        <w:tc>
          <w:tcPr>
            <w:tcW w:w="0" w:type="dxa"/>
            <w:vAlign w:val="bottom"/>
          </w:tcPr>
          <w:p>
            <w:pPr>
              <w:spacing w:after="0"/>
              <w:rPr>
                <w:sz w:val="1"/>
                <w:szCs w:val="1"/>
                <w:color w:val="auto"/>
              </w:rPr>
            </w:pPr>
          </w:p>
        </w:tc>
      </w:tr>
      <w:tr>
        <w:trPr>
          <w:trHeight w:val="243"/>
        </w:trPr>
        <w:tc>
          <w:tcPr>
            <w:tcW w:w="824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2,764,600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2,560,682</w:t>
            </w:r>
          </w:p>
        </w:tc>
        <w:tc>
          <w:tcPr>
            <w:tcW w:w="0" w:type="dxa"/>
            <w:vAlign w:val="bottom"/>
          </w:tcPr>
          <w:p>
            <w:pPr>
              <w:spacing w:after="0"/>
              <w:rPr>
                <w:sz w:val="1"/>
                <w:szCs w:val="1"/>
                <w:color w:val="auto"/>
              </w:rPr>
            </w:pPr>
          </w:p>
        </w:tc>
      </w:tr>
      <w:tr>
        <w:trPr>
          <w:trHeight w:val="27"/>
        </w:trPr>
        <w:tc>
          <w:tcPr>
            <w:tcW w:w="8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639,791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12,460</w:t>
            </w:r>
          </w:p>
        </w:tc>
        <w:tc>
          <w:tcPr>
            <w:tcW w:w="0" w:type="dxa"/>
            <w:vAlign w:val="bottom"/>
          </w:tcPr>
          <w:p>
            <w:pPr>
              <w:spacing w:after="0"/>
              <w:rPr>
                <w:sz w:val="1"/>
                <w:szCs w:val="1"/>
                <w:color w:val="auto"/>
              </w:rPr>
            </w:pPr>
          </w:p>
        </w:tc>
      </w:tr>
      <w:tr>
        <w:trPr>
          <w:trHeight w:val="243"/>
        </w:trPr>
        <w:tc>
          <w:tcPr>
            <w:tcW w:w="824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496,850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234,869</w:t>
            </w:r>
          </w:p>
        </w:tc>
        <w:tc>
          <w:tcPr>
            <w:tcW w:w="0" w:type="dxa"/>
            <w:vAlign w:val="bottom"/>
          </w:tcPr>
          <w:p>
            <w:pPr>
              <w:spacing w:after="0"/>
              <w:rPr>
                <w:sz w:val="1"/>
                <w:szCs w:val="1"/>
                <w:color w:val="auto"/>
              </w:rPr>
            </w:pPr>
          </w:p>
        </w:tc>
      </w:tr>
      <w:tr>
        <w:trPr>
          <w:trHeight w:val="27"/>
        </w:trPr>
        <w:tc>
          <w:tcPr>
            <w:tcW w:w="82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82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Total assets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11,133,235</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10,016,752</w:t>
            </w:r>
          </w:p>
        </w:tc>
        <w:tc>
          <w:tcPr>
            <w:tcW w:w="0" w:type="dxa"/>
            <w:vAlign w:val="bottom"/>
          </w:tcPr>
          <w:p>
            <w:pPr>
              <w:spacing w:after="0"/>
              <w:rPr>
                <w:sz w:val="1"/>
                <w:szCs w:val="1"/>
                <w:color w:val="auto"/>
              </w:rPr>
            </w:pPr>
          </w:p>
        </w:tc>
      </w:tr>
      <w:tr>
        <w:trPr>
          <w:trHeight w:val="20"/>
        </w:trPr>
        <w:tc>
          <w:tcPr>
            <w:tcW w:w="8240" w:type="dxa"/>
            <w:vAlign w:val="bottom"/>
            <w:tcBorders>
              <w:top w:val="single" w:sz="8" w:color="CCEEFF"/>
              <w:bottom w:val="single" w:sz="8" w:color="CCEEFF"/>
            </w:tcBorders>
            <w:vMerge w:val="restart"/>
          </w:tcPr>
          <w:p>
            <w:pPr>
              <w:ind w:left="2180"/>
              <w:spacing w:after="0"/>
              <w:rPr>
                <w:sz w:val="20"/>
                <w:szCs w:val="20"/>
                <w:color w:val="auto"/>
              </w:rPr>
            </w:pPr>
            <w:r>
              <w:rPr>
                <w:rFonts w:ascii="Arial" w:cs="Arial" w:eastAsia="Arial" w:hAnsi="Arial"/>
                <w:sz w:val="18"/>
                <w:szCs w:val="18"/>
                <w:b w:val="1"/>
                <w:bCs w:val="1"/>
                <w:color w:val="auto"/>
              </w:rPr>
              <w:t>LIABILITIES AND SHAREHOLDERS’ EQUITY</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8240" w:type="dxa"/>
            <w:vAlign w:val="bottom"/>
            <w:vMerge w:val="continue"/>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7"/>
        </w:trPr>
        <w:tc>
          <w:tcPr>
            <w:tcW w:w="8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Current liabilities:</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240" w:type="dxa"/>
            <w:vAlign w:val="bottom"/>
          </w:tcPr>
          <w:p>
            <w:pPr>
              <w:ind w:left="340"/>
              <w:spacing w:after="0"/>
              <w:rPr>
                <w:sz w:val="20"/>
                <w:szCs w:val="20"/>
                <w:color w:val="auto"/>
              </w:rPr>
            </w:pPr>
            <w:r>
              <w:rPr>
                <w:rFonts w:ascii="Arial" w:cs="Arial" w:eastAsia="Arial" w:hAnsi="Arial"/>
                <w:sz w:val="18"/>
                <w:szCs w:val="18"/>
                <w:color w:val="auto"/>
              </w:rPr>
              <w:t>Accounts payable</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213,747</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185,362</w:t>
            </w:r>
          </w:p>
        </w:tc>
        <w:tc>
          <w:tcPr>
            <w:tcW w:w="0" w:type="dxa"/>
            <w:vAlign w:val="bottom"/>
          </w:tcPr>
          <w:p>
            <w:pPr>
              <w:spacing w:after="0"/>
              <w:rPr>
                <w:sz w:val="1"/>
                <w:szCs w:val="1"/>
                <w:color w:val="auto"/>
              </w:rPr>
            </w:pPr>
          </w:p>
        </w:tc>
      </w:tr>
      <w:tr>
        <w:trPr>
          <w:trHeight w:val="27"/>
        </w:trPr>
        <w:tc>
          <w:tcPr>
            <w:tcW w:w="8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2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Accrued liabilities</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346,639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335,509</w:t>
            </w:r>
          </w:p>
        </w:tc>
        <w:tc>
          <w:tcPr>
            <w:tcW w:w="0" w:type="dxa"/>
            <w:vAlign w:val="bottom"/>
          </w:tcPr>
          <w:p>
            <w:pPr>
              <w:spacing w:after="0"/>
              <w:rPr>
                <w:sz w:val="1"/>
                <w:szCs w:val="1"/>
                <w:color w:val="auto"/>
              </w:rPr>
            </w:pPr>
          </w:p>
        </w:tc>
      </w:tr>
      <w:tr>
        <w:trPr>
          <w:trHeight w:val="243"/>
        </w:trPr>
        <w:tc>
          <w:tcPr>
            <w:tcW w:w="8240" w:type="dxa"/>
            <w:vAlign w:val="bottom"/>
          </w:tcPr>
          <w:p>
            <w:pPr>
              <w:ind w:left="340"/>
              <w:spacing w:after="0"/>
              <w:rPr>
                <w:sz w:val="20"/>
                <w:szCs w:val="20"/>
                <w:color w:val="auto"/>
              </w:rPr>
            </w:pPr>
            <w:r>
              <w:rPr>
                <w:rFonts w:ascii="Arial" w:cs="Arial" w:eastAsia="Arial" w:hAnsi="Arial"/>
                <w:sz w:val="18"/>
                <w:szCs w:val="18"/>
                <w:color w:val="auto"/>
              </w:rPr>
              <w:t>Accrued employee compensation</w:t>
            </w: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149,780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115,925</w:t>
            </w:r>
          </w:p>
        </w:tc>
        <w:tc>
          <w:tcPr>
            <w:tcW w:w="0" w:type="dxa"/>
            <w:vAlign w:val="bottom"/>
          </w:tcPr>
          <w:p>
            <w:pPr>
              <w:spacing w:after="0"/>
              <w:rPr>
                <w:sz w:val="1"/>
                <w:szCs w:val="1"/>
                <w:color w:val="auto"/>
              </w:rPr>
            </w:pPr>
          </w:p>
        </w:tc>
      </w:tr>
      <w:tr>
        <w:trPr>
          <w:trHeight w:val="27"/>
        </w:trPr>
        <w:tc>
          <w:tcPr>
            <w:tcW w:w="82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82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Total current liabilities</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710,166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636,796</w:t>
            </w:r>
          </w:p>
        </w:tc>
        <w:tc>
          <w:tcPr>
            <w:tcW w:w="0" w:type="dxa"/>
            <w:vAlign w:val="bottom"/>
          </w:tcPr>
          <w:p>
            <w:pPr>
              <w:spacing w:after="0"/>
              <w:rPr>
                <w:sz w:val="1"/>
                <w:szCs w:val="1"/>
                <w:color w:val="auto"/>
              </w:rPr>
            </w:pPr>
          </w:p>
        </w:tc>
      </w:tr>
      <w:tr>
        <w:trPr>
          <w:trHeight w:val="243"/>
        </w:trPr>
        <w:tc>
          <w:tcPr>
            <w:tcW w:w="824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1,439,024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1,732,699</w:t>
            </w:r>
          </w:p>
        </w:tc>
        <w:tc>
          <w:tcPr>
            <w:tcW w:w="0" w:type="dxa"/>
            <w:vAlign w:val="bottom"/>
          </w:tcPr>
          <w:p>
            <w:pPr>
              <w:spacing w:after="0"/>
              <w:rPr>
                <w:sz w:val="1"/>
                <w:szCs w:val="1"/>
                <w:color w:val="auto"/>
              </w:rPr>
            </w:pPr>
          </w:p>
        </w:tc>
      </w:tr>
      <w:tr>
        <w:trPr>
          <w:trHeight w:val="27"/>
        </w:trPr>
        <w:tc>
          <w:tcPr>
            <w:tcW w:w="8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Deferred tax liabilities</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31,233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246,252</w:t>
            </w:r>
          </w:p>
        </w:tc>
        <w:tc>
          <w:tcPr>
            <w:tcW w:w="0" w:type="dxa"/>
            <w:vAlign w:val="bottom"/>
          </w:tcPr>
          <w:p>
            <w:pPr>
              <w:spacing w:after="0"/>
              <w:rPr>
                <w:sz w:val="1"/>
                <w:szCs w:val="1"/>
                <w:color w:val="auto"/>
              </w:rPr>
            </w:pPr>
          </w:p>
        </w:tc>
      </w:tr>
      <w:tr>
        <w:trPr>
          <w:trHeight w:val="243"/>
        </w:trPr>
        <w:tc>
          <w:tcPr>
            <w:tcW w:w="8240" w:type="dxa"/>
            <w:vAlign w:val="bottom"/>
          </w:tcPr>
          <w:p>
            <w:pPr>
              <w:ind w:left="20"/>
              <w:spacing w:after="0"/>
              <w:rPr>
                <w:sz w:val="20"/>
                <w:szCs w:val="20"/>
                <w:color w:val="auto"/>
              </w:rPr>
            </w:pPr>
            <w:r>
              <w:rPr>
                <w:rFonts w:ascii="Arial" w:cs="Arial" w:eastAsia="Arial" w:hAnsi="Arial"/>
                <w:sz w:val="18"/>
                <w:szCs w:val="18"/>
                <w:color w:val="auto"/>
              </w:rPr>
              <w:t>Other non-current liabilities</w:t>
            </w: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274,232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94,595</w:t>
            </w:r>
          </w:p>
        </w:tc>
        <w:tc>
          <w:tcPr>
            <w:tcW w:w="0" w:type="dxa"/>
            <w:vAlign w:val="bottom"/>
          </w:tcPr>
          <w:p>
            <w:pPr>
              <w:spacing w:after="0"/>
              <w:rPr>
                <w:sz w:val="1"/>
                <w:szCs w:val="1"/>
                <w:color w:val="auto"/>
              </w:rPr>
            </w:pPr>
          </w:p>
        </w:tc>
      </w:tr>
      <w:tr>
        <w:trPr>
          <w:trHeight w:val="27"/>
        </w:trPr>
        <w:tc>
          <w:tcPr>
            <w:tcW w:w="82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3"/>
        </w:trPr>
        <w:tc>
          <w:tcPr>
            <w:tcW w:w="82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Total liabilities</w:t>
            </w:r>
          </w:p>
        </w:tc>
        <w:tc>
          <w:tcPr>
            <w:tcW w:w="24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2,454,655</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2,710,342</w:t>
            </w:r>
          </w:p>
        </w:tc>
        <w:tc>
          <w:tcPr>
            <w:tcW w:w="0" w:type="dxa"/>
            <w:vAlign w:val="bottom"/>
          </w:tcPr>
          <w:p>
            <w:pPr>
              <w:spacing w:after="0"/>
              <w:rPr>
                <w:sz w:val="1"/>
                <w:szCs w:val="1"/>
                <w:color w:val="auto"/>
              </w:rPr>
            </w:pPr>
          </w:p>
        </w:tc>
      </w:tr>
      <w:tr>
        <w:trPr>
          <w:trHeight w:val="223"/>
        </w:trPr>
        <w:tc>
          <w:tcPr>
            <w:tcW w:w="8240" w:type="dxa"/>
            <w:vAlign w:val="bottom"/>
          </w:tcPr>
          <w:p>
            <w:pPr>
              <w:ind w:left="20"/>
              <w:spacing w:after="0"/>
              <w:rPr>
                <w:sz w:val="20"/>
                <w:szCs w:val="20"/>
                <w:color w:val="auto"/>
              </w:rPr>
            </w:pPr>
            <w:r>
              <w:rPr>
                <w:rFonts w:ascii="Arial" w:cs="Arial" w:eastAsia="Arial" w:hAnsi="Arial"/>
                <w:sz w:val="18"/>
                <w:szCs w:val="18"/>
                <w:color w:val="auto"/>
              </w:rPr>
              <w:t>Commitments and contingencies (Note 13)</w:t>
            </w:r>
          </w:p>
        </w:tc>
        <w:tc>
          <w:tcPr>
            <w:tcW w:w="240" w:type="dxa"/>
            <w:vAlign w:val="bottom"/>
            <w:tcBorders>
              <w:top w:val="single" w:sz="8" w:color="auto"/>
            </w:tcBorders>
          </w:tcPr>
          <w:p>
            <w:pPr>
              <w:spacing w:after="0"/>
              <w:rPr>
                <w:sz w:val="19"/>
                <w:szCs w:val="19"/>
                <w:color w:val="auto"/>
              </w:rPr>
            </w:pPr>
          </w:p>
        </w:tc>
        <w:tc>
          <w:tcPr>
            <w:tcW w:w="120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00" w:type="dxa"/>
            <w:vAlign w:val="bottom"/>
            <w:tcBorders>
              <w:top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8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Shareholders’ equity:</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240" w:type="dxa"/>
            <w:vAlign w:val="bottom"/>
          </w:tcPr>
          <w:p>
            <w:pPr>
              <w:ind w:left="360"/>
              <w:spacing w:after="0"/>
              <w:rPr>
                <w:sz w:val="20"/>
                <w:szCs w:val="20"/>
                <w:color w:val="auto"/>
              </w:rPr>
            </w:pPr>
            <w:r>
              <w:rPr>
                <w:rFonts w:ascii="Arial" w:cs="Arial" w:eastAsia="Arial" w:hAnsi="Arial"/>
                <w:sz w:val="18"/>
                <w:szCs w:val="18"/>
                <w:color w:val="auto"/>
              </w:rPr>
              <w:t>Preferred stock, $0.002 par value; 8,000 shares authorized; no shares issued and outstanding</w:t>
            </w:r>
          </w:p>
        </w:tc>
        <w:tc>
          <w:tcPr>
            <w:tcW w:w="240" w:type="dxa"/>
            <w:vAlign w:val="bottom"/>
          </w:tcPr>
          <w:p>
            <w:pPr>
              <w:spacing w:after="0"/>
              <w:rPr>
                <w:sz w:val="21"/>
                <w:szCs w:val="21"/>
                <w:color w:val="auto"/>
              </w:rPr>
            </w:pPr>
          </w:p>
        </w:tc>
        <w:tc>
          <w:tcPr>
            <w:tcW w:w="13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8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5"/>
        </w:trPr>
        <w:tc>
          <w:tcPr>
            <w:tcW w:w="8240" w:type="dxa"/>
            <w:vAlign w:val="bottom"/>
            <w:shd w:val="clear" w:color="auto" w:fill="CCEEFF"/>
          </w:tcPr>
          <w:p>
            <w:pPr>
              <w:ind w:left="360"/>
              <w:spacing w:after="0" w:line="176" w:lineRule="exact"/>
              <w:rPr>
                <w:sz w:val="20"/>
                <w:szCs w:val="20"/>
                <w:color w:val="auto"/>
              </w:rPr>
            </w:pPr>
            <w:r>
              <w:rPr>
                <w:rFonts w:ascii="Arial" w:cs="Arial" w:eastAsia="Arial" w:hAnsi="Arial"/>
                <w:sz w:val="18"/>
                <w:szCs w:val="18"/>
                <w:color w:val="auto"/>
                <w:w w:val="96"/>
              </w:rPr>
              <w:t>Common stock, $0.002 par value; 992,000 shares authorized; 663,481 and 658,514 shares issued and</w:t>
            </w:r>
          </w:p>
        </w:tc>
        <w:tc>
          <w:tcPr>
            <w:tcW w:w="240" w:type="dxa"/>
            <w:vAlign w:val="bottom"/>
            <w:shd w:val="clear" w:color="auto" w:fill="CCEEFF"/>
          </w:tcPr>
          <w:p>
            <w:pPr>
              <w:spacing w:after="0"/>
              <w:rPr>
                <w:sz w:val="15"/>
                <w:szCs w:val="15"/>
                <w:color w:val="auto"/>
              </w:rPr>
            </w:pPr>
          </w:p>
        </w:tc>
        <w:tc>
          <w:tcPr>
            <w:tcW w:w="1200" w:type="dxa"/>
            <w:vAlign w:val="bottom"/>
            <w:vMerge w:val="restart"/>
            <w:shd w:val="clear" w:color="auto" w:fill="CCEEFF"/>
          </w:tcPr>
          <w:p>
            <w:pPr>
              <w:jc w:val="right"/>
              <w:ind w:right="71"/>
              <w:spacing w:after="0"/>
              <w:rPr>
                <w:sz w:val="20"/>
                <w:szCs w:val="20"/>
                <w:color w:val="auto"/>
              </w:rPr>
            </w:pPr>
            <w:r>
              <w:rPr>
                <w:rFonts w:ascii="Arial" w:cs="Arial" w:eastAsia="Arial" w:hAnsi="Arial"/>
                <w:sz w:val="18"/>
                <w:szCs w:val="18"/>
                <w:color w:val="auto"/>
              </w:rPr>
              <w:t>1,328</w:t>
            </w:r>
          </w:p>
        </w:tc>
        <w:tc>
          <w:tcPr>
            <w:tcW w:w="10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200" w:type="dxa"/>
            <w:vAlign w:val="bottom"/>
            <w:vMerge w:val="restart"/>
            <w:shd w:val="clear" w:color="auto" w:fill="CCEEFF"/>
          </w:tcPr>
          <w:p>
            <w:pPr>
              <w:jc w:val="right"/>
              <w:ind w:right="71"/>
              <w:spacing w:after="0"/>
              <w:rPr>
                <w:sz w:val="20"/>
                <w:szCs w:val="20"/>
                <w:color w:val="auto"/>
              </w:rPr>
            </w:pPr>
            <w:r>
              <w:rPr>
                <w:rFonts w:ascii="Arial" w:cs="Arial" w:eastAsia="Arial" w:hAnsi="Arial"/>
                <w:sz w:val="18"/>
                <w:szCs w:val="18"/>
                <w:color w:val="auto"/>
              </w:rPr>
              <w:t>1,317</w:t>
            </w:r>
          </w:p>
        </w:tc>
        <w:tc>
          <w:tcPr>
            <w:tcW w:w="0" w:type="dxa"/>
            <w:vAlign w:val="bottom"/>
          </w:tcPr>
          <w:p>
            <w:pPr>
              <w:spacing w:after="0"/>
              <w:rPr>
                <w:sz w:val="1"/>
                <w:szCs w:val="1"/>
                <w:color w:val="auto"/>
              </w:rPr>
            </w:pPr>
          </w:p>
        </w:tc>
      </w:tr>
      <w:tr>
        <w:trPr>
          <w:trHeight w:val="230"/>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outstanding in fiscal 2020 and 2019, respectively</w:t>
            </w:r>
          </w:p>
        </w:tc>
        <w:tc>
          <w:tcPr>
            <w:tcW w:w="240" w:type="dxa"/>
            <w:vAlign w:val="bottom"/>
            <w:shd w:val="clear" w:color="auto" w:fill="CCEEFF"/>
          </w:tcPr>
          <w:p>
            <w:pPr>
              <w:spacing w:after="0"/>
              <w:rPr>
                <w:sz w:val="19"/>
                <w:szCs w:val="19"/>
                <w:color w:val="auto"/>
              </w:rPr>
            </w:pPr>
          </w:p>
        </w:tc>
        <w:tc>
          <w:tcPr>
            <w:tcW w:w="120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43"/>
        </w:trPr>
        <w:tc>
          <w:tcPr>
            <w:tcW w:w="8240" w:type="dxa"/>
            <w:vAlign w:val="bottom"/>
          </w:tcPr>
          <w:p>
            <w:pPr>
              <w:ind w:left="340"/>
              <w:spacing w:after="0"/>
              <w:rPr>
                <w:sz w:val="20"/>
                <w:szCs w:val="20"/>
                <w:color w:val="auto"/>
              </w:rPr>
            </w:pPr>
            <w:r>
              <w:rPr>
                <w:rFonts w:ascii="Arial" w:cs="Arial" w:eastAsia="Arial" w:hAnsi="Arial"/>
                <w:sz w:val="18"/>
                <w:szCs w:val="18"/>
                <w:color w:val="auto"/>
              </w:rPr>
              <w:t>Additional paid-in capital</w:t>
            </w: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6,135,939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6,188,598</w:t>
            </w:r>
          </w:p>
        </w:tc>
        <w:tc>
          <w:tcPr>
            <w:tcW w:w="0" w:type="dxa"/>
            <w:vAlign w:val="bottom"/>
          </w:tcPr>
          <w:p>
            <w:pPr>
              <w:spacing w:after="0"/>
              <w:rPr>
                <w:sz w:val="1"/>
                <w:szCs w:val="1"/>
                <w:color w:val="auto"/>
              </w:rPr>
            </w:pPr>
          </w:p>
        </w:tc>
      </w:tr>
      <w:tr>
        <w:trPr>
          <w:trHeight w:val="27"/>
        </w:trPr>
        <w:tc>
          <w:tcPr>
            <w:tcW w:w="8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82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Retained earnings</w:t>
            </w: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2,541,313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1,116,495</w:t>
            </w:r>
          </w:p>
        </w:tc>
        <w:tc>
          <w:tcPr>
            <w:tcW w:w="0" w:type="dxa"/>
            <w:vAlign w:val="bottom"/>
          </w:tcPr>
          <w:p>
            <w:pPr>
              <w:spacing w:after="0"/>
              <w:rPr>
                <w:sz w:val="1"/>
                <w:szCs w:val="1"/>
                <w:color w:val="auto"/>
              </w:rPr>
            </w:pPr>
          </w:p>
        </w:tc>
      </w:tr>
      <w:tr>
        <w:trPr>
          <w:trHeight w:val="237"/>
        </w:trPr>
        <w:tc>
          <w:tcPr>
            <w:tcW w:w="8240" w:type="dxa"/>
            <w:vAlign w:val="bottom"/>
          </w:tcPr>
          <w:p>
            <w:pPr>
              <w:ind w:left="660"/>
              <w:spacing w:after="0"/>
              <w:rPr>
                <w:sz w:val="20"/>
                <w:szCs w:val="20"/>
                <w:color w:val="auto"/>
              </w:rPr>
            </w:pPr>
            <w:r>
              <w:rPr>
                <w:rFonts w:ascii="Arial" w:cs="Arial" w:eastAsia="Arial" w:hAnsi="Arial"/>
                <w:sz w:val="18"/>
                <w:szCs w:val="18"/>
                <w:color w:val="auto"/>
              </w:rPr>
              <w:t>Total shareholders’ equity</w:t>
            </w: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8,678,580</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7,306,410</w:t>
            </w:r>
          </w:p>
        </w:tc>
        <w:tc>
          <w:tcPr>
            <w:tcW w:w="0" w:type="dxa"/>
            <w:vAlign w:val="bottom"/>
          </w:tcPr>
          <w:p>
            <w:pPr>
              <w:spacing w:after="0"/>
              <w:rPr>
                <w:sz w:val="1"/>
                <w:szCs w:val="1"/>
                <w:color w:val="auto"/>
              </w:rPr>
            </w:pPr>
          </w:p>
        </w:tc>
      </w:tr>
      <w:tr>
        <w:trPr>
          <w:trHeight w:val="27"/>
        </w:trPr>
        <w:tc>
          <w:tcPr>
            <w:tcW w:w="82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9"/>
        </w:trPr>
        <w:tc>
          <w:tcPr>
            <w:tcW w:w="824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Total liabilities and shareholders’ equity</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11,133,235</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10,016,752</w:t>
            </w:r>
          </w:p>
        </w:tc>
        <w:tc>
          <w:tcPr>
            <w:tcW w:w="0" w:type="dxa"/>
            <w:vAlign w:val="bottom"/>
          </w:tcPr>
          <w:p>
            <w:pPr>
              <w:spacing w:after="0"/>
              <w:rPr>
                <w:sz w:val="1"/>
                <w:szCs w:val="1"/>
                <w:color w:val="auto"/>
              </w:rPr>
            </w:pP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00" w:lineRule="exact"/>
        <w:rPr>
          <w:sz w:val="20"/>
          <w:szCs w:val="20"/>
          <w:color w:val="auto"/>
        </w:rPr>
      </w:pPr>
    </w:p>
    <w:p>
      <w:pPr>
        <w:spacing w:after="0" w:line="3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225" w:right="359" w:bottom="1440" w:gutter="0" w:footer="0" w:header="0"/>
        </w:sectPr>
      </w:pPr>
    </w:p>
    <w:bookmarkStart w:id="53" w:name="page54"/>
    <w:bookmarkEnd w:id="53"/>
    <w:p>
      <w:pPr>
        <w:spacing w:after="0"/>
        <w:rPr>
          <w:rFonts w:ascii="Arial" w:cs="Arial" w:eastAsia="Arial" w:hAnsi="Arial"/>
          <w:sz w:val="14"/>
          <w:szCs w:val="14"/>
          <w:b w:val="1"/>
          <w:bCs w:val="1"/>
          <w:u w:val="single" w:color="auto"/>
          <w:color w:val="0000FF"/>
        </w:rPr>
      </w:pPr>
      <w:hyperlink w:anchor="page2">
        <w:r>
          <w:rPr>
            <w:rFonts w:ascii="Arial" w:cs="Arial" w:eastAsia="Arial" w:hAnsi="Arial"/>
            <w:sz w:val="14"/>
            <w:szCs w:val="14"/>
            <w:b w:val="1"/>
            <w:bCs w:val="1"/>
            <w:u w:val="single" w:color="auto"/>
            <w:color w:val="0000FF"/>
          </w:rPr>
          <w:t>Table of Contents</w:t>
        </w:r>
      </w:hyperlink>
    </w:p>
    <w:p>
      <w:pPr>
        <w:spacing w:after="0" w:line="24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8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7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0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1,</w:t>
            </w:r>
          </w:p>
        </w:tc>
        <w:tc>
          <w:tcPr>
            <w:tcW w:w="240" w:type="dxa"/>
            <w:vAlign w:val="bottom"/>
          </w:tcPr>
          <w:p>
            <w:pPr>
              <w:spacing w:after="0"/>
              <w:rPr>
                <w:sz w:val="13"/>
                <w:szCs w:val="13"/>
                <w:color w:val="auto"/>
              </w:rPr>
            </w:pPr>
          </w:p>
        </w:tc>
        <w:tc>
          <w:tcPr>
            <w:tcW w:w="1300" w:type="dxa"/>
            <w:vAlign w:val="bottom"/>
            <w:gridSpan w:val="2"/>
          </w:tcPr>
          <w:p>
            <w:pPr>
              <w:jc w:val="center"/>
              <w:ind w:right="340"/>
              <w:spacing w:after="0" w:line="153" w:lineRule="exact"/>
              <w:rPr>
                <w:sz w:val="20"/>
                <w:szCs w:val="20"/>
                <w:color w:val="auto"/>
              </w:rPr>
            </w:pPr>
            <w:r>
              <w:rPr>
                <w:rFonts w:ascii="Arial" w:cs="Arial" w:eastAsia="Arial" w:hAnsi="Arial"/>
                <w:sz w:val="14"/>
                <w:szCs w:val="14"/>
                <w:b w:val="1"/>
                <w:bCs w:val="1"/>
                <w:color w:val="auto"/>
                <w:w w:val="95"/>
              </w:rPr>
              <w:t>February 2,</w:t>
            </w:r>
          </w:p>
        </w:tc>
        <w:tc>
          <w:tcPr>
            <w:tcW w:w="240" w:type="dxa"/>
            <w:vAlign w:val="bottom"/>
          </w:tcPr>
          <w:p>
            <w:pPr>
              <w:spacing w:after="0"/>
              <w:rPr>
                <w:sz w:val="13"/>
                <w:szCs w:val="13"/>
                <w:color w:val="auto"/>
              </w:rPr>
            </w:pPr>
          </w:p>
        </w:tc>
        <w:tc>
          <w:tcPr>
            <w:tcW w:w="1200" w:type="dxa"/>
            <w:vAlign w:val="bottom"/>
          </w:tcPr>
          <w:p>
            <w:pPr>
              <w:jc w:val="right"/>
              <w:ind w:right="271"/>
              <w:spacing w:after="0" w:line="153" w:lineRule="exact"/>
              <w:rPr>
                <w:sz w:val="20"/>
                <w:szCs w:val="20"/>
                <w:color w:val="auto"/>
              </w:rPr>
            </w:pPr>
            <w:r>
              <w:rPr>
                <w:rFonts w:ascii="Arial" w:cs="Arial" w:eastAsia="Arial" w:hAnsi="Arial"/>
                <w:sz w:val="14"/>
                <w:szCs w:val="14"/>
                <w:b w:val="1"/>
                <w:bCs w:val="1"/>
                <w:color w:val="auto"/>
              </w:rPr>
              <w:t>February 3,</w:t>
            </w:r>
          </w:p>
        </w:tc>
        <w:tc>
          <w:tcPr>
            <w:tcW w:w="0" w:type="dxa"/>
            <w:vAlign w:val="bottom"/>
          </w:tcPr>
          <w:p>
            <w:pPr>
              <w:spacing w:after="0"/>
              <w:rPr>
                <w:sz w:val="1"/>
                <w:szCs w:val="1"/>
                <w:color w:val="auto"/>
              </w:rPr>
            </w:pPr>
          </w:p>
        </w:tc>
      </w:tr>
      <w:tr>
        <w:trPr>
          <w:trHeight w:val="192"/>
        </w:trPr>
        <w:tc>
          <w:tcPr>
            <w:tcW w:w="67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2"/>
              <w:spacing w:after="0"/>
              <w:rPr>
                <w:sz w:val="20"/>
                <w:szCs w:val="20"/>
                <w:color w:val="auto"/>
              </w:rPr>
            </w:pPr>
            <w:r>
              <w:rPr>
                <w:rFonts w:ascii="Arial" w:cs="Arial" w:eastAsia="Arial" w:hAnsi="Arial"/>
                <w:sz w:val="14"/>
                <w:szCs w:val="14"/>
                <w:b w:val="1"/>
                <w:bCs w:val="1"/>
                <w:color w:val="auto"/>
                <w:w w:val="89"/>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2018</w:t>
            </w:r>
          </w:p>
        </w:tc>
        <w:tc>
          <w:tcPr>
            <w:tcW w:w="0" w:type="dxa"/>
            <w:vAlign w:val="bottom"/>
          </w:tcPr>
          <w:p>
            <w:pPr>
              <w:spacing w:after="0"/>
              <w:rPr>
                <w:sz w:val="1"/>
                <w:szCs w:val="1"/>
                <w:color w:val="auto"/>
              </w:rPr>
            </w:pPr>
          </w:p>
        </w:tc>
      </w:tr>
      <w:tr>
        <w:trPr>
          <w:trHeight w:val="250"/>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2,699,161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2,865,791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2,409,170</w:t>
            </w:r>
          </w:p>
        </w:tc>
        <w:tc>
          <w:tcPr>
            <w:tcW w:w="0" w:type="dxa"/>
            <w:vAlign w:val="bottom"/>
          </w:tcPr>
          <w:p>
            <w:pPr>
              <w:spacing w:after="0"/>
              <w:rPr>
                <w:sz w:val="1"/>
                <w:szCs w:val="1"/>
                <w:color w:val="auto"/>
              </w:rPr>
            </w:pPr>
          </w:p>
        </w:tc>
      </w:tr>
      <w:tr>
        <w:trPr>
          <w:trHeight w:val="243"/>
        </w:trPr>
        <w:tc>
          <w:tcPr>
            <w:tcW w:w="6700" w:type="dxa"/>
            <w:vAlign w:val="bottom"/>
          </w:tcPr>
          <w:p>
            <w:pPr>
              <w:ind w:left="20"/>
              <w:spacing w:after="0"/>
              <w:rPr>
                <w:sz w:val="20"/>
                <w:szCs w:val="20"/>
                <w:color w:val="auto"/>
              </w:rPr>
            </w:pPr>
            <w:r>
              <w:rPr>
                <w:rFonts w:ascii="Arial" w:cs="Arial" w:eastAsia="Arial" w:hAnsi="Arial"/>
                <w:sz w:val="18"/>
                <w:szCs w:val="18"/>
                <w:color w:val="auto"/>
              </w:rPr>
              <w:t>Cost of goods sold</w:t>
            </w: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1,342,220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2"/>
              <w:spacing w:after="0"/>
              <w:rPr>
                <w:sz w:val="20"/>
                <w:szCs w:val="20"/>
                <w:color w:val="auto"/>
              </w:rPr>
            </w:pPr>
            <w:r>
              <w:rPr>
                <w:rFonts w:ascii="Arial" w:cs="Arial" w:eastAsia="Arial" w:hAnsi="Arial"/>
                <w:sz w:val="18"/>
                <w:szCs w:val="18"/>
                <w:color w:val="auto"/>
              </w:rPr>
              <w:t>1,407,399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947,230</w:t>
            </w:r>
          </w:p>
        </w:tc>
        <w:tc>
          <w:tcPr>
            <w:tcW w:w="0" w:type="dxa"/>
            <w:vAlign w:val="bottom"/>
          </w:tcPr>
          <w:p>
            <w:pPr>
              <w:spacing w:after="0"/>
              <w:rPr>
                <w:sz w:val="1"/>
                <w:szCs w:val="1"/>
                <w:color w:val="auto"/>
              </w:rPr>
            </w:pPr>
          </w:p>
        </w:tc>
      </w:tr>
      <w:tr>
        <w:trPr>
          <w:trHeight w:val="27"/>
        </w:trPr>
        <w:tc>
          <w:tcPr>
            <w:tcW w:w="67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4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1,356,941</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1,458,392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1,461,940</w:t>
            </w:r>
          </w:p>
        </w:tc>
        <w:tc>
          <w:tcPr>
            <w:tcW w:w="0" w:type="dxa"/>
            <w:vAlign w:val="bottom"/>
          </w:tcPr>
          <w:p>
            <w:pPr>
              <w:spacing w:after="0"/>
              <w:rPr>
                <w:sz w:val="1"/>
                <w:szCs w:val="1"/>
                <w:color w:val="auto"/>
              </w:rPr>
            </w:pPr>
          </w:p>
        </w:tc>
      </w:tr>
      <w:tr>
        <w:trPr>
          <w:trHeight w:val="223"/>
        </w:trPr>
        <w:tc>
          <w:tcPr>
            <w:tcW w:w="670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240" w:type="dxa"/>
            <w:vAlign w:val="bottom"/>
            <w:tcBorders>
              <w:top w:val="single" w:sz="8" w:color="auto"/>
            </w:tcBorders>
          </w:tcPr>
          <w:p>
            <w:pPr>
              <w:spacing w:after="0"/>
              <w:rPr>
                <w:sz w:val="19"/>
                <w:szCs w:val="19"/>
                <w:color w:val="auto"/>
              </w:rPr>
            </w:pPr>
          </w:p>
        </w:tc>
        <w:tc>
          <w:tcPr>
            <w:tcW w:w="120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0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00" w:type="dxa"/>
            <w:vAlign w:val="bottom"/>
            <w:tcBorders>
              <w:top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67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1,080,391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914,009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714,444</w:t>
            </w:r>
          </w:p>
        </w:tc>
        <w:tc>
          <w:tcPr>
            <w:tcW w:w="0" w:type="dxa"/>
            <w:vAlign w:val="bottom"/>
          </w:tcPr>
          <w:p>
            <w:pPr>
              <w:spacing w:after="0"/>
              <w:rPr>
                <w:sz w:val="1"/>
                <w:szCs w:val="1"/>
                <w:color w:val="auto"/>
              </w:rPr>
            </w:pPr>
          </w:p>
        </w:tc>
      </w:tr>
      <w:tr>
        <w:trPr>
          <w:trHeight w:val="243"/>
        </w:trPr>
        <w:tc>
          <w:tcPr>
            <w:tcW w:w="6700" w:type="dxa"/>
            <w:vAlign w:val="bottom"/>
          </w:tcPr>
          <w:p>
            <w:pPr>
              <w:ind w:left="34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464,580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2"/>
              <w:spacing w:after="0"/>
              <w:rPr>
                <w:sz w:val="20"/>
                <w:szCs w:val="20"/>
                <w:color w:val="auto"/>
              </w:rPr>
            </w:pPr>
            <w:r>
              <w:rPr>
                <w:rFonts w:ascii="Arial" w:cs="Arial" w:eastAsia="Arial" w:hAnsi="Arial"/>
                <w:sz w:val="18"/>
                <w:szCs w:val="18"/>
                <w:color w:val="auto"/>
              </w:rPr>
              <w:t>424,360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238,166</w:t>
            </w:r>
          </w:p>
        </w:tc>
        <w:tc>
          <w:tcPr>
            <w:tcW w:w="0" w:type="dxa"/>
            <w:vAlign w:val="bottom"/>
          </w:tcPr>
          <w:p>
            <w:pPr>
              <w:spacing w:after="0"/>
              <w:rPr>
                <w:sz w:val="1"/>
                <w:szCs w:val="1"/>
                <w:color w:val="auto"/>
              </w:rPr>
            </w:pPr>
          </w:p>
        </w:tc>
      </w:tr>
      <w:tr>
        <w:trPr>
          <w:trHeight w:val="27"/>
        </w:trPr>
        <w:tc>
          <w:tcPr>
            <w:tcW w:w="67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Litigation settlement</w:t>
            </w: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74,385</w:t>
            </w:r>
          </w:p>
        </w:tc>
        <w:tc>
          <w:tcPr>
            <w:tcW w:w="0" w:type="dxa"/>
            <w:vAlign w:val="bottom"/>
          </w:tcPr>
          <w:p>
            <w:pPr>
              <w:spacing w:after="0"/>
              <w:rPr>
                <w:sz w:val="1"/>
                <w:szCs w:val="1"/>
                <w:color w:val="auto"/>
              </w:rPr>
            </w:pPr>
          </w:p>
        </w:tc>
      </w:tr>
      <w:tr>
        <w:trPr>
          <w:trHeight w:val="243"/>
        </w:trPr>
        <w:tc>
          <w:tcPr>
            <w:tcW w:w="6700" w:type="dxa"/>
            <w:vAlign w:val="bottom"/>
          </w:tcPr>
          <w:p>
            <w:pPr>
              <w:ind w:left="340"/>
              <w:spacing w:after="0"/>
              <w:rPr>
                <w:sz w:val="20"/>
                <w:szCs w:val="20"/>
                <w:color w:val="auto"/>
              </w:rPr>
            </w:pPr>
            <w:r>
              <w:rPr>
                <w:rFonts w:ascii="Arial" w:cs="Arial" w:eastAsia="Arial" w:hAnsi="Arial"/>
                <w:sz w:val="18"/>
                <w:szCs w:val="18"/>
                <w:color w:val="auto"/>
              </w:rPr>
              <w:t>Restructuring related charges</w:t>
            </w: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55,328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2"/>
              <w:spacing w:after="0"/>
              <w:rPr>
                <w:sz w:val="20"/>
                <w:szCs w:val="20"/>
                <w:color w:val="auto"/>
              </w:rPr>
            </w:pPr>
            <w:r>
              <w:rPr>
                <w:rFonts w:ascii="Arial" w:cs="Arial" w:eastAsia="Arial" w:hAnsi="Arial"/>
                <w:sz w:val="18"/>
                <w:szCs w:val="18"/>
                <w:color w:val="auto"/>
              </w:rPr>
              <w:t>76,753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5,250</w:t>
            </w:r>
          </w:p>
        </w:tc>
        <w:tc>
          <w:tcPr>
            <w:tcW w:w="0" w:type="dxa"/>
            <w:vAlign w:val="bottom"/>
          </w:tcPr>
          <w:p>
            <w:pPr>
              <w:spacing w:after="0"/>
              <w:rPr>
                <w:sz w:val="1"/>
                <w:szCs w:val="1"/>
                <w:color w:val="auto"/>
              </w:rPr>
            </w:pPr>
          </w:p>
        </w:tc>
      </w:tr>
      <w:tr>
        <w:trPr>
          <w:trHeight w:val="27"/>
        </w:trPr>
        <w:tc>
          <w:tcPr>
            <w:tcW w:w="67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670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Total operating expenses</w:t>
            </w:r>
          </w:p>
        </w:tc>
        <w:tc>
          <w:tcPr>
            <w:tcW w:w="24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1,600,299</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1,415,122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1,032,245</w:t>
            </w:r>
          </w:p>
        </w:tc>
        <w:tc>
          <w:tcPr>
            <w:tcW w:w="0" w:type="dxa"/>
            <w:vAlign w:val="bottom"/>
          </w:tcPr>
          <w:p>
            <w:pPr>
              <w:spacing w:after="0"/>
              <w:rPr>
                <w:sz w:val="1"/>
                <w:szCs w:val="1"/>
                <w:color w:val="auto"/>
              </w:rPr>
            </w:pPr>
          </w:p>
        </w:tc>
      </w:tr>
      <w:tr>
        <w:trPr>
          <w:trHeight w:val="237"/>
        </w:trPr>
        <w:tc>
          <w:tcPr>
            <w:tcW w:w="6700" w:type="dxa"/>
            <w:vAlign w:val="bottom"/>
          </w:tcPr>
          <w:p>
            <w:pPr>
              <w:ind w:left="20"/>
              <w:spacing w:after="0"/>
              <w:rPr>
                <w:sz w:val="20"/>
                <w:szCs w:val="20"/>
                <w:color w:val="auto"/>
              </w:rPr>
            </w:pPr>
            <w:r>
              <w:rPr>
                <w:rFonts w:ascii="Arial" w:cs="Arial" w:eastAsia="Arial" w:hAnsi="Arial"/>
                <w:sz w:val="18"/>
                <w:szCs w:val="18"/>
                <w:color w:val="auto"/>
              </w:rPr>
              <w:t>Operating income (loss) from continuing operations</w:t>
            </w: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(243,358)</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43,270</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429,695</w:t>
            </w:r>
          </w:p>
        </w:tc>
        <w:tc>
          <w:tcPr>
            <w:tcW w:w="0" w:type="dxa"/>
            <w:vAlign w:val="bottom"/>
          </w:tcPr>
          <w:p>
            <w:pPr>
              <w:spacing w:after="0"/>
              <w:rPr>
                <w:sz w:val="1"/>
                <w:szCs w:val="1"/>
                <w:color w:val="auto"/>
              </w:rPr>
            </w:pPr>
          </w:p>
        </w:tc>
      </w:tr>
      <w:tr>
        <w:trPr>
          <w:trHeight w:val="27"/>
        </w:trPr>
        <w:tc>
          <w:tcPr>
            <w:tcW w:w="67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Interest income</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4,816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11,926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17,381</w:t>
            </w:r>
          </w:p>
        </w:tc>
        <w:tc>
          <w:tcPr>
            <w:tcW w:w="0" w:type="dxa"/>
            <w:vAlign w:val="bottom"/>
          </w:tcPr>
          <w:p>
            <w:pPr>
              <w:spacing w:after="0"/>
              <w:rPr>
                <w:sz w:val="1"/>
                <w:szCs w:val="1"/>
                <w:color w:val="auto"/>
              </w:rPr>
            </w:pPr>
          </w:p>
        </w:tc>
      </w:tr>
      <w:tr>
        <w:trPr>
          <w:trHeight w:val="243"/>
        </w:trPr>
        <w:tc>
          <w:tcPr>
            <w:tcW w:w="6700" w:type="dxa"/>
            <w:vAlign w:val="bottom"/>
          </w:tcPr>
          <w:p>
            <w:pPr>
              <w:ind w:left="340"/>
              <w:spacing w:after="0"/>
              <w:rPr>
                <w:sz w:val="20"/>
                <w:szCs w:val="20"/>
                <w:color w:val="auto"/>
              </w:rPr>
            </w:pPr>
            <w:r>
              <w:rPr>
                <w:rFonts w:ascii="Arial" w:cs="Arial" w:eastAsia="Arial" w:hAnsi="Arial"/>
                <w:sz w:val="18"/>
                <w:szCs w:val="18"/>
                <w:color w:val="auto"/>
              </w:rPr>
              <w:t>Interest expense</w:t>
            </w:r>
          </w:p>
        </w:tc>
        <w:tc>
          <w:tcPr>
            <w:tcW w:w="240" w:type="dxa"/>
            <w:vAlign w:val="bottom"/>
          </w:tcPr>
          <w:p>
            <w:pPr>
              <w:spacing w:after="0"/>
              <w:rPr>
                <w:sz w:val="21"/>
                <w:szCs w:val="21"/>
                <w:color w:val="auto"/>
              </w:rPr>
            </w:pPr>
          </w:p>
        </w:tc>
        <w:tc>
          <w:tcPr>
            <w:tcW w:w="1200" w:type="dxa"/>
            <w:vAlign w:val="bottom"/>
          </w:tcPr>
          <w:p>
            <w:pPr>
              <w:jc w:val="right"/>
              <w:ind w:right="31"/>
              <w:spacing w:after="0"/>
              <w:rPr>
                <w:sz w:val="20"/>
                <w:szCs w:val="20"/>
                <w:color w:val="auto"/>
              </w:rPr>
            </w:pPr>
            <w:r>
              <w:rPr>
                <w:rFonts w:ascii="Arial" w:cs="Arial" w:eastAsia="Arial" w:hAnsi="Arial"/>
                <w:sz w:val="18"/>
                <w:szCs w:val="18"/>
                <w:color w:val="auto"/>
              </w:rPr>
              <w:t>(85,631)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32"/>
              <w:spacing w:after="0"/>
              <w:rPr>
                <w:sz w:val="20"/>
                <w:szCs w:val="20"/>
                <w:color w:val="auto"/>
              </w:rPr>
            </w:pPr>
            <w:r>
              <w:rPr>
                <w:rFonts w:ascii="Arial" w:cs="Arial" w:eastAsia="Arial" w:hAnsi="Arial"/>
                <w:sz w:val="18"/>
                <w:szCs w:val="18"/>
                <w:color w:val="auto"/>
              </w:rPr>
              <w:t>(60,362)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31"/>
              <w:spacing w:after="0"/>
              <w:rPr>
                <w:sz w:val="20"/>
                <w:szCs w:val="20"/>
                <w:color w:val="auto"/>
              </w:rPr>
            </w:pPr>
            <w:r>
              <w:rPr>
                <w:rFonts w:ascii="Arial" w:cs="Arial" w:eastAsia="Arial" w:hAnsi="Arial"/>
                <w:sz w:val="18"/>
                <w:szCs w:val="18"/>
                <w:color w:val="auto"/>
              </w:rPr>
              <w:t>(685)</w:t>
            </w:r>
          </w:p>
        </w:tc>
        <w:tc>
          <w:tcPr>
            <w:tcW w:w="0" w:type="dxa"/>
            <w:vAlign w:val="bottom"/>
          </w:tcPr>
          <w:p>
            <w:pPr>
              <w:spacing w:after="0"/>
              <w:rPr>
                <w:sz w:val="1"/>
                <w:szCs w:val="1"/>
                <w:color w:val="auto"/>
              </w:rPr>
            </w:pPr>
          </w:p>
        </w:tc>
      </w:tr>
      <w:tr>
        <w:trPr>
          <w:trHeight w:val="27"/>
        </w:trPr>
        <w:tc>
          <w:tcPr>
            <w:tcW w:w="67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Other income, net</w:t>
            </w: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1,122,555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519</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4,813</w:t>
            </w:r>
          </w:p>
        </w:tc>
        <w:tc>
          <w:tcPr>
            <w:tcW w:w="0" w:type="dxa"/>
            <w:vAlign w:val="bottom"/>
          </w:tcPr>
          <w:p>
            <w:pPr>
              <w:spacing w:after="0"/>
              <w:rPr>
                <w:sz w:val="1"/>
                <w:szCs w:val="1"/>
                <w:color w:val="auto"/>
              </w:rPr>
            </w:pPr>
          </w:p>
        </w:tc>
      </w:tr>
      <w:tr>
        <w:trPr>
          <w:trHeight w:val="237"/>
        </w:trPr>
        <w:tc>
          <w:tcPr>
            <w:tcW w:w="6700" w:type="dxa"/>
            <w:vAlign w:val="bottom"/>
          </w:tcPr>
          <w:p>
            <w:pPr>
              <w:ind w:left="660"/>
              <w:spacing w:after="0"/>
              <w:rPr>
                <w:sz w:val="20"/>
                <w:szCs w:val="20"/>
                <w:color w:val="auto"/>
              </w:rPr>
            </w:pPr>
            <w:r>
              <w:rPr>
                <w:rFonts w:ascii="Arial" w:cs="Arial" w:eastAsia="Arial" w:hAnsi="Arial"/>
                <w:sz w:val="18"/>
                <w:szCs w:val="18"/>
                <w:color w:val="auto"/>
              </w:rPr>
              <w:t>Interest and other income (loss), net</w:t>
            </w: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1,041,740</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(47,917)</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1"/>
              <w:spacing w:after="0"/>
              <w:rPr>
                <w:sz w:val="20"/>
                <w:szCs w:val="20"/>
                <w:color w:val="auto"/>
              </w:rPr>
            </w:pPr>
            <w:r>
              <w:rPr>
                <w:rFonts w:ascii="Arial" w:cs="Arial" w:eastAsia="Arial" w:hAnsi="Arial"/>
                <w:sz w:val="18"/>
                <w:szCs w:val="18"/>
                <w:color w:val="auto"/>
              </w:rPr>
              <w:t>21,509</w:t>
            </w:r>
          </w:p>
        </w:tc>
        <w:tc>
          <w:tcPr>
            <w:tcW w:w="0" w:type="dxa"/>
            <w:vAlign w:val="bottom"/>
          </w:tcPr>
          <w:p>
            <w:pPr>
              <w:spacing w:after="0"/>
              <w:rPr>
                <w:sz w:val="1"/>
                <w:szCs w:val="1"/>
                <w:color w:val="auto"/>
              </w:rPr>
            </w:pPr>
          </w:p>
        </w:tc>
      </w:tr>
      <w:tr>
        <w:trPr>
          <w:trHeight w:val="27"/>
        </w:trPr>
        <w:tc>
          <w:tcPr>
            <w:tcW w:w="67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Income (loss) from continuing operations before income taxes</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798,382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(4,647)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451,204</w:t>
            </w:r>
          </w:p>
        </w:tc>
        <w:tc>
          <w:tcPr>
            <w:tcW w:w="0" w:type="dxa"/>
            <w:vAlign w:val="bottom"/>
          </w:tcPr>
          <w:p>
            <w:pPr>
              <w:spacing w:after="0"/>
              <w:rPr>
                <w:sz w:val="1"/>
                <w:szCs w:val="1"/>
                <w:color w:val="auto"/>
              </w:rPr>
            </w:pPr>
          </w:p>
        </w:tc>
      </w:tr>
      <w:tr>
        <w:trPr>
          <w:trHeight w:val="243"/>
        </w:trPr>
        <w:tc>
          <w:tcPr>
            <w:tcW w:w="6700" w:type="dxa"/>
            <w:vAlign w:val="bottom"/>
          </w:tcPr>
          <w:p>
            <w:pPr>
              <w:ind w:left="20"/>
              <w:spacing w:after="0"/>
              <w:rPr>
                <w:sz w:val="20"/>
                <w:szCs w:val="20"/>
                <w:color w:val="auto"/>
              </w:rPr>
            </w:pPr>
            <w:r>
              <w:rPr>
                <w:rFonts w:ascii="Arial" w:cs="Arial" w:eastAsia="Arial" w:hAnsi="Arial"/>
                <w:sz w:val="18"/>
                <w:szCs w:val="18"/>
                <w:color w:val="auto"/>
              </w:rPr>
              <w:t>Provision (benefit) for income taxes</w:t>
            </w:r>
          </w:p>
        </w:tc>
        <w:tc>
          <w:tcPr>
            <w:tcW w:w="240" w:type="dxa"/>
            <w:vAlign w:val="bottom"/>
          </w:tcPr>
          <w:p>
            <w:pPr>
              <w:spacing w:after="0"/>
              <w:rPr>
                <w:sz w:val="21"/>
                <w:szCs w:val="21"/>
                <w:color w:val="auto"/>
              </w:rPr>
            </w:pPr>
          </w:p>
        </w:tc>
        <w:tc>
          <w:tcPr>
            <w:tcW w:w="1200" w:type="dxa"/>
            <w:vAlign w:val="bottom"/>
          </w:tcPr>
          <w:p>
            <w:pPr>
              <w:jc w:val="right"/>
              <w:ind w:right="31"/>
              <w:spacing w:after="0"/>
              <w:rPr>
                <w:sz w:val="20"/>
                <w:szCs w:val="20"/>
                <w:color w:val="auto"/>
              </w:rPr>
            </w:pPr>
            <w:r>
              <w:rPr>
                <w:rFonts w:ascii="Arial" w:cs="Arial" w:eastAsia="Arial" w:hAnsi="Arial"/>
                <w:sz w:val="18"/>
                <w:szCs w:val="18"/>
                <w:color w:val="auto"/>
              </w:rPr>
              <w:t>(786,009)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2"/>
              <w:spacing w:after="0"/>
              <w:rPr>
                <w:sz w:val="20"/>
                <w:szCs w:val="20"/>
                <w:color w:val="auto"/>
              </w:rPr>
            </w:pPr>
            <w:r>
              <w:rPr>
                <w:rFonts w:ascii="Arial" w:cs="Arial" w:eastAsia="Arial" w:hAnsi="Arial"/>
                <w:sz w:val="18"/>
                <w:szCs w:val="18"/>
                <w:color w:val="auto"/>
              </w:rPr>
              <w:t>174,447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18,062</w:t>
            </w:r>
          </w:p>
        </w:tc>
        <w:tc>
          <w:tcPr>
            <w:tcW w:w="0" w:type="dxa"/>
            <w:vAlign w:val="bottom"/>
          </w:tcPr>
          <w:p>
            <w:pPr>
              <w:spacing w:after="0"/>
              <w:rPr>
                <w:sz w:val="1"/>
                <w:szCs w:val="1"/>
                <w:color w:val="auto"/>
              </w:rPr>
            </w:pPr>
          </w:p>
        </w:tc>
      </w:tr>
      <w:tr>
        <w:trPr>
          <w:trHeight w:val="27"/>
        </w:trPr>
        <w:tc>
          <w:tcPr>
            <w:tcW w:w="67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Income (loss) from continuing operations, net of tax</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1,584,391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(179,094)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433,142</w:t>
            </w:r>
          </w:p>
        </w:tc>
        <w:tc>
          <w:tcPr>
            <w:tcW w:w="0" w:type="dxa"/>
            <w:vAlign w:val="bottom"/>
          </w:tcPr>
          <w:p>
            <w:pPr>
              <w:spacing w:after="0"/>
              <w:rPr>
                <w:sz w:val="1"/>
                <w:szCs w:val="1"/>
                <w:color w:val="auto"/>
              </w:rPr>
            </w:pPr>
          </w:p>
        </w:tc>
      </w:tr>
      <w:tr>
        <w:trPr>
          <w:trHeight w:val="243"/>
        </w:trPr>
        <w:tc>
          <w:tcPr>
            <w:tcW w:w="6700" w:type="dxa"/>
            <w:vAlign w:val="bottom"/>
          </w:tcPr>
          <w:p>
            <w:pPr>
              <w:ind w:left="20"/>
              <w:spacing w:after="0"/>
              <w:rPr>
                <w:sz w:val="20"/>
                <w:szCs w:val="20"/>
                <w:color w:val="auto"/>
              </w:rPr>
            </w:pPr>
            <w:r>
              <w:rPr>
                <w:rFonts w:ascii="Arial" w:cs="Arial" w:eastAsia="Arial" w:hAnsi="Arial"/>
                <w:sz w:val="18"/>
                <w:szCs w:val="18"/>
                <w:color w:val="auto"/>
              </w:rPr>
              <w:t>Income (loss) from discontinued operations, net of tax</w:t>
            </w:r>
          </w:p>
        </w:tc>
        <w:tc>
          <w:tcPr>
            <w:tcW w:w="240" w:type="dxa"/>
            <w:vAlign w:val="bottom"/>
          </w:tcPr>
          <w:p>
            <w:pPr>
              <w:spacing w:after="0"/>
              <w:rPr>
                <w:sz w:val="21"/>
                <w:szCs w:val="21"/>
                <w:color w:val="auto"/>
              </w:rPr>
            </w:pPr>
          </w:p>
        </w:tc>
        <w:tc>
          <w:tcPr>
            <w:tcW w:w="13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3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87,689</w:t>
            </w:r>
          </w:p>
        </w:tc>
        <w:tc>
          <w:tcPr>
            <w:tcW w:w="0" w:type="dxa"/>
            <w:vAlign w:val="bottom"/>
          </w:tcPr>
          <w:p>
            <w:pPr>
              <w:spacing w:after="0"/>
              <w:rPr>
                <w:sz w:val="1"/>
                <w:szCs w:val="1"/>
                <w:color w:val="auto"/>
              </w:rPr>
            </w:pPr>
          </w:p>
        </w:tc>
      </w:tr>
      <w:tr>
        <w:trPr>
          <w:trHeight w:val="27"/>
        </w:trPr>
        <w:tc>
          <w:tcPr>
            <w:tcW w:w="67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9"/>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1,584,391</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(179,094)</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520,831</w:t>
            </w:r>
          </w:p>
        </w:tc>
        <w:tc>
          <w:tcPr>
            <w:tcW w:w="0" w:type="dxa"/>
            <w:vAlign w:val="bottom"/>
          </w:tcPr>
          <w:p>
            <w:pPr>
              <w:spacing w:after="0"/>
              <w:rPr>
                <w:sz w:val="1"/>
                <w:szCs w:val="1"/>
                <w:color w:val="auto"/>
              </w:rPr>
            </w:pPr>
          </w:p>
        </w:tc>
      </w:tr>
      <w:tr>
        <w:trPr>
          <w:trHeight w:val="20"/>
        </w:trPr>
        <w:tc>
          <w:tcPr>
            <w:tcW w:w="670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color w:val="auto"/>
              </w:rPr>
              <w:t>Net income (loss) per share - Basic:</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6700" w:type="dxa"/>
            <w:vAlign w:val="bottom"/>
            <w:vMerge w:val="continue"/>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7"/>
        </w:trPr>
        <w:tc>
          <w:tcPr>
            <w:tcW w:w="67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95"/>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Continuing operations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2.38</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0.87</w:t>
            </w:r>
          </w:p>
        </w:tc>
        <w:tc>
          <w:tcPr>
            <w:tcW w:w="0" w:type="dxa"/>
            <w:vAlign w:val="bottom"/>
          </w:tcPr>
          <w:p>
            <w:pPr>
              <w:spacing w:after="0"/>
              <w:rPr>
                <w:sz w:val="1"/>
                <w:szCs w:val="1"/>
                <w:color w:val="auto"/>
              </w:rPr>
            </w:pPr>
          </w:p>
        </w:tc>
      </w:tr>
      <w:tr>
        <w:trPr>
          <w:trHeight w:val="20"/>
        </w:trPr>
        <w:tc>
          <w:tcPr>
            <w:tcW w:w="6700" w:type="dxa"/>
            <w:vAlign w:val="bottom"/>
            <w:tcBorders>
              <w:top w:val="single" w:sz="8" w:color="CCEEFF"/>
              <w:bottom w:val="single" w:sz="8" w:color="CCEEFF"/>
            </w:tcBorders>
            <w:vMerge w:val="restart"/>
          </w:tcPr>
          <w:p>
            <w:pPr>
              <w:ind w:left="340"/>
              <w:spacing w:after="0"/>
              <w:rPr>
                <w:sz w:val="20"/>
                <w:szCs w:val="20"/>
                <w:color w:val="auto"/>
              </w:rPr>
            </w:pPr>
            <w:r>
              <w:rPr>
                <w:rFonts w:ascii="Arial" w:cs="Arial" w:eastAsia="Arial" w:hAnsi="Arial"/>
                <w:sz w:val="18"/>
                <w:szCs w:val="18"/>
                <w:color w:val="auto"/>
              </w:rPr>
              <w:t>Discontinued operations</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6700" w:type="dxa"/>
            <w:vAlign w:val="bottom"/>
            <w:vMerge w:val="continue"/>
          </w:tcPr>
          <w:p>
            <w:pPr>
              <w:spacing w:after="0"/>
              <w:rPr>
                <w:sz w:val="18"/>
                <w:szCs w:val="18"/>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0.18</w:t>
            </w:r>
          </w:p>
        </w:tc>
        <w:tc>
          <w:tcPr>
            <w:tcW w:w="0" w:type="dxa"/>
            <w:vAlign w:val="bottom"/>
          </w:tcPr>
          <w:p>
            <w:pPr>
              <w:spacing w:after="0"/>
              <w:rPr>
                <w:sz w:val="1"/>
                <w:szCs w:val="1"/>
                <w:color w:val="auto"/>
              </w:rPr>
            </w:pPr>
          </w:p>
        </w:tc>
      </w:tr>
      <w:tr>
        <w:trPr>
          <w:trHeight w:val="27"/>
        </w:trPr>
        <w:tc>
          <w:tcPr>
            <w:tcW w:w="67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67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89"/>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 per share - Basic</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2.38</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1.05</w:t>
            </w:r>
          </w:p>
        </w:tc>
        <w:tc>
          <w:tcPr>
            <w:tcW w:w="0" w:type="dxa"/>
            <w:vAlign w:val="bottom"/>
          </w:tcPr>
          <w:p>
            <w:pPr>
              <w:spacing w:after="0"/>
              <w:rPr>
                <w:sz w:val="1"/>
                <w:szCs w:val="1"/>
                <w:color w:val="auto"/>
              </w:rPr>
            </w:pPr>
          </w:p>
        </w:tc>
      </w:tr>
      <w:tr>
        <w:trPr>
          <w:trHeight w:val="20"/>
        </w:trPr>
        <w:tc>
          <w:tcPr>
            <w:tcW w:w="670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color w:val="auto"/>
              </w:rPr>
              <w:t>Net income (loss) per share - Diluted:</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6700" w:type="dxa"/>
            <w:vAlign w:val="bottom"/>
            <w:vMerge w:val="continue"/>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7"/>
        </w:trPr>
        <w:tc>
          <w:tcPr>
            <w:tcW w:w="67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95"/>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Continuing operations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2.34</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0.85</w:t>
            </w:r>
          </w:p>
        </w:tc>
        <w:tc>
          <w:tcPr>
            <w:tcW w:w="0" w:type="dxa"/>
            <w:vAlign w:val="bottom"/>
          </w:tcPr>
          <w:p>
            <w:pPr>
              <w:spacing w:after="0"/>
              <w:rPr>
                <w:sz w:val="1"/>
                <w:szCs w:val="1"/>
                <w:color w:val="auto"/>
              </w:rPr>
            </w:pPr>
          </w:p>
        </w:tc>
      </w:tr>
      <w:tr>
        <w:trPr>
          <w:trHeight w:val="20"/>
        </w:trPr>
        <w:tc>
          <w:tcPr>
            <w:tcW w:w="6700" w:type="dxa"/>
            <w:vAlign w:val="bottom"/>
            <w:tcBorders>
              <w:top w:val="single" w:sz="8" w:color="CCEEFF"/>
              <w:bottom w:val="single" w:sz="8" w:color="CCEEFF"/>
            </w:tcBorders>
            <w:vMerge w:val="restart"/>
          </w:tcPr>
          <w:p>
            <w:pPr>
              <w:ind w:left="340"/>
              <w:spacing w:after="0"/>
              <w:rPr>
                <w:sz w:val="20"/>
                <w:szCs w:val="20"/>
                <w:color w:val="auto"/>
              </w:rPr>
            </w:pPr>
            <w:r>
              <w:rPr>
                <w:rFonts w:ascii="Arial" w:cs="Arial" w:eastAsia="Arial" w:hAnsi="Arial"/>
                <w:sz w:val="18"/>
                <w:szCs w:val="18"/>
                <w:color w:val="auto"/>
              </w:rPr>
              <w:t>Discontinued operations</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6700" w:type="dxa"/>
            <w:vAlign w:val="bottom"/>
            <w:vMerge w:val="continue"/>
          </w:tcPr>
          <w:p>
            <w:pPr>
              <w:spacing w:after="0"/>
              <w:rPr>
                <w:sz w:val="18"/>
                <w:szCs w:val="18"/>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0.17</w:t>
            </w:r>
          </w:p>
        </w:tc>
        <w:tc>
          <w:tcPr>
            <w:tcW w:w="0" w:type="dxa"/>
            <w:vAlign w:val="bottom"/>
          </w:tcPr>
          <w:p>
            <w:pPr>
              <w:spacing w:after="0"/>
              <w:rPr>
                <w:sz w:val="1"/>
                <w:szCs w:val="1"/>
                <w:color w:val="auto"/>
              </w:rPr>
            </w:pPr>
          </w:p>
        </w:tc>
      </w:tr>
      <w:tr>
        <w:trPr>
          <w:trHeight w:val="27"/>
        </w:trPr>
        <w:tc>
          <w:tcPr>
            <w:tcW w:w="67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67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89"/>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 per share - Diluted</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2.34</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1.02</w:t>
            </w:r>
          </w:p>
        </w:tc>
        <w:tc>
          <w:tcPr>
            <w:tcW w:w="0" w:type="dxa"/>
            <w:vAlign w:val="bottom"/>
          </w:tcPr>
          <w:p>
            <w:pPr>
              <w:spacing w:after="0"/>
              <w:rPr>
                <w:sz w:val="1"/>
                <w:szCs w:val="1"/>
                <w:color w:val="auto"/>
              </w:rPr>
            </w:pPr>
          </w:p>
        </w:tc>
      </w:tr>
      <w:tr>
        <w:trPr>
          <w:trHeight w:val="20"/>
        </w:trPr>
        <w:tc>
          <w:tcPr>
            <w:tcW w:w="670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color w:val="auto"/>
              </w:rPr>
              <w:t>Weighted-average shares:</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6700" w:type="dxa"/>
            <w:vAlign w:val="bottom"/>
            <w:vMerge w:val="continue"/>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7"/>
        </w:trPr>
        <w:tc>
          <w:tcPr>
            <w:tcW w:w="67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95"/>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240" w:type="dxa"/>
            <w:vAlign w:val="bottom"/>
            <w:tcBorders>
              <w:bottom w:val="single" w:sz="8" w:color="CCEEFF"/>
            </w:tcBorders>
            <w:shd w:val="clear" w:color="auto" w:fill="CCEEFF"/>
          </w:tcPr>
          <w:p>
            <w:pPr>
              <w:spacing w:after="0"/>
              <w:rPr>
                <w:sz w:val="24"/>
                <w:szCs w:val="24"/>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664,709</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spacing w:after="0"/>
              <w:rPr>
                <w:sz w:val="24"/>
                <w:szCs w:val="24"/>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591,232</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spacing w:after="0"/>
              <w:rPr>
                <w:sz w:val="24"/>
                <w:szCs w:val="24"/>
                <w:color w:val="auto"/>
              </w:rPr>
            </w:pPr>
          </w:p>
        </w:tc>
        <w:tc>
          <w:tcPr>
            <w:tcW w:w="120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498,008</w:t>
            </w:r>
          </w:p>
        </w:tc>
        <w:tc>
          <w:tcPr>
            <w:tcW w:w="0" w:type="dxa"/>
            <w:vAlign w:val="bottom"/>
          </w:tcPr>
          <w:p>
            <w:pPr>
              <w:spacing w:after="0"/>
              <w:rPr>
                <w:sz w:val="1"/>
                <w:szCs w:val="1"/>
                <w:color w:val="auto"/>
              </w:rPr>
            </w:pPr>
          </w:p>
        </w:tc>
      </w:tr>
      <w:tr>
        <w:trPr>
          <w:trHeight w:val="20"/>
        </w:trPr>
        <w:tc>
          <w:tcPr>
            <w:tcW w:w="6700" w:type="dxa"/>
            <w:vAlign w:val="bottom"/>
            <w:tcBorders>
              <w:top w:val="single" w:sz="8" w:color="CCEEFF"/>
              <w:bottom w:val="single" w:sz="8" w:color="CCEEFF"/>
            </w:tcBorders>
            <w:vMerge w:val="restart"/>
          </w:tcPr>
          <w:p>
            <w:pPr>
              <w:ind w:left="340"/>
              <w:spacing w:after="0"/>
              <w:rPr>
                <w:sz w:val="20"/>
                <w:szCs w:val="20"/>
                <w:color w:val="auto"/>
              </w:rPr>
            </w:pPr>
            <w:r>
              <w:rPr>
                <w:rFonts w:ascii="Arial" w:cs="Arial" w:eastAsia="Arial" w:hAnsi="Arial"/>
                <w:sz w:val="18"/>
                <w:szCs w:val="18"/>
                <w:color w:val="auto"/>
              </w:rPr>
              <w:t>Diluted</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6700" w:type="dxa"/>
            <w:vAlign w:val="bottom"/>
            <w:vMerge w:val="continue"/>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676,094</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jc w:val="right"/>
              <w:ind w:right="72"/>
              <w:spacing w:after="0"/>
              <w:rPr>
                <w:sz w:val="20"/>
                <w:szCs w:val="20"/>
                <w:color w:val="auto"/>
              </w:rPr>
            </w:pPr>
            <w:r>
              <w:rPr>
                <w:rFonts w:ascii="Arial" w:cs="Arial" w:eastAsia="Arial" w:hAnsi="Arial"/>
                <w:sz w:val="18"/>
                <w:szCs w:val="18"/>
                <w:color w:val="auto"/>
              </w:rPr>
              <w:t>591,232</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jc w:val="right"/>
              <w:ind w:right="71"/>
              <w:spacing w:after="0"/>
              <w:rPr>
                <w:sz w:val="20"/>
                <w:szCs w:val="20"/>
                <w:color w:val="auto"/>
              </w:rPr>
            </w:pPr>
            <w:r>
              <w:rPr>
                <w:rFonts w:ascii="Arial" w:cs="Arial" w:eastAsia="Arial" w:hAnsi="Arial"/>
                <w:sz w:val="18"/>
                <w:szCs w:val="18"/>
                <w:color w:val="auto"/>
              </w:rPr>
              <w:t>509,667</w:t>
            </w:r>
          </w:p>
        </w:tc>
        <w:tc>
          <w:tcPr>
            <w:tcW w:w="0" w:type="dxa"/>
            <w:vAlign w:val="bottom"/>
          </w:tcPr>
          <w:p>
            <w:pPr>
              <w:spacing w:after="0"/>
              <w:rPr>
                <w:sz w:val="1"/>
                <w:szCs w:val="1"/>
                <w:color w:val="auto"/>
              </w:rPr>
            </w:pPr>
          </w:p>
        </w:tc>
      </w:tr>
      <w:tr>
        <w:trPr>
          <w:trHeight w:val="27"/>
        </w:trPr>
        <w:tc>
          <w:tcPr>
            <w:tcW w:w="67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1"/>
        </w:trPr>
        <w:tc>
          <w:tcPr>
            <w:tcW w:w="67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225" w:right="359" w:bottom="1440" w:gutter="0" w:footer="0" w:header="0"/>
        </w:sectPr>
      </w:pPr>
    </w:p>
    <w:bookmarkStart w:id="54" w:name="page55"/>
    <w:bookmarkEnd w:id="54"/>
    <w:p>
      <w:pPr>
        <w:spacing w:after="0"/>
        <w:rPr>
          <w:rFonts w:ascii="Arial" w:cs="Arial" w:eastAsia="Arial" w:hAnsi="Arial"/>
          <w:sz w:val="14"/>
          <w:szCs w:val="14"/>
          <w:b w:val="1"/>
          <w:bCs w:val="1"/>
          <w:u w:val="single" w:color="auto"/>
          <w:color w:val="0000FF"/>
        </w:rPr>
      </w:pPr>
      <w:hyperlink w:anchor="page2">
        <w:r>
          <w:rPr>
            <w:rFonts w:ascii="Arial" w:cs="Arial" w:eastAsia="Arial" w:hAnsi="Arial"/>
            <w:sz w:val="14"/>
            <w:szCs w:val="14"/>
            <w:b w:val="1"/>
            <w:bCs w:val="1"/>
            <w:u w:val="single" w:color="auto"/>
            <w:color w:val="0000FF"/>
          </w:rPr>
          <w:t>Table of Contents</w:t>
        </w:r>
      </w:hyperlink>
    </w:p>
    <w:p>
      <w:pPr>
        <w:spacing w:after="0" w:line="24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COMPREHENSIVE INCOME (LOSS)</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w:t>
      </w:r>
    </w:p>
    <w:p>
      <w:pPr>
        <w:spacing w:after="0" w:line="28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r>
      <w:tr>
        <w:trPr>
          <w:trHeight w:val="152"/>
        </w:trPr>
        <w:tc>
          <w:tcPr>
            <w:tcW w:w="67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0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1,</w:t>
            </w:r>
          </w:p>
        </w:tc>
        <w:tc>
          <w:tcPr>
            <w:tcW w:w="240" w:type="dxa"/>
            <w:vAlign w:val="bottom"/>
          </w:tcPr>
          <w:p>
            <w:pPr>
              <w:spacing w:after="0"/>
              <w:rPr>
                <w:sz w:val="13"/>
                <w:szCs w:val="13"/>
                <w:color w:val="auto"/>
              </w:rPr>
            </w:pPr>
          </w:p>
        </w:tc>
        <w:tc>
          <w:tcPr>
            <w:tcW w:w="1300" w:type="dxa"/>
            <w:vAlign w:val="bottom"/>
            <w:gridSpan w:val="2"/>
          </w:tcPr>
          <w:p>
            <w:pPr>
              <w:jc w:val="center"/>
              <w:ind w:right="340"/>
              <w:spacing w:after="0" w:line="153" w:lineRule="exact"/>
              <w:rPr>
                <w:sz w:val="20"/>
                <w:szCs w:val="20"/>
                <w:color w:val="auto"/>
              </w:rPr>
            </w:pPr>
            <w:r>
              <w:rPr>
                <w:rFonts w:ascii="Arial" w:cs="Arial" w:eastAsia="Arial" w:hAnsi="Arial"/>
                <w:sz w:val="14"/>
                <w:szCs w:val="14"/>
                <w:b w:val="1"/>
                <w:bCs w:val="1"/>
                <w:color w:val="auto"/>
                <w:w w:val="95"/>
              </w:rPr>
              <w:t>February 2,</w:t>
            </w:r>
          </w:p>
        </w:tc>
        <w:tc>
          <w:tcPr>
            <w:tcW w:w="240" w:type="dxa"/>
            <w:vAlign w:val="bottom"/>
          </w:tcPr>
          <w:p>
            <w:pPr>
              <w:spacing w:after="0"/>
              <w:rPr>
                <w:sz w:val="13"/>
                <w:szCs w:val="13"/>
                <w:color w:val="auto"/>
              </w:rPr>
            </w:pPr>
          </w:p>
        </w:tc>
        <w:tc>
          <w:tcPr>
            <w:tcW w:w="1200" w:type="dxa"/>
            <w:vAlign w:val="bottom"/>
          </w:tcPr>
          <w:p>
            <w:pPr>
              <w:jc w:val="right"/>
              <w:ind w:right="275"/>
              <w:spacing w:after="0" w:line="153" w:lineRule="exact"/>
              <w:rPr>
                <w:sz w:val="20"/>
                <w:szCs w:val="20"/>
                <w:color w:val="auto"/>
              </w:rPr>
            </w:pPr>
            <w:r>
              <w:rPr>
                <w:rFonts w:ascii="Arial" w:cs="Arial" w:eastAsia="Arial" w:hAnsi="Arial"/>
                <w:sz w:val="14"/>
                <w:szCs w:val="14"/>
                <w:b w:val="1"/>
                <w:bCs w:val="1"/>
                <w:color w:val="auto"/>
              </w:rPr>
              <w:t>February 3,</w:t>
            </w:r>
          </w:p>
        </w:tc>
      </w:tr>
      <w:tr>
        <w:trPr>
          <w:trHeight w:val="192"/>
        </w:trPr>
        <w:tc>
          <w:tcPr>
            <w:tcW w:w="67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7"/>
              <w:spacing w:after="0"/>
              <w:rPr>
                <w:sz w:val="20"/>
                <w:szCs w:val="20"/>
                <w:color w:val="auto"/>
              </w:rPr>
            </w:pPr>
            <w:r>
              <w:rPr>
                <w:rFonts w:ascii="Arial" w:cs="Arial" w:eastAsia="Arial" w:hAnsi="Arial"/>
                <w:sz w:val="14"/>
                <w:szCs w:val="14"/>
                <w:b w:val="1"/>
                <w:bCs w:val="1"/>
                <w:color w:val="auto"/>
                <w:w w:val="89"/>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2018</w:t>
            </w:r>
          </w:p>
        </w:tc>
      </w:tr>
      <w:tr>
        <w:trPr>
          <w:trHeight w:val="249"/>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1,584,391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(179,094)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520,831</w:t>
            </w:r>
          </w:p>
        </w:tc>
      </w:tr>
      <w:tr>
        <w:trPr>
          <w:trHeight w:val="243"/>
        </w:trPr>
        <w:tc>
          <w:tcPr>
            <w:tcW w:w="6700" w:type="dxa"/>
            <w:vAlign w:val="bottom"/>
          </w:tcPr>
          <w:p>
            <w:pPr>
              <w:ind w:left="20"/>
              <w:spacing w:after="0"/>
              <w:rPr>
                <w:sz w:val="20"/>
                <w:szCs w:val="20"/>
                <w:color w:val="auto"/>
              </w:rPr>
            </w:pPr>
            <w:r>
              <w:rPr>
                <w:rFonts w:ascii="Arial" w:cs="Arial" w:eastAsia="Arial" w:hAnsi="Arial"/>
                <w:sz w:val="18"/>
                <w:szCs w:val="18"/>
                <w:color w:val="auto"/>
              </w:rPr>
              <w:t>Other comprehensive income (loss), net of tax:</w:t>
            </w:r>
          </w:p>
        </w:tc>
        <w:tc>
          <w:tcPr>
            <w:tcW w:w="2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27"/>
        </w:trPr>
        <w:tc>
          <w:tcPr>
            <w:tcW w:w="67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Net change in unrealized gain (loss) on marketable securities</w:t>
            </w: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2,322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(1,521)</w:t>
            </w:r>
          </w:p>
        </w:tc>
      </w:tr>
      <w:tr>
        <w:trPr>
          <w:trHeight w:val="243"/>
        </w:trPr>
        <w:tc>
          <w:tcPr>
            <w:tcW w:w="6700" w:type="dxa"/>
            <w:vAlign w:val="bottom"/>
          </w:tcPr>
          <w:p>
            <w:pPr>
              <w:ind w:left="340"/>
              <w:spacing w:after="0"/>
              <w:rPr>
                <w:sz w:val="20"/>
                <w:szCs w:val="20"/>
                <w:color w:val="auto"/>
              </w:rPr>
            </w:pPr>
            <w:r>
              <w:rPr>
                <w:rFonts w:ascii="Arial" w:cs="Arial" w:eastAsia="Arial" w:hAnsi="Arial"/>
                <w:sz w:val="18"/>
                <w:szCs w:val="18"/>
                <w:color w:val="auto"/>
              </w:rPr>
              <w:t>Net change in unrealized gain (loss) on cash flow hedges</w:t>
            </w:r>
          </w:p>
        </w:tc>
        <w:tc>
          <w:tcPr>
            <w:tcW w:w="240" w:type="dxa"/>
            <w:vAlign w:val="bottom"/>
          </w:tcPr>
          <w:p>
            <w:pPr>
              <w:spacing w:after="0"/>
              <w:rPr>
                <w:sz w:val="21"/>
                <w:szCs w:val="21"/>
                <w:color w:val="auto"/>
              </w:rPr>
            </w:pPr>
          </w:p>
        </w:tc>
        <w:tc>
          <w:tcPr>
            <w:tcW w:w="13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3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00" w:type="dxa"/>
            <w:vAlign w:val="bottom"/>
          </w:tcPr>
          <w:p>
            <w:pPr>
              <w:jc w:val="right"/>
              <w:ind w:right="35"/>
              <w:spacing w:after="0"/>
              <w:rPr>
                <w:sz w:val="20"/>
                <w:szCs w:val="20"/>
                <w:color w:val="auto"/>
              </w:rPr>
            </w:pPr>
            <w:r>
              <w:rPr>
                <w:rFonts w:ascii="Arial" w:cs="Arial" w:eastAsia="Arial" w:hAnsi="Arial"/>
                <w:sz w:val="18"/>
                <w:szCs w:val="18"/>
                <w:color w:val="auto"/>
              </w:rPr>
              <w:t>(824)</w:t>
            </w:r>
          </w:p>
        </w:tc>
      </w:tr>
      <w:tr>
        <w:trPr>
          <w:trHeight w:val="27"/>
        </w:trPr>
        <w:tc>
          <w:tcPr>
            <w:tcW w:w="67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3"/>
        </w:trPr>
        <w:tc>
          <w:tcPr>
            <w:tcW w:w="670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Other comprehensive income (loss), net of tax</w:t>
            </w:r>
          </w:p>
        </w:tc>
        <w:tc>
          <w:tcPr>
            <w:tcW w:w="24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2,322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(2,345)</w:t>
            </w:r>
          </w:p>
        </w:tc>
      </w:tr>
      <w:tr>
        <w:trPr>
          <w:trHeight w:val="237"/>
        </w:trPr>
        <w:tc>
          <w:tcPr>
            <w:tcW w:w="6700" w:type="dxa"/>
            <w:vAlign w:val="bottom"/>
          </w:tcPr>
          <w:p>
            <w:pPr>
              <w:ind w:left="20"/>
              <w:spacing w:after="0"/>
              <w:rPr>
                <w:sz w:val="20"/>
                <w:szCs w:val="20"/>
                <w:color w:val="auto"/>
              </w:rPr>
            </w:pPr>
            <w:r>
              <w:rPr>
                <w:rFonts w:ascii="Arial" w:cs="Arial" w:eastAsia="Arial" w:hAnsi="Arial"/>
                <w:sz w:val="18"/>
                <w:szCs w:val="18"/>
                <w:color w:val="auto"/>
              </w:rPr>
              <w:t>Comprehensive income (loss), net of tax</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5"/>
              <w:spacing w:after="0"/>
              <w:rPr>
                <w:sz w:val="20"/>
                <w:szCs w:val="20"/>
                <w:color w:val="auto"/>
              </w:rPr>
            </w:pPr>
            <w:r>
              <w:rPr>
                <w:rFonts w:ascii="Arial" w:cs="Arial" w:eastAsia="Arial" w:hAnsi="Arial"/>
                <w:sz w:val="18"/>
                <w:szCs w:val="18"/>
                <w:color w:val="auto"/>
              </w:rPr>
              <w:t>1,584,391</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(176,772)</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5"/>
              <w:spacing w:after="0"/>
              <w:rPr>
                <w:sz w:val="20"/>
                <w:szCs w:val="20"/>
                <w:color w:val="auto"/>
              </w:rPr>
            </w:pPr>
            <w:r>
              <w:rPr>
                <w:rFonts w:ascii="Arial" w:cs="Arial" w:eastAsia="Arial" w:hAnsi="Arial"/>
                <w:sz w:val="18"/>
                <w:szCs w:val="18"/>
                <w:color w:val="auto"/>
              </w:rPr>
              <w:t>518,486</w:t>
            </w:r>
          </w:p>
        </w:tc>
      </w:tr>
      <w:tr>
        <w:trPr>
          <w:trHeight w:val="27"/>
        </w:trPr>
        <w:tc>
          <w:tcPr>
            <w:tcW w:w="67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0"/>
        </w:trPr>
        <w:tc>
          <w:tcPr>
            <w:tcW w:w="67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225" w:right="359" w:bottom="1440" w:gutter="0" w:footer="0" w:header="0"/>
        </w:sectPr>
      </w:pPr>
    </w:p>
    <w:bookmarkStart w:id="55" w:name="page56"/>
    <w:bookmarkEnd w:id="55"/>
    <w:p>
      <w:pPr>
        <w:spacing w:after="0"/>
        <w:rPr>
          <w:rFonts w:ascii="Arial" w:cs="Arial" w:eastAsia="Arial" w:hAnsi="Arial"/>
          <w:sz w:val="14"/>
          <w:szCs w:val="14"/>
          <w:b w:val="1"/>
          <w:bCs w:val="1"/>
          <w:u w:val="single" w:color="auto"/>
          <w:color w:val="0000FF"/>
        </w:rPr>
      </w:pPr>
      <w:hyperlink w:anchor="page2">
        <w:r>
          <w:rPr>
            <w:rFonts w:ascii="Arial" w:cs="Arial" w:eastAsia="Arial" w:hAnsi="Arial"/>
            <w:sz w:val="14"/>
            <w:szCs w:val="14"/>
            <w:b w:val="1"/>
            <w:bCs w:val="1"/>
            <w:u w:val="single" w:color="auto"/>
            <w:color w:val="0000FF"/>
          </w:rPr>
          <w:t>Table of Contents</w:t>
        </w:r>
      </w:hyperlink>
    </w:p>
    <w:p>
      <w:pPr>
        <w:spacing w:after="0" w:line="24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36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2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3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3"/>
              </w:rPr>
              <w:t>Accumulated</w:t>
            </w:r>
          </w:p>
        </w:tc>
        <w:tc>
          <w:tcPr>
            <w:tcW w:w="2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3320" w:type="dxa"/>
            <w:vAlign w:val="bottom"/>
          </w:tcPr>
          <w:p>
            <w:pPr>
              <w:spacing w:after="0"/>
              <w:rPr>
                <w:sz w:val="14"/>
                <w:szCs w:val="14"/>
                <w:color w:val="auto"/>
              </w:rPr>
            </w:pPr>
          </w:p>
        </w:tc>
        <w:tc>
          <w:tcPr>
            <w:tcW w:w="2520" w:type="dxa"/>
            <w:vAlign w:val="bottom"/>
            <w:gridSpan w:val="5"/>
          </w:tcPr>
          <w:p>
            <w:pPr>
              <w:ind w:left="740"/>
              <w:spacing w:after="0"/>
              <w:rPr>
                <w:sz w:val="20"/>
                <w:szCs w:val="20"/>
                <w:color w:val="auto"/>
              </w:rPr>
            </w:pPr>
            <w:r>
              <w:rPr>
                <w:rFonts w:ascii="Arial" w:cs="Arial" w:eastAsia="Arial" w:hAnsi="Arial"/>
                <w:sz w:val="14"/>
                <w:szCs w:val="14"/>
                <w:b w:val="1"/>
                <w:bCs w:val="1"/>
                <w:color w:val="auto"/>
              </w:rPr>
              <w:t>Common Stock</w:t>
            </w:r>
          </w:p>
        </w:tc>
        <w:tc>
          <w:tcPr>
            <w:tcW w:w="200" w:type="dxa"/>
            <w:vAlign w:val="bottom"/>
          </w:tcPr>
          <w:p>
            <w:pPr>
              <w:spacing w:after="0"/>
              <w:rPr>
                <w:sz w:val="14"/>
                <w:szCs w:val="14"/>
                <w:color w:val="auto"/>
              </w:rPr>
            </w:pPr>
          </w:p>
        </w:tc>
        <w:tc>
          <w:tcPr>
            <w:tcW w:w="11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3"/>
              </w:rPr>
              <w:t>Additional</w:t>
            </w:r>
          </w:p>
        </w:tc>
        <w:tc>
          <w:tcPr>
            <w:tcW w:w="160" w:type="dxa"/>
            <w:vAlign w:val="bottom"/>
          </w:tcPr>
          <w:p>
            <w:pPr>
              <w:spacing w:after="0"/>
              <w:rPr>
                <w:sz w:val="14"/>
                <w:szCs w:val="14"/>
                <w:color w:val="auto"/>
              </w:rPr>
            </w:pPr>
          </w:p>
        </w:tc>
        <w:tc>
          <w:tcPr>
            <w:tcW w:w="13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6"/>
              </w:rPr>
              <w:t>Other</w:t>
            </w:r>
          </w:p>
        </w:tc>
        <w:tc>
          <w:tcPr>
            <w:tcW w:w="2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54"/>
        </w:trPr>
        <w:tc>
          <w:tcPr>
            <w:tcW w:w="3320" w:type="dxa"/>
            <w:vAlign w:val="bottom"/>
          </w:tcPr>
          <w:p>
            <w:pPr>
              <w:spacing w:after="0"/>
              <w:rPr>
                <w:sz w:val="4"/>
                <w:szCs w:val="4"/>
                <w:color w:val="auto"/>
              </w:rPr>
            </w:pPr>
          </w:p>
        </w:tc>
        <w:tc>
          <w:tcPr>
            <w:tcW w:w="1160" w:type="dxa"/>
            <w:vAlign w:val="bottom"/>
            <w:tcBorders>
              <w:bottom w:val="single" w:sz="8" w:color="auto"/>
            </w:tcBorders>
          </w:tcPr>
          <w:p>
            <w:pPr>
              <w:spacing w:after="0"/>
              <w:rPr>
                <w:sz w:val="4"/>
                <w:szCs w:val="4"/>
                <w:color w:val="auto"/>
              </w:rPr>
            </w:pPr>
          </w:p>
        </w:tc>
        <w:tc>
          <w:tcPr>
            <w:tcW w:w="100" w:type="dxa"/>
            <w:vAlign w:val="bottom"/>
            <w:tcBorders>
              <w:bottom w:val="single" w:sz="8" w:color="auto"/>
            </w:tcBorders>
          </w:tcPr>
          <w:p>
            <w:pPr>
              <w:spacing w:after="0"/>
              <w:rPr>
                <w:sz w:val="4"/>
                <w:szCs w:val="4"/>
                <w:color w:val="auto"/>
              </w:rPr>
            </w:pPr>
          </w:p>
        </w:tc>
        <w:tc>
          <w:tcPr>
            <w:tcW w:w="220" w:type="dxa"/>
            <w:vAlign w:val="bottom"/>
            <w:tcBorders>
              <w:bottom w:val="single" w:sz="8" w:color="auto"/>
            </w:tcBorders>
          </w:tcPr>
          <w:p>
            <w:pPr>
              <w:spacing w:after="0"/>
              <w:rPr>
                <w:sz w:val="4"/>
                <w:szCs w:val="4"/>
                <w:color w:val="auto"/>
              </w:rPr>
            </w:pPr>
          </w:p>
        </w:tc>
        <w:tc>
          <w:tcPr>
            <w:tcW w:w="940" w:type="dxa"/>
            <w:vAlign w:val="bottom"/>
            <w:tcBorders>
              <w:bottom w:val="single" w:sz="8" w:color="auto"/>
            </w:tcBorders>
          </w:tcPr>
          <w:p>
            <w:pPr>
              <w:spacing w:after="0"/>
              <w:rPr>
                <w:sz w:val="4"/>
                <w:szCs w:val="4"/>
                <w:color w:val="auto"/>
              </w:rPr>
            </w:pPr>
          </w:p>
        </w:tc>
        <w:tc>
          <w:tcPr>
            <w:tcW w:w="100" w:type="dxa"/>
            <w:vAlign w:val="bottom"/>
          </w:tcPr>
          <w:p>
            <w:pPr>
              <w:spacing w:after="0"/>
              <w:rPr>
                <w:sz w:val="4"/>
                <w:szCs w:val="4"/>
                <w:color w:val="auto"/>
              </w:rPr>
            </w:pPr>
          </w:p>
        </w:tc>
        <w:tc>
          <w:tcPr>
            <w:tcW w:w="200" w:type="dxa"/>
            <w:vAlign w:val="bottom"/>
          </w:tcPr>
          <w:p>
            <w:pPr>
              <w:spacing w:after="0"/>
              <w:rPr>
                <w:sz w:val="4"/>
                <w:szCs w:val="4"/>
                <w:color w:val="auto"/>
              </w:rPr>
            </w:pPr>
          </w:p>
        </w:tc>
        <w:tc>
          <w:tcPr>
            <w:tcW w:w="1140" w:type="dxa"/>
            <w:vAlign w:val="bottom"/>
            <w:gridSpan w:val="2"/>
            <w:vMerge w:val="restart"/>
          </w:tcPr>
          <w:p>
            <w:pPr>
              <w:jc w:val="center"/>
              <w:ind w:right="300"/>
              <w:spacing w:after="0" w:line="126" w:lineRule="exact"/>
              <w:rPr>
                <w:sz w:val="20"/>
                <w:szCs w:val="20"/>
                <w:color w:val="auto"/>
              </w:rPr>
            </w:pPr>
            <w:r>
              <w:rPr>
                <w:rFonts w:ascii="Arial" w:cs="Arial" w:eastAsia="Arial" w:hAnsi="Arial"/>
                <w:sz w:val="14"/>
                <w:szCs w:val="14"/>
                <w:b w:val="1"/>
                <w:bCs w:val="1"/>
                <w:color w:val="auto"/>
                <w:w w:val="94"/>
              </w:rPr>
              <w:t>Paid-in</w:t>
            </w:r>
          </w:p>
        </w:tc>
        <w:tc>
          <w:tcPr>
            <w:tcW w:w="160" w:type="dxa"/>
            <w:vAlign w:val="bottom"/>
          </w:tcPr>
          <w:p>
            <w:pPr>
              <w:spacing w:after="0"/>
              <w:rPr>
                <w:sz w:val="4"/>
                <w:szCs w:val="4"/>
                <w:color w:val="auto"/>
              </w:rPr>
            </w:pPr>
          </w:p>
        </w:tc>
        <w:tc>
          <w:tcPr>
            <w:tcW w:w="1340" w:type="dxa"/>
            <w:vAlign w:val="bottom"/>
            <w:gridSpan w:val="2"/>
            <w:vMerge w:val="restart"/>
          </w:tcPr>
          <w:p>
            <w:pPr>
              <w:jc w:val="center"/>
              <w:ind w:right="260"/>
              <w:spacing w:after="0" w:line="126" w:lineRule="exact"/>
              <w:rPr>
                <w:sz w:val="20"/>
                <w:szCs w:val="20"/>
                <w:color w:val="auto"/>
              </w:rPr>
            </w:pPr>
            <w:r>
              <w:rPr>
                <w:rFonts w:ascii="Arial" w:cs="Arial" w:eastAsia="Arial" w:hAnsi="Arial"/>
                <w:sz w:val="14"/>
                <w:szCs w:val="14"/>
                <w:b w:val="1"/>
                <w:bCs w:val="1"/>
                <w:color w:val="auto"/>
                <w:w w:val="91"/>
              </w:rPr>
              <w:t>Comprehensive</w:t>
            </w:r>
          </w:p>
        </w:tc>
        <w:tc>
          <w:tcPr>
            <w:tcW w:w="220" w:type="dxa"/>
            <w:vAlign w:val="bottom"/>
          </w:tcPr>
          <w:p>
            <w:pPr>
              <w:spacing w:after="0"/>
              <w:rPr>
                <w:sz w:val="4"/>
                <w:szCs w:val="4"/>
                <w:color w:val="auto"/>
              </w:rPr>
            </w:pPr>
          </w:p>
        </w:tc>
        <w:tc>
          <w:tcPr>
            <w:tcW w:w="1100" w:type="dxa"/>
            <w:vAlign w:val="bottom"/>
            <w:gridSpan w:val="2"/>
            <w:vMerge w:val="restart"/>
          </w:tcPr>
          <w:p>
            <w:pPr>
              <w:ind w:left="120"/>
              <w:spacing w:after="0" w:line="126" w:lineRule="exact"/>
              <w:rPr>
                <w:sz w:val="20"/>
                <w:szCs w:val="20"/>
                <w:color w:val="auto"/>
              </w:rPr>
            </w:pPr>
            <w:r>
              <w:rPr>
                <w:rFonts w:ascii="Arial" w:cs="Arial" w:eastAsia="Arial" w:hAnsi="Arial"/>
                <w:sz w:val="14"/>
                <w:szCs w:val="14"/>
                <w:b w:val="1"/>
                <w:bCs w:val="1"/>
                <w:color w:val="auto"/>
              </w:rPr>
              <w:t>Retained</w:t>
            </w:r>
          </w:p>
        </w:tc>
        <w:tc>
          <w:tcPr>
            <w:tcW w:w="240" w:type="dxa"/>
            <w:vAlign w:val="bottom"/>
          </w:tcPr>
          <w:p>
            <w:pPr>
              <w:spacing w:after="0"/>
              <w:rPr>
                <w:sz w:val="4"/>
                <w:szCs w:val="4"/>
                <w:color w:val="auto"/>
              </w:rPr>
            </w:pPr>
          </w:p>
        </w:tc>
        <w:tc>
          <w:tcPr>
            <w:tcW w:w="9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52"/>
        </w:trPr>
        <w:tc>
          <w:tcPr>
            <w:tcW w:w="3320" w:type="dxa"/>
            <w:vAlign w:val="bottom"/>
          </w:tcPr>
          <w:p>
            <w:pPr>
              <w:spacing w:after="0"/>
              <w:rPr>
                <w:sz w:val="4"/>
                <w:szCs w:val="4"/>
                <w:color w:val="auto"/>
              </w:rPr>
            </w:pPr>
          </w:p>
        </w:tc>
        <w:tc>
          <w:tcPr>
            <w:tcW w:w="1260" w:type="dxa"/>
            <w:vAlign w:val="bottom"/>
            <w:gridSpan w:val="2"/>
            <w:vMerge w:val="restart"/>
          </w:tcPr>
          <w:p>
            <w:pPr>
              <w:ind w:left="380"/>
              <w:spacing w:after="0"/>
              <w:rPr>
                <w:sz w:val="20"/>
                <w:szCs w:val="20"/>
                <w:color w:val="auto"/>
              </w:rPr>
            </w:pPr>
            <w:r>
              <w:rPr>
                <w:rFonts w:ascii="Arial" w:cs="Arial" w:eastAsia="Arial" w:hAnsi="Arial"/>
                <w:sz w:val="14"/>
                <w:szCs w:val="14"/>
                <w:b w:val="1"/>
                <w:bCs w:val="1"/>
                <w:color w:val="auto"/>
              </w:rPr>
              <w:t>Shares</w:t>
            </w:r>
          </w:p>
        </w:tc>
        <w:tc>
          <w:tcPr>
            <w:tcW w:w="220" w:type="dxa"/>
            <w:vAlign w:val="bottom"/>
          </w:tcPr>
          <w:p>
            <w:pPr>
              <w:spacing w:after="0"/>
              <w:rPr>
                <w:sz w:val="4"/>
                <w:szCs w:val="4"/>
                <w:color w:val="auto"/>
              </w:rPr>
            </w:pPr>
          </w:p>
        </w:tc>
        <w:tc>
          <w:tcPr>
            <w:tcW w:w="104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Amount</w:t>
            </w:r>
          </w:p>
        </w:tc>
        <w:tc>
          <w:tcPr>
            <w:tcW w:w="200" w:type="dxa"/>
            <w:vAlign w:val="bottom"/>
          </w:tcPr>
          <w:p>
            <w:pPr>
              <w:spacing w:after="0"/>
              <w:rPr>
                <w:sz w:val="4"/>
                <w:szCs w:val="4"/>
                <w:color w:val="auto"/>
              </w:rPr>
            </w:pPr>
          </w:p>
        </w:tc>
        <w:tc>
          <w:tcPr>
            <w:tcW w:w="1140" w:type="dxa"/>
            <w:vAlign w:val="bottom"/>
            <w:gridSpan w:val="2"/>
            <w:vMerge w:val="continue"/>
          </w:tcPr>
          <w:p>
            <w:pPr>
              <w:spacing w:after="0"/>
              <w:rPr>
                <w:sz w:val="4"/>
                <w:szCs w:val="4"/>
                <w:color w:val="auto"/>
              </w:rPr>
            </w:pPr>
          </w:p>
        </w:tc>
        <w:tc>
          <w:tcPr>
            <w:tcW w:w="160" w:type="dxa"/>
            <w:vAlign w:val="bottom"/>
          </w:tcPr>
          <w:p>
            <w:pPr>
              <w:spacing w:after="0"/>
              <w:rPr>
                <w:sz w:val="4"/>
                <w:szCs w:val="4"/>
                <w:color w:val="auto"/>
              </w:rPr>
            </w:pPr>
          </w:p>
        </w:tc>
        <w:tc>
          <w:tcPr>
            <w:tcW w:w="1340" w:type="dxa"/>
            <w:vAlign w:val="bottom"/>
            <w:gridSpan w:val="2"/>
            <w:vMerge w:val="continue"/>
          </w:tcPr>
          <w:p>
            <w:pPr>
              <w:spacing w:after="0"/>
              <w:rPr>
                <w:sz w:val="4"/>
                <w:szCs w:val="4"/>
                <w:color w:val="auto"/>
              </w:rPr>
            </w:pPr>
          </w:p>
        </w:tc>
        <w:tc>
          <w:tcPr>
            <w:tcW w:w="220" w:type="dxa"/>
            <w:vAlign w:val="bottom"/>
          </w:tcPr>
          <w:p>
            <w:pPr>
              <w:spacing w:after="0"/>
              <w:rPr>
                <w:sz w:val="4"/>
                <w:szCs w:val="4"/>
                <w:color w:val="auto"/>
              </w:rPr>
            </w:pPr>
          </w:p>
        </w:tc>
        <w:tc>
          <w:tcPr>
            <w:tcW w:w="1100" w:type="dxa"/>
            <w:vAlign w:val="bottom"/>
            <w:gridSpan w:val="2"/>
            <w:vMerge w:val="continue"/>
          </w:tcPr>
          <w:p>
            <w:pPr>
              <w:spacing w:after="0"/>
              <w:rPr>
                <w:sz w:val="4"/>
                <w:szCs w:val="4"/>
                <w:color w:val="auto"/>
              </w:rPr>
            </w:pPr>
          </w:p>
        </w:tc>
        <w:tc>
          <w:tcPr>
            <w:tcW w:w="240" w:type="dxa"/>
            <w:vAlign w:val="bottom"/>
          </w:tcPr>
          <w:p>
            <w:pPr>
              <w:spacing w:after="0"/>
              <w:rPr>
                <w:sz w:val="4"/>
                <w:szCs w:val="4"/>
                <w:color w:val="auto"/>
              </w:rPr>
            </w:pPr>
          </w:p>
        </w:tc>
        <w:tc>
          <w:tcPr>
            <w:tcW w:w="940" w:type="dxa"/>
            <w:vAlign w:val="bottom"/>
            <w:vMerge w:val="restart"/>
          </w:tcPr>
          <w:p>
            <w:pPr>
              <w:jc w:val="right"/>
              <w:ind w:right="359"/>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3320" w:type="dxa"/>
            <w:vAlign w:val="bottom"/>
          </w:tcPr>
          <w:p>
            <w:pPr>
              <w:spacing w:after="0"/>
              <w:rPr>
                <w:sz w:val="16"/>
                <w:szCs w:val="16"/>
                <w:color w:val="auto"/>
              </w:rPr>
            </w:pPr>
          </w:p>
        </w:tc>
        <w:tc>
          <w:tcPr>
            <w:tcW w:w="1260" w:type="dxa"/>
            <w:vAlign w:val="bottom"/>
            <w:gridSpan w:val="2"/>
            <w:vMerge w:val="continue"/>
          </w:tcPr>
          <w:p>
            <w:pPr>
              <w:spacing w:after="0"/>
              <w:rPr>
                <w:sz w:val="16"/>
                <w:szCs w:val="16"/>
                <w:color w:val="auto"/>
              </w:rPr>
            </w:pPr>
          </w:p>
        </w:tc>
        <w:tc>
          <w:tcPr>
            <w:tcW w:w="220" w:type="dxa"/>
            <w:vAlign w:val="bottom"/>
          </w:tcPr>
          <w:p>
            <w:pPr>
              <w:spacing w:after="0"/>
              <w:rPr>
                <w:sz w:val="16"/>
                <w:szCs w:val="16"/>
                <w:color w:val="auto"/>
              </w:rPr>
            </w:pPr>
          </w:p>
        </w:tc>
        <w:tc>
          <w:tcPr>
            <w:tcW w:w="1040" w:type="dxa"/>
            <w:vAlign w:val="bottom"/>
            <w:gridSpan w:val="2"/>
            <w:vMerge w:val="continue"/>
          </w:tcPr>
          <w:p>
            <w:pPr>
              <w:spacing w:after="0"/>
              <w:rPr>
                <w:sz w:val="16"/>
                <w:szCs w:val="16"/>
                <w:color w:val="auto"/>
              </w:rPr>
            </w:pPr>
          </w:p>
        </w:tc>
        <w:tc>
          <w:tcPr>
            <w:tcW w:w="200" w:type="dxa"/>
            <w:vAlign w:val="bottom"/>
          </w:tcPr>
          <w:p>
            <w:pPr>
              <w:spacing w:after="0"/>
              <w:rPr>
                <w:sz w:val="16"/>
                <w:szCs w:val="16"/>
                <w:color w:val="auto"/>
              </w:rPr>
            </w:pPr>
          </w:p>
        </w:tc>
        <w:tc>
          <w:tcPr>
            <w:tcW w:w="11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4"/>
              </w:rPr>
              <w:t>Capital</w:t>
            </w:r>
          </w:p>
        </w:tc>
        <w:tc>
          <w:tcPr>
            <w:tcW w:w="160" w:type="dxa"/>
            <w:vAlign w:val="bottom"/>
          </w:tcPr>
          <w:p>
            <w:pPr>
              <w:spacing w:after="0"/>
              <w:rPr>
                <w:sz w:val="16"/>
                <w:szCs w:val="16"/>
                <w:color w:val="auto"/>
              </w:rPr>
            </w:pPr>
          </w:p>
        </w:tc>
        <w:tc>
          <w:tcPr>
            <w:tcW w:w="13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0"/>
              </w:rPr>
              <w:t>Income (Loss)</w:t>
            </w:r>
          </w:p>
        </w:tc>
        <w:tc>
          <w:tcPr>
            <w:tcW w:w="220" w:type="dxa"/>
            <w:vAlign w:val="bottom"/>
          </w:tcPr>
          <w:p>
            <w:pPr>
              <w:spacing w:after="0"/>
              <w:rPr>
                <w:sz w:val="16"/>
                <w:szCs w:val="16"/>
                <w:color w:val="auto"/>
              </w:rPr>
            </w:pPr>
          </w:p>
        </w:tc>
        <w:tc>
          <w:tcPr>
            <w:tcW w:w="1100" w:type="dxa"/>
            <w:vAlign w:val="bottom"/>
            <w:gridSpan w:val="2"/>
          </w:tcPr>
          <w:p>
            <w:pPr>
              <w:ind w:left="100"/>
              <w:spacing w:after="0"/>
              <w:rPr>
                <w:sz w:val="20"/>
                <w:szCs w:val="20"/>
                <w:color w:val="auto"/>
              </w:rPr>
            </w:pPr>
            <w:r>
              <w:rPr>
                <w:rFonts w:ascii="Arial" w:cs="Arial" w:eastAsia="Arial" w:hAnsi="Arial"/>
                <w:sz w:val="14"/>
                <w:szCs w:val="14"/>
                <w:b w:val="1"/>
                <w:bCs w:val="1"/>
                <w:color w:val="auto"/>
              </w:rPr>
              <w:t>Earnings</w:t>
            </w:r>
          </w:p>
        </w:tc>
        <w:tc>
          <w:tcPr>
            <w:tcW w:w="240" w:type="dxa"/>
            <w:vAlign w:val="bottom"/>
          </w:tcPr>
          <w:p>
            <w:pPr>
              <w:spacing w:after="0"/>
              <w:rPr>
                <w:sz w:val="16"/>
                <w:szCs w:val="16"/>
                <w:color w:val="auto"/>
              </w:rPr>
            </w:pPr>
          </w:p>
        </w:tc>
        <w:tc>
          <w:tcPr>
            <w:tcW w:w="9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36"/>
        </w:trPr>
        <w:tc>
          <w:tcPr>
            <w:tcW w:w="332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6"/>
                <w:szCs w:val="16"/>
                <w:b w:val="1"/>
                <w:bCs w:val="1"/>
                <w:color w:val="auto"/>
              </w:rPr>
              <w:t>Balance at January 28, 2017</w:t>
            </w:r>
          </w:p>
        </w:tc>
        <w:tc>
          <w:tcPr>
            <w:tcW w:w="1160" w:type="dxa"/>
            <w:vAlign w:val="bottom"/>
            <w:tcBorders>
              <w:top w:val="single" w:sz="8" w:color="auto"/>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506,095</w:t>
            </w: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220" w:type="dxa"/>
            <w:vAlign w:val="bottom"/>
            <w:tcBorders>
              <w:top w:val="single" w:sz="8" w:color="auto"/>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w w:val="89"/>
              </w:rPr>
              <w:t>$</w:t>
            </w:r>
          </w:p>
        </w:tc>
        <w:tc>
          <w:tcPr>
            <w:tcW w:w="940" w:type="dxa"/>
            <w:vAlign w:val="bottom"/>
            <w:tcBorders>
              <w:top w:val="single" w:sz="8" w:color="auto"/>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1,012</w:t>
            </w: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w w:val="89"/>
              </w:rPr>
              <w:t>$</w:t>
            </w:r>
          </w:p>
        </w:tc>
        <w:tc>
          <w:tcPr>
            <w:tcW w:w="1040" w:type="dxa"/>
            <w:vAlign w:val="bottom"/>
            <w:tcBorders>
              <w:top w:val="single" w:sz="8" w:color="auto"/>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3,016,775</w:t>
            </w: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1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240" w:type="dxa"/>
            <w:vAlign w:val="bottom"/>
            <w:tcBorders>
              <w:top w:val="single" w:sz="8" w:color="auto"/>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23</w:t>
            </w: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220" w:type="dxa"/>
            <w:vAlign w:val="bottom"/>
            <w:tcBorders>
              <w:top w:val="single" w:sz="8" w:color="auto"/>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w w:val="89"/>
              </w:rPr>
              <w:t>$</w:t>
            </w:r>
          </w:p>
        </w:tc>
        <w:tc>
          <w:tcPr>
            <w:tcW w:w="980" w:type="dxa"/>
            <w:vAlign w:val="bottom"/>
            <w:tcBorders>
              <w:top w:val="single" w:sz="8" w:color="auto"/>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1,009,841</w:t>
            </w: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240" w:type="dxa"/>
            <w:vAlign w:val="bottom"/>
            <w:tcBorders>
              <w:top w:val="single" w:sz="8" w:color="auto"/>
              <w:bottom w:val="single" w:sz="8" w:color="CCEEFF"/>
            </w:tcBorders>
            <w:shd w:val="clear" w:color="auto" w:fill="CCEEFF"/>
          </w:tcPr>
          <w:p>
            <w:pPr>
              <w:jc w:val="right"/>
              <w:ind w:right="59"/>
              <w:spacing w:after="0"/>
              <w:rPr>
                <w:sz w:val="20"/>
                <w:szCs w:val="20"/>
                <w:color w:val="auto"/>
              </w:rPr>
            </w:pPr>
            <w:r>
              <w:rPr>
                <w:rFonts w:ascii="Arial" w:cs="Arial" w:eastAsia="Arial" w:hAnsi="Arial"/>
                <w:sz w:val="16"/>
                <w:szCs w:val="16"/>
                <w:color w:val="auto"/>
                <w:w w:val="89"/>
              </w:rPr>
              <w:t>$</w:t>
            </w:r>
          </w:p>
        </w:tc>
        <w:tc>
          <w:tcPr>
            <w:tcW w:w="940" w:type="dxa"/>
            <w:vAlign w:val="bottom"/>
            <w:tcBorders>
              <w:top w:val="single" w:sz="8" w:color="auto"/>
              <w:bottom w:val="single" w:sz="8" w:color="CCEEFF"/>
            </w:tcBorders>
            <w:shd w:val="clear" w:color="auto" w:fill="CCEEFF"/>
          </w:tcPr>
          <w:p>
            <w:pPr>
              <w:jc w:val="right"/>
              <w:ind w:right="59"/>
              <w:spacing w:after="0"/>
              <w:rPr>
                <w:sz w:val="20"/>
                <w:szCs w:val="20"/>
                <w:color w:val="auto"/>
              </w:rPr>
            </w:pPr>
            <w:r>
              <w:rPr>
                <w:rFonts w:ascii="Arial" w:cs="Arial" w:eastAsia="Arial" w:hAnsi="Arial"/>
                <w:sz w:val="16"/>
                <w:szCs w:val="16"/>
                <w:color w:val="auto"/>
              </w:rPr>
              <w:t>4,027,651</w:t>
            </w:r>
          </w:p>
        </w:tc>
        <w:tc>
          <w:tcPr>
            <w:tcW w:w="0" w:type="dxa"/>
            <w:vAlign w:val="bottom"/>
          </w:tcPr>
          <w:p>
            <w:pPr>
              <w:spacing w:after="0"/>
              <w:rPr>
                <w:sz w:val="1"/>
                <w:szCs w:val="1"/>
                <w:color w:val="auto"/>
              </w:rPr>
            </w:pPr>
          </w:p>
        </w:tc>
      </w:tr>
      <w:tr>
        <w:trPr>
          <w:trHeight w:val="220"/>
        </w:trPr>
        <w:tc>
          <w:tcPr>
            <w:tcW w:w="3320" w:type="dxa"/>
            <w:vAlign w:val="bottom"/>
          </w:tcPr>
          <w:p>
            <w:pPr>
              <w:ind w:left="20"/>
              <w:spacing w:after="0"/>
              <w:rPr>
                <w:sz w:val="20"/>
                <w:szCs w:val="20"/>
                <w:color w:val="auto"/>
              </w:rPr>
            </w:pPr>
            <w:r>
              <w:rPr>
                <w:rFonts w:ascii="Arial" w:cs="Arial" w:eastAsia="Arial" w:hAnsi="Arial"/>
                <w:sz w:val="16"/>
                <w:szCs w:val="16"/>
                <w:color w:val="auto"/>
                <w:w w:val="99"/>
              </w:rPr>
              <w:t>Issuance of ordinary shares in connection with</w:t>
            </w: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3320" w:type="dxa"/>
            <w:vAlign w:val="bottom"/>
          </w:tcPr>
          <w:p>
            <w:pPr>
              <w:ind w:left="20"/>
              <w:spacing w:after="0"/>
              <w:rPr>
                <w:sz w:val="20"/>
                <w:szCs w:val="20"/>
                <w:color w:val="auto"/>
              </w:rPr>
            </w:pPr>
            <w:r>
              <w:rPr>
                <w:rFonts w:ascii="Arial" w:cs="Arial" w:eastAsia="Arial" w:hAnsi="Arial"/>
                <w:sz w:val="16"/>
                <w:szCs w:val="16"/>
                <w:color w:val="auto"/>
              </w:rPr>
              <w:t>equity incentive plans</w:t>
            </w:r>
          </w:p>
        </w:tc>
        <w:tc>
          <w:tcPr>
            <w:tcW w:w="1160" w:type="dxa"/>
            <w:vAlign w:val="bottom"/>
          </w:tcPr>
          <w:p>
            <w:pPr>
              <w:jc w:val="right"/>
              <w:ind w:right="80"/>
              <w:spacing w:after="0"/>
              <w:rPr>
                <w:sz w:val="20"/>
                <w:szCs w:val="20"/>
                <w:color w:val="auto"/>
              </w:rPr>
            </w:pPr>
            <w:r>
              <w:rPr>
                <w:rFonts w:ascii="Arial" w:cs="Arial" w:eastAsia="Arial" w:hAnsi="Arial"/>
                <w:sz w:val="16"/>
                <w:szCs w:val="16"/>
                <w:color w:val="auto"/>
              </w:rPr>
              <w:t>21,278</w:t>
            </w: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40" w:type="dxa"/>
            <w:vAlign w:val="bottom"/>
          </w:tcPr>
          <w:p>
            <w:pPr>
              <w:jc w:val="right"/>
              <w:ind w:right="79"/>
              <w:spacing w:after="0"/>
              <w:rPr>
                <w:sz w:val="20"/>
                <w:szCs w:val="20"/>
                <w:color w:val="auto"/>
              </w:rPr>
            </w:pPr>
            <w:r>
              <w:rPr>
                <w:rFonts w:ascii="Arial" w:cs="Arial" w:eastAsia="Arial" w:hAnsi="Arial"/>
                <w:sz w:val="16"/>
                <w:szCs w:val="16"/>
                <w:color w:val="auto"/>
              </w:rPr>
              <w:t>42</w:t>
            </w: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40" w:type="dxa"/>
            <w:vAlign w:val="bottom"/>
          </w:tcPr>
          <w:p>
            <w:pPr>
              <w:jc w:val="right"/>
              <w:ind w:right="60"/>
              <w:spacing w:after="0"/>
              <w:rPr>
                <w:sz w:val="20"/>
                <w:szCs w:val="20"/>
                <w:color w:val="auto"/>
              </w:rPr>
            </w:pPr>
            <w:r>
              <w:rPr>
                <w:rFonts w:ascii="Arial" w:cs="Arial" w:eastAsia="Arial" w:hAnsi="Arial"/>
                <w:sz w:val="16"/>
                <w:szCs w:val="16"/>
                <w:color w:val="auto"/>
              </w:rPr>
              <w:t>180,260</w:t>
            </w: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3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1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40" w:type="dxa"/>
            <w:vAlign w:val="bottom"/>
          </w:tcPr>
          <w:p>
            <w:pPr>
              <w:jc w:val="right"/>
              <w:ind w:right="59"/>
              <w:spacing w:after="0"/>
              <w:rPr>
                <w:sz w:val="20"/>
                <w:szCs w:val="20"/>
                <w:color w:val="auto"/>
              </w:rPr>
            </w:pPr>
            <w:r>
              <w:rPr>
                <w:rFonts w:ascii="Arial" w:cs="Arial" w:eastAsia="Arial" w:hAnsi="Arial"/>
                <w:sz w:val="16"/>
                <w:szCs w:val="16"/>
                <w:color w:val="auto"/>
              </w:rPr>
              <w:t>180,302</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0"/>
        </w:trPr>
        <w:tc>
          <w:tcPr>
            <w:tcW w:w="3320" w:type="dxa"/>
            <w:vAlign w:val="bottom"/>
            <w:shd w:val="clear" w:color="auto" w:fill="CCEEFF"/>
          </w:tcPr>
          <w:p>
            <w:pPr>
              <w:ind w:left="60"/>
              <w:spacing w:after="0"/>
              <w:rPr>
                <w:sz w:val="20"/>
                <w:szCs w:val="20"/>
                <w:color w:val="auto"/>
              </w:rPr>
            </w:pPr>
            <w:r>
              <w:rPr>
                <w:rFonts w:ascii="Arial" w:cs="Arial" w:eastAsia="Arial" w:hAnsi="Arial"/>
                <w:sz w:val="16"/>
                <w:szCs w:val="16"/>
                <w:color w:val="auto"/>
                <w:w w:val="95"/>
              </w:rPr>
              <w:t>Tax withholdings related to net share settlement</w:t>
            </w: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9"/>
        </w:trPr>
        <w:tc>
          <w:tcPr>
            <w:tcW w:w="33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6"/>
                <w:szCs w:val="16"/>
                <w:color w:val="auto"/>
              </w:rPr>
              <w:t>of restricted stock units</w:t>
            </w: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0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spacing w:after="0"/>
              <w:rPr>
                <w:sz w:val="19"/>
                <w:szCs w:val="19"/>
                <w:color w:val="auto"/>
              </w:rPr>
            </w:pPr>
          </w:p>
        </w:tc>
        <w:tc>
          <w:tcPr>
            <w:tcW w:w="104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(26,840)</w:t>
            </w:r>
          </w:p>
        </w:tc>
        <w:tc>
          <w:tcPr>
            <w:tcW w:w="100" w:type="dxa"/>
            <w:vAlign w:val="bottom"/>
            <w:tcBorders>
              <w:bottom w:val="single" w:sz="8" w:color="CCEEFF"/>
            </w:tcBorders>
            <w:shd w:val="clear" w:color="auto" w:fill="CCEEFF"/>
          </w:tcPr>
          <w:p>
            <w:pPr>
              <w:spacing w:after="0"/>
              <w:rPr>
                <w:sz w:val="19"/>
                <w:szCs w:val="19"/>
                <w:color w:val="auto"/>
              </w:rPr>
            </w:pPr>
          </w:p>
        </w:tc>
        <w:tc>
          <w:tcPr>
            <w:tcW w:w="160" w:type="dxa"/>
            <w:vAlign w:val="bottom"/>
            <w:tcBorders>
              <w:bottom w:val="single" w:sz="8" w:color="CCEEFF"/>
            </w:tcBorders>
            <w:shd w:val="clear" w:color="auto" w:fill="CCEEFF"/>
          </w:tcPr>
          <w:p>
            <w:pPr>
              <w:spacing w:after="0"/>
              <w:rPr>
                <w:sz w:val="19"/>
                <w:szCs w:val="19"/>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1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Borders>
              <w:bottom w:val="single" w:sz="8" w:color="CCEEFF"/>
            </w:tcBorders>
            <w:shd w:val="clear" w:color="auto" w:fill="CCEEFF"/>
          </w:tcPr>
          <w:p>
            <w:pPr>
              <w:spacing w:after="0"/>
              <w:rPr>
                <w:sz w:val="19"/>
                <w:szCs w:val="19"/>
                <w:color w:val="auto"/>
              </w:rPr>
            </w:pPr>
          </w:p>
        </w:tc>
        <w:tc>
          <w:tcPr>
            <w:tcW w:w="9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(26,840)</w:t>
            </w:r>
          </w:p>
        </w:tc>
        <w:tc>
          <w:tcPr>
            <w:tcW w:w="0" w:type="dxa"/>
            <w:vAlign w:val="bottom"/>
          </w:tcPr>
          <w:p>
            <w:pPr>
              <w:spacing w:after="0"/>
              <w:rPr>
                <w:sz w:val="1"/>
                <w:szCs w:val="1"/>
                <w:color w:val="auto"/>
              </w:rPr>
            </w:pPr>
          </w:p>
        </w:tc>
      </w:tr>
      <w:tr>
        <w:trPr>
          <w:trHeight w:val="224"/>
        </w:trPr>
        <w:tc>
          <w:tcPr>
            <w:tcW w:w="3320" w:type="dxa"/>
            <w:vAlign w:val="bottom"/>
          </w:tcPr>
          <w:p>
            <w:pPr>
              <w:ind w:left="20"/>
              <w:spacing w:after="0"/>
              <w:rPr>
                <w:sz w:val="20"/>
                <w:szCs w:val="20"/>
                <w:color w:val="auto"/>
              </w:rPr>
            </w:pPr>
            <w:r>
              <w:rPr>
                <w:rFonts w:ascii="Arial" w:cs="Arial" w:eastAsia="Arial" w:hAnsi="Arial"/>
                <w:sz w:val="16"/>
                <w:szCs w:val="16"/>
                <w:color w:val="auto"/>
              </w:rPr>
              <w:t>Share-based compensation</w:t>
            </w:r>
          </w:p>
        </w:tc>
        <w:tc>
          <w:tcPr>
            <w:tcW w:w="126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9"/>
                <w:szCs w:val="19"/>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9"/>
                <w:szCs w:val="19"/>
                <w:color w:val="auto"/>
              </w:rPr>
            </w:pPr>
          </w:p>
        </w:tc>
        <w:tc>
          <w:tcPr>
            <w:tcW w:w="1040" w:type="dxa"/>
            <w:vAlign w:val="bottom"/>
          </w:tcPr>
          <w:p>
            <w:pPr>
              <w:jc w:val="right"/>
              <w:ind w:right="60"/>
              <w:spacing w:after="0"/>
              <w:rPr>
                <w:sz w:val="20"/>
                <w:szCs w:val="20"/>
                <w:color w:val="auto"/>
              </w:rPr>
            </w:pPr>
            <w:r>
              <w:rPr>
                <w:rFonts w:ascii="Arial" w:cs="Arial" w:eastAsia="Arial" w:hAnsi="Arial"/>
                <w:sz w:val="16"/>
                <w:szCs w:val="16"/>
                <w:color w:val="auto"/>
              </w:rPr>
              <w:t>87,140</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3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9"/>
                <w:szCs w:val="19"/>
                <w:color w:val="auto"/>
              </w:rPr>
            </w:pPr>
          </w:p>
        </w:tc>
        <w:tc>
          <w:tcPr>
            <w:tcW w:w="11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9"/>
                <w:szCs w:val="19"/>
                <w:color w:val="auto"/>
              </w:rPr>
            </w:pPr>
          </w:p>
        </w:tc>
        <w:tc>
          <w:tcPr>
            <w:tcW w:w="940" w:type="dxa"/>
            <w:vAlign w:val="bottom"/>
          </w:tcPr>
          <w:p>
            <w:pPr>
              <w:jc w:val="right"/>
              <w:ind w:right="59"/>
              <w:spacing w:after="0"/>
              <w:rPr>
                <w:sz w:val="20"/>
                <w:szCs w:val="20"/>
                <w:color w:val="auto"/>
              </w:rPr>
            </w:pPr>
            <w:r>
              <w:rPr>
                <w:rFonts w:ascii="Arial" w:cs="Arial" w:eastAsia="Arial" w:hAnsi="Arial"/>
                <w:sz w:val="16"/>
                <w:szCs w:val="16"/>
                <w:color w:val="auto"/>
              </w:rPr>
              <w:t>87,140</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37"/>
        </w:trPr>
        <w:tc>
          <w:tcPr>
            <w:tcW w:w="3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Repurchase of common stock</w:t>
            </w:r>
          </w:p>
        </w:tc>
        <w:tc>
          <w:tcPr>
            <w:tcW w:w="116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(31,460)</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(63)</w:t>
            </w:r>
          </w:p>
        </w:tc>
        <w:tc>
          <w:tcPr>
            <w:tcW w:w="10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(526,012)</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(526,075)</w:t>
            </w:r>
          </w:p>
        </w:tc>
        <w:tc>
          <w:tcPr>
            <w:tcW w:w="0" w:type="dxa"/>
            <w:vAlign w:val="bottom"/>
          </w:tcPr>
          <w:p>
            <w:pPr>
              <w:spacing w:after="0"/>
              <w:rPr>
                <w:sz w:val="1"/>
                <w:szCs w:val="1"/>
                <w:color w:val="auto"/>
              </w:rPr>
            </w:pPr>
          </w:p>
        </w:tc>
      </w:tr>
      <w:tr>
        <w:trPr>
          <w:trHeight w:val="166"/>
        </w:trPr>
        <w:tc>
          <w:tcPr>
            <w:tcW w:w="3320" w:type="dxa"/>
            <w:vAlign w:val="bottom"/>
          </w:tcPr>
          <w:p>
            <w:pPr>
              <w:ind w:left="80"/>
              <w:spacing w:after="0" w:line="166" w:lineRule="exact"/>
              <w:rPr>
                <w:sz w:val="20"/>
                <w:szCs w:val="20"/>
                <w:color w:val="auto"/>
              </w:rPr>
            </w:pPr>
            <w:r>
              <w:rPr>
                <w:rFonts w:ascii="Arial" w:cs="Arial" w:eastAsia="Arial" w:hAnsi="Arial"/>
                <w:sz w:val="16"/>
                <w:szCs w:val="16"/>
                <w:color w:val="auto"/>
                <w:w w:val="95"/>
              </w:rPr>
              <w:t>Cash dividends declared and paid (cumulatively</w:t>
            </w:r>
          </w:p>
        </w:tc>
        <w:tc>
          <w:tcPr>
            <w:tcW w:w="1260" w:type="dxa"/>
            <w:vAlign w:val="bottom"/>
            <w:gridSpan w:val="2"/>
            <w:vMerge w:val="restart"/>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4"/>
                <w:szCs w:val="14"/>
                <w:color w:val="auto"/>
              </w:rPr>
            </w:pPr>
          </w:p>
        </w:tc>
        <w:tc>
          <w:tcPr>
            <w:tcW w:w="1040" w:type="dxa"/>
            <w:vAlign w:val="bottom"/>
            <w:gridSpan w:val="2"/>
            <w:vMerge w:val="restart"/>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4"/>
                <w:szCs w:val="14"/>
                <w:color w:val="auto"/>
              </w:rPr>
            </w:pPr>
          </w:p>
        </w:tc>
        <w:tc>
          <w:tcPr>
            <w:tcW w:w="1140" w:type="dxa"/>
            <w:vAlign w:val="bottom"/>
            <w:gridSpan w:val="2"/>
            <w:vMerge w:val="restart"/>
          </w:tcPr>
          <w:p>
            <w:pPr>
              <w:jc w:val="right"/>
              <w:ind w:right="24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4"/>
                <w:szCs w:val="14"/>
                <w:color w:val="auto"/>
              </w:rPr>
            </w:pPr>
          </w:p>
        </w:tc>
        <w:tc>
          <w:tcPr>
            <w:tcW w:w="1340" w:type="dxa"/>
            <w:vAlign w:val="bottom"/>
            <w:gridSpan w:val="2"/>
            <w:vMerge w:val="restart"/>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4"/>
                <w:szCs w:val="14"/>
                <w:color w:val="auto"/>
              </w:rPr>
            </w:pPr>
          </w:p>
        </w:tc>
        <w:tc>
          <w:tcPr>
            <w:tcW w:w="980" w:type="dxa"/>
            <w:vAlign w:val="bottom"/>
            <w:vMerge w:val="restart"/>
          </w:tcPr>
          <w:p>
            <w:pPr>
              <w:jc w:val="right"/>
              <w:ind w:right="20"/>
              <w:spacing w:after="0"/>
              <w:rPr>
                <w:sz w:val="20"/>
                <w:szCs w:val="20"/>
                <w:color w:val="auto"/>
              </w:rPr>
            </w:pPr>
            <w:r>
              <w:rPr>
                <w:rFonts w:ascii="Arial" w:cs="Arial" w:eastAsia="Arial" w:hAnsi="Arial"/>
                <w:sz w:val="16"/>
                <w:szCs w:val="16"/>
                <w:color w:val="auto"/>
              </w:rPr>
              <w:t>(119,251)</w:t>
            </w: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40" w:type="dxa"/>
            <w:vAlign w:val="bottom"/>
            <w:vMerge w:val="restart"/>
          </w:tcPr>
          <w:p>
            <w:pPr>
              <w:jc w:val="right"/>
              <w:ind w:right="19"/>
              <w:spacing w:after="0"/>
              <w:rPr>
                <w:sz w:val="20"/>
                <w:szCs w:val="20"/>
                <w:color w:val="auto"/>
              </w:rPr>
            </w:pPr>
            <w:r>
              <w:rPr>
                <w:rFonts w:ascii="Arial" w:cs="Arial" w:eastAsia="Arial" w:hAnsi="Arial"/>
                <w:sz w:val="16"/>
                <w:szCs w:val="16"/>
                <w:color w:val="auto"/>
              </w:rPr>
              <w:t>(119,251)</w:t>
            </w:r>
          </w:p>
        </w:tc>
        <w:tc>
          <w:tcPr>
            <w:tcW w:w="0" w:type="dxa"/>
            <w:vAlign w:val="bottom"/>
          </w:tcPr>
          <w:p>
            <w:pPr>
              <w:spacing w:after="0"/>
              <w:rPr>
                <w:sz w:val="1"/>
                <w:szCs w:val="1"/>
                <w:color w:val="auto"/>
              </w:rPr>
            </w:pPr>
          </w:p>
        </w:tc>
      </w:tr>
      <w:tr>
        <w:trPr>
          <w:trHeight w:val="209"/>
        </w:trPr>
        <w:tc>
          <w:tcPr>
            <w:tcW w:w="3320" w:type="dxa"/>
            <w:vAlign w:val="bottom"/>
          </w:tcPr>
          <w:p>
            <w:pPr>
              <w:ind w:left="80"/>
              <w:spacing w:after="0"/>
              <w:rPr>
                <w:sz w:val="20"/>
                <w:szCs w:val="20"/>
                <w:color w:val="auto"/>
              </w:rPr>
            </w:pPr>
            <w:r>
              <w:rPr>
                <w:rFonts w:ascii="Arial" w:cs="Arial" w:eastAsia="Arial" w:hAnsi="Arial"/>
                <w:sz w:val="16"/>
                <w:szCs w:val="16"/>
                <w:color w:val="auto"/>
              </w:rPr>
              <w:t>$0.24 per share)</w:t>
            </w:r>
          </w:p>
        </w:tc>
        <w:tc>
          <w:tcPr>
            <w:tcW w:w="1260" w:type="dxa"/>
            <w:vAlign w:val="bottom"/>
            <w:gridSpan w:val="2"/>
            <w:vMerge w:val="continue"/>
          </w:tcPr>
          <w:p>
            <w:pPr>
              <w:spacing w:after="0"/>
              <w:rPr>
                <w:sz w:val="18"/>
                <w:szCs w:val="18"/>
                <w:color w:val="auto"/>
              </w:rPr>
            </w:pPr>
          </w:p>
        </w:tc>
        <w:tc>
          <w:tcPr>
            <w:tcW w:w="220" w:type="dxa"/>
            <w:vAlign w:val="bottom"/>
          </w:tcPr>
          <w:p>
            <w:pPr>
              <w:spacing w:after="0"/>
              <w:rPr>
                <w:sz w:val="18"/>
                <w:szCs w:val="18"/>
                <w:color w:val="auto"/>
              </w:rPr>
            </w:pPr>
          </w:p>
        </w:tc>
        <w:tc>
          <w:tcPr>
            <w:tcW w:w="1040" w:type="dxa"/>
            <w:vAlign w:val="bottom"/>
            <w:gridSpan w:val="2"/>
            <w:vMerge w:val="continue"/>
          </w:tcPr>
          <w:p>
            <w:pPr>
              <w:spacing w:after="0"/>
              <w:rPr>
                <w:sz w:val="18"/>
                <w:szCs w:val="18"/>
                <w:color w:val="auto"/>
              </w:rPr>
            </w:pPr>
          </w:p>
        </w:tc>
        <w:tc>
          <w:tcPr>
            <w:tcW w:w="200" w:type="dxa"/>
            <w:vAlign w:val="bottom"/>
          </w:tcPr>
          <w:p>
            <w:pPr>
              <w:spacing w:after="0"/>
              <w:rPr>
                <w:sz w:val="18"/>
                <w:szCs w:val="18"/>
                <w:color w:val="auto"/>
              </w:rPr>
            </w:pPr>
          </w:p>
        </w:tc>
        <w:tc>
          <w:tcPr>
            <w:tcW w:w="1140" w:type="dxa"/>
            <w:vAlign w:val="bottom"/>
            <w:gridSpan w:val="2"/>
            <w:vMerge w:val="continue"/>
          </w:tcPr>
          <w:p>
            <w:pPr>
              <w:spacing w:after="0"/>
              <w:rPr>
                <w:sz w:val="18"/>
                <w:szCs w:val="18"/>
                <w:color w:val="auto"/>
              </w:rPr>
            </w:pPr>
          </w:p>
        </w:tc>
        <w:tc>
          <w:tcPr>
            <w:tcW w:w="160" w:type="dxa"/>
            <w:vAlign w:val="bottom"/>
          </w:tcPr>
          <w:p>
            <w:pPr>
              <w:spacing w:after="0"/>
              <w:rPr>
                <w:sz w:val="18"/>
                <w:szCs w:val="18"/>
                <w:color w:val="auto"/>
              </w:rPr>
            </w:pPr>
          </w:p>
        </w:tc>
        <w:tc>
          <w:tcPr>
            <w:tcW w:w="1340" w:type="dxa"/>
            <w:vAlign w:val="bottom"/>
            <w:gridSpan w:val="2"/>
            <w:vMerge w:val="continue"/>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vMerge w:val="continue"/>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4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320" w:type="dxa"/>
            <w:vAlign w:val="bottom"/>
            <w:shd w:val="clear" w:color="auto" w:fill="CCEEFF"/>
          </w:tcPr>
          <w:p>
            <w:pPr>
              <w:ind w:left="20"/>
              <w:spacing w:after="0"/>
              <w:rPr>
                <w:sz w:val="20"/>
                <w:szCs w:val="20"/>
                <w:color w:val="auto"/>
              </w:rPr>
            </w:pPr>
            <w:r>
              <w:rPr>
                <w:rFonts w:ascii="Arial" w:cs="Arial" w:eastAsia="Arial" w:hAnsi="Arial"/>
                <w:sz w:val="16"/>
                <w:szCs w:val="16"/>
                <w:color w:val="auto"/>
              </w:rPr>
              <w:t>Cumulative effect of stock compensation</w:t>
            </w: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9"/>
        </w:trPr>
        <w:tc>
          <w:tcPr>
            <w:tcW w:w="3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accounting change - see Note 2</w:t>
            </w: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0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spacing w:after="0"/>
              <w:rPr>
                <w:sz w:val="19"/>
                <w:szCs w:val="19"/>
                <w:color w:val="auto"/>
              </w:rPr>
            </w:pPr>
          </w:p>
        </w:tc>
        <w:tc>
          <w:tcPr>
            <w:tcW w:w="104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1,969</w:t>
            </w:r>
          </w:p>
        </w:tc>
        <w:tc>
          <w:tcPr>
            <w:tcW w:w="100" w:type="dxa"/>
            <w:vAlign w:val="bottom"/>
            <w:tcBorders>
              <w:bottom w:val="single" w:sz="8" w:color="CCEEFF"/>
            </w:tcBorders>
            <w:shd w:val="clear" w:color="auto" w:fill="CCEEFF"/>
          </w:tcPr>
          <w:p>
            <w:pPr>
              <w:spacing w:after="0"/>
              <w:rPr>
                <w:sz w:val="19"/>
                <w:szCs w:val="19"/>
                <w:color w:val="auto"/>
              </w:rPr>
            </w:pPr>
          </w:p>
        </w:tc>
        <w:tc>
          <w:tcPr>
            <w:tcW w:w="160" w:type="dxa"/>
            <w:vAlign w:val="bottom"/>
            <w:tcBorders>
              <w:bottom w:val="single" w:sz="8" w:color="CCEEFF"/>
            </w:tcBorders>
            <w:shd w:val="clear" w:color="auto" w:fill="CCEEFF"/>
          </w:tcPr>
          <w:p>
            <w:pPr>
              <w:spacing w:after="0"/>
              <w:rPr>
                <w:sz w:val="19"/>
                <w:szCs w:val="19"/>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98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(1,969)</w:t>
            </w:r>
          </w:p>
        </w:tc>
        <w:tc>
          <w:tcPr>
            <w:tcW w:w="120" w:type="dxa"/>
            <w:vAlign w:val="bottom"/>
            <w:tcBorders>
              <w:bottom w:val="single" w:sz="8" w:color="CCEEFF"/>
            </w:tcBorders>
            <w:shd w:val="clear" w:color="auto" w:fill="CCEEFF"/>
          </w:tcPr>
          <w:p>
            <w:pPr>
              <w:spacing w:after="0"/>
              <w:rPr>
                <w:sz w:val="19"/>
                <w:szCs w:val="19"/>
                <w:color w:val="auto"/>
              </w:rPr>
            </w:pPr>
          </w:p>
        </w:tc>
        <w:tc>
          <w:tcPr>
            <w:tcW w:w="240" w:type="dxa"/>
            <w:vAlign w:val="bottom"/>
            <w:tcBorders>
              <w:bottom w:val="single" w:sz="8" w:color="CCEEFF"/>
            </w:tcBorders>
            <w:shd w:val="clear" w:color="auto" w:fill="CCEEFF"/>
          </w:tcPr>
          <w:p>
            <w:pPr>
              <w:spacing w:after="0"/>
              <w:rPr>
                <w:sz w:val="19"/>
                <w:szCs w:val="19"/>
                <w:color w:val="auto"/>
              </w:rPr>
            </w:pPr>
          </w:p>
        </w:tc>
        <w:tc>
          <w:tcPr>
            <w:tcW w:w="940" w:type="dxa"/>
            <w:vAlign w:val="bottom"/>
            <w:tcBorders>
              <w:bottom w:val="single" w:sz="8" w:color="CCEEFF"/>
            </w:tcBorders>
            <w:shd w:val="clear" w:color="auto" w:fill="CCEEFF"/>
          </w:tcPr>
          <w:p>
            <w:pPr>
              <w:jc w:val="right"/>
              <w:ind w:right="59"/>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24"/>
        </w:trPr>
        <w:tc>
          <w:tcPr>
            <w:tcW w:w="3320" w:type="dxa"/>
            <w:vAlign w:val="bottom"/>
          </w:tcPr>
          <w:p>
            <w:pPr>
              <w:ind w:left="20"/>
              <w:spacing w:after="0"/>
              <w:rPr>
                <w:sz w:val="20"/>
                <w:szCs w:val="20"/>
                <w:color w:val="auto"/>
              </w:rPr>
            </w:pPr>
            <w:r>
              <w:rPr>
                <w:rFonts w:ascii="Arial" w:cs="Arial" w:eastAsia="Arial" w:hAnsi="Arial"/>
                <w:sz w:val="16"/>
                <w:szCs w:val="16"/>
                <w:color w:val="auto"/>
              </w:rPr>
              <w:t>Net income</w:t>
            </w:r>
          </w:p>
        </w:tc>
        <w:tc>
          <w:tcPr>
            <w:tcW w:w="126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9"/>
                <w:szCs w:val="19"/>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9"/>
                <w:szCs w:val="19"/>
                <w:color w:val="auto"/>
              </w:rPr>
            </w:pPr>
          </w:p>
        </w:tc>
        <w:tc>
          <w:tcPr>
            <w:tcW w:w="11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9"/>
                <w:szCs w:val="19"/>
                <w:color w:val="auto"/>
              </w:rPr>
            </w:pPr>
          </w:p>
        </w:tc>
        <w:tc>
          <w:tcPr>
            <w:tcW w:w="13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9"/>
                <w:szCs w:val="19"/>
                <w:color w:val="auto"/>
              </w:rPr>
            </w:pPr>
          </w:p>
        </w:tc>
        <w:tc>
          <w:tcPr>
            <w:tcW w:w="980" w:type="dxa"/>
            <w:vAlign w:val="bottom"/>
          </w:tcPr>
          <w:p>
            <w:pPr>
              <w:jc w:val="right"/>
              <w:ind w:right="60"/>
              <w:spacing w:after="0"/>
              <w:rPr>
                <w:sz w:val="20"/>
                <w:szCs w:val="20"/>
                <w:color w:val="auto"/>
              </w:rPr>
            </w:pPr>
            <w:r>
              <w:rPr>
                <w:rFonts w:ascii="Arial" w:cs="Arial" w:eastAsia="Arial" w:hAnsi="Arial"/>
                <w:sz w:val="16"/>
                <w:szCs w:val="16"/>
                <w:color w:val="auto"/>
              </w:rPr>
              <w:t>520,831</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jc w:val="right"/>
              <w:ind w:right="59"/>
              <w:spacing w:after="0"/>
              <w:rPr>
                <w:sz w:val="20"/>
                <w:szCs w:val="20"/>
                <w:color w:val="auto"/>
              </w:rPr>
            </w:pPr>
            <w:r>
              <w:rPr>
                <w:rFonts w:ascii="Arial" w:cs="Arial" w:eastAsia="Arial" w:hAnsi="Arial"/>
                <w:sz w:val="16"/>
                <w:szCs w:val="16"/>
                <w:color w:val="auto"/>
              </w:rPr>
              <w:t>520,831</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7"/>
        </w:trPr>
        <w:tc>
          <w:tcPr>
            <w:tcW w:w="3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Other comprehensive income</w:t>
            </w: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6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(2,345)</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Borders>
              <w:bottom w:val="single" w:sz="8" w:color="CCEEFF"/>
            </w:tcBorders>
            <w:shd w:val="clear" w:color="auto" w:fill="CCEEFF"/>
          </w:tcPr>
          <w:p>
            <w:pPr>
              <w:spacing w:after="0"/>
              <w:rPr>
                <w:sz w:val="22"/>
                <w:szCs w:val="22"/>
                <w:color w:val="auto"/>
              </w:rPr>
            </w:pPr>
          </w:p>
        </w:tc>
        <w:tc>
          <w:tcPr>
            <w:tcW w:w="9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(2,345)</w:t>
            </w:r>
          </w:p>
        </w:tc>
        <w:tc>
          <w:tcPr>
            <w:tcW w:w="0" w:type="dxa"/>
            <w:vAlign w:val="bottom"/>
          </w:tcPr>
          <w:p>
            <w:pPr>
              <w:spacing w:after="0"/>
              <w:rPr>
                <w:sz w:val="1"/>
                <w:szCs w:val="1"/>
                <w:color w:val="auto"/>
              </w:rPr>
            </w:pPr>
          </w:p>
        </w:tc>
      </w:tr>
      <w:tr>
        <w:trPr>
          <w:trHeight w:val="217"/>
        </w:trPr>
        <w:tc>
          <w:tcPr>
            <w:tcW w:w="3320" w:type="dxa"/>
            <w:vAlign w:val="bottom"/>
          </w:tcPr>
          <w:p>
            <w:pPr>
              <w:ind w:left="20"/>
              <w:spacing w:after="0"/>
              <w:rPr>
                <w:sz w:val="20"/>
                <w:szCs w:val="20"/>
                <w:color w:val="auto"/>
              </w:rPr>
            </w:pPr>
            <w:r>
              <w:rPr>
                <w:rFonts w:ascii="Arial" w:cs="Arial" w:eastAsia="Arial" w:hAnsi="Arial"/>
                <w:sz w:val="16"/>
                <w:szCs w:val="16"/>
                <w:b w:val="1"/>
                <w:bCs w:val="1"/>
                <w:color w:val="auto"/>
              </w:rPr>
              <w:t>Balance at February 3, 2018</w:t>
            </w:r>
          </w:p>
        </w:tc>
        <w:tc>
          <w:tcPr>
            <w:tcW w:w="1160" w:type="dxa"/>
            <w:vAlign w:val="bottom"/>
            <w:tcBorders>
              <w:top w:val="single" w:sz="8" w:color="auto"/>
            </w:tcBorders>
          </w:tcPr>
          <w:p>
            <w:pPr>
              <w:jc w:val="right"/>
              <w:ind w:right="80"/>
              <w:spacing w:after="0"/>
              <w:rPr>
                <w:sz w:val="20"/>
                <w:szCs w:val="20"/>
                <w:color w:val="auto"/>
              </w:rPr>
            </w:pPr>
            <w:r>
              <w:rPr>
                <w:rFonts w:ascii="Arial" w:cs="Arial" w:eastAsia="Arial" w:hAnsi="Arial"/>
                <w:sz w:val="16"/>
                <w:szCs w:val="16"/>
                <w:color w:val="auto"/>
              </w:rPr>
              <w:t>495,913</w:t>
            </w:r>
          </w:p>
        </w:tc>
        <w:tc>
          <w:tcPr>
            <w:tcW w:w="10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jc w:val="right"/>
              <w:ind w:right="79"/>
              <w:spacing w:after="0"/>
              <w:rPr>
                <w:sz w:val="20"/>
                <w:szCs w:val="20"/>
                <w:color w:val="auto"/>
              </w:rPr>
            </w:pPr>
            <w:r>
              <w:rPr>
                <w:rFonts w:ascii="Arial" w:cs="Arial" w:eastAsia="Arial" w:hAnsi="Arial"/>
                <w:sz w:val="16"/>
                <w:szCs w:val="16"/>
                <w:color w:val="auto"/>
              </w:rPr>
              <w:t>991</w:t>
            </w:r>
          </w:p>
        </w:tc>
        <w:tc>
          <w:tcPr>
            <w:tcW w:w="10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1040" w:type="dxa"/>
            <w:vAlign w:val="bottom"/>
            <w:tcBorders>
              <w:top w:val="single" w:sz="8" w:color="auto"/>
            </w:tcBorders>
          </w:tcPr>
          <w:p>
            <w:pPr>
              <w:jc w:val="right"/>
              <w:ind w:right="60"/>
              <w:spacing w:after="0"/>
              <w:rPr>
                <w:sz w:val="20"/>
                <w:szCs w:val="20"/>
                <w:color w:val="auto"/>
              </w:rPr>
            </w:pPr>
            <w:r>
              <w:rPr>
                <w:rFonts w:ascii="Arial" w:cs="Arial" w:eastAsia="Arial" w:hAnsi="Arial"/>
                <w:sz w:val="16"/>
                <w:szCs w:val="16"/>
                <w:color w:val="auto"/>
              </w:rPr>
              <w:t>2,733,292</w:t>
            </w:r>
          </w:p>
        </w:tc>
        <w:tc>
          <w:tcPr>
            <w:tcW w:w="10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1240" w:type="dxa"/>
            <w:vAlign w:val="bottom"/>
            <w:tcBorders>
              <w:top w:val="single" w:sz="8" w:color="auto"/>
            </w:tcBorders>
          </w:tcPr>
          <w:p>
            <w:pPr>
              <w:jc w:val="right"/>
              <w:ind w:right="20"/>
              <w:spacing w:after="0"/>
              <w:rPr>
                <w:sz w:val="20"/>
                <w:szCs w:val="20"/>
                <w:color w:val="auto"/>
              </w:rPr>
            </w:pPr>
            <w:r>
              <w:rPr>
                <w:rFonts w:ascii="Arial" w:cs="Arial" w:eastAsia="Arial" w:hAnsi="Arial"/>
                <w:sz w:val="16"/>
                <w:szCs w:val="16"/>
                <w:color w:val="auto"/>
              </w:rPr>
              <w:t>(2,322)</w:t>
            </w:r>
          </w:p>
        </w:tc>
        <w:tc>
          <w:tcPr>
            <w:tcW w:w="10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980" w:type="dxa"/>
            <w:vAlign w:val="bottom"/>
            <w:tcBorders>
              <w:top w:val="single" w:sz="8" w:color="auto"/>
            </w:tcBorders>
          </w:tcPr>
          <w:p>
            <w:pPr>
              <w:jc w:val="right"/>
              <w:ind w:right="60"/>
              <w:spacing w:after="0"/>
              <w:rPr>
                <w:sz w:val="20"/>
                <w:szCs w:val="20"/>
                <w:color w:val="auto"/>
              </w:rPr>
            </w:pPr>
            <w:r>
              <w:rPr>
                <w:rFonts w:ascii="Arial" w:cs="Arial" w:eastAsia="Arial" w:hAnsi="Arial"/>
                <w:sz w:val="16"/>
                <w:szCs w:val="16"/>
                <w:color w:val="auto"/>
              </w:rPr>
              <w:t>1,409,452</w:t>
            </w:r>
          </w:p>
        </w:tc>
        <w:tc>
          <w:tcPr>
            <w:tcW w:w="12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jc w:val="right"/>
              <w:ind w:right="59"/>
              <w:spacing w:after="0"/>
              <w:rPr>
                <w:sz w:val="20"/>
                <w:szCs w:val="20"/>
                <w:color w:val="auto"/>
              </w:rPr>
            </w:pPr>
            <w:r>
              <w:rPr>
                <w:rFonts w:ascii="Arial" w:cs="Arial" w:eastAsia="Arial" w:hAnsi="Arial"/>
                <w:sz w:val="16"/>
                <w:szCs w:val="16"/>
                <w:color w:val="auto"/>
              </w:rPr>
              <w:t>4,141,413</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37"/>
        </w:trPr>
        <w:tc>
          <w:tcPr>
            <w:tcW w:w="33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6"/>
                <w:szCs w:val="16"/>
                <w:color w:val="auto"/>
                <w:w w:val="94"/>
              </w:rPr>
              <w:t>Effect of revenue recognition accounting change</w:t>
            </w: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6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34,218</w:t>
            </w: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59"/>
              <w:spacing w:after="0"/>
              <w:rPr>
                <w:sz w:val="20"/>
                <w:szCs w:val="20"/>
                <w:color w:val="auto"/>
              </w:rPr>
            </w:pPr>
            <w:r>
              <w:rPr>
                <w:rFonts w:ascii="Arial" w:cs="Arial" w:eastAsia="Arial" w:hAnsi="Arial"/>
                <w:sz w:val="16"/>
                <w:szCs w:val="16"/>
                <w:color w:val="auto"/>
              </w:rPr>
              <w:t>34,218</w:t>
            </w:r>
          </w:p>
        </w:tc>
        <w:tc>
          <w:tcPr>
            <w:tcW w:w="0" w:type="dxa"/>
            <w:vAlign w:val="bottom"/>
          </w:tcPr>
          <w:p>
            <w:pPr>
              <w:spacing w:after="0"/>
              <w:rPr>
                <w:sz w:val="1"/>
                <w:szCs w:val="1"/>
                <w:color w:val="auto"/>
              </w:rPr>
            </w:pPr>
          </w:p>
        </w:tc>
      </w:tr>
      <w:tr>
        <w:trPr>
          <w:trHeight w:val="220"/>
        </w:trPr>
        <w:tc>
          <w:tcPr>
            <w:tcW w:w="3320" w:type="dxa"/>
            <w:vAlign w:val="bottom"/>
          </w:tcPr>
          <w:p>
            <w:pPr>
              <w:ind w:left="60"/>
              <w:spacing w:after="0"/>
              <w:rPr>
                <w:sz w:val="20"/>
                <w:szCs w:val="20"/>
                <w:color w:val="auto"/>
              </w:rPr>
            </w:pPr>
            <w:r>
              <w:rPr>
                <w:rFonts w:ascii="Arial" w:cs="Arial" w:eastAsia="Arial" w:hAnsi="Arial"/>
                <w:sz w:val="16"/>
                <w:szCs w:val="16"/>
                <w:color w:val="auto"/>
                <w:w w:val="98"/>
              </w:rPr>
              <w:t>Issuance of ordinary shares in connection with</w:t>
            </w: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3320" w:type="dxa"/>
            <w:vAlign w:val="bottom"/>
          </w:tcPr>
          <w:p>
            <w:pPr>
              <w:ind w:left="60"/>
              <w:spacing w:after="0"/>
              <w:rPr>
                <w:sz w:val="20"/>
                <w:szCs w:val="20"/>
                <w:color w:val="auto"/>
              </w:rPr>
            </w:pPr>
            <w:r>
              <w:rPr>
                <w:rFonts w:ascii="Arial" w:cs="Arial" w:eastAsia="Arial" w:hAnsi="Arial"/>
                <w:sz w:val="16"/>
                <w:szCs w:val="16"/>
                <w:color w:val="auto"/>
              </w:rPr>
              <w:t>equity incentive plans</w:t>
            </w:r>
          </w:p>
        </w:tc>
        <w:tc>
          <w:tcPr>
            <w:tcW w:w="1160" w:type="dxa"/>
            <w:vAlign w:val="bottom"/>
          </w:tcPr>
          <w:p>
            <w:pPr>
              <w:jc w:val="right"/>
              <w:ind w:right="80"/>
              <w:spacing w:after="0"/>
              <w:rPr>
                <w:sz w:val="20"/>
                <w:szCs w:val="20"/>
                <w:color w:val="auto"/>
              </w:rPr>
            </w:pPr>
            <w:r>
              <w:rPr>
                <w:rFonts w:ascii="Arial" w:cs="Arial" w:eastAsia="Arial" w:hAnsi="Arial"/>
                <w:sz w:val="16"/>
                <w:szCs w:val="16"/>
                <w:color w:val="auto"/>
              </w:rPr>
              <w:t>14,164</w:t>
            </w: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40" w:type="dxa"/>
            <w:vAlign w:val="bottom"/>
          </w:tcPr>
          <w:p>
            <w:pPr>
              <w:jc w:val="right"/>
              <w:ind w:right="79"/>
              <w:spacing w:after="0"/>
              <w:rPr>
                <w:sz w:val="20"/>
                <w:szCs w:val="20"/>
                <w:color w:val="auto"/>
              </w:rPr>
            </w:pPr>
            <w:r>
              <w:rPr>
                <w:rFonts w:ascii="Arial" w:cs="Arial" w:eastAsia="Arial" w:hAnsi="Arial"/>
                <w:sz w:val="16"/>
                <w:szCs w:val="16"/>
                <w:color w:val="auto"/>
              </w:rPr>
              <w:t>29</w:t>
            </w: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40" w:type="dxa"/>
            <w:vAlign w:val="bottom"/>
          </w:tcPr>
          <w:p>
            <w:pPr>
              <w:jc w:val="right"/>
              <w:ind w:right="60"/>
              <w:spacing w:after="0"/>
              <w:rPr>
                <w:sz w:val="20"/>
                <w:szCs w:val="20"/>
                <w:color w:val="auto"/>
              </w:rPr>
            </w:pPr>
            <w:r>
              <w:rPr>
                <w:rFonts w:ascii="Arial" w:cs="Arial" w:eastAsia="Arial" w:hAnsi="Arial"/>
                <w:sz w:val="16"/>
                <w:szCs w:val="16"/>
                <w:color w:val="auto"/>
              </w:rPr>
              <w:t>101,140</w:t>
            </w: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3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1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40" w:type="dxa"/>
            <w:vAlign w:val="bottom"/>
          </w:tcPr>
          <w:p>
            <w:pPr>
              <w:jc w:val="right"/>
              <w:ind w:right="59"/>
              <w:spacing w:after="0"/>
              <w:rPr>
                <w:sz w:val="20"/>
                <w:szCs w:val="20"/>
                <w:color w:val="auto"/>
              </w:rPr>
            </w:pPr>
            <w:r>
              <w:rPr>
                <w:rFonts w:ascii="Arial" w:cs="Arial" w:eastAsia="Arial" w:hAnsi="Arial"/>
                <w:sz w:val="16"/>
                <w:szCs w:val="16"/>
                <w:color w:val="auto"/>
              </w:rPr>
              <w:t>101,169</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0"/>
        </w:trPr>
        <w:tc>
          <w:tcPr>
            <w:tcW w:w="3320" w:type="dxa"/>
            <w:vAlign w:val="bottom"/>
            <w:shd w:val="clear" w:color="auto" w:fill="CCEEFF"/>
          </w:tcPr>
          <w:p>
            <w:pPr>
              <w:ind w:left="60"/>
              <w:spacing w:after="0"/>
              <w:rPr>
                <w:sz w:val="20"/>
                <w:szCs w:val="20"/>
                <w:color w:val="auto"/>
              </w:rPr>
            </w:pPr>
            <w:r>
              <w:rPr>
                <w:rFonts w:ascii="Arial" w:cs="Arial" w:eastAsia="Arial" w:hAnsi="Arial"/>
                <w:sz w:val="16"/>
                <w:szCs w:val="16"/>
                <w:color w:val="auto"/>
                <w:w w:val="95"/>
              </w:rPr>
              <w:t>Tax withholdings related to net share settlement</w:t>
            </w: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9"/>
        </w:trPr>
        <w:tc>
          <w:tcPr>
            <w:tcW w:w="33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6"/>
                <w:szCs w:val="16"/>
                <w:color w:val="auto"/>
              </w:rPr>
              <w:t>of restricted stock units</w:t>
            </w: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0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spacing w:after="0"/>
              <w:rPr>
                <w:sz w:val="19"/>
                <w:szCs w:val="19"/>
                <w:color w:val="auto"/>
              </w:rPr>
            </w:pPr>
          </w:p>
        </w:tc>
        <w:tc>
          <w:tcPr>
            <w:tcW w:w="104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(54,934)</w:t>
            </w:r>
          </w:p>
        </w:tc>
        <w:tc>
          <w:tcPr>
            <w:tcW w:w="100" w:type="dxa"/>
            <w:vAlign w:val="bottom"/>
            <w:tcBorders>
              <w:bottom w:val="single" w:sz="8" w:color="CCEEFF"/>
            </w:tcBorders>
            <w:shd w:val="clear" w:color="auto" w:fill="CCEEFF"/>
          </w:tcPr>
          <w:p>
            <w:pPr>
              <w:spacing w:after="0"/>
              <w:rPr>
                <w:sz w:val="19"/>
                <w:szCs w:val="19"/>
                <w:color w:val="auto"/>
              </w:rPr>
            </w:pPr>
          </w:p>
        </w:tc>
        <w:tc>
          <w:tcPr>
            <w:tcW w:w="160" w:type="dxa"/>
            <w:vAlign w:val="bottom"/>
            <w:tcBorders>
              <w:bottom w:val="single" w:sz="8" w:color="CCEEFF"/>
            </w:tcBorders>
            <w:shd w:val="clear" w:color="auto" w:fill="CCEEFF"/>
          </w:tcPr>
          <w:p>
            <w:pPr>
              <w:spacing w:after="0"/>
              <w:rPr>
                <w:sz w:val="19"/>
                <w:szCs w:val="19"/>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1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Borders>
              <w:bottom w:val="single" w:sz="8" w:color="CCEEFF"/>
            </w:tcBorders>
            <w:shd w:val="clear" w:color="auto" w:fill="CCEEFF"/>
          </w:tcPr>
          <w:p>
            <w:pPr>
              <w:spacing w:after="0"/>
              <w:rPr>
                <w:sz w:val="19"/>
                <w:szCs w:val="19"/>
                <w:color w:val="auto"/>
              </w:rPr>
            </w:pPr>
          </w:p>
        </w:tc>
        <w:tc>
          <w:tcPr>
            <w:tcW w:w="9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(54,934)</w:t>
            </w:r>
          </w:p>
        </w:tc>
        <w:tc>
          <w:tcPr>
            <w:tcW w:w="0" w:type="dxa"/>
            <w:vAlign w:val="bottom"/>
          </w:tcPr>
          <w:p>
            <w:pPr>
              <w:spacing w:after="0"/>
              <w:rPr>
                <w:sz w:val="1"/>
                <w:szCs w:val="1"/>
                <w:color w:val="auto"/>
              </w:rPr>
            </w:pPr>
          </w:p>
        </w:tc>
      </w:tr>
      <w:tr>
        <w:trPr>
          <w:trHeight w:val="223"/>
        </w:trPr>
        <w:tc>
          <w:tcPr>
            <w:tcW w:w="3320" w:type="dxa"/>
            <w:vAlign w:val="bottom"/>
          </w:tcPr>
          <w:p>
            <w:pPr>
              <w:ind w:left="20"/>
              <w:spacing w:after="0"/>
              <w:rPr>
                <w:sz w:val="20"/>
                <w:szCs w:val="20"/>
                <w:color w:val="auto"/>
              </w:rPr>
            </w:pPr>
            <w:r>
              <w:rPr>
                <w:rFonts w:ascii="Arial" w:cs="Arial" w:eastAsia="Arial" w:hAnsi="Arial"/>
                <w:sz w:val="16"/>
                <w:szCs w:val="16"/>
                <w:color w:val="auto"/>
              </w:rPr>
              <w:t>Share-based compensation</w:t>
            </w:r>
          </w:p>
        </w:tc>
        <w:tc>
          <w:tcPr>
            <w:tcW w:w="126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9"/>
                <w:szCs w:val="19"/>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9"/>
                <w:szCs w:val="19"/>
                <w:color w:val="auto"/>
              </w:rPr>
            </w:pPr>
          </w:p>
        </w:tc>
        <w:tc>
          <w:tcPr>
            <w:tcW w:w="1040" w:type="dxa"/>
            <w:vAlign w:val="bottom"/>
          </w:tcPr>
          <w:p>
            <w:pPr>
              <w:jc w:val="right"/>
              <w:ind w:right="60"/>
              <w:spacing w:after="0"/>
              <w:rPr>
                <w:sz w:val="20"/>
                <w:szCs w:val="20"/>
                <w:color w:val="auto"/>
              </w:rPr>
            </w:pPr>
            <w:r>
              <w:rPr>
                <w:rFonts w:ascii="Arial" w:cs="Arial" w:eastAsia="Arial" w:hAnsi="Arial"/>
                <w:sz w:val="16"/>
                <w:szCs w:val="16"/>
                <w:color w:val="auto"/>
              </w:rPr>
              <w:t>184,956</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3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9"/>
                <w:szCs w:val="19"/>
                <w:color w:val="auto"/>
              </w:rPr>
            </w:pPr>
          </w:p>
        </w:tc>
        <w:tc>
          <w:tcPr>
            <w:tcW w:w="11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9"/>
                <w:szCs w:val="19"/>
                <w:color w:val="auto"/>
              </w:rPr>
            </w:pPr>
          </w:p>
        </w:tc>
        <w:tc>
          <w:tcPr>
            <w:tcW w:w="940" w:type="dxa"/>
            <w:vAlign w:val="bottom"/>
          </w:tcPr>
          <w:p>
            <w:pPr>
              <w:jc w:val="right"/>
              <w:ind w:right="59"/>
              <w:spacing w:after="0"/>
              <w:rPr>
                <w:sz w:val="20"/>
                <w:szCs w:val="20"/>
                <w:color w:val="auto"/>
              </w:rPr>
            </w:pPr>
            <w:r>
              <w:rPr>
                <w:rFonts w:ascii="Arial" w:cs="Arial" w:eastAsia="Arial" w:hAnsi="Arial"/>
                <w:sz w:val="16"/>
                <w:szCs w:val="16"/>
                <w:color w:val="auto"/>
              </w:rPr>
              <w:t>184,956</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0"/>
        </w:trPr>
        <w:tc>
          <w:tcPr>
            <w:tcW w:w="3320" w:type="dxa"/>
            <w:vAlign w:val="bottom"/>
            <w:shd w:val="clear" w:color="auto" w:fill="CCEEFF"/>
          </w:tcPr>
          <w:p>
            <w:pPr>
              <w:ind w:left="60"/>
              <w:spacing w:after="0"/>
              <w:rPr>
                <w:sz w:val="20"/>
                <w:szCs w:val="20"/>
                <w:color w:val="auto"/>
              </w:rPr>
            </w:pPr>
            <w:r>
              <w:rPr>
                <w:rFonts w:ascii="Arial" w:cs="Arial" w:eastAsia="Arial" w:hAnsi="Arial"/>
                <w:sz w:val="16"/>
                <w:szCs w:val="16"/>
                <w:color w:val="auto"/>
              </w:rPr>
              <w:t>Common stock issued to Cavium common</w:t>
            </w: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9"/>
        </w:trPr>
        <w:tc>
          <w:tcPr>
            <w:tcW w:w="33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6"/>
                <w:szCs w:val="16"/>
                <w:color w:val="auto"/>
              </w:rPr>
              <w:t>stockholders</w:t>
            </w:r>
          </w:p>
        </w:tc>
        <w:tc>
          <w:tcPr>
            <w:tcW w:w="1160" w:type="dxa"/>
            <w:vAlign w:val="bottom"/>
            <w:tcBorders>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153,376</w:t>
            </w:r>
          </w:p>
        </w:tc>
        <w:tc>
          <w:tcPr>
            <w:tcW w:w="10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CCEEFF"/>
            </w:tcBorders>
            <w:shd w:val="clear" w:color="auto" w:fill="CCEEFF"/>
          </w:tcPr>
          <w:p>
            <w:pPr>
              <w:spacing w:after="0"/>
              <w:rPr>
                <w:sz w:val="19"/>
                <w:szCs w:val="19"/>
                <w:color w:val="auto"/>
              </w:rPr>
            </w:pPr>
          </w:p>
        </w:tc>
        <w:tc>
          <w:tcPr>
            <w:tcW w:w="94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307</w:t>
            </w:r>
          </w:p>
        </w:tc>
        <w:tc>
          <w:tcPr>
            <w:tcW w:w="100" w:type="dxa"/>
            <w:vAlign w:val="bottom"/>
            <w:tcBorders>
              <w:bottom w:val="single" w:sz="8" w:color="CCEEFF"/>
            </w:tcBorders>
            <w:shd w:val="clear" w:color="auto" w:fill="CCEEFF"/>
          </w:tcPr>
          <w:p>
            <w:pPr>
              <w:spacing w:after="0"/>
              <w:rPr>
                <w:sz w:val="19"/>
                <w:szCs w:val="19"/>
                <w:color w:val="auto"/>
              </w:rPr>
            </w:pPr>
          </w:p>
        </w:tc>
        <w:tc>
          <w:tcPr>
            <w:tcW w:w="200" w:type="dxa"/>
            <w:vAlign w:val="bottom"/>
            <w:tcBorders>
              <w:bottom w:val="single" w:sz="8" w:color="CCEEFF"/>
            </w:tcBorders>
            <w:shd w:val="clear" w:color="auto" w:fill="CCEEFF"/>
          </w:tcPr>
          <w:p>
            <w:pPr>
              <w:spacing w:after="0"/>
              <w:rPr>
                <w:sz w:val="19"/>
                <w:szCs w:val="19"/>
                <w:color w:val="auto"/>
              </w:rPr>
            </w:pPr>
          </w:p>
        </w:tc>
        <w:tc>
          <w:tcPr>
            <w:tcW w:w="104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3,272,746</w:t>
            </w:r>
          </w:p>
        </w:tc>
        <w:tc>
          <w:tcPr>
            <w:tcW w:w="100" w:type="dxa"/>
            <w:vAlign w:val="bottom"/>
            <w:tcBorders>
              <w:bottom w:val="single" w:sz="8" w:color="CCEEFF"/>
            </w:tcBorders>
            <w:shd w:val="clear" w:color="auto" w:fill="CCEEFF"/>
          </w:tcPr>
          <w:p>
            <w:pPr>
              <w:spacing w:after="0"/>
              <w:rPr>
                <w:sz w:val="19"/>
                <w:szCs w:val="19"/>
                <w:color w:val="auto"/>
              </w:rPr>
            </w:pPr>
          </w:p>
        </w:tc>
        <w:tc>
          <w:tcPr>
            <w:tcW w:w="160" w:type="dxa"/>
            <w:vAlign w:val="bottom"/>
            <w:tcBorders>
              <w:bottom w:val="single" w:sz="8" w:color="CCEEFF"/>
            </w:tcBorders>
            <w:shd w:val="clear" w:color="auto" w:fill="CCEEFF"/>
          </w:tcPr>
          <w:p>
            <w:pPr>
              <w:spacing w:after="0"/>
              <w:rPr>
                <w:sz w:val="19"/>
                <w:szCs w:val="19"/>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1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Borders>
              <w:bottom w:val="single" w:sz="8" w:color="CCEEFF"/>
            </w:tcBorders>
            <w:shd w:val="clear" w:color="auto" w:fill="CCEEFF"/>
          </w:tcPr>
          <w:p>
            <w:pPr>
              <w:spacing w:after="0"/>
              <w:rPr>
                <w:sz w:val="19"/>
                <w:szCs w:val="19"/>
                <w:color w:val="auto"/>
              </w:rPr>
            </w:pPr>
          </w:p>
        </w:tc>
        <w:tc>
          <w:tcPr>
            <w:tcW w:w="940" w:type="dxa"/>
            <w:vAlign w:val="bottom"/>
            <w:tcBorders>
              <w:bottom w:val="single" w:sz="8" w:color="CCEEFF"/>
            </w:tcBorders>
            <w:shd w:val="clear" w:color="auto" w:fill="CCEEFF"/>
          </w:tcPr>
          <w:p>
            <w:pPr>
              <w:jc w:val="right"/>
              <w:ind w:right="59"/>
              <w:spacing w:after="0"/>
              <w:rPr>
                <w:sz w:val="20"/>
                <w:szCs w:val="20"/>
                <w:color w:val="auto"/>
              </w:rPr>
            </w:pPr>
            <w:r>
              <w:rPr>
                <w:rFonts w:ascii="Arial" w:cs="Arial" w:eastAsia="Arial" w:hAnsi="Arial"/>
                <w:sz w:val="16"/>
                <w:szCs w:val="16"/>
                <w:color w:val="auto"/>
              </w:rPr>
              <w:t>3,273,053</w:t>
            </w:r>
          </w:p>
        </w:tc>
        <w:tc>
          <w:tcPr>
            <w:tcW w:w="0" w:type="dxa"/>
            <w:vAlign w:val="bottom"/>
          </w:tcPr>
          <w:p>
            <w:pPr>
              <w:spacing w:after="0"/>
              <w:rPr>
                <w:sz w:val="1"/>
                <w:szCs w:val="1"/>
                <w:color w:val="auto"/>
              </w:rPr>
            </w:pPr>
          </w:p>
        </w:tc>
      </w:tr>
      <w:tr>
        <w:trPr>
          <w:trHeight w:val="220"/>
        </w:trPr>
        <w:tc>
          <w:tcPr>
            <w:tcW w:w="3320" w:type="dxa"/>
            <w:vAlign w:val="bottom"/>
          </w:tcPr>
          <w:p>
            <w:pPr>
              <w:ind w:left="60"/>
              <w:spacing w:after="0"/>
              <w:rPr>
                <w:sz w:val="20"/>
                <w:szCs w:val="20"/>
                <w:color w:val="auto"/>
              </w:rPr>
            </w:pPr>
            <w:r>
              <w:rPr>
                <w:rFonts w:ascii="Arial" w:cs="Arial" w:eastAsia="Arial" w:hAnsi="Arial"/>
                <w:sz w:val="16"/>
                <w:szCs w:val="16"/>
                <w:color w:val="auto"/>
              </w:rPr>
              <w:t>Stock consideration for Cavium accelerated</w:t>
            </w: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3320" w:type="dxa"/>
            <w:vAlign w:val="bottom"/>
          </w:tcPr>
          <w:p>
            <w:pPr>
              <w:ind w:left="60"/>
              <w:spacing w:after="0"/>
              <w:rPr>
                <w:sz w:val="20"/>
                <w:szCs w:val="20"/>
                <w:color w:val="auto"/>
              </w:rPr>
            </w:pPr>
            <w:r>
              <w:rPr>
                <w:rFonts w:ascii="Arial" w:cs="Arial" w:eastAsia="Arial" w:hAnsi="Arial"/>
                <w:sz w:val="16"/>
                <w:szCs w:val="16"/>
                <w:color w:val="auto"/>
              </w:rPr>
              <w:t>awards</w:t>
            </w:r>
          </w:p>
        </w:tc>
        <w:tc>
          <w:tcPr>
            <w:tcW w:w="1160" w:type="dxa"/>
            <w:vAlign w:val="bottom"/>
          </w:tcPr>
          <w:p>
            <w:pPr>
              <w:jc w:val="right"/>
              <w:ind w:right="80"/>
              <w:spacing w:after="0"/>
              <w:rPr>
                <w:sz w:val="20"/>
                <w:szCs w:val="20"/>
                <w:color w:val="auto"/>
              </w:rPr>
            </w:pPr>
            <w:r>
              <w:rPr>
                <w:rFonts w:ascii="Arial" w:cs="Arial" w:eastAsia="Arial" w:hAnsi="Arial"/>
                <w:sz w:val="16"/>
                <w:szCs w:val="16"/>
                <w:color w:val="auto"/>
              </w:rPr>
              <w:t>1,102</w:t>
            </w: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40" w:type="dxa"/>
            <w:vAlign w:val="bottom"/>
          </w:tcPr>
          <w:p>
            <w:pPr>
              <w:jc w:val="right"/>
              <w:ind w:right="79"/>
              <w:spacing w:after="0"/>
              <w:rPr>
                <w:sz w:val="20"/>
                <w:szCs w:val="20"/>
                <w:color w:val="auto"/>
              </w:rPr>
            </w:pPr>
            <w:r>
              <w:rPr>
                <w:rFonts w:ascii="Arial" w:cs="Arial" w:eastAsia="Arial" w:hAnsi="Arial"/>
                <w:sz w:val="16"/>
                <w:szCs w:val="16"/>
                <w:color w:val="auto"/>
              </w:rPr>
              <w:t>2</w:t>
            </w: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40" w:type="dxa"/>
            <w:vAlign w:val="bottom"/>
          </w:tcPr>
          <w:p>
            <w:pPr>
              <w:jc w:val="right"/>
              <w:ind w:right="60"/>
              <w:spacing w:after="0"/>
              <w:rPr>
                <w:sz w:val="20"/>
                <w:szCs w:val="20"/>
                <w:color w:val="auto"/>
              </w:rPr>
            </w:pPr>
            <w:r>
              <w:rPr>
                <w:rFonts w:ascii="Arial" w:cs="Arial" w:eastAsia="Arial" w:hAnsi="Arial"/>
                <w:sz w:val="16"/>
                <w:szCs w:val="16"/>
                <w:color w:val="auto"/>
              </w:rPr>
              <w:t>7,802</w:t>
            </w: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3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1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40" w:type="dxa"/>
            <w:vAlign w:val="bottom"/>
          </w:tcPr>
          <w:p>
            <w:pPr>
              <w:jc w:val="right"/>
              <w:ind w:right="59"/>
              <w:spacing w:after="0"/>
              <w:rPr>
                <w:sz w:val="20"/>
                <w:szCs w:val="20"/>
                <w:color w:val="auto"/>
              </w:rPr>
            </w:pPr>
            <w:r>
              <w:rPr>
                <w:rFonts w:ascii="Arial" w:cs="Arial" w:eastAsia="Arial" w:hAnsi="Arial"/>
                <w:sz w:val="16"/>
                <w:szCs w:val="16"/>
                <w:color w:val="auto"/>
              </w:rPr>
              <w:t>7,804</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36"/>
        </w:trPr>
        <w:tc>
          <w:tcPr>
            <w:tcW w:w="33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6"/>
                <w:szCs w:val="16"/>
                <w:color w:val="auto"/>
              </w:rPr>
              <w:t>Equity related issuance cost</w:t>
            </w: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(2,927)</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(2,927)</w:t>
            </w:r>
          </w:p>
        </w:tc>
        <w:tc>
          <w:tcPr>
            <w:tcW w:w="0" w:type="dxa"/>
            <w:vAlign w:val="bottom"/>
          </w:tcPr>
          <w:p>
            <w:pPr>
              <w:spacing w:after="0"/>
              <w:rPr>
                <w:sz w:val="1"/>
                <w:szCs w:val="1"/>
                <w:color w:val="auto"/>
              </w:rPr>
            </w:pPr>
          </w:p>
        </w:tc>
      </w:tr>
      <w:tr>
        <w:trPr>
          <w:trHeight w:val="220"/>
        </w:trPr>
        <w:tc>
          <w:tcPr>
            <w:tcW w:w="3320" w:type="dxa"/>
            <w:vAlign w:val="bottom"/>
          </w:tcPr>
          <w:p>
            <w:pPr>
              <w:ind w:left="60"/>
              <w:spacing w:after="0"/>
              <w:rPr>
                <w:sz w:val="20"/>
                <w:szCs w:val="20"/>
                <w:color w:val="auto"/>
              </w:rPr>
            </w:pPr>
            <w:r>
              <w:rPr>
                <w:rFonts w:ascii="Arial" w:cs="Arial" w:eastAsia="Arial" w:hAnsi="Arial"/>
                <w:sz w:val="16"/>
                <w:szCs w:val="16"/>
                <w:color w:val="auto"/>
                <w:w w:val="97"/>
              </w:rPr>
              <w:t>Replacement equity awards attributable to pre-</w:t>
            </w: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3320" w:type="dxa"/>
            <w:vAlign w:val="bottom"/>
          </w:tcPr>
          <w:p>
            <w:pPr>
              <w:ind w:left="60"/>
              <w:spacing w:after="0"/>
              <w:rPr>
                <w:sz w:val="20"/>
                <w:szCs w:val="20"/>
                <w:color w:val="auto"/>
              </w:rPr>
            </w:pPr>
            <w:r>
              <w:rPr>
                <w:rFonts w:ascii="Arial" w:cs="Arial" w:eastAsia="Arial" w:hAnsi="Arial"/>
                <w:sz w:val="16"/>
                <w:szCs w:val="16"/>
                <w:color w:val="auto"/>
              </w:rPr>
              <w:t>acquisition service</w:t>
            </w:r>
          </w:p>
        </w:tc>
        <w:tc>
          <w:tcPr>
            <w:tcW w:w="126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7"/>
                <w:szCs w:val="17"/>
                <w:color w:val="auto"/>
              </w:rPr>
            </w:pPr>
          </w:p>
        </w:tc>
        <w:tc>
          <w:tcPr>
            <w:tcW w:w="1040" w:type="dxa"/>
            <w:vAlign w:val="bottom"/>
          </w:tcPr>
          <w:p>
            <w:pPr>
              <w:jc w:val="right"/>
              <w:ind w:right="60"/>
              <w:spacing w:after="0"/>
              <w:rPr>
                <w:sz w:val="20"/>
                <w:szCs w:val="20"/>
                <w:color w:val="auto"/>
              </w:rPr>
            </w:pPr>
            <w:r>
              <w:rPr>
                <w:rFonts w:ascii="Arial" w:cs="Arial" w:eastAsia="Arial" w:hAnsi="Arial"/>
                <w:sz w:val="16"/>
                <w:szCs w:val="16"/>
                <w:color w:val="auto"/>
              </w:rPr>
              <w:t>50,485</w:t>
            </w: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3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1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40" w:type="dxa"/>
            <w:vAlign w:val="bottom"/>
          </w:tcPr>
          <w:p>
            <w:pPr>
              <w:jc w:val="right"/>
              <w:ind w:right="59"/>
              <w:spacing w:after="0"/>
              <w:rPr>
                <w:sz w:val="20"/>
                <w:szCs w:val="20"/>
                <w:color w:val="auto"/>
              </w:rPr>
            </w:pPr>
            <w:r>
              <w:rPr>
                <w:rFonts w:ascii="Arial" w:cs="Arial" w:eastAsia="Arial" w:hAnsi="Arial"/>
                <w:sz w:val="16"/>
                <w:szCs w:val="16"/>
                <w:color w:val="auto"/>
              </w:rPr>
              <w:t>50,485</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36"/>
        </w:trPr>
        <w:tc>
          <w:tcPr>
            <w:tcW w:w="33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6"/>
                <w:szCs w:val="16"/>
                <w:color w:val="auto"/>
              </w:rPr>
              <w:t>Repurchase of common stock</w:t>
            </w:r>
          </w:p>
        </w:tc>
        <w:tc>
          <w:tcPr>
            <w:tcW w:w="116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(6,041)</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(12)</w:t>
            </w:r>
          </w:p>
        </w:tc>
        <w:tc>
          <w:tcPr>
            <w:tcW w:w="10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(103,962)</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(103,974)</w:t>
            </w:r>
          </w:p>
        </w:tc>
        <w:tc>
          <w:tcPr>
            <w:tcW w:w="0" w:type="dxa"/>
            <w:vAlign w:val="bottom"/>
          </w:tcPr>
          <w:p>
            <w:pPr>
              <w:spacing w:after="0"/>
              <w:rPr>
                <w:sz w:val="1"/>
                <w:szCs w:val="1"/>
                <w:color w:val="auto"/>
              </w:rPr>
            </w:pPr>
          </w:p>
        </w:tc>
      </w:tr>
      <w:tr>
        <w:trPr>
          <w:trHeight w:val="166"/>
        </w:trPr>
        <w:tc>
          <w:tcPr>
            <w:tcW w:w="3320" w:type="dxa"/>
            <w:vAlign w:val="bottom"/>
          </w:tcPr>
          <w:p>
            <w:pPr>
              <w:ind w:left="80"/>
              <w:spacing w:after="0" w:line="166" w:lineRule="exact"/>
              <w:rPr>
                <w:sz w:val="20"/>
                <w:szCs w:val="20"/>
                <w:color w:val="auto"/>
              </w:rPr>
            </w:pPr>
            <w:r>
              <w:rPr>
                <w:rFonts w:ascii="Arial" w:cs="Arial" w:eastAsia="Arial" w:hAnsi="Arial"/>
                <w:sz w:val="16"/>
                <w:szCs w:val="16"/>
                <w:color w:val="auto"/>
                <w:w w:val="95"/>
              </w:rPr>
              <w:t>Cash dividends declared and paid (cumulatively</w:t>
            </w:r>
          </w:p>
        </w:tc>
        <w:tc>
          <w:tcPr>
            <w:tcW w:w="1260" w:type="dxa"/>
            <w:vAlign w:val="bottom"/>
            <w:gridSpan w:val="2"/>
            <w:vMerge w:val="restart"/>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4"/>
                <w:szCs w:val="14"/>
                <w:color w:val="auto"/>
              </w:rPr>
            </w:pPr>
          </w:p>
        </w:tc>
        <w:tc>
          <w:tcPr>
            <w:tcW w:w="1040" w:type="dxa"/>
            <w:vAlign w:val="bottom"/>
            <w:gridSpan w:val="2"/>
            <w:vMerge w:val="restart"/>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4"/>
                <w:szCs w:val="14"/>
                <w:color w:val="auto"/>
              </w:rPr>
            </w:pPr>
          </w:p>
        </w:tc>
        <w:tc>
          <w:tcPr>
            <w:tcW w:w="1140" w:type="dxa"/>
            <w:vAlign w:val="bottom"/>
            <w:gridSpan w:val="2"/>
            <w:vMerge w:val="restart"/>
          </w:tcPr>
          <w:p>
            <w:pPr>
              <w:jc w:val="right"/>
              <w:ind w:right="24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4"/>
                <w:szCs w:val="14"/>
                <w:color w:val="auto"/>
              </w:rPr>
            </w:pPr>
          </w:p>
        </w:tc>
        <w:tc>
          <w:tcPr>
            <w:tcW w:w="1340" w:type="dxa"/>
            <w:vAlign w:val="bottom"/>
            <w:gridSpan w:val="2"/>
            <w:vMerge w:val="restart"/>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4"/>
                <w:szCs w:val="14"/>
                <w:color w:val="auto"/>
              </w:rPr>
            </w:pPr>
          </w:p>
        </w:tc>
        <w:tc>
          <w:tcPr>
            <w:tcW w:w="980" w:type="dxa"/>
            <w:vAlign w:val="bottom"/>
            <w:vMerge w:val="restart"/>
          </w:tcPr>
          <w:p>
            <w:pPr>
              <w:jc w:val="right"/>
              <w:ind w:right="20"/>
              <w:spacing w:after="0"/>
              <w:rPr>
                <w:sz w:val="20"/>
                <w:szCs w:val="20"/>
                <w:color w:val="auto"/>
              </w:rPr>
            </w:pPr>
            <w:r>
              <w:rPr>
                <w:rFonts w:ascii="Arial" w:cs="Arial" w:eastAsia="Arial" w:hAnsi="Arial"/>
                <w:sz w:val="16"/>
                <w:szCs w:val="16"/>
                <w:color w:val="auto"/>
              </w:rPr>
              <w:t>(148,081)</w:t>
            </w: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40" w:type="dxa"/>
            <w:vAlign w:val="bottom"/>
            <w:vMerge w:val="restart"/>
          </w:tcPr>
          <w:p>
            <w:pPr>
              <w:jc w:val="right"/>
              <w:ind w:right="19"/>
              <w:spacing w:after="0"/>
              <w:rPr>
                <w:sz w:val="20"/>
                <w:szCs w:val="20"/>
                <w:color w:val="auto"/>
              </w:rPr>
            </w:pPr>
            <w:r>
              <w:rPr>
                <w:rFonts w:ascii="Arial" w:cs="Arial" w:eastAsia="Arial" w:hAnsi="Arial"/>
                <w:sz w:val="16"/>
                <w:szCs w:val="16"/>
                <w:color w:val="auto"/>
              </w:rPr>
              <w:t>(148,081)</w:t>
            </w:r>
          </w:p>
        </w:tc>
        <w:tc>
          <w:tcPr>
            <w:tcW w:w="0" w:type="dxa"/>
            <w:vAlign w:val="bottom"/>
          </w:tcPr>
          <w:p>
            <w:pPr>
              <w:spacing w:after="0"/>
              <w:rPr>
                <w:sz w:val="1"/>
                <w:szCs w:val="1"/>
                <w:color w:val="auto"/>
              </w:rPr>
            </w:pPr>
          </w:p>
        </w:tc>
      </w:tr>
      <w:tr>
        <w:trPr>
          <w:trHeight w:val="209"/>
        </w:trPr>
        <w:tc>
          <w:tcPr>
            <w:tcW w:w="3320" w:type="dxa"/>
            <w:vAlign w:val="bottom"/>
          </w:tcPr>
          <w:p>
            <w:pPr>
              <w:ind w:left="80"/>
              <w:spacing w:after="0"/>
              <w:rPr>
                <w:sz w:val="20"/>
                <w:szCs w:val="20"/>
                <w:color w:val="auto"/>
              </w:rPr>
            </w:pPr>
            <w:r>
              <w:rPr>
                <w:rFonts w:ascii="Arial" w:cs="Arial" w:eastAsia="Arial" w:hAnsi="Arial"/>
                <w:sz w:val="16"/>
                <w:szCs w:val="16"/>
                <w:color w:val="auto"/>
              </w:rPr>
              <w:t>$0.24 per share)</w:t>
            </w:r>
          </w:p>
        </w:tc>
        <w:tc>
          <w:tcPr>
            <w:tcW w:w="1260" w:type="dxa"/>
            <w:vAlign w:val="bottom"/>
            <w:gridSpan w:val="2"/>
            <w:vMerge w:val="continue"/>
          </w:tcPr>
          <w:p>
            <w:pPr>
              <w:spacing w:after="0"/>
              <w:rPr>
                <w:sz w:val="18"/>
                <w:szCs w:val="18"/>
                <w:color w:val="auto"/>
              </w:rPr>
            </w:pPr>
          </w:p>
        </w:tc>
        <w:tc>
          <w:tcPr>
            <w:tcW w:w="220" w:type="dxa"/>
            <w:vAlign w:val="bottom"/>
          </w:tcPr>
          <w:p>
            <w:pPr>
              <w:spacing w:after="0"/>
              <w:rPr>
                <w:sz w:val="18"/>
                <w:szCs w:val="18"/>
                <w:color w:val="auto"/>
              </w:rPr>
            </w:pPr>
          </w:p>
        </w:tc>
        <w:tc>
          <w:tcPr>
            <w:tcW w:w="1040" w:type="dxa"/>
            <w:vAlign w:val="bottom"/>
            <w:gridSpan w:val="2"/>
            <w:vMerge w:val="continue"/>
          </w:tcPr>
          <w:p>
            <w:pPr>
              <w:spacing w:after="0"/>
              <w:rPr>
                <w:sz w:val="18"/>
                <w:szCs w:val="18"/>
                <w:color w:val="auto"/>
              </w:rPr>
            </w:pPr>
          </w:p>
        </w:tc>
        <w:tc>
          <w:tcPr>
            <w:tcW w:w="200" w:type="dxa"/>
            <w:vAlign w:val="bottom"/>
          </w:tcPr>
          <w:p>
            <w:pPr>
              <w:spacing w:after="0"/>
              <w:rPr>
                <w:sz w:val="18"/>
                <w:szCs w:val="18"/>
                <w:color w:val="auto"/>
              </w:rPr>
            </w:pPr>
          </w:p>
        </w:tc>
        <w:tc>
          <w:tcPr>
            <w:tcW w:w="1140" w:type="dxa"/>
            <w:vAlign w:val="bottom"/>
            <w:gridSpan w:val="2"/>
            <w:vMerge w:val="continue"/>
          </w:tcPr>
          <w:p>
            <w:pPr>
              <w:spacing w:after="0"/>
              <w:rPr>
                <w:sz w:val="18"/>
                <w:szCs w:val="18"/>
                <w:color w:val="auto"/>
              </w:rPr>
            </w:pPr>
          </w:p>
        </w:tc>
        <w:tc>
          <w:tcPr>
            <w:tcW w:w="160" w:type="dxa"/>
            <w:vAlign w:val="bottom"/>
          </w:tcPr>
          <w:p>
            <w:pPr>
              <w:spacing w:after="0"/>
              <w:rPr>
                <w:sz w:val="18"/>
                <w:szCs w:val="18"/>
                <w:color w:val="auto"/>
              </w:rPr>
            </w:pPr>
          </w:p>
        </w:tc>
        <w:tc>
          <w:tcPr>
            <w:tcW w:w="1340" w:type="dxa"/>
            <w:vAlign w:val="bottom"/>
            <w:gridSpan w:val="2"/>
            <w:vMerge w:val="continue"/>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vMerge w:val="continue"/>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4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40"/>
        </w:trPr>
        <w:tc>
          <w:tcPr>
            <w:tcW w:w="33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6"/>
                <w:szCs w:val="16"/>
                <w:color w:val="auto"/>
              </w:rPr>
              <w:t>Net loss</w:t>
            </w: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6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(179,094)</w:t>
            </w: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(179,094)</w:t>
            </w:r>
          </w:p>
        </w:tc>
        <w:tc>
          <w:tcPr>
            <w:tcW w:w="0" w:type="dxa"/>
            <w:vAlign w:val="bottom"/>
          </w:tcPr>
          <w:p>
            <w:pPr>
              <w:spacing w:after="0"/>
              <w:rPr>
                <w:sz w:val="1"/>
                <w:szCs w:val="1"/>
                <w:color w:val="auto"/>
              </w:rPr>
            </w:pPr>
          </w:p>
        </w:tc>
      </w:tr>
      <w:tr>
        <w:trPr>
          <w:trHeight w:val="223"/>
        </w:trPr>
        <w:tc>
          <w:tcPr>
            <w:tcW w:w="3320" w:type="dxa"/>
            <w:vAlign w:val="bottom"/>
          </w:tcPr>
          <w:p>
            <w:pPr>
              <w:ind w:left="20"/>
              <w:spacing w:after="0"/>
              <w:rPr>
                <w:sz w:val="20"/>
                <w:szCs w:val="20"/>
                <w:color w:val="auto"/>
              </w:rPr>
            </w:pPr>
            <w:r>
              <w:rPr>
                <w:rFonts w:ascii="Arial" w:cs="Arial" w:eastAsia="Arial" w:hAnsi="Arial"/>
                <w:sz w:val="16"/>
                <w:szCs w:val="16"/>
                <w:color w:val="auto"/>
              </w:rPr>
              <w:t>Other comprehensive loss</w:t>
            </w:r>
          </w:p>
        </w:tc>
        <w:tc>
          <w:tcPr>
            <w:tcW w:w="126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9"/>
                <w:szCs w:val="19"/>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9"/>
                <w:szCs w:val="19"/>
                <w:color w:val="auto"/>
              </w:rPr>
            </w:pPr>
          </w:p>
        </w:tc>
        <w:tc>
          <w:tcPr>
            <w:tcW w:w="11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9"/>
                <w:szCs w:val="19"/>
                <w:color w:val="auto"/>
              </w:rPr>
            </w:pPr>
          </w:p>
        </w:tc>
        <w:tc>
          <w:tcPr>
            <w:tcW w:w="1240" w:type="dxa"/>
            <w:vAlign w:val="bottom"/>
          </w:tcPr>
          <w:p>
            <w:pPr>
              <w:jc w:val="right"/>
              <w:ind w:right="60"/>
              <w:spacing w:after="0"/>
              <w:rPr>
                <w:sz w:val="20"/>
                <w:szCs w:val="20"/>
                <w:color w:val="auto"/>
              </w:rPr>
            </w:pPr>
            <w:r>
              <w:rPr>
                <w:rFonts w:ascii="Arial" w:cs="Arial" w:eastAsia="Arial" w:hAnsi="Arial"/>
                <w:sz w:val="16"/>
                <w:szCs w:val="16"/>
                <w:color w:val="auto"/>
              </w:rPr>
              <w:t>2,322</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9"/>
                <w:szCs w:val="19"/>
                <w:color w:val="auto"/>
              </w:rPr>
            </w:pPr>
          </w:p>
        </w:tc>
        <w:tc>
          <w:tcPr>
            <w:tcW w:w="940" w:type="dxa"/>
            <w:vAlign w:val="bottom"/>
          </w:tcPr>
          <w:p>
            <w:pPr>
              <w:jc w:val="right"/>
              <w:ind w:right="59"/>
              <w:spacing w:after="0"/>
              <w:rPr>
                <w:sz w:val="20"/>
                <w:szCs w:val="20"/>
                <w:color w:val="auto"/>
              </w:rPr>
            </w:pPr>
            <w:r>
              <w:rPr>
                <w:rFonts w:ascii="Arial" w:cs="Arial" w:eastAsia="Arial" w:hAnsi="Arial"/>
                <w:sz w:val="16"/>
                <w:szCs w:val="16"/>
                <w:color w:val="auto"/>
              </w:rPr>
              <w:t>2,322</w:t>
            </w:r>
          </w:p>
        </w:tc>
        <w:tc>
          <w:tcPr>
            <w:tcW w:w="0" w:type="dxa"/>
            <w:vAlign w:val="bottom"/>
          </w:tcPr>
          <w:p>
            <w:pPr>
              <w:spacing w:after="0"/>
              <w:rPr>
                <w:sz w:val="1"/>
                <w:szCs w:val="1"/>
                <w:color w:val="auto"/>
              </w:rPr>
            </w:pPr>
          </w:p>
        </w:tc>
      </w:tr>
      <w:tr>
        <w:trPr>
          <w:trHeight w:val="33"/>
        </w:trPr>
        <w:tc>
          <w:tcPr>
            <w:tcW w:w="3320" w:type="dxa"/>
            <w:vAlign w:val="bottom"/>
            <w:tcBorders>
              <w:bottom w:val="single" w:sz="8" w:color="CCEEFF"/>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0"/>
        </w:trPr>
        <w:tc>
          <w:tcPr>
            <w:tcW w:w="3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b w:val="1"/>
                <w:bCs w:val="1"/>
                <w:color w:val="auto"/>
              </w:rPr>
              <w:t>Balance at February 2, 2019</w:t>
            </w:r>
          </w:p>
        </w:tc>
        <w:tc>
          <w:tcPr>
            <w:tcW w:w="1160" w:type="dxa"/>
            <w:vAlign w:val="bottom"/>
            <w:tcBorders>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658,514</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1,317</w:t>
            </w:r>
          </w:p>
        </w:tc>
        <w:tc>
          <w:tcPr>
            <w:tcW w:w="10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6,188,598</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1,116,495</w:t>
            </w: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59"/>
              <w:spacing w:after="0"/>
              <w:rPr>
                <w:sz w:val="20"/>
                <w:szCs w:val="20"/>
                <w:color w:val="auto"/>
              </w:rPr>
            </w:pPr>
            <w:r>
              <w:rPr>
                <w:rFonts w:ascii="Arial" w:cs="Arial" w:eastAsia="Arial" w:hAnsi="Arial"/>
                <w:sz w:val="16"/>
                <w:szCs w:val="16"/>
                <w:color w:val="auto"/>
              </w:rPr>
              <w:t>7,306,410</w:t>
            </w:r>
          </w:p>
        </w:tc>
        <w:tc>
          <w:tcPr>
            <w:tcW w:w="0" w:type="dxa"/>
            <w:vAlign w:val="bottom"/>
          </w:tcPr>
          <w:p>
            <w:pPr>
              <w:spacing w:after="0"/>
              <w:rPr>
                <w:sz w:val="1"/>
                <w:szCs w:val="1"/>
                <w:color w:val="auto"/>
              </w:rPr>
            </w:pPr>
          </w:p>
        </w:tc>
      </w:tr>
      <w:tr>
        <w:trPr>
          <w:trHeight w:val="220"/>
        </w:trPr>
        <w:tc>
          <w:tcPr>
            <w:tcW w:w="3320" w:type="dxa"/>
            <w:vAlign w:val="bottom"/>
          </w:tcPr>
          <w:p>
            <w:pPr>
              <w:ind w:left="60"/>
              <w:spacing w:after="0"/>
              <w:rPr>
                <w:sz w:val="20"/>
                <w:szCs w:val="20"/>
                <w:color w:val="auto"/>
              </w:rPr>
            </w:pPr>
            <w:r>
              <w:rPr>
                <w:rFonts w:ascii="Arial" w:cs="Arial" w:eastAsia="Arial" w:hAnsi="Arial"/>
                <w:sz w:val="16"/>
                <w:szCs w:val="16"/>
                <w:color w:val="auto"/>
                <w:w w:val="98"/>
              </w:rPr>
              <w:t>Issuance of ordinary shares in connection with</w:t>
            </w: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3320" w:type="dxa"/>
            <w:vAlign w:val="bottom"/>
          </w:tcPr>
          <w:p>
            <w:pPr>
              <w:ind w:left="60"/>
              <w:spacing w:after="0"/>
              <w:rPr>
                <w:sz w:val="20"/>
                <w:szCs w:val="20"/>
                <w:color w:val="auto"/>
              </w:rPr>
            </w:pPr>
            <w:r>
              <w:rPr>
                <w:rFonts w:ascii="Arial" w:cs="Arial" w:eastAsia="Arial" w:hAnsi="Arial"/>
                <w:sz w:val="16"/>
                <w:szCs w:val="16"/>
                <w:color w:val="auto"/>
              </w:rPr>
              <w:t>equity incentive plans</w:t>
            </w:r>
          </w:p>
        </w:tc>
        <w:tc>
          <w:tcPr>
            <w:tcW w:w="1160" w:type="dxa"/>
            <w:vAlign w:val="bottom"/>
          </w:tcPr>
          <w:p>
            <w:pPr>
              <w:jc w:val="right"/>
              <w:ind w:right="80"/>
              <w:spacing w:after="0"/>
              <w:rPr>
                <w:sz w:val="20"/>
                <w:szCs w:val="20"/>
                <w:color w:val="auto"/>
              </w:rPr>
            </w:pPr>
            <w:r>
              <w:rPr>
                <w:rFonts w:ascii="Arial" w:cs="Arial" w:eastAsia="Arial" w:hAnsi="Arial"/>
                <w:sz w:val="16"/>
                <w:szCs w:val="16"/>
                <w:color w:val="auto"/>
              </w:rPr>
              <w:t>19,453</w:t>
            </w: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40" w:type="dxa"/>
            <w:vAlign w:val="bottom"/>
          </w:tcPr>
          <w:p>
            <w:pPr>
              <w:jc w:val="right"/>
              <w:ind w:right="79"/>
              <w:spacing w:after="0"/>
              <w:rPr>
                <w:sz w:val="20"/>
                <w:szCs w:val="20"/>
                <w:color w:val="auto"/>
              </w:rPr>
            </w:pPr>
            <w:r>
              <w:rPr>
                <w:rFonts w:ascii="Arial" w:cs="Arial" w:eastAsia="Arial" w:hAnsi="Arial"/>
                <w:sz w:val="16"/>
                <w:szCs w:val="16"/>
                <w:color w:val="auto"/>
              </w:rPr>
              <w:t>40</w:t>
            </w: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40" w:type="dxa"/>
            <w:vAlign w:val="bottom"/>
          </w:tcPr>
          <w:p>
            <w:pPr>
              <w:jc w:val="right"/>
              <w:ind w:right="60"/>
              <w:spacing w:after="0"/>
              <w:rPr>
                <w:sz w:val="20"/>
                <w:szCs w:val="20"/>
                <w:color w:val="auto"/>
              </w:rPr>
            </w:pPr>
            <w:r>
              <w:rPr>
                <w:rFonts w:ascii="Arial" w:cs="Arial" w:eastAsia="Arial" w:hAnsi="Arial"/>
                <w:sz w:val="16"/>
                <w:szCs w:val="16"/>
                <w:color w:val="auto"/>
              </w:rPr>
              <w:t>147,013</w:t>
            </w: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3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1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40" w:type="dxa"/>
            <w:vAlign w:val="bottom"/>
          </w:tcPr>
          <w:p>
            <w:pPr>
              <w:jc w:val="right"/>
              <w:ind w:right="59"/>
              <w:spacing w:after="0"/>
              <w:rPr>
                <w:sz w:val="20"/>
                <w:szCs w:val="20"/>
                <w:color w:val="auto"/>
              </w:rPr>
            </w:pPr>
            <w:r>
              <w:rPr>
                <w:rFonts w:ascii="Arial" w:cs="Arial" w:eastAsia="Arial" w:hAnsi="Arial"/>
                <w:sz w:val="16"/>
                <w:szCs w:val="16"/>
                <w:color w:val="auto"/>
              </w:rPr>
              <w:t>147,053</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0"/>
        </w:trPr>
        <w:tc>
          <w:tcPr>
            <w:tcW w:w="3320" w:type="dxa"/>
            <w:vAlign w:val="bottom"/>
            <w:shd w:val="clear" w:color="auto" w:fill="CCEEFF"/>
          </w:tcPr>
          <w:p>
            <w:pPr>
              <w:ind w:left="60"/>
              <w:spacing w:after="0"/>
              <w:rPr>
                <w:sz w:val="20"/>
                <w:szCs w:val="20"/>
                <w:color w:val="auto"/>
              </w:rPr>
            </w:pPr>
            <w:r>
              <w:rPr>
                <w:rFonts w:ascii="Arial" w:cs="Arial" w:eastAsia="Arial" w:hAnsi="Arial"/>
                <w:sz w:val="16"/>
                <w:szCs w:val="16"/>
                <w:color w:val="auto"/>
                <w:w w:val="95"/>
              </w:rPr>
              <w:t>Tax withholdings related to net share settlement</w:t>
            </w: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9"/>
        </w:trPr>
        <w:tc>
          <w:tcPr>
            <w:tcW w:w="33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6"/>
                <w:szCs w:val="16"/>
                <w:color w:val="auto"/>
              </w:rPr>
              <w:t>of restricted stock units</w:t>
            </w: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0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spacing w:after="0"/>
              <w:rPr>
                <w:sz w:val="19"/>
                <w:szCs w:val="19"/>
                <w:color w:val="auto"/>
              </w:rPr>
            </w:pPr>
          </w:p>
        </w:tc>
        <w:tc>
          <w:tcPr>
            <w:tcW w:w="104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(98,293)</w:t>
            </w:r>
          </w:p>
        </w:tc>
        <w:tc>
          <w:tcPr>
            <w:tcW w:w="100" w:type="dxa"/>
            <w:vAlign w:val="bottom"/>
            <w:tcBorders>
              <w:bottom w:val="single" w:sz="8" w:color="CCEEFF"/>
            </w:tcBorders>
            <w:shd w:val="clear" w:color="auto" w:fill="CCEEFF"/>
          </w:tcPr>
          <w:p>
            <w:pPr>
              <w:spacing w:after="0"/>
              <w:rPr>
                <w:sz w:val="19"/>
                <w:szCs w:val="19"/>
                <w:color w:val="auto"/>
              </w:rPr>
            </w:pPr>
          </w:p>
        </w:tc>
        <w:tc>
          <w:tcPr>
            <w:tcW w:w="160" w:type="dxa"/>
            <w:vAlign w:val="bottom"/>
            <w:tcBorders>
              <w:bottom w:val="single" w:sz="8" w:color="CCEEFF"/>
            </w:tcBorders>
            <w:shd w:val="clear" w:color="auto" w:fill="CCEEFF"/>
          </w:tcPr>
          <w:p>
            <w:pPr>
              <w:spacing w:after="0"/>
              <w:rPr>
                <w:sz w:val="19"/>
                <w:szCs w:val="19"/>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1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Borders>
              <w:bottom w:val="single" w:sz="8" w:color="CCEEFF"/>
            </w:tcBorders>
            <w:shd w:val="clear" w:color="auto" w:fill="CCEEFF"/>
          </w:tcPr>
          <w:p>
            <w:pPr>
              <w:spacing w:after="0"/>
              <w:rPr>
                <w:sz w:val="19"/>
                <w:szCs w:val="19"/>
                <w:color w:val="auto"/>
              </w:rPr>
            </w:pPr>
          </w:p>
        </w:tc>
        <w:tc>
          <w:tcPr>
            <w:tcW w:w="9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(98,293)</w:t>
            </w:r>
          </w:p>
        </w:tc>
        <w:tc>
          <w:tcPr>
            <w:tcW w:w="0" w:type="dxa"/>
            <w:vAlign w:val="bottom"/>
          </w:tcPr>
          <w:p>
            <w:pPr>
              <w:spacing w:after="0"/>
              <w:rPr>
                <w:sz w:val="1"/>
                <w:szCs w:val="1"/>
                <w:color w:val="auto"/>
              </w:rPr>
            </w:pPr>
          </w:p>
        </w:tc>
      </w:tr>
      <w:tr>
        <w:trPr>
          <w:trHeight w:val="223"/>
        </w:trPr>
        <w:tc>
          <w:tcPr>
            <w:tcW w:w="3320" w:type="dxa"/>
            <w:vAlign w:val="bottom"/>
          </w:tcPr>
          <w:p>
            <w:pPr>
              <w:ind w:left="20"/>
              <w:spacing w:after="0"/>
              <w:rPr>
                <w:sz w:val="20"/>
                <w:szCs w:val="20"/>
                <w:color w:val="auto"/>
              </w:rPr>
            </w:pPr>
            <w:r>
              <w:rPr>
                <w:rFonts w:ascii="Arial" w:cs="Arial" w:eastAsia="Arial" w:hAnsi="Arial"/>
                <w:sz w:val="16"/>
                <w:szCs w:val="16"/>
                <w:color w:val="auto"/>
              </w:rPr>
              <w:t>Share-based compensation</w:t>
            </w:r>
          </w:p>
        </w:tc>
        <w:tc>
          <w:tcPr>
            <w:tcW w:w="126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9"/>
                <w:szCs w:val="19"/>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9"/>
                <w:szCs w:val="19"/>
                <w:color w:val="auto"/>
              </w:rPr>
            </w:pPr>
          </w:p>
        </w:tc>
        <w:tc>
          <w:tcPr>
            <w:tcW w:w="1040" w:type="dxa"/>
            <w:vAlign w:val="bottom"/>
          </w:tcPr>
          <w:p>
            <w:pPr>
              <w:jc w:val="right"/>
              <w:ind w:right="60"/>
              <w:spacing w:after="0"/>
              <w:rPr>
                <w:sz w:val="20"/>
                <w:szCs w:val="20"/>
                <w:color w:val="auto"/>
              </w:rPr>
            </w:pPr>
            <w:r>
              <w:rPr>
                <w:rFonts w:ascii="Arial" w:cs="Arial" w:eastAsia="Arial" w:hAnsi="Arial"/>
                <w:sz w:val="16"/>
                <w:szCs w:val="16"/>
                <w:color w:val="auto"/>
              </w:rPr>
              <w:t>243,937</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3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9"/>
                <w:szCs w:val="19"/>
                <w:color w:val="auto"/>
              </w:rPr>
            </w:pPr>
          </w:p>
        </w:tc>
        <w:tc>
          <w:tcPr>
            <w:tcW w:w="11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9"/>
                <w:szCs w:val="19"/>
                <w:color w:val="auto"/>
              </w:rPr>
            </w:pPr>
          </w:p>
        </w:tc>
        <w:tc>
          <w:tcPr>
            <w:tcW w:w="940" w:type="dxa"/>
            <w:vAlign w:val="bottom"/>
          </w:tcPr>
          <w:p>
            <w:pPr>
              <w:jc w:val="right"/>
              <w:ind w:right="59"/>
              <w:spacing w:after="0"/>
              <w:rPr>
                <w:sz w:val="20"/>
                <w:szCs w:val="20"/>
                <w:color w:val="auto"/>
              </w:rPr>
            </w:pPr>
            <w:r>
              <w:rPr>
                <w:rFonts w:ascii="Arial" w:cs="Arial" w:eastAsia="Arial" w:hAnsi="Arial"/>
                <w:sz w:val="16"/>
                <w:szCs w:val="16"/>
                <w:color w:val="auto"/>
              </w:rPr>
              <w:t>243,937</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37"/>
        </w:trPr>
        <w:tc>
          <w:tcPr>
            <w:tcW w:w="33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6"/>
                <w:szCs w:val="16"/>
                <w:color w:val="auto"/>
              </w:rPr>
              <w:t>Issuance of warrant for common stock</w:t>
            </w: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3,407</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59"/>
              <w:spacing w:after="0"/>
              <w:rPr>
                <w:sz w:val="20"/>
                <w:szCs w:val="20"/>
                <w:color w:val="auto"/>
              </w:rPr>
            </w:pPr>
            <w:r>
              <w:rPr>
                <w:rFonts w:ascii="Arial" w:cs="Arial" w:eastAsia="Arial" w:hAnsi="Arial"/>
                <w:sz w:val="16"/>
                <w:szCs w:val="16"/>
                <w:color w:val="auto"/>
              </w:rPr>
              <w:t>3,407</w:t>
            </w:r>
          </w:p>
        </w:tc>
        <w:tc>
          <w:tcPr>
            <w:tcW w:w="0" w:type="dxa"/>
            <w:vAlign w:val="bottom"/>
          </w:tcPr>
          <w:p>
            <w:pPr>
              <w:spacing w:after="0"/>
              <w:rPr>
                <w:sz w:val="1"/>
                <w:szCs w:val="1"/>
                <w:color w:val="auto"/>
              </w:rPr>
            </w:pPr>
          </w:p>
        </w:tc>
      </w:tr>
      <w:tr>
        <w:trPr>
          <w:trHeight w:val="220"/>
        </w:trPr>
        <w:tc>
          <w:tcPr>
            <w:tcW w:w="3320" w:type="dxa"/>
            <w:vAlign w:val="bottom"/>
          </w:tcPr>
          <w:p>
            <w:pPr>
              <w:ind w:left="60"/>
              <w:spacing w:after="0"/>
              <w:rPr>
                <w:sz w:val="20"/>
                <w:szCs w:val="20"/>
                <w:color w:val="auto"/>
              </w:rPr>
            </w:pPr>
            <w:r>
              <w:rPr>
                <w:rFonts w:ascii="Arial" w:cs="Arial" w:eastAsia="Arial" w:hAnsi="Arial"/>
                <w:sz w:val="16"/>
                <w:szCs w:val="16"/>
                <w:color w:val="auto"/>
                <w:w w:val="97"/>
              </w:rPr>
              <w:t>Replacement equity awards attributable to pre-</w:t>
            </w: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3320" w:type="dxa"/>
            <w:vAlign w:val="bottom"/>
          </w:tcPr>
          <w:p>
            <w:pPr>
              <w:ind w:left="60"/>
              <w:spacing w:after="0"/>
              <w:rPr>
                <w:sz w:val="20"/>
                <w:szCs w:val="20"/>
                <w:color w:val="auto"/>
              </w:rPr>
            </w:pPr>
            <w:r>
              <w:rPr>
                <w:rFonts w:ascii="Arial" w:cs="Arial" w:eastAsia="Arial" w:hAnsi="Arial"/>
                <w:sz w:val="16"/>
                <w:szCs w:val="16"/>
                <w:color w:val="auto"/>
              </w:rPr>
              <w:t>acquisition service</w:t>
            </w:r>
          </w:p>
        </w:tc>
        <w:tc>
          <w:tcPr>
            <w:tcW w:w="126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7"/>
                <w:szCs w:val="17"/>
                <w:color w:val="auto"/>
              </w:rPr>
            </w:pPr>
          </w:p>
        </w:tc>
        <w:tc>
          <w:tcPr>
            <w:tcW w:w="1040" w:type="dxa"/>
            <w:vAlign w:val="bottom"/>
          </w:tcPr>
          <w:p>
            <w:pPr>
              <w:jc w:val="right"/>
              <w:ind w:right="60"/>
              <w:spacing w:after="0"/>
              <w:rPr>
                <w:sz w:val="20"/>
                <w:szCs w:val="20"/>
                <w:color w:val="auto"/>
              </w:rPr>
            </w:pPr>
            <w:r>
              <w:rPr>
                <w:rFonts w:ascii="Arial" w:cs="Arial" w:eastAsia="Arial" w:hAnsi="Arial"/>
                <w:sz w:val="16"/>
                <w:szCs w:val="16"/>
                <w:color w:val="auto"/>
              </w:rPr>
              <w:t>15,520</w:t>
            </w: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3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1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40" w:type="dxa"/>
            <w:vAlign w:val="bottom"/>
          </w:tcPr>
          <w:p>
            <w:pPr>
              <w:jc w:val="right"/>
              <w:ind w:right="59"/>
              <w:spacing w:after="0"/>
              <w:rPr>
                <w:sz w:val="20"/>
                <w:szCs w:val="20"/>
                <w:color w:val="auto"/>
              </w:rPr>
            </w:pPr>
            <w:r>
              <w:rPr>
                <w:rFonts w:ascii="Arial" w:cs="Arial" w:eastAsia="Arial" w:hAnsi="Arial"/>
                <w:sz w:val="16"/>
                <w:szCs w:val="16"/>
                <w:color w:val="auto"/>
              </w:rPr>
              <w:t>15,520</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36"/>
        </w:trPr>
        <w:tc>
          <w:tcPr>
            <w:tcW w:w="33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6"/>
                <w:szCs w:val="16"/>
                <w:color w:val="auto"/>
              </w:rPr>
              <w:t>Repurchase of common stock</w:t>
            </w:r>
          </w:p>
        </w:tc>
        <w:tc>
          <w:tcPr>
            <w:tcW w:w="116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(14,486)</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(29)</w:t>
            </w:r>
          </w:p>
        </w:tc>
        <w:tc>
          <w:tcPr>
            <w:tcW w:w="10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(364,243)</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(364,272)</w:t>
            </w:r>
          </w:p>
        </w:tc>
        <w:tc>
          <w:tcPr>
            <w:tcW w:w="0" w:type="dxa"/>
            <w:vAlign w:val="bottom"/>
          </w:tcPr>
          <w:p>
            <w:pPr>
              <w:spacing w:after="0"/>
              <w:rPr>
                <w:sz w:val="1"/>
                <w:szCs w:val="1"/>
                <w:color w:val="auto"/>
              </w:rPr>
            </w:pPr>
          </w:p>
        </w:tc>
      </w:tr>
      <w:tr>
        <w:trPr>
          <w:trHeight w:val="166"/>
        </w:trPr>
        <w:tc>
          <w:tcPr>
            <w:tcW w:w="3320" w:type="dxa"/>
            <w:vAlign w:val="bottom"/>
          </w:tcPr>
          <w:p>
            <w:pPr>
              <w:ind w:left="80"/>
              <w:spacing w:after="0" w:line="166" w:lineRule="exact"/>
              <w:rPr>
                <w:sz w:val="20"/>
                <w:szCs w:val="20"/>
                <w:color w:val="auto"/>
              </w:rPr>
            </w:pPr>
            <w:r>
              <w:rPr>
                <w:rFonts w:ascii="Arial" w:cs="Arial" w:eastAsia="Arial" w:hAnsi="Arial"/>
                <w:sz w:val="16"/>
                <w:szCs w:val="16"/>
                <w:color w:val="auto"/>
                <w:w w:val="95"/>
              </w:rPr>
              <w:t>Cash dividends declared and paid (cumulatively</w:t>
            </w:r>
          </w:p>
        </w:tc>
        <w:tc>
          <w:tcPr>
            <w:tcW w:w="1260" w:type="dxa"/>
            <w:vAlign w:val="bottom"/>
            <w:gridSpan w:val="2"/>
            <w:vMerge w:val="restart"/>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4"/>
                <w:szCs w:val="14"/>
                <w:color w:val="auto"/>
              </w:rPr>
            </w:pPr>
          </w:p>
        </w:tc>
        <w:tc>
          <w:tcPr>
            <w:tcW w:w="1040" w:type="dxa"/>
            <w:vAlign w:val="bottom"/>
            <w:gridSpan w:val="2"/>
            <w:vMerge w:val="restart"/>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4"/>
                <w:szCs w:val="14"/>
                <w:color w:val="auto"/>
              </w:rPr>
            </w:pPr>
          </w:p>
        </w:tc>
        <w:tc>
          <w:tcPr>
            <w:tcW w:w="1140" w:type="dxa"/>
            <w:vAlign w:val="bottom"/>
            <w:gridSpan w:val="2"/>
            <w:vMerge w:val="restart"/>
          </w:tcPr>
          <w:p>
            <w:pPr>
              <w:jc w:val="right"/>
              <w:ind w:right="24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4"/>
                <w:szCs w:val="14"/>
                <w:color w:val="auto"/>
              </w:rPr>
            </w:pPr>
          </w:p>
        </w:tc>
        <w:tc>
          <w:tcPr>
            <w:tcW w:w="1340" w:type="dxa"/>
            <w:vAlign w:val="bottom"/>
            <w:gridSpan w:val="2"/>
            <w:vMerge w:val="restart"/>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4"/>
                <w:szCs w:val="14"/>
                <w:color w:val="auto"/>
              </w:rPr>
            </w:pPr>
          </w:p>
        </w:tc>
        <w:tc>
          <w:tcPr>
            <w:tcW w:w="980" w:type="dxa"/>
            <w:vAlign w:val="bottom"/>
            <w:vMerge w:val="restart"/>
          </w:tcPr>
          <w:p>
            <w:pPr>
              <w:jc w:val="right"/>
              <w:ind w:right="20"/>
              <w:spacing w:after="0"/>
              <w:rPr>
                <w:sz w:val="20"/>
                <w:szCs w:val="20"/>
                <w:color w:val="auto"/>
              </w:rPr>
            </w:pPr>
            <w:r>
              <w:rPr>
                <w:rFonts w:ascii="Arial" w:cs="Arial" w:eastAsia="Arial" w:hAnsi="Arial"/>
                <w:sz w:val="16"/>
                <w:szCs w:val="16"/>
                <w:color w:val="auto"/>
              </w:rPr>
              <w:t>(159,573)</w:t>
            </w: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40" w:type="dxa"/>
            <w:vAlign w:val="bottom"/>
            <w:vMerge w:val="restart"/>
          </w:tcPr>
          <w:p>
            <w:pPr>
              <w:jc w:val="right"/>
              <w:ind w:right="19"/>
              <w:spacing w:after="0"/>
              <w:rPr>
                <w:sz w:val="20"/>
                <w:szCs w:val="20"/>
                <w:color w:val="auto"/>
              </w:rPr>
            </w:pPr>
            <w:r>
              <w:rPr>
                <w:rFonts w:ascii="Arial" w:cs="Arial" w:eastAsia="Arial" w:hAnsi="Arial"/>
                <w:sz w:val="16"/>
                <w:szCs w:val="16"/>
                <w:color w:val="auto"/>
              </w:rPr>
              <w:t>(159,573)</w:t>
            </w:r>
          </w:p>
        </w:tc>
        <w:tc>
          <w:tcPr>
            <w:tcW w:w="0" w:type="dxa"/>
            <w:vAlign w:val="bottom"/>
          </w:tcPr>
          <w:p>
            <w:pPr>
              <w:spacing w:after="0"/>
              <w:rPr>
                <w:sz w:val="1"/>
                <w:szCs w:val="1"/>
                <w:color w:val="auto"/>
              </w:rPr>
            </w:pPr>
          </w:p>
        </w:tc>
      </w:tr>
      <w:tr>
        <w:trPr>
          <w:trHeight w:val="209"/>
        </w:trPr>
        <w:tc>
          <w:tcPr>
            <w:tcW w:w="3320" w:type="dxa"/>
            <w:vAlign w:val="bottom"/>
          </w:tcPr>
          <w:p>
            <w:pPr>
              <w:ind w:left="80"/>
              <w:spacing w:after="0"/>
              <w:rPr>
                <w:sz w:val="20"/>
                <w:szCs w:val="20"/>
                <w:color w:val="auto"/>
              </w:rPr>
            </w:pPr>
            <w:r>
              <w:rPr>
                <w:rFonts w:ascii="Arial" w:cs="Arial" w:eastAsia="Arial" w:hAnsi="Arial"/>
                <w:sz w:val="16"/>
                <w:szCs w:val="16"/>
                <w:color w:val="auto"/>
              </w:rPr>
              <w:t>$0.24 per share)</w:t>
            </w:r>
          </w:p>
        </w:tc>
        <w:tc>
          <w:tcPr>
            <w:tcW w:w="1260" w:type="dxa"/>
            <w:vAlign w:val="bottom"/>
            <w:gridSpan w:val="2"/>
            <w:vMerge w:val="continue"/>
          </w:tcPr>
          <w:p>
            <w:pPr>
              <w:spacing w:after="0"/>
              <w:rPr>
                <w:sz w:val="18"/>
                <w:szCs w:val="18"/>
                <w:color w:val="auto"/>
              </w:rPr>
            </w:pPr>
          </w:p>
        </w:tc>
        <w:tc>
          <w:tcPr>
            <w:tcW w:w="220" w:type="dxa"/>
            <w:vAlign w:val="bottom"/>
          </w:tcPr>
          <w:p>
            <w:pPr>
              <w:spacing w:after="0"/>
              <w:rPr>
                <w:sz w:val="18"/>
                <w:szCs w:val="18"/>
                <w:color w:val="auto"/>
              </w:rPr>
            </w:pPr>
          </w:p>
        </w:tc>
        <w:tc>
          <w:tcPr>
            <w:tcW w:w="1040" w:type="dxa"/>
            <w:vAlign w:val="bottom"/>
            <w:gridSpan w:val="2"/>
            <w:vMerge w:val="continue"/>
          </w:tcPr>
          <w:p>
            <w:pPr>
              <w:spacing w:after="0"/>
              <w:rPr>
                <w:sz w:val="18"/>
                <w:szCs w:val="18"/>
                <w:color w:val="auto"/>
              </w:rPr>
            </w:pPr>
          </w:p>
        </w:tc>
        <w:tc>
          <w:tcPr>
            <w:tcW w:w="200" w:type="dxa"/>
            <w:vAlign w:val="bottom"/>
          </w:tcPr>
          <w:p>
            <w:pPr>
              <w:spacing w:after="0"/>
              <w:rPr>
                <w:sz w:val="18"/>
                <w:szCs w:val="18"/>
                <w:color w:val="auto"/>
              </w:rPr>
            </w:pPr>
          </w:p>
        </w:tc>
        <w:tc>
          <w:tcPr>
            <w:tcW w:w="1140" w:type="dxa"/>
            <w:vAlign w:val="bottom"/>
            <w:gridSpan w:val="2"/>
            <w:vMerge w:val="continue"/>
          </w:tcPr>
          <w:p>
            <w:pPr>
              <w:spacing w:after="0"/>
              <w:rPr>
                <w:sz w:val="18"/>
                <w:szCs w:val="18"/>
                <w:color w:val="auto"/>
              </w:rPr>
            </w:pPr>
          </w:p>
        </w:tc>
        <w:tc>
          <w:tcPr>
            <w:tcW w:w="160" w:type="dxa"/>
            <w:vAlign w:val="bottom"/>
          </w:tcPr>
          <w:p>
            <w:pPr>
              <w:spacing w:after="0"/>
              <w:rPr>
                <w:sz w:val="18"/>
                <w:szCs w:val="18"/>
                <w:color w:val="auto"/>
              </w:rPr>
            </w:pPr>
          </w:p>
        </w:tc>
        <w:tc>
          <w:tcPr>
            <w:tcW w:w="1340" w:type="dxa"/>
            <w:vAlign w:val="bottom"/>
            <w:gridSpan w:val="2"/>
            <w:vMerge w:val="continue"/>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vMerge w:val="continue"/>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4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59"/>
        </w:trPr>
        <w:tc>
          <w:tcPr>
            <w:tcW w:w="332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6"/>
                <w:szCs w:val="16"/>
                <w:color w:val="auto"/>
              </w:rPr>
              <w:t>Net income</w:t>
            </w: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6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2"/>
                <w:szCs w:val="22"/>
                <w:color w:val="auto"/>
              </w:rPr>
            </w:pPr>
          </w:p>
        </w:tc>
        <w:tc>
          <w:tcPr>
            <w:tcW w:w="98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1,584,391</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940" w:type="dxa"/>
            <w:vAlign w:val="bottom"/>
            <w:tcBorders>
              <w:bottom w:val="single" w:sz="8" w:color="CCEEFF"/>
            </w:tcBorders>
            <w:shd w:val="clear" w:color="auto" w:fill="CCEEFF"/>
          </w:tcPr>
          <w:p>
            <w:pPr>
              <w:jc w:val="right"/>
              <w:ind w:right="59"/>
              <w:spacing w:after="0"/>
              <w:rPr>
                <w:sz w:val="20"/>
                <w:szCs w:val="20"/>
                <w:color w:val="auto"/>
              </w:rPr>
            </w:pPr>
            <w:r>
              <w:rPr>
                <w:rFonts w:ascii="Arial" w:cs="Arial" w:eastAsia="Arial" w:hAnsi="Arial"/>
                <w:sz w:val="16"/>
                <w:szCs w:val="16"/>
                <w:color w:val="auto"/>
              </w:rPr>
              <w:t>1,584,391</w:t>
            </w:r>
          </w:p>
        </w:tc>
        <w:tc>
          <w:tcPr>
            <w:tcW w:w="0" w:type="dxa"/>
            <w:vAlign w:val="bottom"/>
          </w:tcPr>
          <w:p>
            <w:pPr>
              <w:spacing w:after="0"/>
              <w:rPr>
                <w:sz w:val="1"/>
                <w:szCs w:val="1"/>
                <w:color w:val="auto"/>
              </w:rPr>
            </w:pPr>
          </w:p>
        </w:tc>
      </w:tr>
      <w:tr>
        <w:trPr>
          <w:trHeight w:val="217"/>
        </w:trPr>
        <w:tc>
          <w:tcPr>
            <w:tcW w:w="3320" w:type="dxa"/>
            <w:vAlign w:val="bottom"/>
          </w:tcPr>
          <w:p>
            <w:pPr>
              <w:ind w:left="20"/>
              <w:spacing w:after="0"/>
              <w:rPr>
                <w:sz w:val="20"/>
                <w:szCs w:val="20"/>
                <w:color w:val="auto"/>
              </w:rPr>
            </w:pPr>
            <w:r>
              <w:rPr>
                <w:rFonts w:ascii="Arial" w:cs="Arial" w:eastAsia="Arial" w:hAnsi="Arial"/>
                <w:sz w:val="16"/>
                <w:szCs w:val="16"/>
                <w:b w:val="1"/>
                <w:bCs w:val="1"/>
                <w:color w:val="auto"/>
              </w:rPr>
              <w:t>Balance at February 1, 2020</w:t>
            </w:r>
          </w:p>
        </w:tc>
        <w:tc>
          <w:tcPr>
            <w:tcW w:w="1160" w:type="dxa"/>
            <w:vAlign w:val="bottom"/>
            <w:tcBorders>
              <w:top w:val="single" w:sz="8" w:color="auto"/>
            </w:tcBorders>
          </w:tcPr>
          <w:p>
            <w:pPr>
              <w:jc w:val="right"/>
              <w:ind w:right="80"/>
              <w:spacing w:after="0"/>
              <w:rPr>
                <w:sz w:val="20"/>
                <w:szCs w:val="20"/>
                <w:color w:val="auto"/>
              </w:rPr>
            </w:pPr>
            <w:r>
              <w:rPr>
                <w:rFonts w:ascii="Arial" w:cs="Arial" w:eastAsia="Arial" w:hAnsi="Arial"/>
                <w:sz w:val="16"/>
                <w:szCs w:val="16"/>
                <w:color w:val="auto"/>
              </w:rPr>
              <w:t>663,481</w:t>
            </w:r>
          </w:p>
        </w:tc>
        <w:tc>
          <w:tcPr>
            <w:tcW w:w="100" w:type="dxa"/>
            <w:vAlign w:val="bottom"/>
          </w:tcPr>
          <w:p>
            <w:pPr>
              <w:spacing w:after="0"/>
              <w:rPr>
                <w:sz w:val="18"/>
                <w:szCs w:val="18"/>
                <w:color w:val="auto"/>
              </w:rPr>
            </w:pPr>
          </w:p>
        </w:tc>
        <w:tc>
          <w:tcPr>
            <w:tcW w:w="22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w w:val="89"/>
              </w:rPr>
              <w:t>$</w:t>
            </w:r>
          </w:p>
        </w:tc>
        <w:tc>
          <w:tcPr>
            <w:tcW w:w="940" w:type="dxa"/>
            <w:vAlign w:val="bottom"/>
            <w:tcBorders>
              <w:top w:val="single" w:sz="8" w:color="auto"/>
            </w:tcBorders>
          </w:tcPr>
          <w:p>
            <w:pPr>
              <w:jc w:val="right"/>
              <w:ind w:right="79"/>
              <w:spacing w:after="0"/>
              <w:rPr>
                <w:sz w:val="20"/>
                <w:szCs w:val="20"/>
                <w:color w:val="auto"/>
              </w:rPr>
            </w:pPr>
            <w:r>
              <w:rPr>
                <w:rFonts w:ascii="Arial" w:cs="Arial" w:eastAsia="Arial" w:hAnsi="Arial"/>
                <w:sz w:val="16"/>
                <w:szCs w:val="16"/>
                <w:color w:val="auto"/>
              </w:rPr>
              <w:t>1,328</w:t>
            </w:r>
          </w:p>
        </w:tc>
        <w:tc>
          <w:tcPr>
            <w:tcW w:w="100" w:type="dxa"/>
            <w:vAlign w:val="bottom"/>
          </w:tcPr>
          <w:p>
            <w:pPr>
              <w:spacing w:after="0"/>
              <w:rPr>
                <w:sz w:val="18"/>
                <w:szCs w:val="18"/>
                <w:color w:val="auto"/>
              </w:rPr>
            </w:pPr>
          </w:p>
        </w:tc>
        <w:tc>
          <w:tcPr>
            <w:tcW w:w="200" w:type="dxa"/>
            <w:vAlign w:val="bottom"/>
            <w:tcBorders>
              <w:top w:val="single" w:sz="8" w:color="auto"/>
            </w:tcBorders>
          </w:tcPr>
          <w:p>
            <w:pPr>
              <w:jc w:val="right"/>
              <w:ind w:right="19"/>
              <w:spacing w:after="0"/>
              <w:rPr>
                <w:sz w:val="20"/>
                <w:szCs w:val="20"/>
                <w:color w:val="auto"/>
              </w:rPr>
            </w:pPr>
            <w:r>
              <w:rPr>
                <w:rFonts w:ascii="Arial" w:cs="Arial" w:eastAsia="Arial" w:hAnsi="Arial"/>
                <w:sz w:val="16"/>
                <w:szCs w:val="16"/>
                <w:color w:val="auto"/>
                <w:w w:val="89"/>
              </w:rPr>
              <w:t>$</w:t>
            </w:r>
          </w:p>
        </w:tc>
        <w:tc>
          <w:tcPr>
            <w:tcW w:w="1040" w:type="dxa"/>
            <w:vAlign w:val="bottom"/>
            <w:tcBorders>
              <w:top w:val="single" w:sz="8" w:color="auto"/>
            </w:tcBorders>
          </w:tcPr>
          <w:p>
            <w:pPr>
              <w:jc w:val="right"/>
              <w:ind w:right="60"/>
              <w:spacing w:after="0"/>
              <w:rPr>
                <w:sz w:val="20"/>
                <w:szCs w:val="20"/>
                <w:color w:val="auto"/>
              </w:rPr>
            </w:pPr>
            <w:r>
              <w:rPr>
                <w:rFonts w:ascii="Arial" w:cs="Arial" w:eastAsia="Arial" w:hAnsi="Arial"/>
                <w:sz w:val="16"/>
                <w:szCs w:val="16"/>
                <w:color w:val="auto"/>
              </w:rPr>
              <w:t>6,135,939</w:t>
            </w:r>
          </w:p>
        </w:tc>
        <w:tc>
          <w:tcPr>
            <w:tcW w:w="100" w:type="dxa"/>
            <w:vAlign w:val="bottom"/>
          </w:tcPr>
          <w:p>
            <w:pPr>
              <w:spacing w:after="0"/>
              <w:rPr>
                <w:sz w:val="18"/>
                <w:szCs w:val="18"/>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w w:val="89"/>
              </w:rPr>
              <w:t>$</w:t>
            </w:r>
          </w:p>
        </w:tc>
        <w:tc>
          <w:tcPr>
            <w:tcW w:w="1240" w:type="dxa"/>
            <w:vAlign w:val="bottom"/>
            <w:tcBorders>
              <w:top w:val="single" w:sz="8" w:color="auto"/>
            </w:tcBorders>
          </w:tcPr>
          <w:p>
            <w:pPr>
              <w:jc w:val="right"/>
              <w:ind w:right="6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8"/>
                <w:szCs w:val="18"/>
                <w:color w:val="auto"/>
              </w:rPr>
            </w:pPr>
          </w:p>
        </w:tc>
        <w:tc>
          <w:tcPr>
            <w:tcW w:w="22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w w:val="89"/>
              </w:rPr>
              <w:t>$</w:t>
            </w:r>
          </w:p>
        </w:tc>
        <w:tc>
          <w:tcPr>
            <w:tcW w:w="980" w:type="dxa"/>
            <w:vAlign w:val="bottom"/>
            <w:tcBorders>
              <w:top w:val="single" w:sz="8" w:color="auto"/>
            </w:tcBorders>
          </w:tcPr>
          <w:p>
            <w:pPr>
              <w:jc w:val="right"/>
              <w:ind w:right="60"/>
              <w:spacing w:after="0"/>
              <w:rPr>
                <w:sz w:val="20"/>
                <w:szCs w:val="20"/>
                <w:color w:val="auto"/>
              </w:rPr>
            </w:pPr>
            <w:r>
              <w:rPr>
                <w:rFonts w:ascii="Arial" w:cs="Arial" w:eastAsia="Arial" w:hAnsi="Arial"/>
                <w:sz w:val="16"/>
                <w:szCs w:val="16"/>
                <w:color w:val="auto"/>
              </w:rPr>
              <w:t>2,541,313</w:t>
            </w:r>
          </w:p>
        </w:tc>
        <w:tc>
          <w:tcPr>
            <w:tcW w:w="120" w:type="dxa"/>
            <w:vAlign w:val="bottom"/>
          </w:tcPr>
          <w:p>
            <w:pPr>
              <w:spacing w:after="0"/>
              <w:rPr>
                <w:sz w:val="18"/>
                <w:szCs w:val="18"/>
                <w:color w:val="auto"/>
              </w:rPr>
            </w:pPr>
          </w:p>
        </w:tc>
        <w:tc>
          <w:tcPr>
            <w:tcW w:w="240" w:type="dxa"/>
            <w:vAlign w:val="bottom"/>
            <w:tcBorders>
              <w:top w:val="single" w:sz="8" w:color="auto"/>
            </w:tcBorders>
          </w:tcPr>
          <w:p>
            <w:pPr>
              <w:jc w:val="right"/>
              <w:ind w:right="59"/>
              <w:spacing w:after="0"/>
              <w:rPr>
                <w:sz w:val="20"/>
                <w:szCs w:val="20"/>
                <w:color w:val="auto"/>
              </w:rPr>
            </w:pPr>
            <w:r>
              <w:rPr>
                <w:rFonts w:ascii="Arial" w:cs="Arial" w:eastAsia="Arial" w:hAnsi="Arial"/>
                <w:sz w:val="16"/>
                <w:szCs w:val="16"/>
                <w:color w:val="auto"/>
                <w:w w:val="89"/>
              </w:rPr>
              <w:t>$</w:t>
            </w:r>
          </w:p>
        </w:tc>
        <w:tc>
          <w:tcPr>
            <w:tcW w:w="940" w:type="dxa"/>
            <w:vAlign w:val="bottom"/>
            <w:tcBorders>
              <w:top w:val="single" w:sz="8" w:color="auto"/>
            </w:tcBorders>
          </w:tcPr>
          <w:p>
            <w:pPr>
              <w:jc w:val="right"/>
              <w:ind w:right="59"/>
              <w:spacing w:after="0"/>
              <w:rPr>
                <w:sz w:val="20"/>
                <w:szCs w:val="20"/>
                <w:color w:val="auto"/>
              </w:rPr>
            </w:pPr>
            <w:r>
              <w:rPr>
                <w:rFonts w:ascii="Arial" w:cs="Arial" w:eastAsia="Arial" w:hAnsi="Arial"/>
                <w:sz w:val="16"/>
                <w:szCs w:val="16"/>
                <w:color w:val="auto"/>
              </w:rPr>
              <w:t>8,678,580</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320" w:type="dxa"/>
            <w:vAlign w:val="bottom"/>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14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See accompanying Notes to Consolidated Financial Statements.</w:t>
      </w:r>
    </w:p>
    <w:p>
      <w:pPr>
        <w:sectPr>
          <w:pgSz w:w="11900" w:h="16838" w:orient="portrait"/>
          <w:cols w:equalWidth="0" w:num="1">
            <w:col w:w="11180"/>
          </w:cols>
          <w:pgMar w:left="320" w:top="225" w:right="399" w:bottom="1440" w:gutter="0" w:footer="0" w:header="0"/>
        </w:sectPr>
      </w:pPr>
    </w:p>
    <w:p>
      <w:pPr>
        <w:spacing w:after="0" w:line="279" w:lineRule="exact"/>
        <w:rPr>
          <w:sz w:val="20"/>
          <w:szCs w:val="20"/>
          <w:color w:val="auto"/>
        </w:rPr>
      </w:pPr>
    </w:p>
    <w:p>
      <w:pPr>
        <w:jc w:val="center"/>
        <w:ind w:right="-79"/>
        <w:spacing w:after="0"/>
        <w:rPr>
          <w:sz w:val="20"/>
          <w:szCs w:val="20"/>
          <w:color w:val="auto"/>
        </w:rPr>
      </w:pPr>
      <w:r>
        <w:rPr>
          <w:rFonts w:ascii="Arial" w:cs="Arial" w:eastAsia="Arial" w:hAnsi="Arial"/>
          <w:sz w:val="16"/>
          <w:szCs w:val="16"/>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225" w:right="399" w:bottom="1440" w:gutter="0" w:footer="0" w:header="0"/>
          <w:type w:val="continuous"/>
        </w:sectPr>
      </w:pPr>
    </w:p>
    <w:bookmarkStart w:id="56" w:name="page57"/>
    <w:bookmarkEnd w:id="56"/>
    <w:p>
      <w:pPr>
        <w:spacing w:after="0"/>
        <w:rPr>
          <w:rFonts w:ascii="Arial" w:cs="Arial" w:eastAsia="Arial" w:hAnsi="Arial"/>
          <w:sz w:val="14"/>
          <w:szCs w:val="14"/>
          <w:b w:val="1"/>
          <w:bCs w:val="1"/>
          <w:u w:val="single" w:color="auto"/>
          <w:color w:val="0000FF"/>
        </w:rPr>
      </w:pPr>
      <w:hyperlink w:anchor="page2">
        <w:r>
          <w:rPr>
            <w:rFonts w:ascii="Arial" w:cs="Arial" w:eastAsia="Arial" w:hAnsi="Arial"/>
            <w:sz w:val="14"/>
            <w:szCs w:val="14"/>
            <w:b w:val="1"/>
            <w:bCs w:val="1"/>
            <w:u w:val="single" w:color="auto"/>
            <w:color w:val="0000FF"/>
          </w:rPr>
          <w:t>Table of Contents</w:t>
        </w:r>
      </w:hyperlink>
    </w:p>
    <w:p>
      <w:pPr>
        <w:spacing w:after="0" w:line="24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w:t>
      </w:r>
    </w:p>
    <w:p>
      <w:pPr>
        <w:spacing w:after="0" w:line="4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gridSpan w:val="2"/>
          </w:tcPr>
          <w:p>
            <w:pPr>
              <w:jc w:val="center"/>
              <w:ind w:right="320"/>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r>
      <w:tr>
        <w:trPr>
          <w:trHeight w:val="152"/>
        </w:trPr>
        <w:tc>
          <w:tcPr>
            <w:tcW w:w="67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32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February 1,</w:t>
            </w:r>
          </w:p>
        </w:tc>
        <w:tc>
          <w:tcPr>
            <w:tcW w:w="220" w:type="dxa"/>
            <w:vAlign w:val="bottom"/>
          </w:tcPr>
          <w:p>
            <w:pPr>
              <w:spacing w:after="0"/>
              <w:rPr>
                <w:sz w:val="13"/>
                <w:szCs w:val="13"/>
                <w:color w:val="auto"/>
              </w:rPr>
            </w:pPr>
          </w:p>
        </w:tc>
        <w:tc>
          <w:tcPr>
            <w:tcW w:w="132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5"/>
              </w:rPr>
              <w:t>February 2,</w:t>
            </w:r>
          </w:p>
        </w:tc>
        <w:tc>
          <w:tcPr>
            <w:tcW w:w="220" w:type="dxa"/>
            <w:vAlign w:val="bottom"/>
          </w:tcPr>
          <w:p>
            <w:pPr>
              <w:spacing w:after="0"/>
              <w:rPr>
                <w:sz w:val="13"/>
                <w:szCs w:val="13"/>
                <w:color w:val="auto"/>
              </w:rPr>
            </w:pPr>
          </w:p>
        </w:tc>
        <w:tc>
          <w:tcPr>
            <w:tcW w:w="1220" w:type="dxa"/>
            <w:vAlign w:val="bottom"/>
          </w:tcPr>
          <w:p>
            <w:pPr>
              <w:jc w:val="right"/>
              <w:ind w:right="279"/>
              <w:spacing w:after="0" w:line="153" w:lineRule="exact"/>
              <w:rPr>
                <w:sz w:val="20"/>
                <w:szCs w:val="20"/>
                <w:color w:val="auto"/>
              </w:rPr>
            </w:pPr>
            <w:r>
              <w:rPr>
                <w:rFonts w:ascii="Arial" w:cs="Arial" w:eastAsia="Arial" w:hAnsi="Arial"/>
                <w:sz w:val="14"/>
                <w:szCs w:val="14"/>
                <w:b w:val="1"/>
                <w:bCs w:val="1"/>
                <w:color w:val="auto"/>
              </w:rPr>
              <w:t>February 3,</w:t>
            </w:r>
          </w:p>
        </w:tc>
      </w:tr>
      <w:tr>
        <w:trPr>
          <w:trHeight w:val="192"/>
        </w:trPr>
        <w:tc>
          <w:tcPr>
            <w:tcW w:w="67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140"/>
              <w:spacing w:after="0"/>
              <w:rPr>
                <w:sz w:val="20"/>
                <w:szCs w:val="20"/>
                <w:color w:val="auto"/>
              </w:rPr>
            </w:pPr>
            <w:r>
              <w:rPr>
                <w:rFonts w:ascii="Arial" w:cs="Arial" w:eastAsia="Arial" w:hAnsi="Arial"/>
                <w:sz w:val="14"/>
                <w:szCs w:val="14"/>
                <w:b w:val="1"/>
                <w:bCs w:val="1"/>
                <w:color w:val="auto"/>
                <w:w w:val="89"/>
              </w:rPr>
              <w:t>2019</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2018</w:t>
            </w:r>
          </w:p>
        </w:tc>
      </w:tr>
      <w:tr>
        <w:trPr>
          <w:trHeight w:val="223"/>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b w:val="1"/>
                <w:bCs w:val="1"/>
                <w:color w:val="auto"/>
              </w:rPr>
              <w:t>Cash flows from operating activities:</w:t>
            </w:r>
          </w:p>
        </w:tc>
        <w:tc>
          <w:tcPr>
            <w:tcW w:w="220" w:type="dxa"/>
            <w:vAlign w:val="bottom"/>
            <w:tcBorders>
              <w:bottom w:val="single" w:sz="8" w:color="CCEEFF"/>
            </w:tcBorders>
            <w:shd w:val="clear" w:color="auto" w:fill="CCEEFF"/>
          </w:tcPr>
          <w:p>
            <w:pPr>
              <w:spacing w:after="0"/>
              <w:rPr>
                <w:sz w:val="19"/>
                <w:szCs w:val="19"/>
                <w:color w:val="auto"/>
              </w:rPr>
            </w:pPr>
          </w:p>
        </w:tc>
        <w:tc>
          <w:tcPr>
            <w:tcW w:w="1220" w:type="dxa"/>
            <w:vAlign w:val="bottom"/>
            <w:tcBorders>
              <w:bottom w:val="single" w:sz="8" w:color="CCEEFF"/>
            </w:tcBorders>
            <w:shd w:val="clear" w:color="auto" w:fill="CCEEFF"/>
          </w:tcPr>
          <w:p>
            <w:pPr>
              <w:spacing w:after="0"/>
              <w:rPr>
                <w:sz w:val="19"/>
                <w:szCs w:val="19"/>
                <w:color w:val="auto"/>
              </w:rPr>
            </w:pPr>
          </w:p>
        </w:tc>
        <w:tc>
          <w:tcPr>
            <w:tcW w:w="10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CCEEFF"/>
            </w:tcBorders>
            <w:shd w:val="clear" w:color="auto" w:fill="CCEEFF"/>
          </w:tcPr>
          <w:p>
            <w:pPr>
              <w:spacing w:after="0"/>
              <w:rPr>
                <w:sz w:val="19"/>
                <w:szCs w:val="19"/>
                <w:color w:val="auto"/>
              </w:rPr>
            </w:pPr>
          </w:p>
        </w:tc>
        <w:tc>
          <w:tcPr>
            <w:tcW w:w="1220" w:type="dxa"/>
            <w:vAlign w:val="bottom"/>
            <w:tcBorders>
              <w:bottom w:val="single" w:sz="8" w:color="CCEEFF"/>
            </w:tcBorders>
            <w:shd w:val="clear" w:color="auto" w:fill="CCEEFF"/>
          </w:tcPr>
          <w:p>
            <w:pPr>
              <w:spacing w:after="0"/>
              <w:rPr>
                <w:sz w:val="19"/>
                <w:szCs w:val="19"/>
                <w:color w:val="auto"/>
              </w:rPr>
            </w:pPr>
          </w:p>
        </w:tc>
        <w:tc>
          <w:tcPr>
            <w:tcW w:w="10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CCEEFF"/>
            </w:tcBorders>
            <w:shd w:val="clear" w:color="auto" w:fill="CCEEFF"/>
          </w:tcPr>
          <w:p>
            <w:pPr>
              <w:spacing w:after="0"/>
              <w:rPr>
                <w:sz w:val="19"/>
                <w:szCs w:val="19"/>
                <w:color w:val="auto"/>
              </w:rPr>
            </w:pPr>
          </w:p>
        </w:tc>
        <w:tc>
          <w:tcPr>
            <w:tcW w:w="1220" w:type="dxa"/>
            <w:vAlign w:val="bottom"/>
            <w:tcBorders>
              <w:bottom w:val="single" w:sz="8" w:color="CCEEFF"/>
            </w:tcBorders>
            <w:shd w:val="clear" w:color="auto" w:fill="CCEEFF"/>
          </w:tcPr>
          <w:p>
            <w:pPr>
              <w:spacing w:after="0"/>
              <w:rPr>
                <w:sz w:val="19"/>
                <w:szCs w:val="19"/>
                <w:color w:val="auto"/>
              </w:rPr>
            </w:pPr>
          </w:p>
        </w:tc>
      </w:tr>
      <w:tr>
        <w:trPr>
          <w:trHeight w:val="224"/>
        </w:trPr>
        <w:tc>
          <w:tcPr>
            <w:tcW w:w="6700" w:type="dxa"/>
            <w:vAlign w:val="bottom"/>
          </w:tcPr>
          <w:p>
            <w:pPr>
              <w:ind w:left="340"/>
              <w:spacing w:after="0"/>
              <w:rPr>
                <w:sz w:val="20"/>
                <w:szCs w:val="20"/>
                <w:color w:val="auto"/>
              </w:rPr>
            </w:pPr>
            <w:r>
              <w:rPr>
                <w:rFonts w:ascii="Arial" w:cs="Arial" w:eastAsia="Arial" w:hAnsi="Arial"/>
                <w:sz w:val="16"/>
                <w:szCs w:val="16"/>
                <w:color w:val="auto"/>
              </w:rPr>
              <w:t>Net income (loss)</w:t>
            </w:r>
          </w:p>
        </w:tc>
        <w:tc>
          <w:tcPr>
            <w:tcW w:w="220" w:type="dxa"/>
            <w:vAlign w:val="bottom"/>
          </w:tcPr>
          <w:p>
            <w:pPr>
              <w:jc w:val="right"/>
              <w:ind w:right="39"/>
              <w:spacing w:after="0"/>
              <w:rPr>
                <w:sz w:val="20"/>
                <w:szCs w:val="20"/>
                <w:color w:val="auto"/>
              </w:rPr>
            </w:pPr>
            <w:r>
              <w:rPr>
                <w:rFonts w:ascii="Arial" w:cs="Arial" w:eastAsia="Arial" w:hAnsi="Arial"/>
                <w:sz w:val="16"/>
                <w:szCs w:val="16"/>
                <w:color w:val="auto"/>
                <w:w w:val="89"/>
              </w:rPr>
              <w:t>$</w:t>
            </w: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1,584,391</w:t>
            </w:r>
          </w:p>
        </w:tc>
        <w:tc>
          <w:tcPr>
            <w:tcW w:w="100" w:type="dxa"/>
            <w:vAlign w:val="bottom"/>
          </w:tcPr>
          <w:p>
            <w:pPr>
              <w:spacing w:after="0"/>
              <w:rPr>
                <w:sz w:val="19"/>
                <w:szCs w:val="19"/>
                <w:color w:val="auto"/>
              </w:rPr>
            </w:pPr>
          </w:p>
        </w:tc>
        <w:tc>
          <w:tcPr>
            <w:tcW w:w="220" w:type="dxa"/>
            <w:vAlign w:val="bottom"/>
          </w:tcPr>
          <w:p>
            <w:pPr>
              <w:jc w:val="right"/>
              <w:ind w:right="39"/>
              <w:spacing w:after="0"/>
              <w:rPr>
                <w:sz w:val="20"/>
                <w:szCs w:val="20"/>
                <w:color w:val="auto"/>
              </w:rPr>
            </w:pPr>
            <w:r>
              <w:rPr>
                <w:rFonts w:ascii="Arial" w:cs="Arial" w:eastAsia="Arial" w:hAnsi="Arial"/>
                <w:sz w:val="16"/>
                <w:szCs w:val="16"/>
                <w:color w:val="auto"/>
                <w:w w:val="89"/>
              </w:rPr>
              <w:t>$</w:t>
            </w:r>
          </w:p>
        </w:tc>
        <w:tc>
          <w:tcPr>
            <w:tcW w:w="1220" w:type="dxa"/>
            <w:vAlign w:val="bottom"/>
          </w:tcPr>
          <w:p>
            <w:pPr>
              <w:jc w:val="right"/>
              <w:ind w:right="40"/>
              <w:spacing w:after="0"/>
              <w:rPr>
                <w:sz w:val="20"/>
                <w:szCs w:val="20"/>
                <w:color w:val="auto"/>
              </w:rPr>
            </w:pPr>
            <w:r>
              <w:rPr>
                <w:rFonts w:ascii="Arial" w:cs="Arial" w:eastAsia="Arial" w:hAnsi="Arial"/>
                <w:sz w:val="16"/>
                <w:szCs w:val="16"/>
                <w:color w:val="auto"/>
              </w:rPr>
              <w:t>(179,094)</w:t>
            </w:r>
          </w:p>
        </w:tc>
        <w:tc>
          <w:tcPr>
            <w:tcW w:w="100" w:type="dxa"/>
            <w:vAlign w:val="bottom"/>
          </w:tcPr>
          <w:p>
            <w:pPr>
              <w:spacing w:after="0"/>
              <w:rPr>
                <w:sz w:val="19"/>
                <w:szCs w:val="19"/>
                <w:color w:val="auto"/>
              </w:rPr>
            </w:pPr>
          </w:p>
        </w:tc>
        <w:tc>
          <w:tcPr>
            <w:tcW w:w="220" w:type="dxa"/>
            <w:vAlign w:val="bottom"/>
          </w:tcPr>
          <w:p>
            <w:pPr>
              <w:jc w:val="right"/>
              <w:ind w:right="39"/>
              <w:spacing w:after="0"/>
              <w:rPr>
                <w:sz w:val="20"/>
                <w:szCs w:val="20"/>
                <w:color w:val="auto"/>
              </w:rPr>
            </w:pPr>
            <w:r>
              <w:rPr>
                <w:rFonts w:ascii="Arial" w:cs="Arial" w:eastAsia="Arial" w:hAnsi="Arial"/>
                <w:sz w:val="16"/>
                <w:szCs w:val="16"/>
                <w:color w:val="auto"/>
                <w:w w:val="89"/>
              </w:rPr>
              <w:t>$</w:t>
            </w: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520,831</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7"/>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6"/>
                <w:szCs w:val="16"/>
                <w:color w:val="auto"/>
              </w:rPr>
              <w:t>Adjustments to reconcile net income (loss) to net cash provided by operating activities:</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r>
      <w:tr>
        <w:trPr>
          <w:trHeight w:val="224"/>
        </w:trPr>
        <w:tc>
          <w:tcPr>
            <w:tcW w:w="6700" w:type="dxa"/>
            <w:vAlign w:val="bottom"/>
          </w:tcPr>
          <w:p>
            <w:pPr>
              <w:ind w:left="660"/>
              <w:spacing w:after="0"/>
              <w:rPr>
                <w:sz w:val="20"/>
                <w:szCs w:val="20"/>
                <w:color w:val="auto"/>
              </w:rPr>
            </w:pPr>
            <w:r>
              <w:rPr>
                <w:rFonts w:ascii="Arial" w:cs="Arial" w:eastAsia="Arial" w:hAnsi="Arial"/>
                <w:sz w:val="16"/>
                <w:szCs w:val="16"/>
                <w:color w:val="auto"/>
              </w:rPr>
              <w:t>Depreciation and amortization</w:t>
            </w: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156,658</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80"/>
              <w:spacing w:after="0"/>
              <w:rPr>
                <w:sz w:val="20"/>
                <w:szCs w:val="20"/>
                <w:color w:val="auto"/>
              </w:rPr>
            </w:pPr>
            <w:r>
              <w:rPr>
                <w:rFonts w:ascii="Arial" w:cs="Arial" w:eastAsia="Arial" w:hAnsi="Arial"/>
                <w:sz w:val="16"/>
                <w:szCs w:val="16"/>
                <w:color w:val="auto"/>
              </w:rPr>
              <w:t>123,983</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83,487</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7"/>
        </w:trPr>
        <w:tc>
          <w:tcPr>
            <w:tcW w:w="670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6"/>
                <w:szCs w:val="16"/>
                <w:color w:val="auto"/>
              </w:rPr>
              <w:t>Share-based compensation</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242,207</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184,064</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86,689</w:t>
            </w:r>
          </w:p>
        </w:tc>
      </w:tr>
      <w:tr>
        <w:trPr>
          <w:trHeight w:val="223"/>
        </w:trPr>
        <w:tc>
          <w:tcPr>
            <w:tcW w:w="6700" w:type="dxa"/>
            <w:vAlign w:val="bottom"/>
          </w:tcPr>
          <w:p>
            <w:pPr>
              <w:ind w:left="660"/>
              <w:spacing w:after="0"/>
              <w:rPr>
                <w:sz w:val="20"/>
                <w:szCs w:val="20"/>
                <w:color w:val="auto"/>
              </w:rPr>
            </w:pPr>
            <w:r>
              <w:rPr>
                <w:rFonts w:ascii="Arial" w:cs="Arial" w:eastAsia="Arial" w:hAnsi="Arial"/>
                <w:sz w:val="16"/>
                <w:szCs w:val="16"/>
                <w:color w:val="auto"/>
              </w:rPr>
              <w:t>Amortization of acquired intangible assets</w:t>
            </w: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368,082</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80"/>
              <w:spacing w:after="0"/>
              <w:rPr>
                <w:sz w:val="20"/>
                <w:szCs w:val="20"/>
                <w:color w:val="auto"/>
              </w:rPr>
            </w:pPr>
            <w:r>
              <w:rPr>
                <w:rFonts w:ascii="Arial" w:cs="Arial" w:eastAsia="Arial" w:hAnsi="Arial"/>
                <w:sz w:val="16"/>
                <w:szCs w:val="16"/>
                <w:color w:val="auto"/>
              </w:rPr>
              <w:t>183,318</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3,570</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7"/>
        </w:trPr>
        <w:tc>
          <w:tcPr>
            <w:tcW w:w="670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6"/>
                <w:szCs w:val="16"/>
                <w:color w:val="auto"/>
              </w:rPr>
              <w:t>Amortization of inventory fair value adjustment associated with acquisitions</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55,826</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223,372</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w:t>
            </w:r>
          </w:p>
        </w:tc>
      </w:tr>
      <w:tr>
        <w:trPr>
          <w:trHeight w:val="224"/>
        </w:trPr>
        <w:tc>
          <w:tcPr>
            <w:tcW w:w="6700" w:type="dxa"/>
            <w:vAlign w:val="bottom"/>
          </w:tcPr>
          <w:p>
            <w:pPr>
              <w:ind w:left="660"/>
              <w:spacing w:after="0"/>
              <w:rPr>
                <w:sz w:val="20"/>
                <w:szCs w:val="20"/>
                <w:color w:val="auto"/>
              </w:rPr>
            </w:pPr>
            <w:r>
              <w:rPr>
                <w:rFonts w:ascii="Arial" w:cs="Arial" w:eastAsia="Arial" w:hAnsi="Arial"/>
                <w:sz w:val="16"/>
                <w:szCs w:val="16"/>
                <w:color w:val="auto"/>
              </w:rPr>
              <w:t>Amortization of deferred debt issuance costs and debt discounts</w:t>
            </w: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6,763</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80"/>
              <w:spacing w:after="0"/>
              <w:rPr>
                <w:sz w:val="20"/>
                <w:szCs w:val="20"/>
                <w:color w:val="auto"/>
              </w:rPr>
            </w:pPr>
            <w:r>
              <w:rPr>
                <w:rFonts w:ascii="Arial" w:cs="Arial" w:eastAsia="Arial" w:hAnsi="Arial"/>
                <w:sz w:val="16"/>
                <w:szCs w:val="16"/>
                <w:color w:val="auto"/>
              </w:rPr>
              <w:t>11,354</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7"/>
        </w:trPr>
        <w:tc>
          <w:tcPr>
            <w:tcW w:w="670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6"/>
                <w:szCs w:val="16"/>
                <w:color w:val="auto"/>
              </w:rPr>
              <w:t>Restructuring related impairment charges (gain)</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17,571</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(200)</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(4,561)</w:t>
            </w:r>
          </w:p>
        </w:tc>
      </w:tr>
      <w:tr>
        <w:trPr>
          <w:trHeight w:val="223"/>
        </w:trPr>
        <w:tc>
          <w:tcPr>
            <w:tcW w:w="6700" w:type="dxa"/>
            <w:vAlign w:val="bottom"/>
          </w:tcPr>
          <w:p>
            <w:pPr>
              <w:ind w:left="660"/>
              <w:spacing w:after="0"/>
              <w:rPr>
                <w:sz w:val="20"/>
                <w:szCs w:val="20"/>
                <w:color w:val="auto"/>
              </w:rPr>
            </w:pPr>
            <w:r>
              <w:rPr>
                <w:rFonts w:ascii="Arial" w:cs="Arial" w:eastAsia="Arial" w:hAnsi="Arial"/>
                <w:sz w:val="16"/>
                <w:szCs w:val="16"/>
                <w:color w:val="auto"/>
              </w:rPr>
              <w:t>Deferred income taxes</w:t>
            </w: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(785,158)</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80"/>
              <w:spacing w:after="0"/>
              <w:rPr>
                <w:sz w:val="20"/>
                <w:szCs w:val="20"/>
                <w:color w:val="auto"/>
              </w:rPr>
            </w:pPr>
            <w:r>
              <w:rPr>
                <w:rFonts w:ascii="Arial" w:cs="Arial" w:eastAsia="Arial" w:hAnsi="Arial"/>
                <w:sz w:val="16"/>
                <w:szCs w:val="16"/>
                <w:color w:val="auto"/>
              </w:rPr>
              <w:t>118,647</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19,825</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7"/>
        </w:trPr>
        <w:tc>
          <w:tcPr>
            <w:tcW w:w="670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6"/>
                <w:szCs w:val="16"/>
                <w:color w:val="auto"/>
              </w:rPr>
              <w:t>Loss (gain) on sale of business and discontinued operations</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(1,121,709)</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1,592</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(93,660)</w:t>
            </w:r>
          </w:p>
        </w:tc>
      </w:tr>
      <w:tr>
        <w:trPr>
          <w:trHeight w:val="224"/>
        </w:trPr>
        <w:tc>
          <w:tcPr>
            <w:tcW w:w="6700" w:type="dxa"/>
            <w:vAlign w:val="bottom"/>
          </w:tcPr>
          <w:p>
            <w:pPr>
              <w:ind w:left="660"/>
              <w:spacing w:after="0"/>
              <w:rPr>
                <w:sz w:val="20"/>
                <w:szCs w:val="20"/>
                <w:color w:val="auto"/>
              </w:rPr>
            </w:pPr>
            <w:r>
              <w:rPr>
                <w:rFonts w:ascii="Arial" w:cs="Arial" w:eastAsia="Arial" w:hAnsi="Arial"/>
                <w:sz w:val="16"/>
                <w:szCs w:val="16"/>
                <w:color w:val="auto"/>
              </w:rPr>
              <w:t>Other expense (income), net</w:t>
            </w: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26,448</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80"/>
              <w:spacing w:after="0"/>
              <w:rPr>
                <w:sz w:val="20"/>
                <w:szCs w:val="20"/>
                <w:color w:val="auto"/>
              </w:rPr>
            </w:pPr>
            <w:r>
              <w:rPr>
                <w:rFonts w:ascii="Arial" w:cs="Arial" w:eastAsia="Arial" w:hAnsi="Arial"/>
                <w:sz w:val="16"/>
                <w:szCs w:val="16"/>
                <w:color w:val="auto"/>
              </w:rPr>
              <w:t>4,154</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(925)</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7"/>
        </w:trPr>
        <w:tc>
          <w:tcPr>
            <w:tcW w:w="670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6"/>
                <w:szCs w:val="16"/>
                <w:color w:val="auto"/>
              </w:rPr>
              <w:t>Changes in assets and liabilities:</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r>
      <w:tr>
        <w:trPr>
          <w:trHeight w:val="223"/>
        </w:trPr>
        <w:tc>
          <w:tcPr>
            <w:tcW w:w="6700" w:type="dxa"/>
            <w:vAlign w:val="bottom"/>
          </w:tcPr>
          <w:p>
            <w:pPr>
              <w:ind w:left="1100"/>
              <w:spacing w:after="0"/>
              <w:rPr>
                <w:sz w:val="20"/>
                <w:szCs w:val="20"/>
                <w:color w:val="auto"/>
              </w:rPr>
            </w:pPr>
            <w:r>
              <w:rPr>
                <w:rFonts w:ascii="Arial" w:cs="Arial" w:eastAsia="Arial" w:hAnsi="Arial"/>
                <w:sz w:val="16"/>
                <w:szCs w:val="16"/>
                <w:color w:val="auto"/>
              </w:rPr>
              <w:t>Accounts receivable</w:t>
            </w: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11,244</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40"/>
              <w:spacing w:after="0"/>
              <w:rPr>
                <w:sz w:val="20"/>
                <w:szCs w:val="20"/>
                <w:color w:val="auto"/>
              </w:rPr>
            </w:pPr>
            <w:r>
              <w:rPr>
                <w:rFonts w:ascii="Arial" w:cs="Arial" w:eastAsia="Arial" w:hAnsi="Arial"/>
                <w:sz w:val="16"/>
                <w:szCs w:val="16"/>
                <w:color w:val="auto"/>
              </w:rPr>
              <w:t>(99,044)</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54,989</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6"/>
        </w:trPr>
        <w:tc>
          <w:tcPr>
            <w:tcW w:w="670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6"/>
                <w:szCs w:val="16"/>
                <w:color w:val="auto"/>
              </w:rPr>
              <w:t>Inventories</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12,759</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4,348</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(12,160)</w:t>
            </w:r>
          </w:p>
        </w:tc>
      </w:tr>
      <w:tr>
        <w:trPr>
          <w:trHeight w:val="224"/>
        </w:trPr>
        <w:tc>
          <w:tcPr>
            <w:tcW w:w="6700" w:type="dxa"/>
            <w:vAlign w:val="bottom"/>
          </w:tcPr>
          <w:p>
            <w:pPr>
              <w:ind w:left="1100"/>
              <w:spacing w:after="0"/>
              <w:rPr>
                <w:sz w:val="20"/>
                <w:szCs w:val="20"/>
                <w:color w:val="auto"/>
              </w:rPr>
            </w:pPr>
            <w:r>
              <w:rPr>
                <w:rFonts w:ascii="Arial" w:cs="Arial" w:eastAsia="Arial" w:hAnsi="Arial"/>
                <w:sz w:val="16"/>
                <w:szCs w:val="16"/>
                <w:color w:val="auto"/>
              </w:rPr>
              <w:t>Prepaid expenses and other assets</w:t>
            </w: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(54,138)</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40"/>
              <w:spacing w:after="0"/>
              <w:rPr>
                <w:sz w:val="20"/>
                <w:szCs w:val="20"/>
                <w:color w:val="auto"/>
              </w:rPr>
            </w:pPr>
            <w:r>
              <w:rPr>
                <w:rFonts w:ascii="Arial" w:cs="Arial" w:eastAsia="Arial" w:hAnsi="Arial"/>
                <w:sz w:val="16"/>
                <w:szCs w:val="16"/>
                <w:color w:val="auto"/>
              </w:rPr>
              <w:t>(11,685)</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12,494</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7"/>
        </w:trPr>
        <w:tc>
          <w:tcPr>
            <w:tcW w:w="670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6"/>
                <w:szCs w:val="16"/>
                <w:color w:val="auto"/>
              </w:rPr>
              <w:t>Accounts payable</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1,658</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(6,493)</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(16,613)</w:t>
            </w:r>
          </w:p>
        </w:tc>
      </w:tr>
      <w:tr>
        <w:trPr>
          <w:trHeight w:val="223"/>
        </w:trPr>
        <w:tc>
          <w:tcPr>
            <w:tcW w:w="6700" w:type="dxa"/>
            <w:vAlign w:val="bottom"/>
          </w:tcPr>
          <w:p>
            <w:pPr>
              <w:ind w:left="1100"/>
              <w:spacing w:after="0"/>
              <w:rPr>
                <w:sz w:val="20"/>
                <w:szCs w:val="20"/>
                <w:color w:val="auto"/>
              </w:rPr>
            </w:pPr>
            <w:r>
              <w:rPr>
                <w:rFonts w:ascii="Arial" w:cs="Arial" w:eastAsia="Arial" w:hAnsi="Arial"/>
                <w:sz w:val="16"/>
                <w:szCs w:val="16"/>
                <w:color w:val="auto"/>
              </w:rPr>
              <w:t>Accrued liabilities and other non-current liabilities</w:t>
            </w: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(182,893)</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80"/>
              <w:spacing w:after="0"/>
              <w:rPr>
                <w:sz w:val="20"/>
                <w:szCs w:val="20"/>
                <w:color w:val="auto"/>
              </w:rPr>
            </w:pPr>
            <w:r>
              <w:rPr>
                <w:rFonts w:ascii="Arial" w:cs="Arial" w:eastAsia="Arial" w:hAnsi="Arial"/>
                <w:sz w:val="16"/>
                <w:szCs w:val="16"/>
                <w:color w:val="auto"/>
              </w:rPr>
              <w:t>85,027</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(70,917)</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7"/>
        </w:trPr>
        <w:tc>
          <w:tcPr>
            <w:tcW w:w="670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6"/>
                <w:szCs w:val="16"/>
                <w:color w:val="auto"/>
              </w:rPr>
              <w:t>Accrued employee compensation</w:t>
            </w:r>
          </w:p>
        </w:tc>
        <w:tc>
          <w:tcPr>
            <w:tcW w:w="2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20,588</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(46,599)</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(11,936)</w:t>
            </w:r>
          </w:p>
        </w:tc>
      </w:tr>
      <w:tr>
        <w:trPr>
          <w:trHeight w:val="217"/>
        </w:trPr>
        <w:tc>
          <w:tcPr>
            <w:tcW w:w="6700" w:type="dxa"/>
            <w:vAlign w:val="bottom"/>
          </w:tcPr>
          <w:p>
            <w:pPr>
              <w:ind w:left="1420"/>
              <w:spacing w:after="0"/>
              <w:rPr>
                <w:sz w:val="20"/>
                <w:szCs w:val="20"/>
                <w:color w:val="auto"/>
              </w:rPr>
            </w:pPr>
            <w:r>
              <w:rPr>
                <w:rFonts w:ascii="Arial" w:cs="Arial" w:eastAsia="Arial" w:hAnsi="Arial"/>
                <w:sz w:val="16"/>
                <w:szCs w:val="16"/>
                <w:color w:val="auto"/>
              </w:rPr>
              <w:t>Net cash provided by operating activities</w:t>
            </w:r>
          </w:p>
        </w:tc>
        <w:tc>
          <w:tcPr>
            <w:tcW w:w="220" w:type="dxa"/>
            <w:vAlign w:val="bottom"/>
            <w:tcBorders>
              <w:top w:val="single" w:sz="8" w:color="auto"/>
            </w:tcBorders>
          </w:tcPr>
          <w:p>
            <w:pPr>
              <w:spacing w:after="0"/>
              <w:rPr>
                <w:sz w:val="18"/>
                <w:szCs w:val="18"/>
                <w:color w:val="auto"/>
              </w:rPr>
            </w:pPr>
          </w:p>
        </w:tc>
        <w:tc>
          <w:tcPr>
            <w:tcW w:w="1220" w:type="dxa"/>
            <w:vAlign w:val="bottom"/>
            <w:tcBorders>
              <w:top w:val="single" w:sz="8" w:color="auto"/>
            </w:tcBorders>
          </w:tcPr>
          <w:p>
            <w:pPr>
              <w:jc w:val="right"/>
              <w:ind w:right="79"/>
              <w:spacing w:after="0"/>
              <w:rPr>
                <w:sz w:val="20"/>
                <w:szCs w:val="20"/>
                <w:color w:val="auto"/>
              </w:rPr>
            </w:pPr>
            <w:r>
              <w:rPr>
                <w:rFonts w:ascii="Arial" w:cs="Arial" w:eastAsia="Arial" w:hAnsi="Arial"/>
                <w:sz w:val="16"/>
                <w:szCs w:val="16"/>
                <w:color w:val="auto"/>
              </w:rPr>
              <w:t>360,297</w:t>
            </w:r>
          </w:p>
        </w:tc>
        <w:tc>
          <w:tcPr>
            <w:tcW w:w="10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220" w:type="dxa"/>
            <w:vAlign w:val="bottom"/>
            <w:tcBorders>
              <w:top w:val="single" w:sz="8" w:color="auto"/>
            </w:tcBorders>
          </w:tcPr>
          <w:p>
            <w:pPr>
              <w:jc w:val="right"/>
              <w:ind w:right="80"/>
              <w:spacing w:after="0"/>
              <w:rPr>
                <w:sz w:val="20"/>
                <w:szCs w:val="20"/>
                <w:color w:val="auto"/>
              </w:rPr>
            </w:pPr>
            <w:r>
              <w:rPr>
                <w:rFonts w:ascii="Arial" w:cs="Arial" w:eastAsia="Arial" w:hAnsi="Arial"/>
                <w:sz w:val="16"/>
                <w:szCs w:val="16"/>
                <w:color w:val="auto"/>
              </w:rPr>
              <w:t>596,744</w:t>
            </w:r>
          </w:p>
        </w:tc>
        <w:tc>
          <w:tcPr>
            <w:tcW w:w="10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220" w:type="dxa"/>
            <w:vAlign w:val="bottom"/>
            <w:tcBorders>
              <w:top w:val="single" w:sz="8" w:color="auto"/>
            </w:tcBorders>
          </w:tcPr>
          <w:p>
            <w:pPr>
              <w:jc w:val="right"/>
              <w:ind w:right="79"/>
              <w:spacing w:after="0"/>
              <w:rPr>
                <w:sz w:val="20"/>
                <w:szCs w:val="20"/>
                <w:color w:val="auto"/>
              </w:rPr>
            </w:pPr>
            <w:r>
              <w:rPr>
                <w:rFonts w:ascii="Arial" w:cs="Arial" w:eastAsia="Arial" w:hAnsi="Arial"/>
                <w:sz w:val="16"/>
                <w:szCs w:val="16"/>
                <w:color w:val="auto"/>
              </w:rPr>
              <w:t>571,113</w:t>
            </w:r>
          </w:p>
        </w:tc>
      </w:tr>
      <w:tr>
        <w:trPr>
          <w:trHeight w:val="33"/>
        </w:trPr>
        <w:tc>
          <w:tcPr>
            <w:tcW w:w="67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16"/>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b w:val="1"/>
                <w:bCs w:val="1"/>
                <w:color w:val="auto"/>
              </w:rPr>
              <w:t>Cash flows from investing activities:</w:t>
            </w:r>
          </w:p>
        </w:tc>
        <w:tc>
          <w:tcPr>
            <w:tcW w:w="220" w:type="dxa"/>
            <w:vAlign w:val="bottom"/>
            <w:tcBorders>
              <w:bottom w:val="single" w:sz="8" w:color="CCEEFF"/>
            </w:tcBorders>
            <w:shd w:val="clear" w:color="auto" w:fill="CCEEFF"/>
          </w:tcPr>
          <w:p>
            <w:pPr>
              <w:spacing w:after="0"/>
              <w:rPr>
                <w:sz w:val="18"/>
                <w:szCs w:val="18"/>
                <w:color w:val="auto"/>
              </w:rPr>
            </w:pPr>
          </w:p>
        </w:tc>
        <w:tc>
          <w:tcPr>
            <w:tcW w:w="122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122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1220" w:type="dxa"/>
            <w:vAlign w:val="bottom"/>
            <w:tcBorders>
              <w:bottom w:val="single" w:sz="8" w:color="CCEEFF"/>
            </w:tcBorders>
            <w:shd w:val="clear" w:color="auto" w:fill="CCEEFF"/>
          </w:tcPr>
          <w:p>
            <w:pPr>
              <w:spacing w:after="0"/>
              <w:rPr>
                <w:sz w:val="18"/>
                <w:szCs w:val="18"/>
                <w:color w:val="auto"/>
              </w:rPr>
            </w:pPr>
          </w:p>
        </w:tc>
      </w:tr>
      <w:tr>
        <w:trPr>
          <w:trHeight w:val="224"/>
        </w:trPr>
        <w:tc>
          <w:tcPr>
            <w:tcW w:w="6700" w:type="dxa"/>
            <w:vAlign w:val="bottom"/>
          </w:tcPr>
          <w:p>
            <w:pPr>
              <w:ind w:left="340"/>
              <w:spacing w:after="0"/>
              <w:rPr>
                <w:sz w:val="20"/>
                <w:szCs w:val="20"/>
                <w:color w:val="auto"/>
              </w:rPr>
            </w:pPr>
            <w:r>
              <w:rPr>
                <w:rFonts w:ascii="Arial" w:cs="Arial" w:eastAsia="Arial" w:hAnsi="Arial"/>
                <w:sz w:val="16"/>
                <w:szCs w:val="16"/>
                <w:color w:val="auto"/>
              </w:rPr>
              <w:t>Purchases of available-for-sale securities</w:t>
            </w:r>
          </w:p>
        </w:tc>
        <w:tc>
          <w:tcPr>
            <w:tcW w:w="220" w:type="dxa"/>
            <w:vAlign w:val="bottom"/>
          </w:tcPr>
          <w:p>
            <w:pPr>
              <w:spacing w:after="0"/>
              <w:rPr>
                <w:sz w:val="19"/>
                <w:szCs w:val="19"/>
                <w:color w:val="auto"/>
              </w:rPr>
            </w:pPr>
          </w:p>
        </w:tc>
        <w:tc>
          <w:tcPr>
            <w:tcW w:w="132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9"/>
                <w:szCs w:val="19"/>
                <w:color w:val="auto"/>
              </w:rPr>
            </w:pPr>
          </w:p>
        </w:tc>
        <w:tc>
          <w:tcPr>
            <w:tcW w:w="1220" w:type="dxa"/>
            <w:vAlign w:val="bottom"/>
          </w:tcPr>
          <w:p>
            <w:pPr>
              <w:jc w:val="right"/>
              <w:ind w:right="40"/>
              <w:spacing w:after="0"/>
              <w:rPr>
                <w:sz w:val="20"/>
                <w:szCs w:val="20"/>
                <w:color w:val="auto"/>
              </w:rPr>
            </w:pPr>
            <w:r>
              <w:rPr>
                <w:rFonts w:ascii="Arial" w:cs="Arial" w:eastAsia="Arial" w:hAnsi="Arial"/>
                <w:sz w:val="16"/>
                <w:szCs w:val="16"/>
                <w:color w:val="auto"/>
              </w:rPr>
              <w:t>(14,956)</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(835,494)</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7"/>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6"/>
                <w:szCs w:val="16"/>
                <w:color w:val="auto"/>
              </w:rPr>
              <w:t>Sales of available-for-sale securities</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18,832</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623,896</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306,822</w:t>
            </w:r>
          </w:p>
        </w:tc>
      </w:tr>
      <w:tr>
        <w:trPr>
          <w:trHeight w:val="223"/>
        </w:trPr>
        <w:tc>
          <w:tcPr>
            <w:tcW w:w="6700" w:type="dxa"/>
            <w:vAlign w:val="bottom"/>
          </w:tcPr>
          <w:p>
            <w:pPr>
              <w:ind w:left="340"/>
              <w:spacing w:after="0"/>
              <w:rPr>
                <w:sz w:val="20"/>
                <w:szCs w:val="20"/>
                <w:color w:val="auto"/>
              </w:rPr>
            </w:pPr>
            <w:r>
              <w:rPr>
                <w:rFonts w:ascii="Arial" w:cs="Arial" w:eastAsia="Arial" w:hAnsi="Arial"/>
                <w:sz w:val="16"/>
                <w:szCs w:val="16"/>
                <w:color w:val="auto"/>
              </w:rPr>
              <w:t>Maturities of available-for-sale securities</w:t>
            </w:r>
          </w:p>
        </w:tc>
        <w:tc>
          <w:tcPr>
            <w:tcW w:w="220" w:type="dxa"/>
            <w:vAlign w:val="bottom"/>
          </w:tcPr>
          <w:p>
            <w:pPr>
              <w:spacing w:after="0"/>
              <w:rPr>
                <w:sz w:val="19"/>
                <w:szCs w:val="19"/>
                <w:color w:val="auto"/>
              </w:rPr>
            </w:pPr>
          </w:p>
        </w:tc>
        <w:tc>
          <w:tcPr>
            <w:tcW w:w="132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9"/>
                <w:szCs w:val="19"/>
                <w:color w:val="auto"/>
              </w:rPr>
            </w:pPr>
          </w:p>
        </w:tc>
        <w:tc>
          <w:tcPr>
            <w:tcW w:w="1220" w:type="dxa"/>
            <w:vAlign w:val="bottom"/>
          </w:tcPr>
          <w:p>
            <w:pPr>
              <w:jc w:val="right"/>
              <w:ind w:right="80"/>
              <w:spacing w:after="0"/>
              <w:rPr>
                <w:sz w:val="20"/>
                <w:szCs w:val="20"/>
                <w:color w:val="auto"/>
              </w:rPr>
            </w:pPr>
            <w:r>
              <w:rPr>
                <w:rFonts w:ascii="Arial" w:cs="Arial" w:eastAsia="Arial" w:hAnsi="Arial"/>
                <w:sz w:val="16"/>
                <w:szCs w:val="16"/>
                <w:color w:val="auto"/>
              </w:rPr>
              <w:t>187,985</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426,341</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7"/>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6"/>
                <w:szCs w:val="16"/>
                <w:color w:val="auto"/>
              </w:rPr>
              <w:t>Purchases of time deposits</w:t>
            </w:r>
          </w:p>
        </w:tc>
        <w:tc>
          <w:tcPr>
            <w:tcW w:w="22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(25,000)</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(300,000)</w:t>
            </w:r>
          </w:p>
        </w:tc>
      </w:tr>
      <w:tr>
        <w:trPr>
          <w:trHeight w:val="223"/>
        </w:trPr>
        <w:tc>
          <w:tcPr>
            <w:tcW w:w="6700" w:type="dxa"/>
            <w:vAlign w:val="bottom"/>
          </w:tcPr>
          <w:p>
            <w:pPr>
              <w:ind w:left="340"/>
              <w:spacing w:after="0"/>
              <w:rPr>
                <w:sz w:val="20"/>
                <w:szCs w:val="20"/>
                <w:color w:val="auto"/>
              </w:rPr>
            </w:pPr>
            <w:r>
              <w:rPr>
                <w:rFonts w:ascii="Arial" w:cs="Arial" w:eastAsia="Arial" w:hAnsi="Arial"/>
                <w:sz w:val="16"/>
                <w:szCs w:val="16"/>
                <w:color w:val="auto"/>
              </w:rPr>
              <w:t>Maturities of time deposits</w:t>
            </w:r>
          </w:p>
        </w:tc>
        <w:tc>
          <w:tcPr>
            <w:tcW w:w="220" w:type="dxa"/>
            <w:vAlign w:val="bottom"/>
          </w:tcPr>
          <w:p>
            <w:pPr>
              <w:spacing w:after="0"/>
              <w:rPr>
                <w:sz w:val="19"/>
                <w:szCs w:val="19"/>
                <w:color w:val="auto"/>
              </w:rPr>
            </w:pPr>
          </w:p>
        </w:tc>
        <w:tc>
          <w:tcPr>
            <w:tcW w:w="132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9"/>
                <w:szCs w:val="19"/>
                <w:color w:val="auto"/>
              </w:rPr>
            </w:pPr>
          </w:p>
        </w:tc>
        <w:tc>
          <w:tcPr>
            <w:tcW w:w="1220" w:type="dxa"/>
            <w:vAlign w:val="bottom"/>
          </w:tcPr>
          <w:p>
            <w:pPr>
              <w:jc w:val="right"/>
              <w:ind w:right="80"/>
              <w:spacing w:after="0"/>
              <w:rPr>
                <w:sz w:val="20"/>
                <w:szCs w:val="20"/>
                <w:color w:val="auto"/>
              </w:rPr>
            </w:pPr>
            <w:r>
              <w:rPr>
                <w:rFonts w:ascii="Arial" w:cs="Arial" w:eastAsia="Arial" w:hAnsi="Arial"/>
                <w:sz w:val="16"/>
                <w:szCs w:val="16"/>
                <w:color w:val="auto"/>
              </w:rPr>
              <w:t>175,000</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300,000</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7"/>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6"/>
                <w:szCs w:val="16"/>
                <w:color w:val="auto"/>
              </w:rPr>
              <w:t>Purchases of technology licenses</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(4,712)</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(11,540)</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(6,587)</w:t>
            </w:r>
          </w:p>
        </w:tc>
      </w:tr>
      <w:tr>
        <w:trPr>
          <w:trHeight w:val="223"/>
        </w:trPr>
        <w:tc>
          <w:tcPr>
            <w:tcW w:w="6700" w:type="dxa"/>
            <w:vAlign w:val="bottom"/>
          </w:tcPr>
          <w:p>
            <w:pPr>
              <w:ind w:left="340"/>
              <w:spacing w:after="0"/>
              <w:rPr>
                <w:sz w:val="20"/>
                <w:szCs w:val="20"/>
                <w:color w:val="auto"/>
              </w:rPr>
            </w:pPr>
            <w:r>
              <w:rPr>
                <w:rFonts w:ascii="Arial" w:cs="Arial" w:eastAsia="Arial" w:hAnsi="Arial"/>
                <w:sz w:val="16"/>
                <w:szCs w:val="16"/>
                <w:color w:val="auto"/>
              </w:rPr>
              <w:t>Purchases of property and equipment</w:t>
            </w: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(81,921)</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40"/>
              <w:spacing w:after="0"/>
              <w:rPr>
                <w:sz w:val="20"/>
                <w:szCs w:val="20"/>
                <w:color w:val="auto"/>
              </w:rPr>
            </w:pPr>
            <w:r>
              <w:rPr>
                <w:rFonts w:ascii="Arial" w:cs="Arial" w:eastAsia="Arial" w:hAnsi="Arial"/>
                <w:sz w:val="16"/>
                <w:szCs w:val="16"/>
                <w:color w:val="auto"/>
              </w:rPr>
              <w:t>(75,921)</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(38,551)</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7"/>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6"/>
                <w:szCs w:val="16"/>
                <w:color w:val="auto"/>
              </w:rPr>
              <w:t>Proceeds from sales of property and equipment</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620</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43,525</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12,559</w:t>
            </w:r>
          </w:p>
        </w:tc>
      </w:tr>
      <w:tr>
        <w:trPr>
          <w:trHeight w:val="223"/>
        </w:trPr>
        <w:tc>
          <w:tcPr>
            <w:tcW w:w="6700" w:type="dxa"/>
            <w:vAlign w:val="bottom"/>
          </w:tcPr>
          <w:p>
            <w:pPr>
              <w:ind w:left="340"/>
              <w:spacing w:after="0"/>
              <w:rPr>
                <w:sz w:val="20"/>
                <w:szCs w:val="20"/>
                <w:color w:val="auto"/>
              </w:rPr>
            </w:pPr>
            <w:r>
              <w:rPr>
                <w:rFonts w:ascii="Arial" w:cs="Arial" w:eastAsia="Arial" w:hAnsi="Arial"/>
                <w:sz w:val="16"/>
                <w:szCs w:val="16"/>
                <w:color w:val="auto"/>
              </w:rPr>
              <w:t>Cash payment for acquisitions, net of cash and cash equivalents acquired</w:t>
            </w: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(1,071,079)</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40"/>
              <w:spacing w:after="0"/>
              <w:rPr>
                <w:sz w:val="20"/>
                <w:szCs w:val="20"/>
                <w:color w:val="auto"/>
              </w:rPr>
            </w:pPr>
            <w:r>
              <w:rPr>
                <w:rFonts w:ascii="Arial" w:cs="Arial" w:eastAsia="Arial" w:hAnsi="Arial"/>
                <w:sz w:val="16"/>
                <w:szCs w:val="16"/>
                <w:color w:val="auto"/>
              </w:rPr>
              <w:t>(2,649,465)</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7"/>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6"/>
                <w:szCs w:val="16"/>
                <w:color w:val="auto"/>
              </w:rPr>
              <w:t>Net proceeds from sale of discontinued operations</w:t>
            </w:r>
          </w:p>
        </w:tc>
        <w:tc>
          <w:tcPr>
            <w:tcW w:w="22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165,940</w:t>
            </w:r>
          </w:p>
        </w:tc>
      </w:tr>
      <w:tr>
        <w:trPr>
          <w:trHeight w:val="223"/>
        </w:trPr>
        <w:tc>
          <w:tcPr>
            <w:tcW w:w="6700" w:type="dxa"/>
            <w:vAlign w:val="bottom"/>
          </w:tcPr>
          <w:p>
            <w:pPr>
              <w:ind w:left="340"/>
              <w:spacing w:after="0"/>
              <w:rPr>
                <w:sz w:val="20"/>
                <w:szCs w:val="20"/>
                <w:color w:val="auto"/>
              </w:rPr>
            </w:pPr>
            <w:r>
              <w:rPr>
                <w:rFonts w:ascii="Arial" w:cs="Arial" w:eastAsia="Arial" w:hAnsi="Arial"/>
                <w:sz w:val="16"/>
                <w:szCs w:val="16"/>
                <w:color w:val="auto"/>
              </w:rPr>
              <w:t>Net proceeds from sale of business</w:t>
            </w: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1,698,783</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40"/>
              <w:spacing w:after="0"/>
              <w:rPr>
                <w:sz w:val="20"/>
                <w:szCs w:val="20"/>
                <w:color w:val="auto"/>
              </w:rPr>
            </w:pPr>
            <w:r>
              <w:rPr>
                <w:rFonts w:ascii="Arial" w:cs="Arial" w:eastAsia="Arial" w:hAnsi="Arial"/>
                <w:sz w:val="16"/>
                <w:szCs w:val="16"/>
                <w:color w:val="auto"/>
              </w:rPr>
              <w:t>(3,352)</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2,402</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6"/>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6"/>
                <w:szCs w:val="16"/>
                <w:color w:val="auto"/>
              </w:rPr>
              <w:t>Other, net</w:t>
            </w:r>
          </w:p>
        </w:tc>
        <w:tc>
          <w:tcPr>
            <w:tcW w:w="2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(1,677)</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(2,725)</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6,089</w:t>
            </w:r>
          </w:p>
        </w:tc>
      </w:tr>
      <w:tr>
        <w:trPr>
          <w:trHeight w:val="217"/>
        </w:trPr>
        <w:tc>
          <w:tcPr>
            <w:tcW w:w="6700" w:type="dxa"/>
            <w:vAlign w:val="bottom"/>
          </w:tcPr>
          <w:p>
            <w:pPr>
              <w:ind w:left="1420"/>
              <w:spacing w:after="0"/>
              <w:rPr>
                <w:sz w:val="20"/>
                <w:szCs w:val="20"/>
                <w:color w:val="auto"/>
              </w:rPr>
            </w:pPr>
            <w:r>
              <w:rPr>
                <w:rFonts w:ascii="Arial" w:cs="Arial" w:eastAsia="Arial" w:hAnsi="Arial"/>
                <w:sz w:val="16"/>
                <w:szCs w:val="16"/>
                <w:color w:val="auto"/>
              </w:rPr>
              <w:t>Net cash provided by (used in) investing activities</w:t>
            </w:r>
          </w:p>
        </w:tc>
        <w:tc>
          <w:tcPr>
            <w:tcW w:w="220" w:type="dxa"/>
            <w:vAlign w:val="bottom"/>
            <w:tcBorders>
              <w:top w:val="single" w:sz="8" w:color="auto"/>
            </w:tcBorders>
          </w:tcPr>
          <w:p>
            <w:pPr>
              <w:spacing w:after="0"/>
              <w:rPr>
                <w:sz w:val="18"/>
                <w:szCs w:val="18"/>
                <w:color w:val="auto"/>
              </w:rPr>
            </w:pPr>
          </w:p>
        </w:tc>
        <w:tc>
          <w:tcPr>
            <w:tcW w:w="1220" w:type="dxa"/>
            <w:vAlign w:val="bottom"/>
            <w:tcBorders>
              <w:top w:val="single" w:sz="8" w:color="auto"/>
            </w:tcBorders>
          </w:tcPr>
          <w:p>
            <w:pPr>
              <w:jc w:val="right"/>
              <w:ind w:right="79"/>
              <w:spacing w:after="0"/>
              <w:rPr>
                <w:sz w:val="20"/>
                <w:szCs w:val="20"/>
                <w:color w:val="auto"/>
              </w:rPr>
            </w:pPr>
            <w:r>
              <w:rPr>
                <w:rFonts w:ascii="Arial" w:cs="Arial" w:eastAsia="Arial" w:hAnsi="Arial"/>
                <w:sz w:val="16"/>
                <w:szCs w:val="16"/>
                <w:color w:val="auto"/>
              </w:rPr>
              <w:t>558,846</w:t>
            </w:r>
          </w:p>
        </w:tc>
        <w:tc>
          <w:tcPr>
            <w:tcW w:w="10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220" w:type="dxa"/>
            <w:vAlign w:val="bottom"/>
            <w:tcBorders>
              <w:top w:val="single" w:sz="8" w:color="auto"/>
            </w:tcBorders>
          </w:tcPr>
          <w:p>
            <w:pPr>
              <w:jc w:val="right"/>
              <w:ind w:right="40"/>
              <w:spacing w:after="0"/>
              <w:rPr>
                <w:sz w:val="20"/>
                <w:szCs w:val="20"/>
                <w:color w:val="auto"/>
              </w:rPr>
            </w:pPr>
            <w:r>
              <w:rPr>
                <w:rFonts w:ascii="Arial" w:cs="Arial" w:eastAsia="Arial" w:hAnsi="Arial"/>
                <w:sz w:val="16"/>
                <w:szCs w:val="16"/>
                <w:color w:val="auto"/>
              </w:rPr>
              <w:t>(1,752,553)</w:t>
            </w:r>
          </w:p>
        </w:tc>
        <w:tc>
          <w:tcPr>
            <w:tcW w:w="10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220" w:type="dxa"/>
            <w:vAlign w:val="bottom"/>
            <w:tcBorders>
              <w:top w:val="single" w:sz="8" w:color="auto"/>
            </w:tcBorders>
          </w:tcPr>
          <w:p>
            <w:pPr>
              <w:jc w:val="right"/>
              <w:ind w:right="79"/>
              <w:spacing w:after="0"/>
              <w:rPr>
                <w:sz w:val="20"/>
                <w:szCs w:val="20"/>
                <w:color w:val="auto"/>
              </w:rPr>
            </w:pPr>
            <w:r>
              <w:rPr>
                <w:rFonts w:ascii="Arial" w:cs="Arial" w:eastAsia="Arial" w:hAnsi="Arial"/>
                <w:sz w:val="16"/>
                <w:szCs w:val="16"/>
                <w:color w:val="auto"/>
              </w:rPr>
              <w:t>39,521</w:t>
            </w:r>
          </w:p>
        </w:tc>
      </w:tr>
      <w:tr>
        <w:trPr>
          <w:trHeight w:val="33"/>
        </w:trPr>
        <w:tc>
          <w:tcPr>
            <w:tcW w:w="67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17"/>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b w:val="1"/>
                <w:bCs w:val="1"/>
                <w:color w:val="auto"/>
              </w:rPr>
              <w:t>Cash flows from financing activities:</w:t>
            </w:r>
          </w:p>
        </w:tc>
        <w:tc>
          <w:tcPr>
            <w:tcW w:w="220" w:type="dxa"/>
            <w:vAlign w:val="bottom"/>
            <w:tcBorders>
              <w:bottom w:val="single" w:sz="8" w:color="CCEEFF"/>
            </w:tcBorders>
            <w:shd w:val="clear" w:color="auto" w:fill="CCEEFF"/>
          </w:tcPr>
          <w:p>
            <w:pPr>
              <w:spacing w:after="0"/>
              <w:rPr>
                <w:sz w:val="18"/>
                <w:szCs w:val="18"/>
                <w:color w:val="auto"/>
              </w:rPr>
            </w:pPr>
          </w:p>
        </w:tc>
        <w:tc>
          <w:tcPr>
            <w:tcW w:w="122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122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1220" w:type="dxa"/>
            <w:vAlign w:val="bottom"/>
            <w:tcBorders>
              <w:bottom w:val="single" w:sz="8" w:color="CCEEFF"/>
            </w:tcBorders>
            <w:shd w:val="clear" w:color="auto" w:fill="CCEEFF"/>
          </w:tcPr>
          <w:p>
            <w:pPr>
              <w:spacing w:after="0"/>
              <w:rPr>
                <w:sz w:val="18"/>
                <w:szCs w:val="18"/>
                <w:color w:val="auto"/>
              </w:rPr>
            </w:pPr>
          </w:p>
        </w:tc>
      </w:tr>
      <w:tr>
        <w:trPr>
          <w:trHeight w:val="223"/>
        </w:trPr>
        <w:tc>
          <w:tcPr>
            <w:tcW w:w="6700" w:type="dxa"/>
            <w:vAlign w:val="bottom"/>
          </w:tcPr>
          <w:p>
            <w:pPr>
              <w:ind w:left="340"/>
              <w:spacing w:after="0"/>
              <w:rPr>
                <w:sz w:val="20"/>
                <w:szCs w:val="20"/>
                <w:color w:val="auto"/>
              </w:rPr>
            </w:pPr>
            <w:r>
              <w:rPr>
                <w:rFonts w:ascii="Arial" w:cs="Arial" w:eastAsia="Arial" w:hAnsi="Arial"/>
                <w:sz w:val="16"/>
                <w:szCs w:val="16"/>
                <w:color w:val="auto"/>
              </w:rPr>
              <w:t>Repurchases of common stock</w:t>
            </w: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(364,272)</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40"/>
              <w:spacing w:after="0"/>
              <w:rPr>
                <w:sz w:val="20"/>
                <w:szCs w:val="20"/>
                <w:color w:val="auto"/>
              </w:rPr>
            </w:pPr>
            <w:r>
              <w:rPr>
                <w:rFonts w:ascii="Arial" w:cs="Arial" w:eastAsia="Arial" w:hAnsi="Arial"/>
                <w:sz w:val="16"/>
                <w:szCs w:val="16"/>
                <w:color w:val="auto"/>
              </w:rPr>
              <w:t>(103,974)</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(527,574)</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6"/>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6"/>
                <w:szCs w:val="16"/>
                <w:color w:val="auto"/>
              </w:rPr>
              <w:t>Proceeds from employee stock plans</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147,276</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100,961</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180,302</w:t>
            </w:r>
          </w:p>
        </w:tc>
      </w:tr>
      <w:tr>
        <w:trPr>
          <w:trHeight w:val="224"/>
        </w:trPr>
        <w:tc>
          <w:tcPr>
            <w:tcW w:w="6700" w:type="dxa"/>
            <w:vAlign w:val="bottom"/>
          </w:tcPr>
          <w:p>
            <w:pPr>
              <w:ind w:left="340"/>
              <w:spacing w:after="0"/>
              <w:rPr>
                <w:sz w:val="20"/>
                <w:szCs w:val="20"/>
                <w:color w:val="auto"/>
              </w:rPr>
            </w:pPr>
            <w:r>
              <w:rPr>
                <w:rFonts w:ascii="Arial" w:cs="Arial" w:eastAsia="Arial" w:hAnsi="Arial"/>
                <w:sz w:val="16"/>
                <w:szCs w:val="16"/>
                <w:color w:val="auto"/>
              </w:rPr>
              <w:t>Tax withholding paid on behalf of employees for net share settlement</w:t>
            </w: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(98,302)</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40"/>
              <w:spacing w:after="0"/>
              <w:rPr>
                <w:sz w:val="20"/>
                <w:szCs w:val="20"/>
                <w:color w:val="auto"/>
              </w:rPr>
            </w:pPr>
            <w:r>
              <w:rPr>
                <w:rFonts w:ascii="Arial" w:cs="Arial" w:eastAsia="Arial" w:hAnsi="Arial"/>
                <w:sz w:val="16"/>
                <w:szCs w:val="16"/>
                <w:color w:val="auto"/>
              </w:rPr>
              <w:t>(54,939)</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(26,840)</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7"/>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6"/>
                <w:szCs w:val="16"/>
                <w:color w:val="auto"/>
              </w:rPr>
              <w:t>Dividend payments to shareholders</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(159,573)</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(148,081)</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(119,251)</w:t>
            </w:r>
          </w:p>
        </w:tc>
      </w:tr>
      <w:tr>
        <w:trPr>
          <w:trHeight w:val="223"/>
        </w:trPr>
        <w:tc>
          <w:tcPr>
            <w:tcW w:w="6700" w:type="dxa"/>
            <w:vAlign w:val="bottom"/>
          </w:tcPr>
          <w:p>
            <w:pPr>
              <w:ind w:left="340"/>
              <w:spacing w:after="0"/>
              <w:rPr>
                <w:sz w:val="20"/>
                <w:szCs w:val="20"/>
                <w:color w:val="auto"/>
              </w:rPr>
            </w:pPr>
            <w:r>
              <w:rPr>
                <w:rFonts w:ascii="Arial" w:cs="Arial" w:eastAsia="Arial" w:hAnsi="Arial"/>
                <w:sz w:val="16"/>
                <w:szCs w:val="16"/>
                <w:color w:val="auto"/>
              </w:rPr>
              <w:t>Payments on technology license obligations</w:t>
            </w: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(72,266)</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40"/>
              <w:spacing w:after="0"/>
              <w:rPr>
                <w:sz w:val="20"/>
                <w:szCs w:val="20"/>
                <w:color w:val="auto"/>
              </w:rPr>
            </w:pPr>
            <w:r>
              <w:rPr>
                <w:rFonts w:ascii="Arial" w:cs="Arial" w:eastAsia="Arial" w:hAnsi="Arial"/>
                <w:sz w:val="16"/>
                <w:szCs w:val="16"/>
                <w:color w:val="auto"/>
              </w:rPr>
              <w:t>(69,157)</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(28,503)</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6"/>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6"/>
                <w:szCs w:val="16"/>
                <w:color w:val="auto"/>
              </w:rPr>
              <w:t>Proceeds from issuance of debt</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950,000</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1,892,605</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w:t>
            </w:r>
          </w:p>
        </w:tc>
      </w:tr>
      <w:tr>
        <w:trPr>
          <w:trHeight w:val="223"/>
        </w:trPr>
        <w:tc>
          <w:tcPr>
            <w:tcW w:w="6700" w:type="dxa"/>
            <w:vAlign w:val="bottom"/>
          </w:tcPr>
          <w:p>
            <w:pPr>
              <w:ind w:left="340"/>
              <w:spacing w:after="0"/>
              <w:rPr>
                <w:sz w:val="20"/>
                <w:szCs w:val="20"/>
                <w:color w:val="auto"/>
              </w:rPr>
            </w:pPr>
            <w:r>
              <w:rPr>
                <w:rFonts w:ascii="Arial" w:cs="Arial" w:eastAsia="Arial" w:hAnsi="Arial"/>
                <w:sz w:val="16"/>
                <w:szCs w:val="16"/>
                <w:color w:val="auto"/>
              </w:rPr>
              <w:t>Principal payments of debt</w:t>
            </w: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(1,250,000)</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40"/>
              <w:spacing w:after="0"/>
              <w:rPr>
                <w:sz w:val="20"/>
                <w:szCs w:val="20"/>
                <w:color w:val="auto"/>
              </w:rPr>
            </w:pPr>
            <w:r>
              <w:rPr>
                <w:rFonts w:ascii="Arial" w:cs="Arial" w:eastAsia="Arial" w:hAnsi="Arial"/>
                <w:sz w:val="16"/>
                <w:szCs w:val="16"/>
                <w:color w:val="auto"/>
              </w:rPr>
              <w:t>(756,128)</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36"/>
        </w:trPr>
        <w:tc>
          <w:tcPr>
            <w:tcW w:w="67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6"/>
                <w:szCs w:val="16"/>
                <w:color w:val="auto"/>
              </w:rPr>
              <w:t>Payment of equity and debt financing costs</w:t>
            </w:r>
          </w:p>
        </w:tc>
        <w:tc>
          <w:tcPr>
            <w:tcW w:w="22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(11,550)</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(14,378)</w:t>
            </w:r>
          </w:p>
        </w:tc>
      </w:tr>
      <w:tr>
        <w:trPr>
          <w:trHeight w:val="223"/>
        </w:trPr>
        <w:tc>
          <w:tcPr>
            <w:tcW w:w="6700" w:type="dxa"/>
            <w:vAlign w:val="bottom"/>
          </w:tcPr>
          <w:p>
            <w:pPr>
              <w:ind w:left="340"/>
              <w:spacing w:after="0"/>
              <w:rPr>
                <w:sz w:val="20"/>
                <w:szCs w:val="20"/>
                <w:color w:val="auto"/>
              </w:rPr>
            </w:pPr>
            <w:r>
              <w:rPr>
                <w:rFonts w:ascii="Arial" w:cs="Arial" w:eastAsia="Arial" w:hAnsi="Arial"/>
                <w:sz w:val="16"/>
                <w:szCs w:val="16"/>
                <w:color w:val="auto"/>
              </w:rPr>
              <w:t>Other, net</w:t>
            </w:r>
          </w:p>
        </w:tc>
        <w:tc>
          <w:tcPr>
            <w:tcW w:w="220" w:type="dxa"/>
            <w:vAlign w:val="bottom"/>
          </w:tcPr>
          <w:p>
            <w:pPr>
              <w:spacing w:after="0"/>
              <w:rPr>
                <w:sz w:val="19"/>
                <w:szCs w:val="19"/>
                <w:color w:val="auto"/>
              </w:rPr>
            </w:pPr>
          </w:p>
        </w:tc>
        <w:tc>
          <w:tcPr>
            <w:tcW w:w="1220" w:type="dxa"/>
            <w:vAlign w:val="bottom"/>
          </w:tcPr>
          <w:p>
            <w:pPr>
              <w:jc w:val="right"/>
              <w:ind w:right="39"/>
              <w:spacing w:after="0"/>
              <w:rPr>
                <w:sz w:val="20"/>
                <w:szCs w:val="20"/>
                <w:color w:val="auto"/>
              </w:rPr>
            </w:pPr>
            <w:r>
              <w:rPr>
                <w:rFonts w:ascii="Arial" w:cs="Arial" w:eastAsia="Arial" w:hAnsi="Arial"/>
                <w:sz w:val="16"/>
                <w:szCs w:val="16"/>
                <w:color w:val="auto"/>
              </w:rPr>
              <w:t>(6,812)</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2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9"/>
                <w:szCs w:val="19"/>
                <w:color w:val="auto"/>
              </w:rPr>
            </w:pPr>
          </w:p>
        </w:tc>
        <w:tc>
          <w:tcPr>
            <w:tcW w:w="1220" w:type="dxa"/>
            <w:vAlign w:val="bottom"/>
          </w:tcPr>
          <w:p>
            <w:pPr>
              <w:jc w:val="right"/>
              <w:ind w:right="79"/>
              <w:spacing w:after="0"/>
              <w:rPr>
                <w:sz w:val="20"/>
                <w:szCs w:val="20"/>
                <w:color w:val="auto"/>
              </w:rPr>
            </w:pPr>
            <w:r>
              <w:rPr>
                <w:rFonts w:ascii="Arial" w:cs="Arial" w:eastAsia="Arial" w:hAnsi="Arial"/>
                <w:sz w:val="16"/>
                <w:szCs w:val="16"/>
                <w:color w:val="auto"/>
              </w:rPr>
              <w:t>—</w:t>
            </w:r>
          </w:p>
        </w:tc>
      </w:tr>
      <w:tr>
        <w:trPr>
          <w:trHeight w:val="33"/>
        </w:trPr>
        <w:tc>
          <w:tcPr>
            <w:tcW w:w="67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50"/>
        </w:trPr>
        <w:tc>
          <w:tcPr>
            <w:tcW w:w="6700" w:type="dxa"/>
            <w:vAlign w:val="bottom"/>
            <w:tcBorders>
              <w:bottom w:val="single" w:sz="8" w:color="CCEEFF"/>
            </w:tcBorders>
            <w:shd w:val="clear" w:color="auto" w:fill="CCEEFF"/>
          </w:tcPr>
          <w:p>
            <w:pPr>
              <w:ind w:left="1420"/>
              <w:spacing w:after="0"/>
              <w:rPr>
                <w:sz w:val="20"/>
                <w:szCs w:val="20"/>
                <w:color w:val="auto"/>
              </w:rPr>
            </w:pPr>
            <w:r>
              <w:rPr>
                <w:rFonts w:ascii="Arial" w:cs="Arial" w:eastAsia="Arial" w:hAnsi="Arial"/>
                <w:sz w:val="16"/>
                <w:szCs w:val="16"/>
                <w:color w:val="auto"/>
              </w:rPr>
              <w:t>Net cash provided by (used in) in financing activities</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(853,949)</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849,737</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(536,244)</w:t>
            </w:r>
          </w:p>
        </w:tc>
      </w:tr>
      <w:tr>
        <w:trPr>
          <w:trHeight w:val="217"/>
        </w:trPr>
        <w:tc>
          <w:tcPr>
            <w:tcW w:w="6700" w:type="dxa"/>
            <w:vAlign w:val="bottom"/>
          </w:tcPr>
          <w:p>
            <w:pPr>
              <w:ind w:left="20"/>
              <w:spacing w:after="0"/>
              <w:rPr>
                <w:sz w:val="20"/>
                <w:szCs w:val="20"/>
                <w:color w:val="auto"/>
              </w:rPr>
            </w:pPr>
            <w:r>
              <w:rPr>
                <w:rFonts w:ascii="Arial" w:cs="Arial" w:eastAsia="Arial" w:hAnsi="Arial"/>
                <w:sz w:val="16"/>
                <w:szCs w:val="16"/>
                <w:color w:val="auto"/>
              </w:rPr>
              <w:t>Net increase (decrease) in cash and cash equivalents</w:t>
            </w:r>
          </w:p>
        </w:tc>
        <w:tc>
          <w:tcPr>
            <w:tcW w:w="220" w:type="dxa"/>
            <w:vAlign w:val="bottom"/>
            <w:tcBorders>
              <w:top w:val="single" w:sz="8" w:color="auto"/>
            </w:tcBorders>
          </w:tcPr>
          <w:p>
            <w:pPr>
              <w:spacing w:after="0"/>
              <w:rPr>
                <w:sz w:val="18"/>
                <w:szCs w:val="18"/>
                <w:color w:val="auto"/>
              </w:rPr>
            </w:pPr>
          </w:p>
        </w:tc>
        <w:tc>
          <w:tcPr>
            <w:tcW w:w="1220" w:type="dxa"/>
            <w:vAlign w:val="bottom"/>
            <w:tcBorders>
              <w:top w:val="single" w:sz="8" w:color="auto"/>
            </w:tcBorders>
          </w:tcPr>
          <w:p>
            <w:pPr>
              <w:jc w:val="right"/>
              <w:ind w:right="79"/>
              <w:spacing w:after="0"/>
              <w:rPr>
                <w:sz w:val="20"/>
                <w:szCs w:val="20"/>
                <w:color w:val="auto"/>
              </w:rPr>
            </w:pPr>
            <w:r>
              <w:rPr>
                <w:rFonts w:ascii="Arial" w:cs="Arial" w:eastAsia="Arial" w:hAnsi="Arial"/>
                <w:sz w:val="16"/>
                <w:szCs w:val="16"/>
                <w:color w:val="auto"/>
              </w:rPr>
              <w:t>65,194</w:t>
            </w:r>
          </w:p>
        </w:tc>
        <w:tc>
          <w:tcPr>
            <w:tcW w:w="10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220" w:type="dxa"/>
            <w:vAlign w:val="bottom"/>
            <w:tcBorders>
              <w:top w:val="single" w:sz="8" w:color="auto"/>
            </w:tcBorders>
          </w:tcPr>
          <w:p>
            <w:pPr>
              <w:jc w:val="right"/>
              <w:ind w:right="40"/>
              <w:spacing w:after="0"/>
              <w:rPr>
                <w:sz w:val="20"/>
                <w:szCs w:val="20"/>
                <w:color w:val="auto"/>
              </w:rPr>
            </w:pPr>
            <w:r>
              <w:rPr>
                <w:rFonts w:ascii="Arial" w:cs="Arial" w:eastAsia="Arial" w:hAnsi="Arial"/>
                <w:sz w:val="16"/>
                <w:szCs w:val="16"/>
                <w:color w:val="auto"/>
              </w:rPr>
              <w:t>(306,072)</w:t>
            </w:r>
          </w:p>
        </w:tc>
        <w:tc>
          <w:tcPr>
            <w:tcW w:w="10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220" w:type="dxa"/>
            <w:vAlign w:val="bottom"/>
            <w:tcBorders>
              <w:top w:val="single" w:sz="8" w:color="auto"/>
            </w:tcBorders>
          </w:tcPr>
          <w:p>
            <w:pPr>
              <w:jc w:val="right"/>
              <w:ind w:right="79"/>
              <w:spacing w:after="0"/>
              <w:rPr>
                <w:sz w:val="20"/>
                <w:szCs w:val="20"/>
                <w:color w:val="auto"/>
              </w:rPr>
            </w:pPr>
            <w:r>
              <w:rPr>
                <w:rFonts w:ascii="Arial" w:cs="Arial" w:eastAsia="Arial" w:hAnsi="Arial"/>
                <w:sz w:val="16"/>
                <w:szCs w:val="16"/>
                <w:color w:val="auto"/>
              </w:rPr>
              <w:t>74,390</w:t>
            </w:r>
          </w:p>
        </w:tc>
      </w:tr>
      <w:tr>
        <w:trPr>
          <w:trHeight w:val="33"/>
        </w:trPr>
        <w:tc>
          <w:tcPr>
            <w:tcW w:w="6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6"/>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Cash and cash equivalents at beginning of the year</w:t>
            </w:r>
          </w:p>
        </w:tc>
        <w:tc>
          <w:tcPr>
            <w:tcW w:w="2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582,410</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888,482</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814,092</w:t>
            </w:r>
          </w:p>
        </w:tc>
      </w:tr>
      <w:tr>
        <w:trPr>
          <w:trHeight w:val="217"/>
        </w:trPr>
        <w:tc>
          <w:tcPr>
            <w:tcW w:w="6700" w:type="dxa"/>
            <w:vAlign w:val="bottom"/>
          </w:tcPr>
          <w:p>
            <w:pPr>
              <w:ind w:left="20"/>
              <w:spacing w:after="0"/>
              <w:rPr>
                <w:sz w:val="20"/>
                <w:szCs w:val="20"/>
                <w:color w:val="auto"/>
              </w:rPr>
            </w:pPr>
            <w:r>
              <w:rPr>
                <w:rFonts w:ascii="Arial" w:cs="Arial" w:eastAsia="Arial" w:hAnsi="Arial"/>
                <w:sz w:val="16"/>
                <w:szCs w:val="16"/>
                <w:color w:val="auto"/>
              </w:rPr>
              <w:t>Cash and cash equivalents at end of the year</w:t>
            </w:r>
          </w:p>
        </w:tc>
        <w:tc>
          <w:tcPr>
            <w:tcW w:w="22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w w:val="89"/>
              </w:rPr>
              <w:t>$</w:t>
            </w:r>
          </w:p>
        </w:tc>
        <w:tc>
          <w:tcPr>
            <w:tcW w:w="1220" w:type="dxa"/>
            <w:vAlign w:val="bottom"/>
            <w:tcBorders>
              <w:top w:val="single" w:sz="8" w:color="auto"/>
            </w:tcBorders>
          </w:tcPr>
          <w:p>
            <w:pPr>
              <w:jc w:val="right"/>
              <w:ind w:right="79"/>
              <w:spacing w:after="0"/>
              <w:rPr>
                <w:sz w:val="20"/>
                <w:szCs w:val="20"/>
                <w:color w:val="auto"/>
              </w:rPr>
            </w:pPr>
            <w:r>
              <w:rPr>
                <w:rFonts w:ascii="Arial" w:cs="Arial" w:eastAsia="Arial" w:hAnsi="Arial"/>
                <w:sz w:val="16"/>
                <w:szCs w:val="16"/>
                <w:color w:val="auto"/>
              </w:rPr>
              <w:t>647,604</w:t>
            </w:r>
          </w:p>
        </w:tc>
        <w:tc>
          <w:tcPr>
            <w:tcW w:w="100" w:type="dxa"/>
            <w:vAlign w:val="bottom"/>
          </w:tcPr>
          <w:p>
            <w:pPr>
              <w:spacing w:after="0"/>
              <w:rPr>
                <w:sz w:val="18"/>
                <w:szCs w:val="18"/>
                <w:color w:val="auto"/>
              </w:rPr>
            </w:pPr>
          </w:p>
        </w:tc>
        <w:tc>
          <w:tcPr>
            <w:tcW w:w="22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w w:val="89"/>
              </w:rPr>
              <w:t>$</w:t>
            </w:r>
          </w:p>
        </w:tc>
        <w:tc>
          <w:tcPr>
            <w:tcW w:w="1220" w:type="dxa"/>
            <w:vAlign w:val="bottom"/>
            <w:tcBorders>
              <w:top w:val="single" w:sz="8" w:color="auto"/>
            </w:tcBorders>
          </w:tcPr>
          <w:p>
            <w:pPr>
              <w:jc w:val="right"/>
              <w:ind w:right="80"/>
              <w:spacing w:after="0"/>
              <w:rPr>
                <w:sz w:val="20"/>
                <w:szCs w:val="20"/>
                <w:color w:val="auto"/>
              </w:rPr>
            </w:pPr>
            <w:r>
              <w:rPr>
                <w:rFonts w:ascii="Arial" w:cs="Arial" w:eastAsia="Arial" w:hAnsi="Arial"/>
                <w:sz w:val="16"/>
                <w:szCs w:val="16"/>
                <w:color w:val="auto"/>
              </w:rPr>
              <w:t>582,410</w:t>
            </w:r>
          </w:p>
        </w:tc>
        <w:tc>
          <w:tcPr>
            <w:tcW w:w="100" w:type="dxa"/>
            <w:vAlign w:val="bottom"/>
          </w:tcPr>
          <w:p>
            <w:pPr>
              <w:spacing w:after="0"/>
              <w:rPr>
                <w:sz w:val="18"/>
                <w:szCs w:val="18"/>
                <w:color w:val="auto"/>
              </w:rPr>
            </w:pPr>
          </w:p>
        </w:tc>
        <w:tc>
          <w:tcPr>
            <w:tcW w:w="22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w w:val="89"/>
              </w:rPr>
              <w:t>$</w:t>
            </w:r>
          </w:p>
        </w:tc>
        <w:tc>
          <w:tcPr>
            <w:tcW w:w="1220" w:type="dxa"/>
            <w:vAlign w:val="bottom"/>
            <w:tcBorders>
              <w:top w:val="single" w:sz="8" w:color="auto"/>
            </w:tcBorders>
          </w:tcPr>
          <w:p>
            <w:pPr>
              <w:jc w:val="right"/>
              <w:ind w:right="79"/>
              <w:spacing w:after="0"/>
              <w:rPr>
                <w:sz w:val="20"/>
                <w:szCs w:val="20"/>
                <w:color w:val="auto"/>
              </w:rPr>
            </w:pPr>
            <w:r>
              <w:rPr>
                <w:rFonts w:ascii="Arial" w:cs="Arial" w:eastAsia="Arial" w:hAnsi="Arial"/>
                <w:sz w:val="16"/>
                <w:szCs w:val="16"/>
                <w:color w:val="auto"/>
              </w:rPr>
              <w:t>888,482</w:t>
            </w:r>
          </w:p>
        </w:tc>
      </w:tr>
      <w:tr>
        <w:trPr>
          <w:trHeight w:val="33"/>
        </w:trPr>
        <w:tc>
          <w:tcPr>
            <w:tcW w:w="67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1"/>
        </w:trPr>
        <w:tc>
          <w:tcPr>
            <w:tcW w:w="67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ectPr>
          <w:pgSz w:w="11900" w:h="16838" w:orient="portrait"/>
          <w:cols w:equalWidth="0" w:num="1">
            <w:col w:w="11220"/>
          </w:cols>
          <w:pgMar w:left="320" w:top="225" w:right="359" w:bottom="493"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225" w:right="359" w:bottom="493" w:gutter="0" w:footer="0" w:header="0"/>
          <w:type w:val="continuous"/>
        </w:sectPr>
      </w:pPr>
    </w:p>
    <w:bookmarkStart w:id="57" w:name="page58"/>
    <w:bookmarkEnd w:id="57"/>
    <w:p>
      <w:pPr>
        <w:spacing w:after="0"/>
        <w:rPr>
          <w:rFonts w:ascii="Arial" w:cs="Arial" w:eastAsia="Arial" w:hAnsi="Arial"/>
          <w:sz w:val="14"/>
          <w:szCs w:val="14"/>
          <w:b w:val="1"/>
          <w:bCs w:val="1"/>
          <w:u w:val="single" w:color="auto"/>
          <w:color w:val="0000FF"/>
        </w:rPr>
      </w:pPr>
      <w:hyperlink w:anchor="page2">
        <w:r>
          <w:rPr>
            <w:rFonts w:ascii="Arial" w:cs="Arial" w:eastAsia="Arial" w:hAnsi="Arial"/>
            <w:sz w:val="14"/>
            <w:szCs w:val="14"/>
            <w:b w:val="1"/>
            <w:bCs w:val="1"/>
            <w:u w:val="single" w:color="auto"/>
            <w:color w:val="0000FF"/>
          </w:rPr>
          <w:t>Table of Contents</w:t>
        </w:r>
      </w:hyperlink>
    </w:p>
    <w:p>
      <w:pPr>
        <w:spacing w:after="0" w:line="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8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200" w:lineRule="exact"/>
        <w:rPr>
          <w:sz w:val="20"/>
          <w:szCs w:val="20"/>
          <w:color w:val="auto"/>
        </w:rPr>
      </w:pP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Basis of Presentation</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117" w:lineRule="exact"/>
        <w:rPr>
          <w:sz w:val="20"/>
          <w:szCs w:val="20"/>
          <w:color w:val="auto"/>
        </w:rPr>
      </w:pPr>
    </w:p>
    <w:p>
      <w:pPr>
        <w:ind w:right="40" w:firstLine="445"/>
        <w:spacing w:after="0" w:line="255" w:lineRule="auto"/>
        <w:rPr>
          <w:sz w:val="20"/>
          <w:szCs w:val="20"/>
          <w:color w:val="auto"/>
        </w:rPr>
      </w:pPr>
      <w:r>
        <w:rPr>
          <w:rFonts w:ascii="Arial" w:cs="Arial" w:eastAsia="Arial" w:hAnsi="Arial"/>
          <w:sz w:val="18"/>
          <w:szCs w:val="18"/>
          <w:color w:val="auto"/>
        </w:rPr>
        <w:t>Marvell Technology Group Ltd., a Bermuda exempted company, and its subsidiaries (the “Company”), is a fabless semiconductor provider of high-performance application-specific standard products. The Company’s core strength is the development of complex System-on-a-Chip devices, leveraging its extensive technology portfolio of intellectual property in the areas of analog, mixed-signal, digital signal processing, and embedded and standalone integrated circuits. The Company also develops platforms that it defines as integrated hardware along with software that incorporates digital computing technologies designed and configured to provide an optimized computing solution. The Company’s broad product portfolio includes devices for storage and networking.</w:t>
      </w:r>
    </w:p>
    <w:p>
      <w:pPr>
        <w:spacing w:after="0" w:line="8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117" w:lineRule="exact"/>
        <w:rPr>
          <w:sz w:val="20"/>
          <w:szCs w:val="20"/>
          <w:color w:val="auto"/>
        </w:rPr>
      </w:pPr>
    </w:p>
    <w:p>
      <w:pPr>
        <w:ind w:right="20" w:firstLine="445"/>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2020 and fiscal 2019 each had a 52-week period, while fiscal 2018 had a 53-week period. Certain prior period amounts have been reclassified to conform to current year presentation.</w:t>
      </w:r>
    </w:p>
    <w:p>
      <w:pPr>
        <w:spacing w:after="0" w:line="79" w:lineRule="exact"/>
        <w:rPr>
          <w:sz w:val="20"/>
          <w:szCs w:val="20"/>
          <w:color w:val="auto"/>
        </w:rPr>
      </w:pPr>
    </w:p>
    <w:p>
      <w:pPr>
        <w:ind w:right="380" w:firstLine="445"/>
        <w:spacing w:after="0" w:line="263" w:lineRule="auto"/>
        <w:rPr>
          <w:sz w:val="20"/>
          <w:szCs w:val="20"/>
          <w:color w:val="auto"/>
        </w:rPr>
      </w:pPr>
      <w:r>
        <w:rPr>
          <w:rFonts w:ascii="Arial" w:cs="Arial" w:eastAsia="Arial" w:hAnsi="Arial"/>
          <w:sz w:val="18"/>
          <w:szCs w:val="18"/>
          <w:color w:val="auto"/>
        </w:rPr>
        <w:t>On September 19, 2019, the Company completed the acquisition of Aquantia. On November 5, 2019, the Company completed the acquisition of Avera, the Application Specific Integrated Circuit (“ASIC”) business of GlobalFoundries. See “Note 3 - Business Combinations” for additional information.</w:t>
      </w:r>
    </w:p>
    <w:p>
      <w:pPr>
        <w:spacing w:after="0" w:line="76" w:lineRule="exact"/>
        <w:rPr>
          <w:sz w:val="20"/>
          <w:szCs w:val="20"/>
          <w:color w:val="auto"/>
        </w:rPr>
      </w:pPr>
    </w:p>
    <w:p>
      <w:pPr>
        <w:ind w:right="140" w:firstLine="445"/>
        <w:spacing w:after="0" w:line="259" w:lineRule="auto"/>
        <w:rPr>
          <w:sz w:val="20"/>
          <w:szCs w:val="20"/>
          <w:color w:val="auto"/>
        </w:rPr>
      </w:pPr>
      <w:r>
        <w:rPr>
          <w:rFonts w:ascii="Arial" w:cs="Arial" w:eastAsia="Arial" w:hAnsi="Arial"/>
          <w:sz w:val="18"/>
          <w:szCs w:val="18"/>
          <w:color w:val="auto"/>
        </w:rPr>
        <w:t>On December 6, 2019, the Company completed the divestiture of the Wi-Fi Connectivity business to NXP USA, Inc, a subsidiary of NXP Semiconductors (“NXP”). Based on the terms of the agreement, the Company received sale consideration of $1.7 billion in cash proceeds. The divestiture resulted in a pre-tax gain on sale of $1.1 billion, which is included in other income, net in the Consolidated Statements of Operations for the year ended February 1, 2020.</w:t>
      </w:r>
    </w:p>
    <w:p>
      <w:pPr>
        <w:spacing w:after="0" w:line="79" w:lineRule="exact"/>
        <w:rPr>
          <w:sz w:val="20"/>
          <w:szCs w:val="20"/>
          <w:color w:val="auto"/>
        </w:rPr>
      </w:pPr>
    </w:p>
    <w:p>
      <w:pPr>
        <w:ind w:firstLine="445"/>
        <w:spacing w:after="0" w:line="259" w:lineRule="auto"/>
        <w:rPr>
          <w:sz w:val="20"/>
          <w:szCs w:val="20"/>
          <w:color w:val="auto"/>
        </w:rPr>
      </w:pPr>
      <w:r>
        <w:rPr>
          <w:rFonts w:ascii="Arial" w:cs="Arial" w:eastAsia="Arial" w:hAnsi="Arial"/>
          <w:sz w:val="17"/>
          <w:szCs w:val="17"/>
          <w:color w:val="auto"/>
        </w:rPr>
        <w:t>On December 31, 2019, the Company completed an intra-entity transfer of the majority of its intellectual property to a subsidiary in Singapore. The transfer aligns the global economic ownership of the Company's intellectual property rights with its current and future business operations. The income tax benefit of $763.0 million in fiscal 2020 is primarily due to the recognition of a deferred tax asset of $659.0 million from the Singapore tax basis in the intellectual property. In addition, the Company recognized $104.0 million of income tax benefit from the reversal of deferred tax liabilities primarily related to previously acquired intangible assets. See “Note 16 - Income Taxes” for additional information.</w:t>
      </w:r>
    </w:p>
    <w:p>
      <w:pPr>
        <w:spacing w:after="0" w:line="3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Significant Accounting Policies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117" w:lineRule="exact"/>
        <w:rPr>
          <w:sz w:val="20"/>
          <w:szCs w:val="20"/>
          <w:color w:val="auto"/>
        </w:rPr>
      </w:pPr>
    </w:p>
    <w:p>
      <w:pPr>
        <w:ind w:right="40" w:firstLine="445"/>
        <w:spacing w:after="0" w:line="255" w:lineRule="auto"/>
        <w:rPr>
          <w:sz w:val="20"/>
          <w:szCs w:val="20"/>
          <w:color w:val="auto"/>
        </w:rPr>
      </w:pPr>
      <w:r>
        <w:rPr>
          <w:rFonts w:ascii="Arial" w:cs="Arial" w:eastAsia="Arial" w:hAnsi="Arial"/>
          <w:sz w:val="18"/>
          <w:szCs w:val="18"/>
          <w:color w:val="auto"/>
        </w:rPr>
        <w:t>The preparation of consolidated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Actual results could differ from these estimates, and such differences could affect the results of operations reported in future periods.</w:t>
      </w:r>
    </w:p>
    <w:p>
      <w:pPr>
        <w:spacing w:after="0" w:line="8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117" w:lineRule="exact"/>
        <w:rPr>
          <w:sz w:val="20"/>
          <w:szCs w:val="20"/>
          <w:color w:val="auto"/>
        </w:rPr>
      </w:pPr>
    </w:p>
    <w:p>
      <w:pPr>
        <w:ind w:right="460" w:firstLine="445"/>
        <w:spacing w:after="0" w:line="277" w:lineRule="auto"/>
        <w:rPr>
          <w:sz w:val="20"/>
          <w:szCs w:val="20"/>
          <w:color w:val="auto"/>
        </w:rPr>
      </w:pPr>
      <w:r>
        <w:rPr>
          <w:rFonts w:ascii="Arial" w:cs="Arial" w:eastAsia="Arial" w:hAnsi="Arial"/>
          <w:sz w:val="18"/>
          <w:szCs w:val="18"/>
          <w:color w:val="auto"/>
        </w:rPr>
        <w:t>The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Discontinued Operations</w:t>
      </w:r>
    </w:p>
    <w:p>
      <w:pPr>
        <w:spacing w:after="0" w:line="117" w:lineRule="exact"/>
        <w:rPr>
          <w:sz w:val="20"/>
          <w:szCs w:val="20"/>
          <w:color w:val="auto"/>
        </w:rPr>
      </w:pPr>
    </w:p>
    <w:p>
      <w:pPr>
        <w:ind w:firstLine="445"/>
        <w:spacing w:after="0" w:line="257" w:lineRule="auto"/>
        <w:rPr>
          <w:sz w:val="20"/>
          <w:szCs w:val="20"/>
          <w:color w:val="auto"/>
        </w:rPr>
      </w:pPr>
      <w:r>
        <w:rPr>
          <w:rFonts w:ascii="Arial" w:cs="Arial" w:eastAsia="Arial" w:hAnsi="Arial"/>
          <w:sz w:val="18"/>
          <w:szCs w:val="18"/>
          <w:color w:val="auto"/>
        </w:rPr>
        <w:t>In connection with the plan the Company announced in November 2016 to restructure its operations to refocus its research and development, increase operational efficiency and improve profitability, the Company also planned to divest certain businesses. As of February 1, 2020, three businesses were divested and are classified as discontinued operations (see “Note 5 - Discontinued Operations”). The Company has not segregated the cash flows of these businesses in the consolidated statements of cash flows. Unless noted otherwise, discussion in the Notes to Consolidated Financial Statements refers to the Company’s continuing operations.</w:t>
      </w:r>
    </w:p>
    <w:p>
      <w:pPr>
        <w:spacing w:after="0" w:line="3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225" w:right="339" w:bottom="1440" w:gutter="0" w:footer="0" w:header="0"/>
        </w:sectPr>
      </w:pPr>
    </w:p>
    <w:bookmarkStart w:id="58" w:name="page59"/>
    <w:bookmarkEnd w:id="58"/>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117" w:lineRule="exact"/>
        <w:rPr>
          <w:sz w:val="20"/>
          <w:szCs w:val="20"/>
          <w:color w:val="auto"/>
        </w:rPr>
      </w:pPr>
    </w:p>
    <w:p>
      <w:pPr>
        <w:ind w:right="700" w:firstLine="445"/>
        <w:spacing w:after="0" w:line="277" w:lineRule="auto"/>
        <w:rPr>
          <w:sz w:val="20"/>
          <w:szCs w:val="20"/>
          <w:color w:val="auto"/>
        </w:rPr>
      </w:pPr>
      <w:r>
        <w:rPr>
          <w:rFonts w:ascii="Arial" w:cs="Arial" w:eastAsia="Arial" w:hAnsi="Arial"/>
          <w:sz w:val="18"/>
          <w:szCs w:val="18"/>
          <w:color w:val="auto"/>
        </w:rPr>
        <w:t>The Company considers all highly liquid investments with an original maturity of three months or less from the date of purchase to be cash equivalents. Cash and cash equivalents consist of cash on deposit with banks and time deposits.</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Investments</w:t>
      </w:r>
    </w:p>
    <w:p>
      <w:pPr>
        <w:spacing w:after="0" w:line="117" w:lineRule="exact"/>
        <w:rPr>
          <w:sz w:val="20"/>
          <w:szCs w:val="20"/>
          <w:color w:val="auto"/>
        </w:rPr>
      </w:pPr>
    </w:p>
    <w:p>
      <w:pPr>
        <w:ind w:right="100" w:firstLine="445"/>
        <w:spacing w:after="0" w:line="275" w:lineRule="auto"/>
        <w:rPr>
          <w:sz w:val="20"/>
          <w:szCs w:val="20"/>
          <w:color w:val="auto"/>
        </w:rPr>
      </w:pPr>
      <w:r>
        <w:rPr>
          <w:rFonts w:ascii="Arial" w:cs="Arial" w:eastAsia="Arial" w:hAnsi="Arial"/>
          <w:sz w:val="17"/>
          <w:szCs w:val="17"/>
          <w:color w:val="auto"/>
        </w:rPr>
        <w:t>The Company classifies debt securities as available-for-sale and reports such investments at fair value. The Company determines any realized gains or losses on the sale of available-for-sale securities on a specific identification method, and such gains and losses are recorded as a component of interest and other income (loss), net. Unrealized gains and losses of the available-for-sale securities are excluded from earnings and reported as a component of accumulated other comprehensive income. Time deposits with maturities greater than 90 days, but less than one year, are classified in short-term investments as held-to-maturity since the Company has both the intent and ability to hold them to maturity.</w:t>
      </w:r>
    </w:p>
    <w:p>
      <w:pPr>
        <w:spacing w:after="0" w:line="68" w:lineRule="exact"/>
        <w:rPr>
          <w:sz w:val="20"/>
          <w:szCs w:val="20"/>
          <w:color w:val="auto"/>
        </w:rPr>
      </w:pPr>
    </w:p>
    <w:p>
      <w:pPr>
        <w:ind w:right="140" w:firstLine="445"/>
        <w:spacing w:after="0" w:line="263" w:lineRule="auto"/>
        <w:rPr>
          <w:sz w:val="20"/>
          <w:szCs w:val="20"/>
          <w:color w:val="auto"/>
        </w:rPr>
      </w:pPr>
      <w:r>
        <w:rPr>
          <w:rFonts w:ascii="Arial" w:cs="Arial" w:eastAsia="Arial" w:hAnsi="Arial"/>
          <w:sz w:val="18"/>
          <w:szCs w:val="18"/>
          <w:color w:val="auto"/>
        </w:rPr>
        <w:t>In general, investments with original maturities of greater than 90 days and remaining maturities of less than one year are classified as short-term investments. Investments with maturities beyond one year may also be classified as short-term based on their highly liquid nature and can be sold to fund current operations.</w:t>
      </w:r>
    </w:p>
    <w:p>
      <w:pPr>
        <w:spacing w:after="0" w:line="76" w:lineRule="exact"/>
        <w:rPr>
          <w:sz w:val="20"/>
          <w:szCs w:val="20"/>
          <w:color w:val="auto"/>
        </w:rPr>
      </w:pPr>
    </w:p>
    <w:p>
      <w:pPr>
        <w:ind w:right="20" w:firstLine="445"/>
        <w:spacing w:after="0" w:line="259" w:lineRule="auto"/>
        <w:rPr>
          <w:sz w:val="20"/>
          <w:szCs w:val="20"/>
          <w:color w:val="auto"/>
        </w:rPr>
      </w:pPr>
      <w:r>
        <w:rPr>
          <w:rFonts w:ascii="Arial" w:cs="Arial" w:eastAsia="Arial" w:hAnsi="Arial"/>
          <w:sz w:val="18"/>
          <w:szCs w:val="18"/>
          <w:color w:val="auto"/>
        </w:rPr>
        <w:t>The Company also has equity investments in privately-held companies. If the Company has the ability to exercise significant influence over the investee, but not control, the Company accounts for the investment under the equity method. If the Company does not have the ability to exercise significant influence over the operations of the investee, the Company accounts for the investment under the measurement alternative method. Investments in privately-held companies are included in other non-current assets.</w:t>
      </w:r>
    </w:p>
    <w:p>
      <w:pPr>
        <w:spacing w:after="0" w:line="7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Impairment of Investments</w:t>
      </w:r>
    </w:p>
    <w:p>
      <w:pPr>
        <w:spacing w:after="0" w:line="117" w:lineRule="exact"/>
        <w:rPr>
          <w:sz w:val="20"/>
          <w:szCs w:val="20"/>
          <w:color w:val="auto"/>
        </w:rPr>
      </w:pPr>
    </w:p>
    <w:p>
      <w:pPr>
        <w:ind w:firstLine="445"/>
        <w:spacing w:after="0" w:line="257" w:lineRule="auto"/>
        <w:rPr>
          <w:sz w:val="20"/>
          <w:szCs w:val="20"/>
          <w:color w:val="auto"/>
        </w:rPr>
      </w:pPr>
      <w:r>
        <w:rPr>
          <w:rFonts w:ascii="Arial" w:cs="Arial" w:eastAsia="Arial" w:hAnsi="Arial"/>
          <w:sz w:val="18"/>
          <w:szCs w:val="18"/>
          <w:color w:val="auto"/>
        </w:rPr>
        <w:t>The Company performs a periodic review of its available-for-sale securities to determine whether an other-than-temporary impairment has occurred. Generally, for an individual security that has been in an unrealized loss position for an extended period of time, the Company evaluates whether an impairment charge should be recognized. Its evaluation is based on specific facts and circumstances at the time of assessment, including general market conditions, and the duration and extent to which the fair value is below cost. If the fair value of a debt security is less than its amortized cost, then an other-than-temporary impairment for the difference is recognized if:</w:t>
      </w:r>
    </w:p>
    <w:p>
      <w:pPr>
        <w:spacing w:after="0" w:line="80" w:lineRule="exact"/>
        <w:rPr>
          <w:sz w:val="20"/>
          <w:szCs w:val="20"/>
          <w:color w:val="auto"/>
        </w:rPr>
      </w:pPr>
    </w:p>
    <w:p>
      <w:pPr>
        <w:ind w:left="660" w:hanging="328"/>
        <w:spacing w:after="0"/>
        <w:tabs>
          <w:tab w:leader="none" w:pos="6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Company has the intent to sell the security;</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it is more likely than not that the Company will be required to sell the security before recovery of its amortized cost base; or</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 credit loss exists insofar as the Company does not expect to recover the entire recognized amortized cost of the security.</w:t>
      </w:r>
    </w:p>
    <w:p>
      <w:pPr>
        <w:spacing w:after="0" w:line="103" w:lineRule="exact"/>
        <w:rPr>
          <w:sz w:val="20"/>
          <w:szCs w:val="20"/>
          <w:color w:val="auto"/>
        </w:rPr>
      </w:pPr>
    </w:p>
    <w:p>
      <w:pPr>
        <w:ind w:right="140" w:firstLine="445"/>
        <w:spacing w:after="0" w:line="263" w:lineRule="auto"/>
        <w:rPr>
          <w:sz w:val="20"/>
          <w:szCs w:val="20"/>
          <w:color w:val="auto"/>
        </w:rPr>
      </w:pPr>
      <w:r>
        <w:rPr>
          <w:rFonts w:ascii="Arial" w:cs="Arial" w:eastAsia="Arial" w:hAnsi="Arial"/>
          <w:sz w:val="18"/>
          <w:szCs w:val="18"/>
          <w:color w:val="auto"/>
        </w:rPr>
        <w:t>If a debt security’s market value is below amortized cost and the Company either intends to sell the security or it is more likely than not that the Company will be required to sell the security before its anticipated recovery, the Company records an other-than-temporary impairment charge to interest and other income (loss), net in the consolidated statements of operations.</w:t>
      </w:r>
    </w:p>
    <w:p>
      <w:pPr>
        <w:spacing w:after="0" w:line="76" w:lineRule="exact"/>
        <w:rPr>
          <w:sz w:val="20"/>
          <w:szCs w:val="20"/>
          <w:color w:val="auto"/>
        </w:rPr>
      </w:pPr>
    </w:p>
    <w:p>
      <w:pPr>
        <w:ind w:right="140" w:firstLine="445"/>
        <w:spacing w:after="0" w:line="311" w:lineRule="auto"/>
        <w:rPr>
          <w:sz w:val="20"/>
          <w:szCs w:val="20"/>
          <w:color w:val="auto"/>
        </w:rPr>
      </w:pPr>
      <w:r>
        <w:rPr>
          <w:rFonts w:ascii="Arial" w:cs="Arial" w:eastAsia="Arial" w:hAnsi="Arial"/>
          <w:sz w:val="16"/>
          <w:szCs w:val="16"/>
          <w:color w:val="auto"/>
        </w:rPr>
        <w:t>Investments in privately-held companies are subject to a periodic impairment review. Investments are considered impaired when the fair value is below the investment’s cost basis. This assessment is based on a qualitative and quantitative analysis, including, but not limited to, the investee’s revenue and earnings trends, available cash and liquidity, and the status of the investee’s products and the related market for such products.</w:t>
      </w:r>
    </w:p>
    <w:p>
      <w:pPr>
        <w:spacing w:after="0" w:line="4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117" w:lineRule="exact"/>
        <w:rPr>
          <w:sz w:val="20"/>
          <w:szCs w:val="20"/>
          <w:color w:val="auto"/>
        </w:rPr>
      </w:pPr>
    </w:p>
    <w:p>
      <w:pPr>
        <w:ind w:right="160" w:firstLine="445"/>
        <w:spacing w:after="0" w:line="271" w:lineRule="auto"/>
        <w:rPr>
          <w:sz w:val="20"/>
          <w:szCs w:val="20"/>
          <w:color w:val="auto"/>
        </w:rPr>
      </w:pPr>
      <w:r>
        <w:rPr>
          <w:rFonts w:ascii="Arial" w:cs="Arial" w:eastAsia="Arial" w:hAnsi="Arial"/>
          <w:sz w:val="17"/>
          <w:szCs w:val="17"/>
          <w:color w:val="auto"/>
        </w:rPr>
        <w:t>Financial instruments that potentially subject the Company to a significant concentration of credit risk consist principally of cash equivalents and accounts receivable. Cash and cash equivalents are maintained with high-quality financial institutions, the composition and maturities of which are regularly monitored by management. The Company believes that the concentration of credit risk in its trade receivables is substantially mitigated by the Company’s credit evaluation process, relatively short collection terms and the high level of credit worthiness of its customers. The Company performs ongoing credit evaluations of its customers’ financial conditions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accounts receivable balances and current economic conditions that may affect a customer’s ability to pay.</w:t>
      </w:r>
    </w:p>
    <w:p>
      <w:pPr>
        <w:spacing w:after="0" w:line="70" w:lineRule="exact"/>
        <w:rPr>
          <w:sz w:val="20"/>
          <w:szCs w:val="20"/>
          <w:color w:val="auto"/>
        </w:rPr>
      </w:pPr>
    </w:p>
    <w:p>
      <w:pPr>
        <w:ind w:right="80" w:firstLine="445"/>
        <w:spacing w:after="0" w:line="263" w:lineRule="auto"/>
        <w:rPr>
          <w:sz w:val="20"/>
          <w:szCs w:val="20"/>
          <w:color w:val="auto"/>
        </w:rPr>
      </w:pPr>
      <w:r>
        <w:rPr>
          <w:rFonts w:ascii="Arial" w:cs="Arial" w:eastAsia="Arial" w:hAnsi="Arial"/>
          <w:sz w:val="18"/>
          <w:szCs w:val="18"/>
          <w:color w:val="auto"/>
        </w:rPr>
        <w:t>The Company’s accounts receivable was concentrated with four customers at February 1, 2020, who comprise a total of 38% of gross accounts receivable, compared with four customers at February 2, 2019, who represented 39% of gross accounts receivable, respectively. This presentation is at the customer consolidated level.</w:t>
      </w:r>
    </w:p>
    <w:p>
      <w:pPr>
        <w:spacing w:after="0" w:line="31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472" w:right="399" w:bottom="1440" w:gutter="0" w:footer="0" w:header="0"/>
        </w:sectPr>
      </w:pPr>
    </w:p>
    <w:bookmarkStart w:id="59" w:name="page60"/>
    <w:bookmarkEnd w:id="59"/>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60" w:firstLine="445"/>
        <w:spacing w:after="0" w:line="311"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During fiscal 2020, there was no net revenue attributable to one customer, other than one distributor, whose revenue was 10% or greater of total net revenues. Net revenue attributable to significant customers whose revenues as a percentage of net revenue was 10% or greater of total net revenues is presented in the following table:</w:t>
      </w:r>
    </w:p>
    <w:p>
      <w:pPr>
        <w:spacing w:after="0" w:line="8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148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96"/>
              <w:spacing w:after="0"/>
              <w:rPr>
                <w:sz w:val="20"/>
                <w:szCs w:val="20"/>
                <w:color w:val="auto"/>
              </w:rPr>
            </w:pPr>
            <w:r>
              <w:rPr>
                <w:rFonts w:ascii="Arial" w:cs="Arial" w:eastAsia="Arial" w:hAnsi="Arial"/>
                <w:sz w:val="14"/>
                <w:szCs w:val="14"/>
                <w:b w:val="1"/>
                <w:bCs w:val="1"/>
                <w:color w:val="auto"/>
              </w:rPr>
              <w:t>Year Ended</w:t>
            </w:r>
          </w:p>
        </w:tc>
        <w:tc>
          <w:tcPr>
            <w:tcW w:w="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500" w:type="dxa"/>
            <w:vAlign w:val="bottom"/>
            <w:tcBorders>
              <w:bottom w:val="single" w:sz="8" w:color="auto"/>
            </w:tcBorders>
          </w:tcPr>
          <w:p>
            <w:pPr>
              <w:spacing w:after="0"/>
              <w:rPr>
                <w:sz w:val="16"/>
                <w:szCs w:val="16"/>
                <w:color w:val="auto"/>
              </w:rPr>
            </w:pPr>
          </w:p>
        </w:tc>
      </w:tr>
      <w:tr>
        <w:trPr>
          <w:trHeight w:val="196"/>
        </w:trPr>
        <w:tc>
          <w:tcPr>
            <w:tcW w:w="6540" w:type="dxa"/>
            <w:vAlign w:val="bottom"/>
          </w:tcPr>
          <w:p>
            <w:pPr>
              <w:spacing w:after="0"/>
              <w:rPr>
                <w:sz w:val="17"/>
                <w:szCs w:val="17"/>
                <w:color w:val="auto"/>
              </w:rPr>
            </w:pPr>
          </w:p>
        </w:tc>
        <w:tc>
          <w:tcPr>
            <w:tcW w:w="1600" w:type="dxa"/>
            <w:vAlign w:val="bottom"/>
            <w:gridSpan w:val="2"/>
          </w:tcPr>
          <w:p>
            <w:pPr>
              <w:ind w:left="220"/>
              <w:spacing w:after="0"/>
              <w:rPr>
                <w:sz w:val="20"/>
                <w:szCs w:val="20"/>
                <w:color w:val="auto"/>
              </w:rPr>
            </w:pPr>
            <w:r>
              <w:rPr>
                <w:rFonts w:ascii="Arial" w:cs="Arial" w:eastAsia="Arial" w:hAnsi="Arial"/>
                <w:sz w:val="14"/>
                <w:szCs w:val="14"/>
                <w:b w:val="1"/>
                <w:bCs w:val="1"/>
                <w:color w:val="auto"/>
              </w:rPr>
              <w:t>February 1, 2020</w:t>
            </w:r>
          </w:p>
        </w:tc>
        <w:tc>
          <w:tcPr>
            <w:tcW w:w="1280" w:type="dxa"/>
            <w:vAlign w:val="bottom"/>
          </w:tcPr>
          <w:p>
            <w:pPr>
              <w:jc w:val="right"/>
              <w:spacing w:after="0"/>
              <w:rPr>
                <w:sz w:val="20"/>
                <w:szCs w:val="20"/>
                <w:color w:val="auto"/>
              </w:rPr>
            </w:pPr>
            <w:r>
              <w:rPr>
                <w:rFonts w:ascii="Arial" w:cs="Arial" w:eastAsia="Arial" w:hAnsi="Arial"/>
                <w:sz w:val="14"/>
                <w:szCs w:val="14"/>
                <w:b w:val="1"/>
                <w:bCs w:val="1"/>
                <w:color w:val="auto"/>
              </w:rPr>
              <w:t>February 2, 2019</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500" w:type="dxa"/>
            <w:vAlign w:val="bottom"/>
          </w:tcPr>
          <w:p>
            <w:pPr>
              <w:jc w:val="right"/>
              <w:ind w:right="134"/>
              <w:spacing w:after="0"/>
              <w:rPr>
                <w:sz w:val="20"/>
                <w:szCs w:val="20"/>
                <w:color w:val="auto"/>
              </w:rPr>
            </w:pPr>
            <w:r>
              <w:rPr>
                <w:rFonts w:ascii="Arial" w:cs="Arial" w:eastAsia="Arial" w:hAnsi="Arial"/>
                <w:sz w:val="14"/>
                <w:szCs w:val="14"/>
                <w:b w:val="1"/>
                <w:bCs w:val="1"/>
                <w:color w:val="auto"/>
              </w:rPr>
              <w:t>February 3, 2018</w:t>
            </w:r>
          </w:p>
        </w:tc>
      </w:tr>
      <w:tr>
        <w:trPr>
          <w:trHeight w:val="236"/>
        </w:trPr>
        <w:tc>
          <w:tcPr>
            <w:tcW w:w="65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Customer:</w:t>
            </w:r>
          </w:p>
        </w:tc>
        <w:tc>
          <w:tcPr>
            <w:tcW w:w="1480" w:type="dxa"/>
            <w:vAlign w:val="bottom"/>
            <w:tcBorders>
              <w:top w:val="single" w:sz="8" w:color="auto"/>
              <w:bottom w:val="single" w:sz="8" w:color="CCEEFF"/>
            </w:tcBorders>
            <w:shd w:val="clear" w:color="auto" w:fill="CCEEFF"/>
          </w:tcPr>
          <w:p>
            <w:pPr>
              <w:spacing w:after="0"/>
              <w:rPr>
                <w:sz w:val="20"/>
                <w:szCs w:val="20"/>
                <w:color w:val="auto"/>
              </w:rPr>
            </w:pP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128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1500" w:type="dxa"/>
            <w:vAlign w:val="bottom"/>
            <w:tcBorders>
              <w:top w:val="single" w:sz="8" w:color="auto"/>
              <w:bottom w:val="single" w:sz="8" w:color="CCEEFF"/>
            </w:tcBorders>
            <w:shd w:val="clear" w:color="auto" w:fill="CCEEFF"/>
          </w:tcPr>
          <w:p>
            <w:pPr>
              <w:spacing w:after="0"/>
              <w:rPr>
                <w:sz w:val="20"/>
                <w:szCs w:val="20"/>
                <w:color w:val="auto"/>
              </w:rPr>
            </w:pPr>
          </w:p>
        </w:tc>
      </w:tr>
      <w:tr>
        <w:trPr>
          <w:trHeight w:val="243"/>
        </w:trPr>
        <w:tc>
          <w:tcPr>
            <w:tcW w:w="6540" w:type="dxa"/>
            <w:vAlign w:val="bottom"/>
          </w:tcPr>
          <w:p>
            <w:pPr>
              <w:ind w:left="340"/>
              <w:spacing w:after="0"/>
              <w:rPr>
                <w:sz w:val="20"/>
                <w:szCs w:val="20"/>
                <w:color w:val="auto"/>
              </w:rPr>
            </w:pPr>
            <w:r>
              <w:rPr>
                <w:rFonts w:ascii="Arial" w:cs="Arial" w:eastAsia="Arial" w:hAnsi="Arial"/>
                <w:sz w:val="18"/>
                <w:szCs w:val="18"/>
                <w:color w:val="auto"/>
              </w:rPr>
              <w:t>Western Digital</w:t>
            </w:r>
          </w:p>
        </w:tc>
        <w:tc>
          <w:tcPr>
            <w:tcW w:w="1480" w:type="dxa"/>
            <w:vAlign w:val="bottom"/>
          </w:tcPr>
          <w:p>
            <w:pPr>
              <w:jc w:val="right"/>
              <w:ind w:right="134"/>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12</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0" w:type="dxa"/>
            <w:vAlign w:val="bottom"/>
          </w:tcPr>
          <w:p>
            <w:pPr>
              <w:spacing w:after="0"/>
              <w:rPr>
                <w:sz w:val="21"/>
                <w:szCs w:val="21"/>
                <w:color w:val="auto"/>
              </w:rPr>
            </w:pPr>
          </w:p>
        </w:tc>
        <w:tc>
          <w:tcPr>
            <w:tcW w:w="1500" w:type="dxa"/>
            <w:vAlign w:val="bottom"/>
          </w:tcPr>
          <w:p>
            <w:pPr>
              <w:jc w:val="right"/>
              <w:spacing w:after="0"/>
              <w:rPr>
                <w:sz w:val="20"/>
                <w:szCs w:val="20"/>
                <w:color w:val="auto"/>
              </w:rPr>
            </w:pPr>
            <w:r>
              <w:rPr>
                <w:rFonts w:ascii="Arial" w:cs="Arial" w:eastAsia="Arial" w:hAnsi="Arial"/>
                <w:sz w:val="18"/>
                <w:szCs w:val="18"/>
                <w:color w:val="auto"/>
              </w:rPr>
              <w:t>20 %</w:t>
            </w:r>
          </w:p>
        </w:tc>
      </w:tr>
      <w:tr>
        <w:trPr>
          <w:trHeight w:val="27"/>
        </w:trPr>
        <w:tc>
          <w:tcPr>
            <w:tcW w:w="6540" w:type="dxa"/>
            <w:vAlign w:val="bottom"/>
          </w:tcPr>
          <w:p>
            <w:pPr>
              <w:spacing w:after="0"/>
              <w:rPr>
                <w:sz w:val="2"/>
                <w:szCs w:val="2"/>
                <w:color w:val="auto"/>
              </w:rPr>
            </w:pPr>
          </w:p>
        </w:tc>
        <w:tc>
          <w:tcPr>
            <w:tcW w:w="14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80" w:type="dxa"/>
            <w:vAlign w:val="bottom"/>
            <w:gridSpan w:val="2"/>
          </w:tcPr>
          <w:p>
            <w:pPr>
              <w:spacing w:after="0"/>
              <w:rPr>
                <w:sz w:val="2"/>
                <w:szCs w:val="2"/>
                <w:color w:val="auto"/>
              </w:rPr>
            </w:pPr>
          </w:p>
        </w:tc>
        <w:tc>
          <w:tcPr>
            <w:tcW w:w="10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0"/>
        </w:trPr>
        <w:tc>
          <w:tcPr>
            <w:tcW w:w="65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Toshiba **</w:t>
            </w:r>
          </w:p>
        </w:tc>
        <w:tc>
          <w:tcPr>
            <w:tcW w:w="1480" w:type="dxa"/>
            <w:vAlign w:val="bottom"/>
            <w:tcBorders>
              <w:bottom w:val="single" w:sz="8" w:color="CCEEFF"/>
            </w:tcBorders>
            <w:shd w:val="clear" w:color="auto" w:fill="CCEEFF"/>
          </w:tcPr>
          <w:p>
            <w:pPr>
              <w:jc w:val="right"/>
              <w:ind w:right="134"/>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10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14 %</w:t>
            </w:r>
          </w:p>
        </w:tc>
      </w:tr>
      <w:tr>
        <w:trPr>
          <w:trHeight w:val="243"/>
        </w:trPr>
        <w:tc>
          <w:tcPr>
            <w:tcW w:w="6540" w:type="dxa"/>
            <w:vAlign w:val="bottom"/>
          </w:tcPr>
          <w:p>
            <w:pPr>
              <w:ind w:left="340"/>
              <w:spacing w:after="0"/>
              <w:rPr>
                <w:sz w:val="20"/>
                <w:szCs w:val="20"/>
                <w:color w:val="auto"/>
              </w:rPr>
            </w:pPr>
            <w:r>
              <w:rPr>
                <w:rFonts w:ascii="Arial" w:cs="Arial" w:eastAsia="Arial" w:hAnsi="Arial"/>
                <w:sz w:val="18"/>
                <w:szCs w:val="18"/>
                <w:color w:val="auto"/>
              </w:rPr>
              <w:t>Seagate</w:t>
            </w:r>
          </w:p>
        </w:tc>
        <w:tc>
          <w:tcPr>
            <w:tcW w:w="1480" w:type="dxa"/>
            <w:vAlign w:val="bottom"/>
          </w:tcPr>
          <w:p>
            <w:pPr>
              <w:jc w:val="right"/>
              <w:ind w:right="134"/>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480" w:type="dxa"/>
            <w:vAlign w:val="bottom"/>
            <w:gridSpan w:val="2"/>
          </w:tcPr>
          <w:p>
            <w:pPr>
              <w:jc w:val="right"/>
              <w:spacing w:after="0"/>
              <w:rPr>
                <w:sz w:val="20"/>
                <w:szCs w:val="20"/>
                <w:color w:val="auto"/>
              </w:rPr>
            </w:pPr>
            <w:r>
              <w:rPr>
                <w:rFonts w:ascii="Arial" w:cs="Arial" w:eastAsia="Arial" w:hAnsi="Arial"/>
                <w:sz w:val="18"/>
                <w:szCs w:val="18"/>
                <w:color w:val="auto"/>
              </w:rPr>
              <w:t>10 %</w:t>
            </w:r>
          </w:p>
        </w:tc>
        <w:tc>
          <w:tcPr>
            <w:tcW w:w="100" w:type="dxa"/>
            <w:vAlign w:val="bottom"/>
          </w:tcPr>
          <w:p>
            <w:pPr>
              <w:spacing w:after="0"/>
              <w:rPr>
                <w:sz w:val="21"/>
                <w:szCs w:val="21"/>
                <w:color w:val="auto"/>
              </w:rPr>
            </w:pPr>
          </w:p>
        </w:tc>
        <w:tc>
          <w:tcPr>
            <w:tcW w:w="1500" w:type="dxa"/>
            <w:vAlign w:val="bottom"/>
          </w:tcPr>
          <w:p>
            <w:pPr>
              <w:jc w:val="right"/>
              <w:spacing w:after="0"/>
              <w:rPr>
                <w:sz w:val="20"/>
                <w:szCs w:val="20"/>
                <w:color w:val="auto"/>
              </w:rPr>
            </w:pPr>
            <w:r>
              <w:rPr>
                <w:rFonts w:ascii="Arial" w:cs="Arial" w:eastAsia="Arial" w:hAnsi="Arial"/>
                <w:sz w:val="18"/>
                <w:szCs w:val="18"/>
                <w:color w:val="auto"/>
              </w:rPr>
              <w:t>11 %</w:t>
            </w:r>
          </w:p>
        </w:tc>
      </w:tr>
      <w:tr>
        <w:trPr>
          <w:trHeight w:val="27"/>
        </w:trPr>
        <w:tc>
          <w:tcPr>
            <w:tcW w:w="6540" w:type="dxa"/>
            <w:vAlign w:val="bottom"/>
          </w:tcPr>
          <w:p>
            <w:pPr>
              <w:spacing w:after="0"/>
              <w:rPr>
                <w:sz w:val="2"/>
                <w:szCs w:val="2"/>
                <w:color w:val="auto"/>
              </w:rPr>
            </w:pPr>
          </w:p>
        </w:tc>
        <w:tc>
          <w:tcPr>
            <w:tcW w:w="14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0"/>
        </w:trPr>
        <w:tc>
          <w:tcPr>
            <w:tcW w:w="65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Distributor:</w:t>
            </w:r>
          </w:p>
        </w:tc>
        <w:tc>
          <w:tcPr>
            <w:tcW w:w="14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spacing w:after="0"/>
              <w:rPr>
                <w:sz w:val="21"/>
                <w:szCs w:val="21"/>
                <w:color w:val="auto"/>
              </w:rPr>
            </w:pPr>
          </w:p>
        </w:tc>
      </w:tr>
      <w:tr>
        <w:trPr>
          <w:trHeight w:val="243"/>
        </w:trPr>
        <w:tc>
          <w:tcPr>
            <w:tcW w:w="6540" w:type="dxa"/>
            <w:vAlign w:val="bottom"/>
          </w:tcPr>
          <w:p>
            <w:pPr>
              <w:ind w:left="340"/>
              <w:spacing w:after="0"/>
              <w:rPr>
                <w:sz w:val="20"/>
                <w:szCs w:val="20"/>
                <w:color w:val="auto"/>
              </w:rPr>
            </w:pPr>
            <w:r>
              <w:rPr>
                <w:rFonts w:ascii="Arial" w:cs="Arial" w:eastAsia="Arial" w:hAnsi="Arial"/>
                <w:sz w:val="18"/>
                <w:szCs w:val="18"/>
                <w:color w:val="auto"/>
              </w:rPr>
              <w:t>Wintech</w:t>
            </w:r>
          </w:p>
        </w:tc>
        <w:tc>
          <w:tcPr>
            <w:tcW w:w="1480" w:type="dxa"/>
            <w:vAlign w:val="bottom"/>
          </w:tcPr>
          <w:p>
            <w:pPr>
              <w:jc w:val="right"/>
              <w:spacing w:after="0"/>
              <w:rPr>
                <w:sz w:val="20"/>
                <w:szCs w:val="20"/>
                <w:color w:val="auto"/>
              </w:rPr>
            </w:pPr>
            <w:r>
              <w:rPr>
                <w:rFonts w:ascii="Arial" w:cs="Arial" w:eastAsia="Arial" w:hAnsi="Arial"/>
                <w:sz w:val="18"/>
                <w:szCs w:val="18"/>
                <w:color w:val="auto"/>
              </w:rPr>
              <w:t>12 %</w:t>
            </w:r>
          </w:p>
        </w:tc>
        <w:tc>
          <w:tcPr>
            <w:tcW w:w="1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00" w:type="dxa"/>
            <w:vAlign w:val="bottom"/>
          </w:tcPr>
          <w:p>
            <w:pPr>
              <w:jc w:val="right"/>
              <w:spacing w:after="0"/>
              <w:rPr>
                <w:sz w:val="20"/>
                <w:szCs w:val="20"/>
                <w:color w:val="auto"/>
              </w:rPr>
            </w:pPr>
            <w:r>
              <w:rPr>
                <w:rFonts w:ascii="Arial" w:cs="Arial" w:eastAsia="Arial" w:hAnsi="Arial"/>
                <w:sz w:val="18"/>
                <w:szCs w:val="18"/>
                <w:color w:val="auto"/>
              </w:rPr>
              <w:t>10 %</w:t>
            </w:r>
          </w:p>
        </w:tc>
      </w:tr>
      <w:tr>
        <w:trPr>
          <w:trHeight w:val="27"/>
        </w:trPr>
        <w:tc>
          <w:tcPr>
            <w:tcW w:w="6540" w:type="dxa"/>
            <w:vAlign w:val="bottom"/>
          </w:tcPr>
          <w:p>
            <w:pPr>
              <w:spacing w:after="0"/>
              <w:rPr>
                <w:sz w:val="2"/>
                <w:szCs w:val="2"/>
                <w:color w:val="auto"/>
              </w:rPr>
            </w:pPr>
          </w:p>
        </w:tc>
        <w:tc>
          <w:tcPr>
            <w:tcW w:w="14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7"/>
        </w:trPr>
        <w:tc>
          <w:tcPr>
            <w:tcW w:w="6540" w:type="dxa"/>
            <w:vAlign w:val="bottom"/>
            <w:shd w:val="clear" w:color="auto" w:fill="CCEEFF"/>
          </w:tcPr>
          <w:p>
            <w:pPr>
              <w:spacing w:after="0"/>
              <w:rPr>
                <w:sz w:val="22"/>
                <w:szCs w:val="22"/>
                <w:color w:val="auto"/>
              </w:rPr>
            </w:pPr>
          </w:p>
        </w:tc>
        <w:tc>
          <w:tcPr>
            <w:tcW w:w="148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128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500" w:type="dxa"/>
            <w:vAlign w:val="bottom"/>
            <w:shd w:val="clear" w:color="auto" w:fill="CCEEFF"/>
          </w:tcPr>
          <w:p>
            <w:pPr>
              <w:spacing w:after="0"/>
              <w:rPr>
                <w:sz w:val="22"/>
                <w:szCs w:val="22"/>
                <w:color w:val="auto"/>
              </w:rPr>
            </w:pPr>
          </w:p>
        </w:tc>
      </w:tr>
    </w:tbl>
    <w:p>
      <w:pPr>
        <w:spacing w:after="0" w:line="1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 Less than 10% of net</w:t>
      </w:r>
    </w:p>
    <w:p>
      <w:pPr>
        <w:spacing w:after="0" w:line="23" w:lineRule="exact"/>
        <w:rPr>
          <w:sz w:val="20"/>
          <w:szCs w:val="20"/>
          <w:color w:val="auto"/>
        </w:rPr>
      </w:pPr>
    </w:p>
    <w:p>
      <w:pPr>
        <w:ind w:left="340" w:right="600" w:hanging="8"/>
        <w:spacing w:after="0" w:line="260" w:lineRule="auto"/>
        <w:tabs>
          <w:tab w:leader="none" w:pos="565"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percentage of net revenue reported for Toshiba for fiscal year 2019 excludes net revenue of Toshiba Memory Corporation after Toshiba divested Toshiba Memory Corporation during fiscal year 2019.</w:t>
      </w:r>
    </w:p>
    <w:p>
      <w:pPr>
        <w:spacing w:after="0" w:line="104" w:lineRule="exact"/>
        <w:rPr>
          <w:sz w:val="20"/>
          <w:szCs w:val="20"/>
          <w:color w:val="auto"/>
        </w:rPr>
      </w:pPr>
    </w:p>
    <w:p>
      <w:pPr>
        <w:ind w:right="320" w:firstLine="445"/>
        <w:spacing w:after="0" w:line="277" w:lineRule="auto"/>
        <w:rPr>
          <w:sz w:val="20"/>
          <w:szCs w:val="20"/>
          <w:color w:val="auto"/>
        </w:rPr>
      </w:pPr>
      <w:r>
        <w:rPr>
          <w:rFonts w:ascii="Arial" w:cs="Arial" w:eastAsia="Arial" w:hAnsi="Arial"/>
          <w:sz w:val="18"/>
          <w:szCs w:val="18"/>
          <w:color w:val="auto"/>
        </w:rPr>
        <w:t>The Company continuously monitors the creditworthiness of its distributors and believes these distributors’ sales to diverse end customers and to diverse geographies further serve to mitigate the Company’s exposure to credit risk.</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Inventories</w:t>
      </w:r>
    </w:p>
    <w:p>
      <w:pPr>
        <w:spacing w:after="0" w:line="117" w:lineRule="exact"/>
        <w:rPr>
          <w:sz w:val="20"/>
          <w:szCs w:val="20"/>
          <w:color w:val="auto"/>
        </w:rPr>
      </w:pPr>
    </w:p>
    <w:p>
      <w:pPr>
        <w:ind w:right="120" w:firstLine="445"/>
        <w:spacing w:after="0" w:line="273" w:lineRule="auto"/>
        <w:rPr>
          <w:sz w:val="20"/>
          <w:szCs w:val="20"/>
          <w:color w:val="auto"/>
        </w:rPr>
      </w:pPr>
      <w:r>
        <w:rPr>
          <w:rFonts w:ascii="Arial" w:cs="Arial" w:eastAsia="Arial" w:hAnsi="Arial"/>
          <w:sz w:val="17"/>
          <w:szCs w:val="17"/>
          <w:color w:val="auto"/>
        </w:rPr>
        <w:t>Inventory is stated at the lower of cost or net realizable value, cost being determined under the first-in, first-out method. The total carrying value of the Company’s inventory is reduced for any difference between cost and estimated net realizable value of inventory that is determined to be excess, obsolete or unsellable inventory based upon assumptions about future demand and market conditions. If actual future demand for the Company’s products is less than currently forecasted, the Company may be required to write inventory down below the current carrying value. Once the carrying value of inventory is reduced, it is maintained until the product to which it relates to is sold or otherwise disposed of. Inventoriable shipping and handling costs are classified as a component of cost of goods sold in the consolidated statements of operations.</w:t>
      </w:r>
    </w:p>
    <w:p>
      <w:pPr>
        <w:spacing w:after="0" w:line="70"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Property and Equipment, Net</w:t>
      </w:r>
    </w:p>
    <w:p>
      <w:pPr>
        <w:spacing w:after="0" w:line="117" w:lineRule="exact"/>
        <w:rPr>
          <w:sz w:val="20"/>
          <w:szCs w:val="20"/>
          <w:color w:val="auto"/>
        </w:rPr>
      </w:pPr>
    </w:p>
    <w:p>
      <w:pPr>
        <w:ind w:right="40" w:firstLine="445"/>
        <w:spacing w:after="0" w:line="301" w:lineRule="auto"/>
        <w:rPr>
          <w:sz w:val="20"/>
          <w:szCs w:val="20"/>
          <w:color w:val="auto"/>
        </w:rPr>
      </w:pPr>
      <w:r>
        <w:rPr>
          <w:rFonts w:ascii="Arial" w:cs="Arial" w:eastAsia="Arial" w:hAnsi="Arial"/>
          <w:sz w:val="16"/>
          <w:szCs w:val="16"/>
          <w:color w:val="auto"/>
        </w:rPr>
        <w:t>Property and equipment, net, are stated at cost less accumulated depreciation. Depreciation is computed using the straight-line method over the estimated useful lives of the assets, which ranges from 2 to 7 years for machinery and equipment, and 3 to 4 years for computer software, and furniture and fixtures. Buildings are depreciated over an estimated useful life of 30 years and building improvements are depreciated over estimated useful lives of 15 years. Leasehold improvements are depreciated over the shorter of the remaining lease term or the estimated useful life of the asset.</w:t>
      </w:r>
    </w:p>
    <w:p>
      <w:pPr>
        <w:spacing w:after="0" w:line="4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117" w:lineRule="exact"/>
        <w:rPr>
          <w:sz w:val="20"/>
          <w:szCs w:val="20"/>
          <w:color w:val="auto"/>
        </w:rPr>
      </w:pPr>
    </w:p>
    <w:p>
      <w:pPr>
        <w:ind w:right="160" w:firstLine="445"/>
        <w:spacing w:after="0" w:line="257" w:lineRule="auto"/>
        <w:rPr>
          <w:sz w:val="20"/>
          <w:szCs w:val="20"/>
          <w:color w:val="auto"/>
        </w:rPr>
      </w:pPr>
      <w:r>
        <w:rPr>
          <w:rFonts w:ascii="Arial" w:cs="Arial" w:eastAsia="Arial" w:hAnsi="Arial"/>
          <w:sz w:val="18"/>
          <w:szCs w:val="18"/>
          <w:color w:val="auto"/>
        </w:rPr>
        <w:t>Goodwill is recorded when the consideration paid for a business acquisition exceeds the fair value of net tangible and intangible assets acquired. Goodwill is measured and tested for impairment annually on the last business day of the fiscal fourth quarter and whenever events or changes in circumstances indicate the carrying amount of goodwill may not be recoverable. The Company first assesses qualitative factors to determine whether it is more likely than not that the fair value of a reporting unit is less than its carrying amount or the Company may determine to proceed directly to the quantitative impairment test.</w:t>
      </w:r>
    </w:p>
    <w:p>
      <w:pPr>
        <w:spacing w:after="0" w:line="80" w:lineRule="exact"/>
        <w:rPr>
          <w:sz w:val="20"/>
          <w:szCs w:val="20"/>
          <w:color w:val="auto"/>
        </w:rPr>
      </w:pPr>
    </w:p>
    <w:p>
      <w:pPr>
        <w:ind w:right="80" w:firstLine="445"/>
        <w:spacing w:after="0" w:line="293" w:lineRule="auto"/>
        <w:rPr>
          <w:sz w:val="20"/>
          <w:szCs w:val="20"/>
          <w:color w:val="auto"/>
        </w:rPr>
      </w:pPr>
      <w:r>
        <w:rPr>
          <w:rFonts w:ascii="Arial" w:cs="Arial" w:eastAsia="Arial" w:hAnsi="Arial"/>
          <w:sz w:val="16"/>
          <w:szCs w:val="16"/>
          <w:color w:val="auto"/>
        </w:rPr>
        <w:t>If the Company assesses qualitative factors and concludes that it is more likely than not that the fair value of a reporting unit is less than its carrying amount or if the Company determines not to use the qualitative assessment, then a quantitative impairment test is performed. The quantitative impairment test requires comparing the fair value of the reporting unit to its carrying value, including goodwill. The Company has identified that its business operates as a single operating segment with two components (Storage and Networking), which it has concluded can be aggregated into a single reporting unit for purposes of testing goodwill impairment. An impairment exists if the fair value of the reporting unit is lower than its carrying value. If the fair value of the reporting unit is lower than its carrying value, the Company would record an impairment loss in the fiscal quarter in which the determination is made.</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472" w:right="359" w:bottom="1440" w:gutter="0" w:footer="0" w:header="0"/>
        </w:sectPr>
      </w:pPr>
    </w:p>
    <w:bookmarkStart w:id="60" w:name="page61"/>
    <w:bookmarkEnd w:id="6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Long-Lived Assets and Intangible Assets</w:t>
      </w:r>
    </w:p>
    <w:p>
      <w:pPr>
        <w:spacing w:after="0" w:line="117" w:lineRule="exact"/>
        <w:rPr>
          <w:sz w:val="20"/>
          <w:szCs w:val="20"/>
          <w:color w:val="auto"/>
        </w:rPr>
      </w:pPr>
    </w:p>
    <w:p>
      <w:pPr>
        <w:ind w:right="200" w:firstLine="445"/>
        <w:spacing w:after="0" w:line="255" w:lineRule="auto"/>
        <w:rPr>
          <w:sz w:val="20"/>
          <w:szCs w:val="20"/>
          <w:color w:val="auto"/>
        </w:rPr>
      </w:pPr>
      <w:r>
        <w:rPr>
          <w:rFonts w:ascii="Arial" w:cs="Arial" w:eastAsia="Arial" w:hAnsi="Arial"/>
          <w:sz w:val="18"/>
          <w:szCs w:val="18"/>
          <w:color w:val="auto"/>
        </w:rPr>
        <w:t>The Company assesses the impairment of long-lived assets and intangible assets whenever events or changes in circumstances indicate that the carrying amount of long-lived assets may not be recoverable. The Company estimates the future cash flows, undiscounted and without interest charges, expected to be generated by the assets from its use or eventual disposition. If the sum of the expected undiscounted future cash flows is less than the carrying amount of those assets, the Company recognizes an impairment loss based on the excess of the carrying amount over the fair value of the assets. Please see “Note 4 - Goodwill and Acquired Intangible Assets, Net” for further details regarding impairment of acquisition-related identified intangible assets.</w:t>
      </w:r>
    </w:p>
    <w:p>
      <w:pPr>
        <w:spacing w:after="0" w:line="84" w:lineRule="exact"/>
        <w:rPr>
          <w:sz w:val="20"/>
          <w:szCs w:val="20"/>
          <w:color w:val="auto"/>
        </w:rPr>
      </w:pPr>
    </w:p>
    <w:p>
      <w:pPr>
        <w:jc w:val="both"/>
        <w:ind w:right="80" w:firstLine="445"/>
        <w:spacing w:after="0" w:line="263" w:lineRule="auto"/>
        <w:rPr>
          <w:sz w:val="20"/>
          <w:szCs w:val="20"/>
          <w:color w:val="auto"/>
        </w:rPr>
      </w:pPr>
      <w:r>
        <w:rPr>
          <w:rFonts w:ascii="Arial" w:cs="Arial" w:eastAsia="Arial" w:hAnsi="Arial"/>
          <w:sz w:val="18"/>
          <w:szCs w:val="18"/>
          <w:color w:val="auto"/>
        </w:rPr>
        <w:t>Acquisition-related identified intangible assets are amortized on a straight-line basis over their estimated economic lives, except for certain customer contracts and related relationships, which are amortized using an accelerated method of amortization over the expected customer lives. In-process research and development (“IPR&amp;D”) is not amortized until the completion of the related development.</w:t>
      </w:r>
    </w:p>
    <w:p>
      <w:pPr>
        <w:spacing w:after="0" w:line="7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Leases</w:t>
      </w:r>
    </w:p>
    <w:p>
      <w:pPr>
        <w:spacing w:after="0" w:line="117" w:lineRule="exact"/>
        <w:rPr>
          <w:sz w:val="20"/>
          <w:szCs w:val="20"/>
          <w:color w:val="auto"/>
        </w:rPr>
      </w:pPr>
    </w:p>
    <w:p>
      <w:pPr>
        <w:ind w:firstLine="445"/>
        <w:spacing w:after="0" w:line="273" w:lineRule="auto"/>
        <w:rPr>
          <w:sz w:val="20"/>
          <w:szCs w:val="20"/>
          <w:color w:val="auto"/>
        </w:rPr>
      </w:pPr>
      <w:r>
        <w:rPr>
          <w:rFonts w:ascii="Arial" w:cs="Arial" w:eastAsia="Arial" w:hAnsi="Arial"/>
          <w:sz w:val="17"/>
          <w:szCs w:val="17"/>
          <w:color w:val="auto"/>
        </w:rPr>
        <w:t>The Company determines if an arrangement is a lease at inception. Operating lease right-of-use (“ROU”) assets and liabilities are recognized at commencement date based on the present value of lease payments over the lease term. Operating lease ROU assets also include any initial direct costs and prepayments less lease incentives. Lease terms may include options to extend or terminate the lease when it is reasonably certain that the Company will exercise such options. As the Company's leases do not provide an implicit rate, the Company uses its collateralized incremental borrowing rate based on the information available at the lease commencement date, including lease term, in determining the present value of lease payments. Lease expense for these leases is recognized on a straight line basis over the lease term.</w:t>
      </w:r>
    </w:p>
    <w:p>
      <w:pPr>
        <w:spacing w:after="0" w:line="70"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117" w:lineRule="exact"/>
        <w:rPr>
          <w:sz w:val="20"/>
          <w:szCs w:val="20"/>
          <w:color w:val="auto"/>
        </w:rPr>
      </w:pPr>
    </w:p>
    <w:p>
      <w:pPr>
        <w:ind w:firstLine="445"/>
        <w:spacing w:after="0" w:line="259" w:lineRule="auto"/>
        <w:rPr>
          <w:sz w:val="20"/>
          <w:szCs w:val="20"/>
          <w:color w:val="auto"/>
        </w:rPr>
      </w:pPr>
      <w:r>
        <w:rPr>
          <w:rFonts w:ascii="Arial" w:cs="Arial" w:eastAsia="Arial" w:hAnsi="Arial"/>
          <w:sz w:val="18"/>
          <w:szCs w:val="18"/>
          <w:color w:val="auto"/>
        </w:rPr>
        <w:t>The functional currency of all of the Company’s non-United States (“U.S.”) operations is the U.S. dollar. Monetary accounts maintained in currencies other than the U.S. dollar are re-measured using the foreign exchange rate at the balance sheet date. Operational accounts and nonmonetary balance sheet accounts are measured and recorded at the exchange rate in effect at the date of the transaction. The effects of foreign currency re-measurement are reported in current operations.</w:t>
      </w:r>
    </w:p>
    <w:p>
      <w:pPr>
        <w:spacing w:after="0" w:line="7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117" w:lineRule="exact"/>
        <w:rPr>
          <w:sz w:val="20"/>
          <w:szCs w:val="20"/>
          <w:color w:val="auto"/>
        </w:rPr>
      </w:pPr>
    </w:p>
    <w:p>
      <w:pPr>
        <w:ind w:right="60" w:firstLine="445"/>
        <w:spacing w:after="0" w:line="308" w:lineRule="auto"/>
        <w:rPr>
          <w:sz w:val="20"/>
          <w:szCs w:val="20"/>
          <w:color w:val="auto"/>
        </w:rPr>
      </w:pPr>
      <w:r>
        <w:rPr>
          <w:rFonts w:ascii="Arial" w:cs="Arial" w:eastAsia="Arial" w:hAnsi="Arial"/>
          <w:sz w:val="17"/>
          <w:szCs w:val="17"/>
          <w:color w:val="auto"/>
        </w:rPr>
        <w:t>Prior to February 4, 2018, the Company recognized revenue in accordance with ASC 605. As a result of the adoption of the new revenue standard on February 4, 2018, at the beginning of the first quarter of fiscal year 2019, the Company revised its revenue recognition policy.</w:t>
      </w:r>
    </w:p>
    <w:p>
      <w:pPr>
        <w:spacing w:after="0" w:line="38" w:lineRule="exact"/>
        <w:rPr>
          <w:sz w:val="20"/>
          <w:szCs w:val="20"/>
          <w:color w:val="auto"/>
        </w:rPr>
      </w:pPr>
    </w:p>
    <w:p>
      <w:pPr>
        <w:ind w:right="40" w:firstLine="445"/>
        <w:spacing w:after="0" w:line="289" w:lineRule="auto"/>
        <w:rPr>
          <w:sz w:val="20"/>
          <w:szCs w:val="20"/>
          <w:color w:val="auto"/>
        </w:rPr>
      </w:pPr>
      <w:r>
        <w:rPr>
          <w:rFonts w:ascii="Arial" w:cs="Arial" w:eastAsia="Arial" w:hAnsi="Arial"/>
          <w:sz w:val="16"/>
          <w:szCs w:val="16"/>
          <w:color w:val="auto"/>
        </w:rPr>
        <w:t>Product revenue is recognized at a point in time when control of the asset is transferred to the customer. Substantially all of the Company's revenue is derived from product sales. The Company recognizes revenue when it satisfies a performance obligation by transferring control of a product to a customer in an amount that reflects the consideration to which the entity expects to be entitled in exchange for those goods or services. For product revenue, the performance obligation is deemed to be the delivery of the product and therefore, the revenue is generally recognized upon shipment to customers, net of accruals for estimated sales returns and rebates. These estimates are based on historical returns analysis and other known factors. The Company accounts for rebates by recording reductions to revenue for rebates in the same period that the related revenue is recorded. The amount of these reductions is based upon the terms agreed to with the customer. Product revenue on sales made to distributors with price protection, price discounts and stock rotation rights is recognized upon shipment to distributors, with an accrual for the variable consideration aspect of sales to distributors, estimated based on historical experience, including estimates for price discounts, price protection, rebates, and stock rotation programs.</w:t>
      </w:r>
    </w:p>
    <w:p>
      <w:pPr>
        <w:spacing w:after="0" w:line="58" w:lineRule="exact"/>
        <w:rPr>
          <w:sz w:val="20"/>
          <w:szCs w:val="20"/>
          <w:color w:val="auto"/>
        </w:rPr>
      </w:pPr>
    </w:p>
    <w:p>
      <w:pPr>
        <w:ind w:right="120" w:firstLine="445"/>
        <w:spacing w:after="0" w:line="263" w:lineRule="auto"/>
        <w:rPr>
          <w:sz w:val="20"/>
          <w:szCs w:val="20"/>
          <w:color w:val="auto"/>
        </w:rPr>
      </w:pPr>
      <w:r>
        <w:rPr>
          <w:rFonts w:ascii="Arial" w:cs="Arial" w:eastAsia="Arial" w:hAnsi="Arial"/>
          <w:sz w:val="18"/>
          <w:szCs w:val="18"/>
          <w:color w:val="auto"/>
        </w:rPr>
        <w:t>A portion of the Company's net revenue is derived from sales through third-party logistics providers who maintain warehouses in close proximity to our customer’s facilities. Revenue from sales through these third-party logistics providers is not recognized until the product is pulled from stock by the customer.</w:t>
      </w:r>
    </w:p>
    <w:p>
      <w:pPr>
        <w:spacing w:after="0" w:line="76" w:lineRule="exact"/>
        <w:rPr>
          <w:sz w:val="20"/>
          <w:szCs w:val="20"/>
          <w:color w:val="auto"/>
        </w:rPr>
      </w:pPr>
    </w:p>
    <w:p>
      <w:pPr>
        <w:ind w:right="100" w:firstLine="445"/>
        <w:spacing w:after="0" w:line="275" w:lineRule="auto"/>
        <w:rPr>
          <w:sz w:val="20"/>
          <w:szCs w:val="20"/>
          <w:color w:val="auto"/>
        </w:rPr>
      </w:pPr>
      <w:r>
        <w:rPr>
          <w:rFonts w:ascii="Arial" w:cs="Arial" w:eastAsia="Arial" w:hAnsi="Arial"/>
          <w:sz w:val="17"/>
          <w:szCs w:val="17"/>
          <w:color w:val="auto"/>
        </w:rPr>
        <w:t>The Company’s products are generally subject to warranty, which provides for the estimated future costs of replacement upon shipment of the product. The Company’s products carry a standard one-year warranty, with certain exceptions in which the warranty period can extend to more than one year based on contractual agreements. The warranty accrual is estimated primarily based on historical claims compared to historical revenues and assumes that the Company will have to replace products subject to a claim. From time to time, the Company becomes aware of specific warranty situations, and it records specific accruals to cover these exposures. Warranty expenses were not material for the periods presented.</w:t>
      </w:r>
    </w:p>
    <w:p>
      <w:pPr>
        <w:spacing w:after="0" w:line="200" w:lineRule="exact"/>
        <w:rPr>
          <w:sz w:val="20"/>
          <w:szCs w:val="20"/>
          <w:color w:val="auto"/>
        </w:rPr>
      </w:pP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61" w:name="page62"/>
    <w:bookmarkEnd w:id="61"/>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Business Combinations</w:t>
      </w:r>
    </w:p>
    <w:p>
      <w:pPr>
        <w:spacing w:after="0" w:line="117" w:lineRule="exact"/>
        <w:rPr>
          <w:sz w:val="20"/>
          <w:szCs w:val="20"/>
          <w:color w:val="auto"/>
        </w:rPr>
      </w:pPr>
    </w:p>
    <w:p>
      <w:pPr>
        <w:ind w:right="20" w:firstLine="445"/>
        <w:spacing w:after="0" w:line="255" w:lineRule="auto"/>
        <w:rPr>
          <w:sz w:val="20"/>
          <w:szCs w:val="20"/>
          <w:color w:val="auto"/>
        </w:rPr>
      </w:pPr>
      <w:r>
        <w:rPr>
          <w:rFonts w:ascii="Arial" w:cs="Arial" w:eastAsia="Arial" w:hAnsi="Arial"/>
          <w:sz w:val="18"/>
          <w:szCs w:val="18"/>
          <w:color w:val="auto"/>
        </w:rPr>
        <w:t>The Company allocates the fair value of the purchase consideration of its acquisitions to the tangible assets, liabilities, and intangible assets acquired, including IPR&amp;D, based on their estimated fair values. The excess of the fair value of purchase consideration over the fair values of these identifiable assets and liabilities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Acquisition-related expenses and related restructuring costs are recognized separately from the business combination and are expensed as incurred.</w:t>
      </w:r>
    </w:p>
    <w:p>
      <w:pPr>
        <w:spacing w:after="0" w:line="8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Advertising Expense</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Advertising costs are expensed as incurred. The Company recorded $0.8 million, $0.2 million and $0.2 million of advertising costs for fiscal 2020,</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2019 and 2018, respectively, included in selling, general and administrative expenses in the consolidated statements of operations.</w:t>
      </w:r>
    </w:p>
    <w:p>
      <w:pPr>
        <w:spacing w:after="0" w:line="10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Share-Based Compensation</w:t>
      </w:r>
    </w:p>
    <w:p>
      <w:pPr>
        <w:spacing w:after="0" w:line="117" w:lineRule="exact"/>
        <w:rPr>
          <w:sz w:val="20"/>
          <w:szCs w:val="20"/>
          <w:color w:val="auto"/>
        </w:rPr>
      </w:pPr>
    </w:p>
    <w:p>
      <w:pPr>
        <w:ind w:right="60" w:firstLine="445"/>
        <w:spacing w:after="0" w:line="284" w:lineRule="auto"/>
        <w:rPr>
          <w:sz w:val="20"/>
          <w:szCs w:val="20"/>
          <w:color w:val="auto"/>
        </w:rPr>
      </w:pPr>
      <w:r>
        <w:rPr>
          <w:rFonts w:ascii="Arial" w:cs="Arial" w:eastAsia="Arial" w:hAnsi="Arial"/>
          <w:sz w:val="16"/>
          <w:szCs w:val="16"/>
          <w:color w:val="auto"/>
        </w:rPr>
        <w:t>Share-based compensation is measured at the grant date, based on the fair value of the award, and is recognized as expense over the requisite service vesting period. The Company amortizes share-based compensation expense for time-based awards under the straight-line attribution method over the vesting period. Share-based compensation expense for performance-based awards is recognized when it becomes probable that the performance conditions will be met. The Company amortizes share-based compensation expense for performance-based awards using the accelerated method.</w:t>
      </w:r>
    </w:p>
    <w:p>
      <w:pPr>
        <w:spacing w:after="0" w:line="47" w:lineRule="exact"/>
        <w:rPr>
          <w:sz w:val="20"/>
          <w:szCs w:val="20"/>
          <w:color w:val="auto"/>
        </w:rPr>
      </w:pPr>
    </w:p>
    <w:p>
      <w:pPr>
        <w:ind w:right="420" w:firstLine="445"/>
        <w:spacing w:after="0" w:line="261" w:lineRule="auto"/>
        <w:rPr>
          <w:sz w:val="20"/>
          <w:szCs w:val="20"/>
          <w:color w:val="auto"/>
        </w:rPr>
      </w:pPr>
      <w:r>
        <w:rPr>
          <w:rFonts w:ascii="Arial" w:cs="Arial" w:eastAsia="Arial" w:hAnsi="Arial"/>
          <w:sz w:val="18"/>
          <w:szCs w:val="18"/>
          <w:color w:val="auto"/>
        </w:rPr>
        <w:t>The fair value of each restricted stock unit is estimated based on the market price of the Company’s common shares on the date of grant less the expected dividend yield.</w:t>
      </w:r>
    </w:p>
    <w:p>
      <w:pPr>
        <w:spacing w:after="0" w:line="63" w:lineRule="exact"/>
        <w:rPr>
          <w:sz w:val="20"/>
          <w:szCs w:val="20"/>
          <w:color w:val="auto"/>
        </w:rPr>
      </w:pPr>
    </w:p>
    <w:p>
      <w:pPr>
        <w:jc w:val="both"/>
        <w:ind w:right="80" w:firstLine="445"/>
        <w:spacing w:after="0" w:line="248" w:lineRule="auto"/>
        <w:rPr>
          <w:sz w:val="20"/>
          <w:szCs w:val="20"/>
          <w:color w:val="auto"/>
        </w:rPr>
      </w:pPr>
      <w:r>
        <w:rPr>
          <w:rFonts w:ascii="Arial" w:cs="Arial" w:eastAsia="Arial" w:hAnsi="Arial"/>
          <w:sz w:val="18"/>
          <w:szCs w:val="18"/>
          <w:color w:val="auto"/>
        </w:rPr>
        <w:t>The Company estimates the fair value of stock purchase awards on the date of grant using the Black Scholes option-pricing model. The fair value of performance-based awards based on total shareholder return (“TSR”) and value creation (“VCA”) awards are estimated on the date of grant using a Monte Carlo simulation model.</w:t>
      </w:r>
    </w:p>
    <w:p>
      <w:pPr>
        <w:spacing w:after="0" w:line="74" w:lineRule="exact"/>
        <w:rPr>
          <w:sz w:val="20"/>
          <w:szCs w:val="20"/>
          <w:color w:val="auto"/>
        </w:rPr>
      </w:pPr>
    </w:p>
    <w:p>
      <w:pPr>
        <w:jc w:val="both"/>
        <w:ind w:right="100" w:firstLine="445"/>
        <w:spacing w:after="0" w:line="277" w:lineRule="auto"/>
        <w:rPr>
          <w:sz w:val="20"/>
          <w:szCs w:val="20"/>
          <w:color w:val="auto"/>
        </w:rPr>
      </w:pPr>
      <w:r>
        <w:rPr>
          <w:rFonts w:ascii="Arial" w:cs="Arial" w:eastAsia="Arial" w:hAnsi="Arial"/>
          <w:sz w:val="18"/>
          <w:szCs w:val="18"/>
          <w:color w:val="auto"/>
        </w:rPr>
        <w:t>Forfeitures are recorded when they occur. Previously recognized expense is reversed for the portion of awards forfeited prior to vesting as and when forfeitures occur.</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Comprehensive Income (Loss)</w:t>
      </w:r>
    </w:p>
    <w:p>
      <w:pPr>
        <w:spacing w:after="0" w:line="117" w:lineRule="exact"/>
        <w:rPr>
          <w:sz w:val="20"/>
          <w:szCs w:val="20"/>
          <w:color w:val="auto"/>
        </w:rPr>
      </w:pPr>
    </w:p>
    <w:p>
      <w:pPr>
        <w:ind w:right="260" w:firstLine="445"/>
        <w:spacing w:after="0" w:line="277" w:lineRule="auto"/>
        <w:rPr>
          <w:sz w:val="20"/>
          <w:szCs w:val="20"/>
          <w:color w:val="auto"/>
        </w:rPr>
      </w:pPr>
      <w:r>
        <w:rPr>
          <w:rFonts w:ascii="Arial" w:cs="Arial" w:eastAsia="Arial" w:hAnsi="Arial"/>
          <w:sz w:val="18"/>
          <w:szCs w:val="18"/>
          <w:color w:val="auto"/>
        </w:rPr>
        <w:t>Comprehensive income (loss), net of tax is comprised of net income and net change in unrealized gains and losses, on available-for-sale securities and cash flow hedges.</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104" w:lineRule="exact"/>
        <w:rPr>
          <w:sz w:val="20"/>
          <w:szCs w:val="20"/>
          <w:color w:val="auto"/>
        </w:rPr>
      </w:pPr>
    </w:p>
    <w:p>
      <w:pPr>
        <w:ind w:right="160" w:firstLine="405"/>
        <w:spacing w:after="0" w:line="311" w:lineRule="auto"/>
        <w:rPr>
          <w:sz w:val="20"/>
          <w:szCs w:val="20"/>
          <w:color w:val="auto"/>
        </w:rPr>
      </w:pPr>
      <w:r>
        <w:rPr>
          <w:rFonts w:ascii="Arial" w:cs="Arial" w:eastAsia="Arial" w:hAnsi="Arial"/>
          <w:sz w:val="16"/>
          <w:szCs w:val="16"/>
          <w:color w:val="auto"/>
        </w:rPr>
        <w:t>The Company estimates its income taxes in each of the jurisdictions in which it operates. This process involves estimating the Company's actual tax exposure together with assessing temporary differences resulting from the differing treatment of certain items for tax return and financial statement purposes. These differences result in deferred tax assets and liabilities, which are included in the Company's consolidated balance sheets.</w:t>
      </w:r>
    </w:p>
    <w:p>
      <w:pPr>
        <w:spacing w:after="0" w:line="41" w:lineRule="exact"/>
        <w:rPr>
          <w:sz w:val="20"/>
          <w:szCs w:val="20"/>
          <w:color w:val="auto"/>
        </w:rPr>
      </w:pPr>
    </w:p>
    <w:p>
      <w:pPr>
        <w:ind w:right="220" w:firstLine="405"/>
        <w:spacing w:after="0" w:line="259" w:lineRule="auto"/>
        <w:rPr>
          <w:sz w:val="20"/>
          <w:szCs w:val="20"/>
          <w:color w:val="auto"/>
        </w:rPr>
      </w:pPr>
      <w:r>
        <w:rPr>
          <w:rFonts w:ascii="Arial" w:cs="Arial" w:eastAsia="Arial" w:hAnsi="Arial"/>
          <w:sz w:val="18"/>
          <w:szCs w:val="18"/>
          <w:color w:val="auto"/>
        </w:rPr>
        <w:t>The Company recognizes income taxes using an asset and liability approach. This approach requires the recognition of taxes payable or refundable for the current year, and deferred tax liabilities and assets for the future tax consequences of events that have been recognized in the Company's consolidated financial statements or tax returns. The measurement of current and deferred taxes is based on provisions of the enacted tax law and the effects of future changes in tax laws or rates are not anticipated.</w:t>
      </w:r>
    </w:p>
    <w:p>
      <w:pPr>
        <w:spacing w:after="0" w:line="79" w:lineRule="exact"/>
        <w:rPr>
          <w:sz w:val="20"/>
          <w:szCs w:val="20"/>
          <w:color w:val="auto"/>
        </w:rPr>
      </w:pPr>
    </w:p>
    <w:p>
      <w:pPr>
        <w:ind w:firstLine="405"/>
        <w:spacing w:after="0" w:line="254" w:lineRule="auto"/>
        <w:rPr>
          <w:sz w:val="20"/>
          <w:szCs w:val="20"/>
          <w:color w:val="auto"/>
        </w:rPr>
      </w:pPr>
      <w:r>
        <w:rPr>
          <w:rFonts w:ascii="Arial" w:cs="Arial" w:eastAsia="Arial" w:hAnsi="Arial"/>
          <w:sz w:val="18"/>
          <w:szCs w:val="18"/>
          <w:color w:val="auto"/>
        </w:rPr>
        <w:t>Evaluating the need for an amount of a valuation allowance for deferred tax assets often requires judgment and analysis of all the positive and negative evidence available, including cumulative losses in recent years and projected future taxable income, to determine whether all or some portion of the deferred tax assets will not be realized. Using available evidence and judgment, the Company establishes a valuation allowance for deferred tax assets, when it is determined that it is more likely than not that they will not be realized. Valuation allowances have been provided primarily against the U.S. research and development credits. Valuation allowances have also been provided against certain acquired operating losses and the deferred tax assets of foreign subsidiaries. A change in the assessment of the realization of deferred tax assets may materially impact the Company's tax provision in the period in which a change of assessment occurs.</w:t>
      </w:r>
    </w:p>
    <w:p>
      <w:pPr>
        <w:spacing w:after="0" w:line="3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472" w:right="359" w:bottom="1440" w:gutter="0" w:footer="0" w:header="0"/>
        </w:sectPr>
      </w:pPr>
    </w:p>
    <w:bookmarkStart w:id="62" w:name="page63"/>
    <w:bookmarkEnd w:id="62"/>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100" w:firstLine="405"/>
        <w:spacing w:after="0" w:line="271" w:lineRule="auto"/>
        <w:rPr>
          <w:sz w:val="20"/>
          <w:szCs w:val="20"/>
          <w:color w:val="auto"/>
        </w:rPr>
      </w:pPr>
      <w:r>
        <w:rPr>
          <w:rFonts w:ascii="Arial" w:cs="Arial" w:eastAsia="Arial" w:hAnsi="Arial"/>
          <w:sz w:val="17"/>
          <w:szCs w:val="17"/>
          <w:color w:val="auto"/>
        </w:rPr>
        <w:t>As a multinational corporation, the Company conducts its business in many countries and is subject to taxation in many jurisdictions. The taxation of the business is subject to the application of various and sometimes conflicting tax laws and regulations as well as multinational tax conventions. The Company's effective tax rate is highly dependent upon the geographic distribution of the Company's worldwide earnings or losses, the tax regulations and tax holidays in each geographic region, the availability of tax credits and carryforwards, and the effectiveness of the Company's tax planning strategies which includes its estimates of the fair value of its intellectual property.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the Company's tax liability and/or effective income tax rate.</w:t>
      </w:r>
    </w:p>
    <w:p>
      <w:pPr>
        <w:spacing w:after="0" w:line="70" w:lineRule="exact"/>
        <w:rPr>
          <w:sz w:val="20"/>
          <w:szCs w:val="20"/>
          <w:color w:val="auto"/>
        </w:rPr>
      </w:pPr>
    </w:p>
    <w:p>
      <w:pPr>
        <w:ind w:right="20" w:firstLine="405"/>
        <w:spacing w:after="0" w:line="269" w:lineRule="auto"/>
        <w:rPr>
          <w:sz w:val="20"/>
          <w:szCs w:val="20"/>
          <w:color w:val="auto"/>
        </w:rPr>
      </w:pPr>
      <w:r>
        <w:rPr>
          <w:rFonts w:ascii="Arial" w:cs="Arial" w:eastAsia="Arial" w:hAnsi="Arial"/>
          <w:sz w:val="17"/>
          <w:szCs w:val="17"/>
          <w:color w:val="auto"/>
        </w:rPr>
        <w:t>The Company is subject to income tax audits by the respective tax authorities in all of the jurisdictions in which it operates. The Company recognizes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The Company records interest and penalties related to unrecognized tax benefits in income tax expense. The calculation of the Company's tax liabilities involves the inherent uncertainty associated with complex tax laws. The Company believes it has adequately provided for in its financial statements additional taxes that it estimates may be required to be paid as a result of such examinations. While the Company believes that it has adequately provided for all tax positions, amounts asserted by tax authorities could be greater or less than its accrued position. These tax liabilities, including the interest and penalties, are released pursuant to a settlement with tax authorities, completion of audit or expiration of various statutes of limitation. The material jurisdictions in which the Company may be subject to potential examination by tax authorities throughout the world include China, India, Israel, Singapore, Switzerland and the United States.</w:t>
      </w:r>
    </w:p>
    <w:p>
      <w:pPr>
        <w:spacing w:after="0" w:line="77" w:lineRule="exact"/>
        <w:rPr>
          <w:sz w:val="20"/>
          <w:szCs w:val="20"/>
          <w:color w:val="auto"/>
        </w:rPr>
      </w:pPr>
    </w:p>
    <w:p>
      <w:pPr>
        <w:ind w:firstLine="405"/>
        <w:spacing w:after="0" w:line="263" w:lineRule="auto"/>
        <w:rPr>
          <w:sz w:val="20"/>
          <w:szCs w:val="20"/>
          <w:color w:val="auto"/>
        </w:rPr>
      </w:pPr>
      <w:r>
        <w:rPr>
          <w:rFonts w:ascii="Arial" w:cs="Arial" w:eastAsia="Arial" w:hAnsi="Arial"/>
          <w:sz w:val="18"/>
          <w:szCs w:val="18"/>
          <w:color w:val="auto"/>
        </w:rPr>
        <w:t>The recognition and measurement of current taxes payable or refundable, and deferred tax assets and liabilities require that the Company make certain estimates and judgments. Changes to these estimates or a change in judgment may have a material impact on the Company's tax provision in a future period.</w:t>
      </w:r>
    </w:p>
    <w:p>
      <w:pPr>
        <w:spacing w:after="0" w:line="21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Accounting Pronouncements Recently Adopted</w:t>
      </w:r>
    </w:p>
    <w:p>
      <w:pPr>
        <w:spacing w:after="0" w:line="117" w:lineRule="exact"/>
        <w:rPr>
          <w:sz w:val="20"/>
          <w:szCs w:val="20"/>
          <w:color w:val="auto"/>
        </w:rPr>
      </w:pPr>
    </w:p>
    <w:p>
      <w:pPr>
        <w:ind w:right="160" w:firstLine="405"/>
        <w:spacing w:after="0" w:line="257" w:lineRule="auto"/>
        <w:rPr>
          <w:sz w:val="20"/>
          <w:szCs w:val="20"/>
          <w:color w:val="auto"/>
        </w:rPr>
      </w:pPr>
      <w:r>
        <w:rPr>
          <w:rFonts w:ascii="Arial" w:cs="Arial" w:eastAsia="Arial" w:hAnsi="Arial"/>
          <w:sz w:val="18"/>
          <w:szCs w:val="18"/>
          <w:color w:val="auto"/>
        </w:rPr>
        <w:t>In February 2016, the FASB issued a new standard on the accounting for leases, which amends the existing guidance to require lessees to recognize assets and liabilities on the balance sheet for the rights and obligation created by long-term leases and to disclose additional quantitative and qualitative information about leasing arrangements. The Company adopted the new lease accounting standard on February 3, 2019, using the modified retrospective approach by applying the new standard to leases existing at the date of initial application and not restating comparative periods. See “Note 7 - Leases” for additional information.</w:t>
      </w:r>
    </w:p>
    <w:p>
      <w:pPr>
        <w:spacing w:after="0" w:line="8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Accounting Pronouncements Not Yet Effective</w:t>
      </w:r>
    </w:p>
    <w:p>
      <w:pPr>
        <w:spacing w:after="0" w:line="117" w:lineRule="exact"/>
        <w:rPr>
          <w:sz w:val="20"/>
          <w:szCs w:val="20"/>
          <w:color w:val="auto"/>
        </w:rPr>
      </w:pPr>
    </w:p>
    <w:p>
      <w:pPr>
        <w:ind w:right="20" w:firstLine="445"/>
        <w:spacing w:after="0" w:line="255" w:lineRule="auto"/>
        <w:rPr>
          <w:sz w:val="20"/>
          <w:szCs w:val="20"/>
          <w:color w:val="auto"/>
        </w:rPr>
      </w:pPr>
      <w:r>
        <w:rPr>
          <w:rFonts w:ascii="Arial" w:cs="Arial" w:eastAsia="Arial" w:hAnsi="Arial"/>
          <w:sz w:val="18"/>
          <w:szCs w:val="18"/>
          <w:color w:val="auto"/>
        </w:rPr>
        <w:t>In June 2016, the FASB issued a new standard requiring financial assets measured at amortized cost be presented at the net amount expected to be collected, through an allowance for credit losses that is deducted from the amortized cost basis. The standard eliminates the threshold for initial recognition in current GAAP and reflects an entity’s current estimate of all expected credit losses. The measurement of expected credit losses is based on historical experience, current conditions, and reasonable and supportable forecasts that affect the collectability of the financial assets. The standard is effective for the Company beginning in the first quarter of fiscal year 2021. The adoption of this guidance did not have a material effect on the Company's consolidated financial statements.</w:t>
      </w:r>
    </w:p>
    <w:p>
      <w:pPr>
        <w:spacing w:after="0" w:line="84" w:lineRule="exact"/>
        <w:rPr>
          <w:sz w:val="20"/>
          <w:szCs w:val="20"/>
          <w:color w:val="auto"/>
        </w:rPr>
      </w:pPr>
    </w:p>
    <w:p>
      <w:pPr>
        <w:ind w:right="380" w:firstLine="405"/>
        <w:spacing w:after="0" w:line="259" w:lineRule="auto"/>
        <w:rPr>
          <w:sz w:val="20"/>
          <w:szCs w:val="20"/>
          <w:color w:val="auto"/>
        </w:rPr>
      </w:pPr>
      <w:r>
        <w:rPr>
          <w:rFonts w:ascii="Arial" w:cs="Arial" w:eastAsia="Arial" w:hAnsi="Arial"/>
          <w:sz w:val="18"/>
          <w:szCs w:val="18"/>
          <w:color w:val="auto"/>
        </w:rPr>
        <w:t>In August 2018, the FASB issued an accounting standards update to align the requirements for capitalizing implementation costs incurred in a software hosting arrangement that is a service contract and costs to develop or obtain internal-use software. The guidance is effective for the Company beginning in the first quarter of fiscal year 2021, with early adoption permitted. The adoption of this guidance did not have an effect on the Company's consolidated financial statements.</w:t>
      </w:r>
    </w:p>
    <w:p>
      <w:pPr>
        <w:spacing w:after="0" w:line="79"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In August 2018, the FASB issued an accounting standards update that modifies the disclosure requirements on fair value measurements. The new guidance adds, modifies and removes certain fair value measurement disclosure requirements. The guidance is effective for the Company beginning in the first quarter of fiscal year 2021, with early adoption permitted. The adoption of this guidance did not have a material effect on the Company's consolidated financial statements.</w:t>
      </w:r>
    </w:p>
    <w:p>
      <w:pPr>
        <w:spacing w:after="0" w:line="3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63" w:name="page64"/>
    <w:bookmarkEnd w:id="6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60" w:firstLine="405"/>
        <w:spacing w:after="0" w:line="273" w:lineRule="auto"/>
        <w:rPr>
          <w:sz w:val="20"/>
          <w:szCs w:val="20"/>
          <w:color w:val="auto"/>
        </w:rPr>
      </w:pPr>
      <w:r>
        <w:rPr>
          <w:rFonts w:ascii="Arial" w:cs="Arial" w:eastAsia="Arial" w:hAnsi="Arial"/>
          <w:sz w:val="17"/>
          <w:szCs w:val="17"/>
          <w:color w:val="auto"/>
        </w:rPr>
        <w:t>In November 2018, the FASB issued an accounting standards update that clarifies when transactions between participants in a collaborative arrangement are within the scope of the new revenue recognition standard that the Company adopted at the beginning of fiscal 2019. The guidance is effective for the Company beginning in the first quarter of fiscal year 2021, with early adoption permitted. The guidance must be applied retrospectively as of the date of initial application of the revenue recognition standard. In addition, entities may elect to apply the guidance to all collaborative arrangements or only to collaborative arrangements that are not completed as of the date of initial application of the aforementioned revenue recognition standard. The adoption of this guidance did not have an effect on the Company's consolidated financial statements.</w:t>
      </w:r>
    </w:p>
    <w:p>
      <w:pPr>
        <w:spacing w:after="0" w:line="70" w:lineRule="exact"/>
        <w:rPr>
          <w:sz w:val="20"/>
          <w:szCs w:val="20"/>
          <w:color w:val="auto"/>
        </w:rPr>
      </w:pPr>
    </w:p>
    <w:p>
      <w:pPr>
        <w:ind w:right="60" w:firstLine="405"/>
        <w:spacing w:after="0" w:line="301" w:lineRule="auto"/>
        <w:rPr>
          <w:sz w:val="20"/>
          <w:szCs w:val="20"/>
          <w:color w:val="auto"/>
        </w:rPr>
      </w:pPr>
      <w:r>
        <w:rPr>
          <w:rFonts w:ascii="Arial" w:cs="Arial" w:eastAsia="Arial" w:hAnsi="Arial"/>
          <w:sz w:val="16"/>
          <w:szCs w:val="16"/>
          <w:color w:val="auto"/>
        </w:rPr>
        <w:t>In December 2019, the FASB issued an accounting standards update that simplifies the accounting for income taxes by eliminating certain exceptions related to the approach for intraperiod tax allocation and modified the methodology for calculating income taxes in an interim period. It also clarifies and simplifies other aspects of the accounting for income taxes. The guidance is effective for the Company beginning in the first quarter of fiscal year 2022, with early adoption permitted. The Company is evaluating the effect this new guidance will have on its consolidated financial statements.</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Business Combinations</w:t>
      </w:r>
    </w:p>
    <w:p>
      <w:pPr>
        <w:spacing w:after="0" w:line="1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Avera</w:t>
      </w:r>
    </w:p>
    <w:p>
      <w:pPr>
        <w:spacing w:after="0" w:line="121" w:lineRule="exact"/>
        <w:rPr>
          <w:sz w:val="20"/>
          <w:szCs w:val="20"/>
          <w:color w:val="auto"/>
        </w:rPr>
      </w:pPr>
    </w:p>
    <w:p>
      <w:pPr>
        <w:ind w:right="40" w:firstLine="405"/>
        <w:spacing w:after="0" w:line="257" w:lineRule="auto"/>
        <w:rPr>
          <w:sz w:val="20"/>
          <w:szCs w:val="20"/>
          <w:color w:val="auto"/>
        </w:rPr>
      </w:pPr>
      <w:r>
        <w:rPr>
          <w:rFonts w:ascii="Arial" w:cs="Arial" w:eastAsia="Arial" w:hAnsi="Arial"/>
          <w:sz w:val="18"/>
          <w:szCs w:val="18"/>
          <w:color w:val="auto"/>
        </w:rPr>
        <w:t>On November 5, 2019, the Company completed the acquisition of Avera, the ASIC business of GlobalFoundries. Avera is a leading provider of ASIC semiconductor solutions. The Company acquired Avera to expand its ASIC design capabilities. Total purchase consideration consisted of cash consideration paid to GlobalFoundries of $593.5 million, net of working capital and other adjustments. The purchase consideration was funded with new debt financing. See “Note 12 - Debt” for additional information. An additional $90 million in cash will be paid to acquire additional assets if certain conditions are satisfied within the next 10 months.</w:t>
      </w:r>
    </w:p>
    <w:p>
      <w:pPr>
        <w:spacing w:after="0" w:line="80" w:lineRule="exact"/>
        <w:rPr>
          <w:sz w:val="20"/>
          <w:szCs w:val="20"/>
          <w:color w:val="auto"/>
        </w:rPr>
      </w:pPr>
    </w:p>
    <w:p>
      <w:pPr>
        <w:ind w:right="460" w:firstLine="405"/>
        <w:spacing w:after="0" w:line="308" w:lineRule="auto"/>
        <w:rPr>
          <w:sz w:val="20"/>
          <w:szCs w:val="20"/>
          <w:color w:val="auto"/>
        </w:rPr>
      </w:pPr>
      <w:r>
        <w:rPr>
          <w:rFonts w:ascii="Arial" w:cs="Arial" w:eastAsia="Arial" w:hAnsi="Arial"/>
          <w:sz w:val="17"/>
          <w:szCs w:val="17"/>
          <w:color w:val="auto"/>
        </w:rPr>
        <w:t>The purchase consideration allocation set forth herein is preliminary and may be revised as additional information becomes available during the measurement period of up to 12 months from the closing date of the acquisition. Any such revisions or changes may be material.</w:t>
      </w:r>
    </w:p>
    <w:p>
      <w:pPr>
        <w:spacing w:after="0" w:line="38" w:lineRule="exact"/>
        <w:rPr>
          <w:sz w:val="20"/>
          <w:szCs w:val="20"/>
          <w:color w:val="auto"/>
        </w:rPr>
      </w:pPr>
    </w:p>
    <w:p>
      <w:pPr>
        <w:ind w:firstLine="405"/>
        <w:spacing w:after="0" w:line="342" w:lineRule="auto"/>
        <w:rPr>
          <w:sz w:val="20"/>
          <w:szCs w:val="20"/>
          <w:color w:val="auto"/>
        </w:rPr>
      </w:pPr>
      <w:r>
        <w:rPr>
          <w:rFonts w:ascii="Arial" w:cs="Arial" w:eastAsia="Arial" w:hAnsi="Arial"/>
          <w:sz w:val="16"/>
          <w:szCs w:val="16"/>
          <w:color w:val="auto"/>
        </w:rPr>
        <w:t>The factors contributing to the recognition of goodwill were based upon the Company's conclusion that there are strategic and synergistic benefits that are expected to be realized from the acquisition. A portion of the goodwill recorded for the Avera acquisition is deductible for tax purposes.</w:t>
      </w:r>
    </w:p>
    <w:p>
      <w:pPr>
        <w:spacing w:after="0" w:line="1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purchase price allocation is as follows (in thousands):</w:t>
      </w:r>
    </w:p>
    <w:p>
      <w:pPr>
        <w:spacing w:after="0" w:line="293"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7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1680" w:type="dxa"/>
            <w:vAlign w:val="bottom"/>
            <w:shd w:val="clear" w:color="auto" w:fill="CCEEFF"/>
          </w:tcPr>
          <w:p>
            <w:pPr>
              <w:jc w:val="right"/>
              <w:ind w:right="1490"/>
              <w:spacing w:after="0"/>
              <w:rPr>
                <w:sz w:val="20"/>
                <w:szCs w:val="20"/>
                <w:color w:val="auto"/>
              </w:rPr>
            </w:pPr>
            <w:r>
              <w:rPr>
                <w:rFonts w:ascii="Arial" w:cs="Arial" w:eastAsia="Arial" w:hAnsi="Arial"/>
                <w:sz w:val="18"/>
                <w:szCs w:val="18"/>
                <w:color w:val="auto"/>
                <w:w w:val="79"/>
              </w:rPr>
              <w:t>$</w:t>
            </w:r>
          </w:p>
        </w:tc>
        <w:tc>
          <w:tcPr>
            <w:tcW w:w="230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106,465</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1680" w:type="dxa"/>
            <w:vAlign w:val="bottom"/>
          </w:tcPr>
          <w:p>
            <w:pPr>
              <w:spacing w:after="0"/>
              <w:rPr>
                <w:sz w:val="21"/>
                <w:szCs w:val="21"/>
                <w:color w:val="auto"/>
              </w:rPr>
            </w:pPr>
          </w:p>
        </w:tc>
        <w:tc>
          <w:tcPr>
            <w:tcW w:w="2300" w:type="dxa"/>
            <w:vAlign w:val="bottom"/>
          </w:tcPr>
          <w:p>
            <w:pPr>
              <w:jc w:val="right"/>
              <w:ind w:right="70"/>
              <w:spacing w:after="0"/>
              <w:rPr>
                <w:sz w:val="20"/>
                <w:szCs w:val="20"/>
                <w:color w:val="auto"/>
              </w:rPr>
            </w:pPr>
            <w:r>
              <w:rPr>
                <w:rFonts w:ascii="Arial" w:cs="Arial" w:eastAsia="Arial" w:hAnsi="Arial"/>
                <w:sz w:val="18"/>
                <w:szCs w:val="18"/>
                <w:color w:val="auto"/>
              </w:rPr>
              <w:t>17,495</w:t>
            </w:r>
          </w:p>
        </w:tc>
      </w:tr>
      <w:tr>
        <w:trPr>
          <w:trHeight w:val="27"/>
        </w:trPr>
        <w:tc>
          <w:tcPr>
            <w:tcW w:w="7260" w:type="dxa"/>
            <w:vAlign w:val="bottom"/>
          </w:tcPr>
          <w:p>
            <w:pPr>
              <w:spacing w:after="0"/>
              <w:rPr>
                <w:sz w:val="2"/>
                <w:szCs w:val="2"/>
                <w:color w:val="auto"/>
              </w:rPr>
            </w:pPr>
          </w:p>
        </w:tc>
        <w:tc>
          <w:tcPr>
            <w:tcW w:w="1680" w:type="dxa"/>
            <w:vAlign w:val="bottom"/>
          </w:tcPr>
          <w:p>
            <w:pPr>
              <w:spacing w:after="0"/>
              <w:rPr>
                <w:sz w:val="2"/>
                <w:szCs w:val="2"/>
                <w:color w:val="auto"/>
              </w:rPr>
            </w:pPr>
          </w:p>
        </w:tc>
        <w:tc>
          <w:tcPr>
            <w:tcW w:w="2300" w:type="dxa"/>
            <w:vAlign w:val="bottom"/>
          </w:tcPr>
          <w:p>
            <w:pPr>
              <w:spacing w:after="0"/>
              <w:rPr>
                <w:sz w:val="2"/>
                <w:szCs w:val="2"/>
                <w:color w:val="auto"/>
              </w:rPr>
            </w:pPr>
          </w:p>
        </w:tc>
      </w:tr>
      <w:tr>
        <w:trPr>
          <w:trHeight w:val="25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Property and equipment, net</w:t>
            </w:r>
          </w:p>
        </w:tc>
        <w:tc>
          <w:tcPr>
            <w:tcW w:w="1680" w:type="dxa"/>
            <w:vAlign w:val="bottom"/>
            <w:tcBorders>
              <w:bottom w:val="single" w:sz="8" w:color="CCEEFF"/>
            </w:tcBorders>
            <w:shd w:val="clear" w:color="auto" w:fill="CCEEFF"/>
          </w:tcPr>
          <w:p>
            <w:pPr>
              <w:spacing w:after="0"/>
              <w:rPr>
                <w:sz w:val="21"/>
                <w:szCs w:val="21"/>
                <w:color w:val="auto"/>
              </w:rPr>
            </w:pPr>
          </w:p>
        </w:tc>
        <w:tc>
          <w:tcPr>
            <w:tcW w:w="23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25,677</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1680" w:type="dxa"/>
            <w:vAlign w:val="bottom"/>
          </w:tcPr>
          <w:p>
            <w:pPr>
              <w:spacing w:after="0"/>
              <w:rPr>
                <w:sz w:val="21"/>
                <w:szCs w:val="21"/>
                <w:color w:val="auto"/>
              </w:rPr>
            </w:pPr>
          </w:p>
        </w:tc>
        <w:tc>
          <w:tcPr>
            <w:tcW w:w="2300" w:type="dxa"/>
            <w:vAlign w:val="bottom"/>
          </w:tcPr>
          <w:p>
            <w:pPr>
              <w:jc w:val="right"/>
              <w:ind w:right="70"/>
              <w:spacing w:after="0"/>
              <w:rPr>
                <w:sz w:val="20"/>
                <w:szCs w:val="20"/>
                <w:color w:val="auto"/>
              </w:rPr>
            </w:pPr>
            <w:r>
              <w:rPr>
                <w:rFonts w:ascii="Arial" w:cs="Arial" w:eastAsia="Arial" w:hAnsi="Arial"/>
                <w:sz w:val="18"/>
                <w:szCs w:val="18"/>
                <w:color w:val="auto"/>
              </w:rPr>
              <w:t>379,000</w:t>
            </w:r>
          </w:p>
        </w:tc>
      </w:tr>
      <w:tr>
        <w:trPr>
          <w:trHeight w:val="27"/>
        </w:trPr>
        <w:tc>
          <w:tcPr>
            <w:tcW w:w="7260" w:type="dxa"/>
            <w:vAlign w:val="bottom"/>
          </w:tcPr>
          <w:p>
            <w:pPr>
              <w:spacing w:after="0"/>
              <w:rPr>
                <w:sz w:val="2"/>
                <w:szCs w:val="2"/>
                <w:color w:val="auto"/>
              </w:rPr>
            </w:pPr>
          </w:p>
        </w:tc>
        <w:tc>
          <w:tcPr>
            <w:tcW w:w="1680" w:type="dxa"/>
            <w:vAlign w:val="bottom"/>
          </w:tcPr>
          <w:p>
            <w:pPr>
              <w:spacing w:after="0"/>
              <w:rPr>
                <w:sz w:val="2"/>
                <w:szCs w:val="2"/>
                <w:color w:val="auto"/>
              </w:rPr>
            </w:pPr>
          </w:p>
        </w:tc>
        <w:tc>
          <w:tcPr>
            <w:tcW w:w="2300" w:type="dxa"/>
            <w:vAlign w:val="bottom"/>
          </w:tcPr>
          <w:p>
            <w:pPr>
              <w:spacing w:after="0"/>
              <w:rPr>
                <w:sz w:val="2"/>
                <w:szCs w:val="2"/>
                <w:color w:val="auto"/>
              </w:rPr>
            </w:pPr>
          </w:p>
        </w:tc>
      </w:tr>
      <w:tr>
        <w:trPr>
          <w:trHeight w:val="25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680" w:type="dxa"/>
            <w:vAlign w:val="bottom"/>
            <w:tcBorders>
              <w:bottom w:val="single" w:sz="8" w:color="CCEEFF"/>
            </w:tcBorders>
            <w:shd w:val="clear" w:color="auto" w:fill="CCEEFF"/>
          </w:tcPr>
          <w:p>
            <w:pPr>
              <w:spacing w:after="0"/>
              <w:rPr>
                <w:sz w:val="21"/>
                <w:szCs w:val="21"/>
                <w:color w:val="auto"/>
              </w:rPr>
            </w:pPr>
          </w:p>
        </w:tc>
        <w:tc>
          <w:tcPr>
            <w:tcW w:w="23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6,870</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Goodwill</w:t>
            </w:r>
          </w:p>
        </w:tc>
        <w:tc>
          <w:tcPr>
            <w:tcW w:w="1680" w:type="dxa"/>
            <w:vAlign w:val="bottom"/>
          </w:tcPr>
          <w:p>
            <w:pPr>
              <w:spacing w:after="0"/>
              <w:rPr>
                <w:sz w:val="21"/>
                <w:szCs w:val="21"/>
                <w:color w:val="auto"/>
              </w:rPr>
            </w:pPr>
          </w:p>
        </w:tc>
        <w:tc>
          <w:tcPr>
            <w:tcW w:w="2300" w:type="dxa"/>
            <w:vAlign w:val="bottom"/>
          </w:tcPr>
          <w:p>
            <w:pPr>
              <w:jc w:val="right"/>
              <w:ind w:right="70"/>
              <w:spacing w:after="0"/>
              <w:rPr>
                <w:sz w:val="20"/>
                <w:szCs w:val="20"/>
                <w:color w:val="auto"/>
              </w:rPr>
            </w:pPr>
            <w:r>
              <w:rPr>
                <w:rFonts w:ascii="Arial" w:cs="Arial" w:eastAsia="Arial" w:hAnsi="Arial"/>
                <w:sz w:val="18"/>
                <w:szCs w:val="18"/>
                <w:color w:val="auto"/>
              </w:rPr>
              <w:t>129,392</w:t>
            </w:r>
          </w:p>
        </w:tc>
      </w:tr>
      <w:tr>
        <w:trPr>
          <w:trHeight w:val="27"/>
        </w:trPr>
        <w:tc>
          <w:tcPr>
            <w:tcW w:w="7260" w:type="dxa"/>
            <w:vAlign w:val="bottom"/>
          </w:tcPr>
          <w:p>
            <w:pPr>
              <w:spacing w:after="0"/>
              <w:rPr>
                <w:sz w:val="2"/>
                <w:szCs w:val="2"/>
                <w:color w:val="auto"/>
              </w:rPr>
            </w:pPr>
          </w:p>
        </w:tc>
        <w:tc>
          <w:tcPr>
            <w:tcW w:w="1680" w:type="dxa"/>
            <w:vAlign w:val="bottom"/>
          </w:tcPr>
          <w:p>
            <w:pPr>
              <w:spacing w:after="0"/>
              <w:rPr>
                <w:sz w:val="2"/>
                <w:szCs w:val="2"/>
                <w:color w:val="auto"/>
              </w:rPr>
            </w:pPr>
          </w:p>
        </w:tc>
        <w:tc>
          <w:tcPr>
            <w:tcW w:w="2300" w:type="dxa"/>
            <w:vAlign w:val="bottom"/>
          </w:tcPr>
          <w:p>
            <w:pPr>
              <w:spacing w:after="0"/>
              <w:rPr>
                <w:sz w:val="2"/>
                <w:szCs w:val="2"/>
                <w:color w:val="auto"/>
              </w:rPr>
            </w:pPr>
          </w:p>
        </w:tc>
      </w:tr>
      <w:tr>
        <w:trPr>
          <w:trHeight w:val="25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liabilities</w:t>
            </w:r>
          </w:p>
        </w:tc>
        <w:tc>
          <w:tcPr>
            <w:tcW w:w="1680" w:type="dxa"/>
            <w:vAlign w:val="bottom"/>
            <w:tcBorders>
              <w:bottom w:val="single" w:sz="8" w:color="CCEEFF"/>
            </w:tcBorders>
            <w:shd w:val="clear" w:color="auto" w:fill="CCEEFF"/>
          </w:tcPr>
          <w:p>
            <w:pPr>
              <w:spacing w:after="0"/>
              <w:rPr>
                <w:sz w:val="21"/>
                <w:szCs w:val="21"/>
                <w:color w:val="auto"/>
              </w:rPr>
            </w:pPr>
          </w:p>
        </w:tc>
        <w:tc>
          <w:tcPr>
            <w:tcW w:w="23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(64,155)</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Deferred tax liabilities</w:t>
            </w:r>
          </w:p>
        </w:tc>
        <w:tc>
          <w:tcPr>
            <w:tcW w:w="1680" w:type="dxa"/>
            <w:vAlign w:val="bottom"/>
          </w:tcPr>
          <w:p>
            <w:pPr>
              <w:spacing w:after="0"/>
              <w:rPr>
                <w:sz w:val="21"/>
                <w:szCs w:val="21"/>
                <w:color w:val="auto"/>
              </w:rPr>
            </w:pPr>
          </w:p>
        </w:tc>
        <w:tc>
          <w:tcPr>
            <w:tcW w:w="2300" w:type="dxa"/>
            <w:vAlign w:val="bottom"/>
          </w:tcPr>
          <w:p>
            <w:pPr>
              <w:jc w:val="right"/>
              <w:ind w:right="10"/>
              <w:spacing w:after="0"/>
              <w:rPr>
                <w:sz w:val="20"/>
                <w:szCs w:val="20"/>
                <w:color w:val="auto"/>
              </w:rPr>
            </w:pPr>
            <w:r>
              <w:rPr>
                <w:rFonts w:ascii="Arial" w:cs="Arial" w:eastAsia="Arial" w:hAnsi="Arial"/>
                <w:sz w:val="18"/>
                <w:szCs w:val="18"/>
                <w:color w:val="auto"/>
              </w:rPr>
              <w:t>(6,594)</w:t>
            </w:r>
          </w:p>
        </w:tc>
      </w:tr>
      <w:tr>
        <w:trPr>
          <w:trHeight w:val="27"/>
        </w:trPr>
        <w:tc>
          <w:tcPr>
            <w:tcW w:w="7260" w:type="dxa"/>
            <w:vAlign w:val="bottom"/>
          </w:tcPr>
          <w:p>
            <w:pPr>
              <w:spacing w:after="0"/>
              <w:rPr>
                <w:sz w:val="2"/>
                <w:szCs w:val="2"/>
                <w:color w:val="auto"/>
              </w:rPr>
            </w:pPr>
          </w:p>
        </w:tc>
        <w:tc>
          <w:tcPr>
            <w:tcW w:w="1680" w:type="dxa"/>
            <w:vAlign w:val="bottom"/>
          </w:tcPr>
          <w:p>
            <w:pPr>
              <w:spacing w:after="0"/>
              <w:rPr>
                <w:sz w:val="2"/>
                <w:szCs w:val="2"/>
                <w:color w:val="auto"/>
              </w:rPr>
            </w:pPr>
          </w:p>
        </w:tc>
        <w:tc>
          <w:tcPr>
            <w:tcW w:w="2300" w:type="dxa"/>
            <w:vAlign w:val="bottom"/>
          </w:tcPr>
          <w:p>
            <w:pPr>
              <w:spacing w:after="0"/>
              <w:rPr>
                <w:sz w:val="2"/>
                <w:szCs w:val="2"/>
                <w:color w:val="auto"/>
              </w:rPr>
            </w:pPr>
          </w:p>
        </w:tc>
      </w:tr>
      <w:tr>
        <w:trPr>
          <w:trHeight w:val="27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1680" w:type="dxa"/>
            <w:vAlign w:val="bottom"/>
            <w:tcBorders>
              <w:bottom w:val="single" w:sz="8" w:color="CCEEFF"/>
            </w:tcBorders>
            <w:shd w:val="clear" w:color="auto" w:fill="CCEEFF"/>
          </w:tcPr>
          <w:p>
            <w:pPr>
              <w:spacing w:after="0"/>
              <w:rPr>
                <w:sz w:val="23"/>
                <w:szCs w:val="23"/>
                <w:color w:val="auto"/>
              </w:rPr>
            </w:pPr>
          </w:p>
        </w:tc>
        <w:tc>
          <w:tcPr>
            <w:tcW w:w="23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(650)</w:t>
            </w:r>
          </w:p>
        </w:tc>
      </w:tr>
      <w:tr>
        <w:trPr>
          <w:trHeight w:val="236"/>
        </w:trPr>
        <w:tc>
          <w:tcPr>
            <w:tcW w:w="7260" w:type="dxa"/>
            <w:vAlign w:val="bottom"/>
          </w:tcPr>
          <w:p>
            <w:pPr>
              <w:spacing w:after="0"/>
              <w:rPr>
                <w:sz w:val="20"/>
                <w:szCs w:val="20"/>
                <w:color w:val="auto"/>
              </w:rPr>
            </w:pPr>
          </w:p>
        </w:tc>
        <w:tc>
          <w:tcPr>
            <w:tcW w:w="1680" w:type="dxa"/>
            <w:vAlign w:val="bottom"/>
            <w:tcBorders>
              <w:top w:val="single" w:sz="8" w:color="auto"/>
            </w:tcBorders>
          </w:tcPr>
          <w:p>
            <w:pPr>
              <w:jc w:val="right"/>
              <w:ind w:right="1490"/>
              <w:spacing w:after="0"/>
              <w:rPr>
                <w:sz w:val="20"/>
                <w:szCs w:val="20"/>
                <w:color w:val="auto"/>
              </w:rPr>
            </w:pPr>
            <w:r>
              <w:rPr>
                <w:rFonts w:ascii="Arial" w:cs="Arial" w:eastAsia="Arial" w:hAnsi="Arial"/>
                <w:sz w:val="18"/>
                <w:szCs w:val="18"/>
                <w:color w:val="auto"/>
                <w:w w:val="79"/>
              </w:rPr>
              <w:t>$</w:t>
            </w:r>
          </w:p>
        </w:tc>
        <w:tc>
          <w:tcPr>
            <w:tcW w:w="230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593,500</w:t>
            </w:r>
          </w:p>
        </w:tc>
      </w:tr>
      <w:tr>
        <w:trPr>
          <w:trHeight w:val="27"/>
        </w:trPr>
        <w:tc>
          <w:tcPr>
            <w:tcW w:w="7260" w:type="dxa"/>
            <w:vAlign w:val="bottom"/>
          </w:tcPr>
          <w:p>
            <w:pPr>
              <w:spacing w:after="0"/>
              <w:rPr>
                <w:sz w:val="2"/>
                <w:szCs w:val="2"/>
                <w:color w:val="auto"/>
              </w:rPr>
            </w:pPr>
          </w:p>
        </w:tc>
        <w:tc>
          <w:tcPr>
            <w:tcW w:w="1680" w:type="dxa"/>
            <w:vAlign w:val="bottom"/>
            <w:tcBorders>
              <w:bottom w:val="single" w:sz="8" w:color="auto"/>
            </w:tcBorders>
          </w:tcPr>
          <w:p>
            <w:pPr>
              <w:spacing w:after="0"/>
              <w:rPr>
                <w:sz w:val="2"/>
                <w:szCs w:val="2"/>
                <w:color w:val="auto"/>
              </w:rPr>
            </w:pPr>
          </w:p>
        </w:tc>
        <w:tc>
          <w:tcPr>
            <w:tcW w:w="2300" w:type="dxa"/>
            <w:vAlign w:val="bottom"/>
            <w:tcBorders>
              <w:bottom w:val="single" w:sz="8" w:color="auto"/>
            </w:tcBorders>
          </w:tcPr>
          <w:p>
            <w:pPr>
              <w:spacing w:after="0"/>
              <w:rPr>
                <w:sz w:val="2"/>
                <w:szCs w:val="2"/>
                <w:color w:val="auto"/>
              </w:rPr>
            </w:pPr>
          </w:p>
        </w:tc>
      </w:tr>
      <w:tr>
        <w:trPr>
          <w:trHeight w:val="20"/>
        </w:trPr>
        <w:tc>
          <w:tcPr>
            <w:tcW w:w="7260" w:type="dxa"/>
            <w:vAlign w:val="bottom"/>
          </w:tcPr>
          <w:p>
            <w:pPr>
              <w:spacing w:after="0" w:line="20" w:lineRule="exact"/>
              <w:rPr>
                <w:sz w:val="1"/>
                <w:szCs w:val="1"/>
                <w:color w:val="auto"/>
              </w:rPr>
            </w:pPr>
          </w:p>
        </w:tc>
        <w:tc>
          <w:tcPr>
            <w:tcW w:w="1680" w:type="dxa"/>
            <w:vAlign w:val="bottom"/>
            <w:tcBorders>
              <w:bottom w:val="single" w:sz="8" w:color="auto"/>
            </w:tcBorders>
          </w:tcPr>
          <w:p>
            <w:pPr>
              <w:spacing w:after="0" w:line="20" w:lineRule="exact"/>
              <w:rPr>
                <w:sz w:val="1"/>
                <w:szCs w:val="1"/>
                <w:color w:val="auto"/>
              </w:rPr>
            </w:pPr>
          </w:p>
        </w:tc>
        <w:tc>
          <w:tcPr>
            <w:tcW w:w="2300" w:type="dxa"/>
            <w:vAlign w:val="bottom"/>
            <w:tcBorders>
              <w:bottom w:val="single" w:sz="8" w:color="auto"/>
            </w:tcBorders>
          </w:tcPr>
          <w:p>
            <w:pPr>
              <w:spacing w:after="0" w:line="20" w:lineRule="exact"/>
              <w:rPr>
                <w:sz w:val="1"/>
                <w:szCs w:val="1"/>
                <w:color w:val="auto"/>
              </w:rPr>
            </w:pPr>
          </w:p>
        </w:tc>
      </w:tr>
    </w:tbl>
    <w:p>
      <w:pPr>
        <w:spacing w:after="0" w:line="229" w:lineRule="exact"/>
        <w:rPr>
          <w:sz w:val="20"/>
          <w:szCs w:val="20"/>
          <w:color w:val="auto"/>
        </w:rPr>
      </w:pPr>
    </w:p>
    <w:p>
      <w:pPr>
        <w:ind w:right="560" w:firstLine="405"/>
        <w:spacing w:after="0" w:line="277" w:lineRule="auto"/>
        <w:rPr>
          <w:sz w:val="20"/>
          <w:szCs w:val="20"/>
          <w:color w:val="auto"/>
        </w:rPr>
      </w:pPr>
      <w:r>
        <w:rPr>
          <w:rFonts w:ascii="Arial" w:cs="Arial" w:eastAsia="Arial" w:hAnsi="Arial"/>
          <w:sz w:val="18"/>
          <w:szCs w:val="18"/>
          <w:color w:val="auto"/>
        </w:rPr>
        <w:t>The Company incurred total acquisition related costs of $5.7 million which were recorded in selling, general and administrative expense in the Consolidated Statements of Operations.</w:t>
      </w: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64" w:name="page65"/>
    <w:bookmarkEnd w:id="6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Aquantia Corp.</w:t>
      </w:r>
    </w:p>
    <w:p>
      <w:pPr>
        <w:spacing w:after="0" w:line="121" w:lineRule="exact"/>
        <w:rPr>
          <w:sz w:val="20"/>
          <w:szCs w:val="20"/>
          <w:color w:val="auto"/>
        </w:rPr>
      </w:pPr>
    </w:p>
    <w:p>
      <w:pPr>
        <w:ind w:right="80" w:firstLine="405"/>
        <w:spacing w:after="0" w:line="293" w:lineRule="auto"/>
        <w:rPr>
          <w:sz w:val="20"/>
          <w:szCs w:val="20"/>
          <w:color w:val="auto"/>
        </w:rPr>
      </w:pPr>
      <w:r>
        <w:rPr>
          <w:rFonts w:ascii="Arial" w:cs="Arial" w:eastAsia="Arial" w:hAnsi="Arial"/>
          <w:sz w:val="16"/>
          <w:szCs w:val="16"/>
          <w:color w:val="auto"/>
        </w:rPr>
        <w:t>On September 19, 2019, the Company completed the acquisition of Aquantia. Aquantia is a manufacturer of high-speed transceivers which includes copper and optical physical layer products. The Company acquired Aquantia to further its position in automotive in-vehicle networking and strengthen its multi-gig ethernet PHY portfolio for enterprise infrastructure, data center and access applications. In accordance with the terms of the Agreement and Plan of Merger dated May 6, 2019, by and among the Company and Aquantia (the “Aquantia merger agreement”), the Company acquired all outstanding shares of common stock of Aquantia (the “Aquantia shares”) for $13.25 per share in cash. The merger consideration was funded with a combination of cash on hand and funds from the Company's revolving line of credit (“Revolving Credit Facility”). See “Note 12 - Debt” for additional information.</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260" w:type="dxa"/>
            <w:vAlign w:val="bottom"/>
          </w:tcPr>
          <w:p>
            <w:pPr>
              <w:spacing w:after="0"/>
              <w:rPr>
                <w:sz w:val="20"/>
                <w:szCs w:val="20"/>
                <w:color w:val="auto"/>
              </w:rPr>
            </w:pPr>
            <w:r>
              <w:rPr>
                <w:rFonts w:ascii="Arial" w:cs="Arial" w:eastAsia="Arial" w:hAnsi="Arial"/>
                <w:sz w:val="18"/>
                <w:szCs w:val="18"/>
                <w:color w:val="auto"/>
              </w:rPr>
              <w:t>The following table summarizes the total merger consideration (in thousands):</w:t>
            </w:r>
          </w:p>
        </w:tc>
        <w:tc>
          <w:tcPr>
            <w:tcW w:w="1680" w:type="dxa"/>
            <w:vAlign w:val="bottom"/>
          </w:tcPr>
          <w:p>
            <w:pPr>
              <w:spacing w:after="0"/>
              <w:rPr>
                <w:sz w:val="20"/>
                <w:szCs w:val="20"/>
                <w:color w:val="auto"/>
              </w:rPr>
            </w:pPr>
          </w:p>
        </w:tc>
        <w:tc>
          <w:tcPr>
            <w:tcW w:w="2300" w:type="dxa"/>
            <w:vAlign w:val="bottom"/>
          </w:tcPr>
          <w:p>
            <w:pPr>
              <w:spacing w:after="0"/>
              <w:rPr>
                <w:sz w:val="20"/>
                <w:szCs w:val="20"/>
                <w:color w:val="auto"/>
              </w:rPr>
            </w:pPr>
          </w:p>
        </w:tc>
      </w:tr>
      <w:tr>
        <w:trPr>
          <w:trHeight w:val="243"/>
        </w:trPr>
        <w:tc>
          <w:tcPr>
            <w:tcW w:w="7260" w:type="dxa"/>
            <w:vAlign w:val="bottom"/>
          </w:tcPr>
          <w:p>
            <w:pPr>
              <w:spacing w:after="0"/>
              <w:rPr>
                <w:sz w:val="21"/>
                <w:szCs w:val="21"/>
                <w:color w:val="auto"/>
              </w:rPr>
            </w:pPr>
          </w:p>
        </w:tc>
        <w:tc>
          <w:tcPr>
            <w:tcW w:w="1680" w:type="dxa"/>
            <w:vAlign w:val="bottom"/>
          </w:tcPr>
          <w:p>
            <w:pPr>
              <w:spacing w:after="0"/>
              <w:rPr>
                <w:sz w:val="21"/>
                <w:szCs w:val="21"/>
                <w:color w:val="auto"/>
              </w:rPr>
            </w:pPr>
          </w:p>
        </w:tc>
        <w:tc>
          <w:tcPr>
            <w:tcW w:w="2300" w:type="dxa"/>
            <w:vAlign w:val="bottom"/>
          </w:tcPr>
          <w:p>
            <w:pPr>
              <w:spacing w:after="0"/>
              <w:rPr>
                <w:sz w:val="21"/>
                <w:szCs w:val="21"/>
                <w:color w:val="auto"/>
              </w:rPr>
            </w:pPr>
          </w:p>
        </w:tc>
      </w:tr>
      <w:tr>
        <w:trPr>
          <w:trHeight w:val="25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consideration to Aquantia common stockholders</w:t>
            </w:r>
          </w:p>
        </w:tc>
        <w:tc>
          <w:tcPr>
            <w:tcW w:w="1680" w:type="dxa"/>
            <w:vAlign w:val="bottom"/>
            <w:tcBorders>
              <w:bottom w:val="single" w:sz="8" w:color="CCEEFF"/>
            </w:tcBorders>
            <w:shd w:val="clear" w:color="auto" w:fill="CCEEFF"/>
          </w:tcPr>
          <w:p>
            <w:pPr>
              <w:jc w:val="right"/>
              <w:ind w:right="1490"/>
              <w:spacing w:after="0"/>
              <w:rPr>
                <w:sz w:val="20"/>
                <w:szCs w:val="20"/>
                <w:color w:val="auto"/>
              </w:rPr>
            </w:pPr>
            <w:r>
              <w:rPr>
                <w:rFonts w:ascii="Arial" w:cs="Arial" w:eastAsia="Arial" w:hAnsi="Arial"/>
                <w:sz w:val="18"/>
                <w:szCs w:val="18"/>
                <w:color w:val="auto"/>
                <w:w w:val="79"/>
              </w:rPr>
              <w:t>$</w:t>
            </w:r>
          </w:p>
        </w:tc>
        <w:tc>
          <w:tcPr>
            <w:tcW w:w="23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479,547</w:t>
            </w:r>
          </w:p>
        </w:tc>
      </w:tr>
      <w:tr>
        <w:trPr>
          <w:trHeight w:val="229"/>
        </w:trPr>
        <w:tc>
          <w:tcPr>
            <w:tcW w:w="7260" w:type="dxa"/>
            <w:vAlign w:val="bottom"/>
          </w:tcPr>
          <w:p>
            <w:pPr>
              <w:ind w:left="20"/>
              <w:spacing w:after="0"/>
              <w:rPr>
                <w:sz w:val="20"/>
                <w:szCs w:val="20"/>
                <w:color w:val="auto"/>
              </w:rPr>
            </w:pPr>
            <w:r>
              <w:rPr>
                <w:rFonts w:ascii="Arial" w:cs="Arial" w:eastAsia="Arial" w:hAnsi="Arial"/>
                <w:sz w:val="18"/>
                <w:szCs w:val="18"/>
                <w:color w:val="auto"/>
              </w:rPr>
              <w:t>Cash consideration - director, employee &amp; consultant grant accelerations and payout for</w:t>
            </w:r>
          </w:p>
        </w:tc>
        <w:tc>
          <w:tcPr>
            <w:tcW w:w="1680" w:type="dxa"/>
            <w:vAlign w:val="bottom"/>
          </w:tcPr>
          <w:p>
            <w:pPr>
              <w:spacing w:after="0"/>
              <w:rPr>
                <w:sz w:val="19"/>
                <w:szCs w:val="19"/>
                <w:color w:val="auto"/>
              </w:rPr>
            </w:pPr>
          </w:p>
        </w:tc>
        <w:tc>
          <w:tcPr>
            <w:tcW w:w="2300" w:type="dxa"/>
            <w:vAlign w:val="bottom"/>
          </w:tcPr>
          <w:p>
            <w:pPr>
              <w:spacing w:after="0"/>
              <w:rPr>
                <w:sz w:val="19"/>
                <w:szCs w:val="19"/>
                <w:color w:val="auto"/>
              </w:rPr>
            </w:pPr>
          </w:p>
        </w:tc>
      </w:tr>
      <w:tr>
        <w:trPr>
          <w:trHeight w:val="230"/>
        </w:trPr>
        <w:tc>
          <w:tcPr>
            <w:tcW w:w="7260" w:type="dxa"/>
            <w:vAlign w:val="bottom"/>
          </w:tcPr>
          <w:p>
            <w:pPr>
              <w:ind w:left="20"/>
              <w:spacing w:after="0"/>
              <w:rPr>
                <w:sz w:val="20"/>
                <w:szCs w:val="20"/>
                <w:color w:val="auto"/>
              </w:rPr>
            </w:pPr>
            <w:r>
              <w:rPr>
                <w:rFonts w:ascii="Arial" w:cs="Arial" w:eastAsia="Arial" w:hAnsi="Arial"/>
                <w:sz w:val="18"/>
                <w:szCs w:val="18"/>
                <w:color w:val="auto"/>
              </w:rPr>
              <w:t>employee stock purchase plan</w:t>
            </w:r>
          </w:p>
        </w:tc>
        <w:tc>
          <w:tcPr>
            <w:tcW w:w="1680" w:type="dxa"/>
            <w:vAlign w:val="bottom"/>
          </w:tcPr>
          <w:p>
            <w:pPr>
              <w:spacing w:after="0"/>
              <w:rPr>
                <w:sz w:val="20"/>
                <w:szCs w:val="20"/>
                <w:color w:val="auto"/>
              </w:rPr>
            </w:pPr>
          </w:p>
        </w:tc>
        <w:tc>
          <w:tcPr>
            <w:tcW w:w="2300" w:type="dxa"/>
            <w:vAlign w:val="bottom"/>
          </w:tcPr>
          <w:p>
            <w:pPr>
              <w:jc w:val="right"/>
              <w:ind w:right="70"/>
              <w:spacing w:after="0"/>
              <w:rPr>
                <w:sz w:val="20"/>
                <w:szCs w:val="20"/>
                <w:color w:val="auto"/>
              </w:rPr>
            </w:pPr>
            <w:r>
              <w:rPr>
                <w:rFonts w:ascii="Arial" w:cs="Arial" w:eastAsia="Arial" w:hAnsi="Arial"/>
                <w:sz w:val="18"/>
                <w:szCs w:val="18"/>
                <w:color w:val="auto"/>
              </w:rPr>
              <w:t>7,122</w:t>
            </w:r>
          </w:p>
        </w:tc>
      </w:tr>
      <w:tr>
        <w:trPr>
          <w:trHeight w:val="27"/>
        </w:trPr>
        <w:tc>
          <w:tcPr>
            <w:tcW w:w="7260" w:type="dxa"/>
            <w:vAlign w:val="bottom"/>
          </w:tcPr>
          <w:p>
            <w:pPr>
              <w:spacing w:after="0"/>
              <w:rPr>
                <w:sz w:val="2"/>
                <w:szCs w:val="2"/>
                <w:color w:val="auto"/>
              </w:rPr>
            </w:pPr>
          </w:p>
        </w:tc>
        <w:tc>
          <w:tcPr>
            <w:tcW w:w="1680" w:type="dxa"/>
            <w:vAlign w:val="bottom"/>
          </w:tcPr>
          <w:p>
            <w:pPr>
              <w:spacing w:after="0"/>
              <w:rPr>
                <w:sz w:val="2"/>
                <w:szCs w:val="2"/>
                <w:color w:val="auto"/>
              </w:rPr>
            </w:pPr>
          </w:p>
        </w:tc>
        <w:tc>
          <w:tcPr>
            <w:tcW w:w="2300" w:type="dxa"/>
            <w:vAlign w:val="bottom"/>
          </w:tcPr>
          <w:p>
            <w:pPr>
              <w:spacing w:after="0"/>
              <w:rPr>
                <w:sz w:val="2"/>
                <w:szCs w:val="2"/>
                <w:color w:val="auto"/>
              </w:rPr>
            </w:pPr>
          </w:p>
        </w:tc>
      </w:tr>
      <w:tr>
        <w:trPr>
          <w:trHeight w:val="27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Stock consideration for replacement equity awards attributable to pre-combination service</w:t>
            </w:r>
          </w:p>
        </w:tc>
        <w:tc>
          <w:tcPr>
            <w:tcW w:w="1680" w:type="dxa"/>
            <w:vAlign w:val="bottom"/>
            <w:tcBorders>
              <w:bottom w:val="single" w:sz="8" w:color="CCEEFF"/>
            </w:tcBorders>
            <w:shd w:val="clear" w:color="auto" w:fill="CCEEFF"/>
          </w:tcPr>
          <w:p>
            <w:pPr>
              <w:spacing w:after="0"/>
              <w:rPr>
                <w:sz w:val="23"/>
                <w:szCs w:val="23"/>
                <w:color w:val="auto"/>
              </w:rPr>
            </w:pPr>
          </w:p>
        </w:tc>
        <w:tc>
          <w:tcPr>
            <w:tcW w:w="23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15,520</w:t>
            </w:r>
          </w:p>
        </w:tc>
      </w:tr>
      <w:tr>
        <w:trPr>
          <w:trHeight w:val="263"/>
        </w:trPr>
        <w:tc>
          <w:tcPr>
            <w:tcW w:w="726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680" w:type="dxa"/>
            <w:vAlign w:val="bottom"/>
            <w:tcBorders>
              <w:top w:val="single" w:sz="8" w:color="auto"/>
              <w:bottom w:val="single" w:sz="8" w:color="auto"/>
            </w:tcBorders>
          </w:tcPr>
          <w:p>
            <w:pPr>
              <w:jc w:val="right"/>
              <w:ind w:right="1490"/>
              <w:spacing w:after="0"/>
              <w:rPr>
                <w:sz w:val="20"/>
                <w:szCs w:val="20"/>
                <w:color w:val="auto"/>
              </w:rPr>
            </w:pPr>
            <w:r>
              <w:rPr>
                <w:rFonts w:ascii="Arial" w:cs="Arial" w:eastAsia="Arial" w:hAnsi="Arial"/>
                <w:sz w:val="18"/>
                <w:szCs w:val="18"/>
                <w:color w:val="auto"/>
                <w:w w:val="79"/>
              </w:rPr>
              <w:t>$</w:t>
            </w:r>
          </w:p>
        </w:tc>
        <w:tc>
          <w:tcPr>
            <w:tcW w:w="230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rPr>
              <w:t>502,189</w:t>
            </w:r>
          </w:p>
        </w:tc>
      </w:tr>
      <w:tr>
        <w:trPr>
          <w:trHeight w:val="21"/>
        </w:trPr>
        <w:tc>
          <w:tcPr>
            <w:tcW w:w="7260" w:type="dxa"/>
            <w:vAlign w:val="bottom"/>
          </w:tcPr>
          <w:p>
            <w:pPr>
              <w:spacing w:after="0" w:line="20" w:lineRule="exact"/>
              <w:rPr>
                <w:sz w:val="1"/>
                <w:szCs w:val="1"/>
                <w:color w:val="auto"/>
              </w:rPr>
            </w:pPr>
          </w:p>
        </w:tc>
        <w:tc>
          <w:tcPr>
            <w:tcW w:w="1680" w:type="dxa"/>
            <w:vAlign w:val="bottom"/>
            <w:tcBorders>
              <w:bottom w:val="single" w:sz="8" w:color="auto"/>
            </w:tcBorders>
          </w:tcPr>
          <w:p>
            <w:pPr>
              <w:spacing w:after="0" w:line="20" w:lineRule="exact"/>
              <w:rPr>
                <w:sz w:val="1"/>
                <w:szCs w:val="1"/>
                <w:color w:val="auto"/>
              </w:rPr>
            </w:pPr>
          </w:p>
        </w:tc>
        <w:tc>
          <w:tcPr>
            <w:tcW w:w="2300" w:type="dxa"/>
            <w:vAlign w:val="bottom"/>
            <w:tcBorders>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firstLine="405"/>
        <w:spacing w:after="0" w:line="263" w:lineRule="auto"/>
        <w:rPr>
          <w:sz w:val="20"/>
          <w:szCs w:val="20"/>
          <w:color w:val="auto"/>
        </w:rPr>
      </w:pPr>
      <w:r>
        <w:rPr>
          <w:rFonts w:ascii="Arial" w:cs="Arial" w:eastAsia="Arial" w:hAnsi="Arial"/>
          <w:sz w:val="18"/>
          <w:szCs w:val="18"/>
          <w:color w:val="auto"/>
        </w:rPr>
        <w:t>The merger consideration allocation set forth herein is preliminary and may be revised with adjustment to goodwill as additional information becomes available during the measurement period of up to 12 months from the closing date of the acquisition to finalize such preliminary estimates. Any such revisions or changes may be material.</w:t>
      </w:r>
    </w:p>
    <w:p>
      <w:pPr>
        <w:spacing w:after="0" w:line="76" w:lineRule="exact"/>
        <w:rPr>
          <w:sz w:val="20"/>
          <w:szCs w:val="20"/>
          <w:color w:val="auto"/>
        </w:rPr>
      </w:pPr>
    </w:p>
    <w:p>
      <w:pPr>
        <w:ind w:firstLine="405"/>
        <w:spacing w:after="0" w:line="342" w:lineRule="auto"/>
        <w:rPr>
          <w:sz w:val="20"/>
          <w:szCs w:val="20"/>
          <w:color w:val="auto"/>
        </w:rPr>
      </w:pPr>
      <w:r>
        <w:rPr>
          <w:rFonts w:ascii="Arial" w:cs="Arial" w:eastAsia="Arial" w:hAnsi="Arial"/>
          <w:sz w:val="16"/>
          <w:szCs w:val="16"/>
          <w:color w:val="auto"/>
        </w:rPr>
        <w:t>The factors contributing to the recognition of goodwill were based upon the Company's conclusion that there are strategic and synergistic benefits that are expected to be realized from the acquisition. Goodwill recorded for the Aquantia acquisition is not expected to be deductible for tax purposes.</w:t>
      </w:r>
    </w:p>
    <w:p>
      <w:pPr>
        <w:spacing w:after="0" w:line="1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purchase price allocation is as follows (in thousands):</w:t>
      </w: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7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and short-term investments</w:t>
            </w:r>
          </w:p>
        </w:tc>
        <w:tc>
          <w:tcPr>
            <w:tcW w:w="1680" w:type="dxa"/>
            <w:vAlign w:val="bottom"/>
            <w:shd w:val="clear" w:color="auto" w:fill="CCEEFF"/>
          </w:tcPr>
          <w:p>
            <w:pPr>
              <w:jc w:val="right"/>
              <w:ind w:right="1490"/>
              <w:spacing w:after="0"/>
              <w:rPr>
                <w:sz w:val="20"/>
                <w:szCs w:val="20"/>
                <w:color w:val="auto"/>
              </w:rPr>
            </w:pPr>
            <w:r>
              <w:rPr>
                <w:rFonts w:ascii="Arial" w:cs="Arial" w:eastAsia="Arial" w:hAnsi="Arial"/>
                <w:sz w:val="18"/>
                <w:szCs w:val="18"/>
                <w:color w:val="auto"/>
                <w:w w:val="79"/>
              </w:rPr>
              <w:t>$</w:t>
            </w:r>
          </w:p>
        </w:tc>
        <w:tc>
          <w:tcPr>
            <w:tcW w:w="230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27,914</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Inventory</w:t>
            </w:r>
          </w:p>
        </w:tc>
        <w:tc>
          <w:tcPr>
            <w:tcW w:w="1680" w:type="dxa"/>
            <w:vAlign w:val="bottom"/>
          </w:tcPr>
          <w:p>
            <w:pPr>
              <w:spacing w:after="0"/>
              <w:rPr>
                <w:sz w:val="21"/>
                <w:szCs w:val="21"/>
                <w:color w:val="auto"/>
              </w:rPr>
            </w:pPr>
          </w:p>
        </w:tc>
        <w:tc>
          <w:tcPr>
            <w:tcW w:w="2300" w:type="dxa"/>
            <w:vAlign w:val="bottom"/>
          </w:tcPr>
          <w:p>
            <w:pPr>
              <w:jc w:val="right"/>
              <w:ind w:right="70"/>
              <w:spacing w:after="0"/>
              <w:rPr>
                <w:sz w:val="20"/>
                <w:szCs w:val="20"/>
                <w:color w:val="auto"/>
              </w:rPr>
            </w:pPr>
            <w:r>
              <w:rPr>
                <w:rFonts w:ascii="Arial" w:cs="Arial" w:eastAsia="Arial" w:hAnsi="Arial"/>
                <w:sz w:val="18"/>
                <w:szCs w:val="18"/>
                <w:color w:val="auto"/>
              </w:rPr>
              <w:t>33,900</w:t>
            </w:r>
          </w:p>
        </w:tc>
      </w:tr>
      <w:tr>
        <w:trPr>
          <w:trHeight w:val="27"/>
        </w:trPr>
        <w:tc>
          <w:tcPr>
            <w:tcW w:w="7260" w:type="dxa"/>
            <w:vAlign w:val="bottom"/>
          </w:tcPr>
          <w:p>
            <w:pPr>
              <w:spacing w:after="0"/>
              <w:rPr>
                <w:sz w:val="2"/>
                <w:szCs w:val="2"/>
                <w:color w:val="auto"/>
              </w:rPr>
            </w:pPr>
          </w:p>
        </w:tc>
        <w:tc>
          <w:tcPr>
            <w:tcW w:w="1680" w:type="dxa"/>
            <w:vAlign w:val="bottom"/>
          </w:tcPr>
          <w:p>
            <w:pPr>
              <w:spacing w:after="0"/>
              <w:rPr>
                <w:sz w:val="2"/>
                <w:szCs w:val="2"/>
                <w:color w:val="auto"/>
              </w:rPr>
            </w:pPr>
          </w:p>
        </w:tc>
        <w:tc>
          <w:tcPr>
            <w:tcW w:w="2300" w:type="dxa"/>
            <w:vAlign w:val="bottom"/>
          </w:tcPr>
          <w:p>
            <w:pPr>
              <w:spacing w:after="0"/>
              <w:rPr>
                <w:sz w:val="2"/>
                <w:szCs w:val="2"/>
                <w:color w:val="auto"/>
              </w:rPr>
            </w:pPr>
          </w:p>
        </w:tc>
      </w:tr>
      <w:tr>
        <w:trPr>
          <w:trHeight w:val="25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1680" w:type="dxa"/>
            <w:vAlign w:val="bottom"/>
            <w:tcBorders>
              <w:bottom w:val="single" w:sz="8" w:color="CCEEFF"/>
            </w:tcBorders>
            <w:shd w:val="clear" w:color="auto" w:fill="CCEEFF"/>
          </w:tcPr>
          <w:p>
            <w:pPr>
              <w:spacing w:after="0"/>
              <w:rPr>
                <w:sz w:val="21"/>
                <w:szCs w:val="21"/>
                <w:color w:val="auto"/>
              </w:rPr>
            </w:pPr>
          </w:p>
        </w:tc>
        <w:tc>
          <w:tcPr>
            <w:tcW w:w="23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227,594</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Acquired intangible assets</w:t>
            </w:r>
          </w:p>
        </w:tc>
        <w:tc>
          <w:tcPr>
            <w:tcW w:w="1680" w:type="dxa"/>
            <w:vAlign w:val="bottom"/>
          </w:tcPr>
          <w:p>
            <w:pPr>
              <w:spacing w:after="0"/>
              <w:rPr>
                <w:sz w:val="21"/>
                <w:szCs w:val="21"/>
                <w:color w:val="auto"/>
              </w:rPr>
            </w:pPr>
          </w:p>
        </w:tc>
        <w:tc>
          <w:tcPr>
            <w:tcW w:w="2300" w:type="dxa"/>
            <w:vAlign w:val="bottom"/>
          </w:tcPr>
          <w:p>
            <w:pPr>
              <w:jc w:val="right"/>
              <w:ind w:right="70"/>
              <w:spacing w:after="0"/>
              <w:rPr>
                <w:sz w:val="20"/>
                <w:szCs w:val="20"/>
                <w:color w:val="auto"/>
              </w:rPr>
            </w:pPr>
            <w:r>
              <w:rPr>
                <w:rFonts w:ascii="Arial" w:cs="Arial" w:eastAsia="Arial" w:hAnsi="Arial"/>
                <w:sz w:val="18"/>
                <w:szCs w:val="18"/>
                <w:color w:val="auto"/>
              </w:rPr>
              <w:t>193,000</w:t>
            </w:r>
          </w:p>
        </w:tc>
      </w:tr>
      <w:tr>
        <w:trPr>
          <w:trHeight w:val="27"/>
        </w:trPr>
        <w:tc>
          <w:tcPr>
            <w:tcW w:w="7260" w:type="dxa"/>
            <w:vAlign w:val="bottom"/>
          </w:tcPr>
          <w:p>
            <w:pPr>
              <w:spacing w:after="0"/>
              <w:rPr>
                <w:sz w:val="2"/>
                <w:szCs w:val="2"/>
                <w:color w:val="auto"/>
              </w:rPr>
            </w:pPr>
          </w:p>
        </w:tc>
        <w:tc>
          <w:tcPr>
            <w:tcW w:w="1680" w:type="dxa"/>
            <w:vAlign w:val="bottom"/>
          </w:tcPr>
          <w:p>
            <w:pPr>
              <w:spacing w:after="0"/>
              <w:rPr>
                <w:sz w:val="2"/>
                <w:szCs w:val="2"/>
                <w:color w:val="auto"/>
              </w:rPr>
            </w:pPr>
          </w:p>
        </w:tc>
        <w:tc>
          <w:tcPr>
            <w:tcW w:w="2300" w:type="dxa"/>
            <w:vAlign w:val="bottom"/>
          </w:tcPr>
          <w:p>
            <w:pPr>
              <w:spacing w:after="0"/>
              <w:rPr>
                <w:sz w:val="2"/>
                <w:szCs w:val="2"/>
                <w:color w:val="auto"/>
              </w:rPr>
            </w:pPr>
          </w:p>
        </w:tc>
      </w:tr>
      <w:tr>
        <w:trPr>
          <w:trHeight w:val="25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680" w:type="dxa"/>
            <w:vAlign w:val="bottom"/>
            <w:tcBorders>
              <w:bottom w:val="single" w:sz="8" w:color="CCEEFF"/>
            </w:tcBorders>
            <w:shd w:val="clear" w:color="auto" w:fill="CCEEFF"/>
          </w:tcPr>
          <w:p>
            <w:pPr>
              <w:spacing w:after="0"/>
              <w:rPr>
                <w:sz w:val="21"/>
                <w:szCs w:val="21"/>
                <w:color w:val="auto"/>
              </w:rPr>
            </w:pPr>
          </w:p>
        </w:tc>
        <w:tc>
          <w:tcPr>
            <w:tcW w:w="23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35,123</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Accrued liabilities</w:t>
            </w:r>
          </w:p>
        </w:tc>
        <w:tc>
          <w:tcPr>
            <w:tcW w:w="1680" w:type="dxa"/>
            <w:vAlign w:val="bottom"/>
          </w:tcPr>
          <w:p>
            <w:pPr>
              <w:spacing w:after="0"/>
              <w:rPr>
                <w:sz w:val="21"/>
                <w:szCs w:val="21"/>
                <w:color w:val="auto"/>
              </w:rPr>
            </w:pPr>
          </w:p>
        </w:tc>
        <w:tc>
          <w:tcPr>
            <w:tcW w:w="2300" w:type="dxa"/>
            <w:vAlign w:val="bottom"/>
          </w:tcPr>
          <w:p>
            <w:pPr>
              <w:jc w:val="right"/>
              <w:ind w:right="10"/>
              <w:spacing w:after="0"/>
              <w:rPr>
                <w:sz w:val="20"/>
                <w:szCs w:val="20"/>
                <w:color w:val="auto"/>
              </w:rPr>
            </w:pPr>
            <w:r>
              <w:rPr>
                <w:rFonts w:ascii="Arial" w:cs="Arial" w:eastAsia="Arial" w:hAnsi="Arial"/>
                <w:sz w:val="18"/>
                <w:szCs w:val="18"/>
                <w:color w:val="auto"/>
              </w:rPr>
              <w:t>(21,813)</w:t>
            </w:r>
          </w:p>
        </w:tc>
      </w:tr>
      <w:tr>
        <w:trPr>
          <w:trHeight w:val="27"/>
        </w:trPr>
        <w:tc>
          <w:tcPr>
            <w:tcW w:w="7260" w:type="dxa"/>
            <w:vAlign w:val="bottom"/>
          </w:tcPr>
          <w:p>
            <w:pPr>
              <w:spacing w:after="0"/>
              <w:rPr>
                <w:sz w:val="2"/>
                <w:szCs w:val="2"/>
                <w:color w:val="auto"/>
              </w:rPr>
            </w:pPr>
          </w:p>
        </w:tc>
        <w:tc>
          <w:tcPr>
            <w:tcW w:w="1680" w:type="dxa"/>
            <w:vAlign w:val="bottom"/>
          </w:tcPr>
          <w:p>
            <w:pPr>
              <w:spacing w:after="0"/>
              <w:rPr>
                <w:sz w:val="2"/>
                <w:szCs w:val="2"/>
                <w:color w:val="auto"/>
              </w:rPr>
            </w:pPr>
          </w:p>
        </w:tc>
        <w:tc>
          <w:tcPr>
            <w:tcW w:w="2300" w:type="dxa"/>
            <w:vAlign w:val="bottom"/>
          </w:tcPr>
          <w:p>
            <w:pPr>
              <w:spacing w:after="0"/>
              <w:rPr>
                <w:sz w:val="2"/>
                <w:szCs w:val="2"/>
                <w:color w:val="auto"/>
              </w:rPr>
            </w:pPr>
          </w:p>
        </w:tc>
      </w:tr>
      <w:tr>
        <w:trPr>
          <w:trHeight w:val="27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net</w:t>
            </w:r>
          </w:p>
        </w:tc>
        <w:tc>
          <w:tcPr>
            <w:tcW w:w="1680" w:type="dxa"/>
            <w:vAlign w:val="bottom"/>
            <w:tcBorders>
              <w:bottom w:val="single" w:sz="8" w:color="CCEEFF"/>
            </w:tcBorders>
            <w:shd w:val="clear" w:color="auto" w:fill="CCEEFF"/>
          </w:tcPr>
          <w:p>
            <w:pPr>
              <w:spacing w:after="0"/>
              <w:rPr>
                <w:sz w:val="23"/>
                <w:szCs w:val="23"/>
                <w:color w:val="auto"/>
              </w:rPr>
            </w:pPr>
          </w:p>
        </w:tc>
        <w:tc>
          <w:tcPr>
            <w:tcW w:w="23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6,471</w:t>
            </w:r>
          </w:p>
        </w:tc>
      </w:tr>
      <w:tr>
        <w:trPr>
          <w:trHeight w:val="237"/>
        </w:trPr>
        <w:tc>
          <w:tcPr>
            <w:tcW w:w="7260" w:type="dxa"/>
            <w:vAlign w:val="bottom"/>
          </w:tcPr>
          <w:p>
            <w:pPr>
              <w:spacing w:after="0"/>
              <w:rPr>
                <w:sz w:val="20"/>
                <w:szCs w:val="20"/>
                <w:color w:val="auto"/>
              </w:rPr>
            </w:pPr>
          </w:p>
        </w:tc>
        <w:tc>
          <w:tcPr>
            <w:tcW w:w="1680" w:type="dxa"/>
            <w:vAlign w:val="bottom"/>
            <w:tcBorders>
              <w:top w:val="single" w:sz="8" w:color="auto"/>
            </w:tcBorders>
          </w:tcPr>
          <w:p>
            <w:pPr>
              <w:jc w:val="right"/>
              <w:ind w:right="1490"/>
              <w:spacing w:after="0"/>
              <w:rPr>
                <w:sz w:val="20"/>
                <w:szCs w:val="20"/>
                <w:color w:val="auto"/>
              </w:rPr>
            </w:pPr>
            <w:r>
              <w:rPr>
                <w:rFonts w:ascii="Arial" w:cs="Arial" w:eastAsia="Arial" w:hAnsi="Arial"/>
                <w:sz w:val="18"/>
                <w:szCs w:val="18"/>
                <w:color w:val="auto"/>
                <w:w w:val="79"/>
              </w:rPr>
              <w:t>$</w:t>
            </w:r>
          </w:p>
        </w:tc>
        <w:tc>
          <w:tcPr>
            <w:tcW w:w="230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502,189</w:t>
            </w:r>
          </w:p>
        </w:tc>
      </w:tr>
      <w:tr>
        <w:trPr>
          <w:trHeight w:val="27"/>
        </w:trPr>
        <w:tc>
          <w:tcPr>
            <w:tcW w:w="7260" w:type="dxa"/>
            <w:vAlign w:val="bottom"/>
          </w:tcPr>
          <w:p>
            <w:pPr>
              <w:spacing w:after="0"/>
              <w:rPr>
                <w:sz w:val="2"/>
                <w:szCs w:val="2"/>
                <w:color w:val="auto"/>
              </w:rPr>
            </w:pPr>
          </w:p>
        </w:tc>
        <w:tc>
          <w:tcPr>
            <w:tcW w:w="1680" w:type="dxa"/>
            <w:vAlign w:val="bottom"/>
            <w:tcBorders>
              <w:bottom w:val="single" w:sz="8" w:color="auto"/>
            </w:tcBorders>
          </w:tcPr>
          <w:p>
            <w:pPr>
              <w:spacing w:after="0"/>
              <w:rPr>
                <w:sz w:val="2"/>
                <w:szCs w:val="2"/>
                <w:color w:val="auto"/>
              </w:rPr>
            </w:pPr>
          </w:p>
        </w:tc>
        <w:tc>
          <w:tcPr>
            <w:tcW w:w="2300" w:type="dxa"/>
            <w:vAlign w:val="bottom"/>
            <w:tcBorders>
              <w:bottom w:val="single" w:sz="8" w:color="auto"/>
            </w:tcBorders>
          </w:tcPr>
          <w:p>
            <w:pPr>
              <w:spacing w:after="0"/>
              <w:rPr>
                <w:sz w:val="2"/>
                <w:szCs w:val="2"/>
                <w:color w:val="auto"/>
              </w:rPr>
            </w:pPr>
          </w:p>
        </w:tc>
      </w:tr>
      <w:tr>
        <w:trPr>
          <w:trHeight w:val="20"/>
        </w:trPr>
        <w:tc>
          <w:tcPr>
            <w:tcW w:w="7260" w:type="dxa"/>
            <w:vAlign w:val="bottom"/>
          </w:tcPr>
          <w:p>
            <w:pPr>
              <w:spacing w:after="0" w:line="20" w:lineRule="exact"/>
              <w:rPr>
                <w:sz w:val="1"/>
                <w:szCs w:val="1"/>
                <w:color w:val="auto"/>
              </w:rPr>
            </w:pPr>
          </w:p>
        </w:tc>
        <w:tc>
          <w:tcPr>
            <w:tcW w:w="1680" w:type="dxa"/>
            <w:vAlign w:val="bottom"/>
            <w:tcBorders>
              <w:bottom w:val="single" w:sz="8" w:color="auto"/>
            </w:tcBorders>
          </w:tcPr>
          <w:p>
            <w:pPr>
              <w:spacing w:after="0" w:line="20" w:lineRule="exact"/>
              <w:rPr>
                <w:sz w:val="1"/>
                <w:szCs w:val="1"/>
                <w:color w:val="auto"/>
              </w:rPr>
            </w:pPr>
          </w:p>
        </w:tc>
        <w:tc>
          <w:tcPr>
            <w:tcW w:w="2300" w:type="dxa"/>
            <w:vAlign w:val="bottom"/>
            <w:tcBorders>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right="560" w:firstLine="405"/>
        <w:spacing w:after="0" w:line="277" w:lineRule="auto"/>
        <w:rPr>
          <w:sz w:val="20"/>
          <w:szCs w:val="20"/>
          <w:color w:val="auto"/>
        </w:rPr>
      </w:pPr>
      <w:r>
        <w:rPr>
          <w:rFonts w:ascii="Arial" w:cs="Arial" w:eastAsia="Arial" w:hAnsi="Arial"/>
          <w:sz w:val="18"/>
          <w:szCs w:val="18"/>
          <w:color w:val="auto"/>
        </w:rPr>
        <w:t>The Company incurred total acquisition related costs of $5.3 million which were recorded in selling, general and administrative expense in the unaudited condensed consolidated statements of operations.</w:t>
      </w: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65" w:name="page66"/>
    <w:bookmarkEnd w:id="6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Cavium Inc</w:t>
      </w:r>
    </w:p>
    <w:p>
      <w:pPr>
        <w:spacing w:after="0" w:line="121" w:lineRule="exact"/>
        <w:rPr>
          <w:sz w:val="20"/>
          <w:szCs w:val="20"/>
          <w:color w:val="auto"/>
        </w:rPr>
      </w:pPr>
    </w:p>
    <w:p>
      <w:pPr>
        <w:ind w:right="40" w:firstLine="405"/>
        <w:spacing w:after="0" w:line="253" w:lineRule="auto"/>
        <w:rPr>
          <w:sz w:val="20"/>
          <w:szCs w:val="20"/>
          <w:color w:val="auto"/>
        </w:rPr>
      </w:pPr>
      <w:r>
        <w:rPr>
          <w:rFonts w:ascii="Arial" w:cs="Arial" w:eastAsia="Arial" w:hAnsi="Arial"/>
          <w:sz w:val="18"/>
          <w:szCs w:val="18"/>
          <w:color w:val="auto"/>
        </w:rPr>
        <w:t>On July 6, 2018, the Company completed the acquisition of Cavium (the “Cavium acquisition”). Cavium is a provider of highly integrated semiconductor processors that enable intelligent processing for wired and wireless infrastructure and cloud for networking, communications, storage and security applications. The Cavium acquisition was primarily intended to create an opportunity for the combined company to emerge as a leader in infrastructure solutions. In accordance with the terms of the Agreement and Plan of Merger, dated as of November 19, 2017, by and among the Company and Cavium (the “Cavium merger agreement”), the Company acquired all outstanding shares of common stock of Cavium (the “Cavium shares”) for $40.00 per share in cash and 2.1757 shares of the Company's common stock exchanged for each share of Cavium stock. The Company also made cash payments for the fractional shares that resulted from conversion as specified in the Cavium merger agreement. The merger consideration was funded with a combination of cash on hand, new debt financing and issuance of the Company’s common shares. See “Note 12 - Debt” for discussion of the debt financing.</w:t>
      </w:r>
    </w:p>
    <w:p>
      <w:pPr>
        <w:spacing w:after="0" w:line="8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total merger consideration (in thousands, except share and per share data):</w:t>
      </w:r>
    </w:p>
    <w:p>
      <w:pPr>
        <w:spacing w:after="0" w:line="200" w:lineRule="exact"/>
        <w:rPr>
          <w:sz w:val="20"/>
          <w:szCs w:val="20"/>
          <w:color w:val="auto"/>
        </w:rPr>
      </w:pPr>
    </w:p>
    <w:p>
      <w:pPr>
        <w:spacing w:after="0" w:line="215"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7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consideration to Cavium common stockholders</w:t>
            </w:r>
          </w:p>
        </w:tc>
        <w:tc>
          <w:tcPr>
            <w:tcW w:w="1600" w:type="dxa"/>
            <w:vAlign w:val="bottom"/>
            <w:shd w:val="clear" w:color="auto" w:fill="CCEEFF"/>
          </w:tcPr>
          <w:p>
            <w:pPr>
              <w:jc w:val="right"/>
              <w:ind w:right="1410"/>
              <w:spacing w:after="0"/>
              <w:rPr>
                <w:sz w:val="20"/>
                <w:szCs w:val="20"/>
                <w:color w:val="auto"/>
              </w:rPr>
            </w:pPr>
            <w:r>
              <w:rPr>
                <w:rFonts w:ascii="Arial" w:cs="Arial" w:eastAsia="Arial" w:hAnsi="Arial"/>
                <w:sz w:val="18"/>
                <w:szCs w:val="18"/>
                <w:color w:val="auto"/>
                <w:w w:val="79"/>
              </w:rPr>
              <w:t>$</w:t>
            </w:r>
          </w:p>
        </w:tc>
        <w:tc>
          <w:tcPr>
            <w:tcW w:w="23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2,819,812</w:t>
            </w:r>
          </w:p>
        </w:tc>
      </w:tr>
      <w:tr>
        <w:trPr>
          <w:trHeight w:val="270"/>
        </w:trPr>
        <w:tc>
          <w:tcPr>
            <w:tcW w:w="7260" w:type="dxa"/>
            <w:vAlign w:val="bottom"/>
          </w:tcPr>
          <w:p>
            <w:pPr>
              <w:ind w:left="20"/>
              <w:spacing w:after="0"/>
              <w:rPr>
                <w:sz w:val="20"/>
                <w:szCs w:val="20"/>
                <w:color w:val="auto"/>
              </w:rPr>
            </w:pPr>
            <w:r>
              <w:rPr>
                <w:rFonts w:ascii="Arial" w:cs="Arial" w:eastAsia="Arial" w:hAnsi="Arial"/>
                <w:sz w:val="18"/>
                <w:szCs w:val="18"/>
                <w:color w:val="auto"/>
                <w:w w:val="99"/>
              </w:rPr>
              <w:t>Common stock (153,376,408 shares of the Company's common stock at $21.34 per share)</w:t>
            </w:r>
          </w:p>
        </w:tc>
        <w:tc>
          <w:tcPr>
            <w:tcW w:w="1600" w:type="dxa"/>
            <w:vAlign w:val="bottom"/>
          </w:tcPr>
          <w:p>
            <w:pPr>
              <w:spacing w:after="0"/>
              <w:rPr>
                <w:sz w:val="23"/>
                <w:szCs w:val="23"/>
                <w:color w:val="auto"/>
              </w:rPr>
            </w:pPr>
          </w:p>
        </w:tc>
        <w:tc>
          <w:tcPr>
            <w:tcW w:w="2380" w:type="dxa"/>
            <w:vAlign w:val="bottom"/>
          </w:tcPr>
          <w:p>
            <w:pPr>
              <w:jc w:val="right"/>
              <w:ind w:right="70"/>
              <w:spacing w:after="0"/>
              <w:rPr>
                <w:sz w:val="20"/>
                <w:szCs w:val="20"/>
                <w:color w:val="auto"/>
              </w:rPr>
            </w:pPr>
            <w:r>
              <w:rPr>
                <w:rFonts w:ascii="Arial" w:cs="Arial" w:eastAsia="Arial" w:hAnsi="Arial"/>
                <w:sz w:val="18"/>
                <w:szCs w:val="18"/>
                <w:color w:val="auto"/>
              </w:rPr>
              <w:t>3,273,053</w:t>
            </w:r>
          </w:p>
        </w:tc>
      </w:tr>
      <w:tr>
        <w:trPr>
          <w:trHeight w:val="229"/>
        </w:trPr>
        <w:tc>
          <w:tcPr>
            <w:tcW w:w="7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consideration for intrinsic value of vested director stock options and employee</w:t>
            </w:r>
          </w:p>
        </w:tc>
        <w:tc>
          <w:tcPr>
            <w:tcW w:w="1600" w:type="dxa"/>
            <w:vAlign w:val="bottom"/>
            <w:shd w:val="clear" w:color="auto" w:fill="CCEEFF"/>
          </w:tcPr>
          <w:p>
            <w:pPr>
              <w:spacing w:after="0"/>
              <w:rPr>
                <w:sz w:val="19"/>
                <w:szCs w:val="19"/>
                <w:color w:val="auto"/>
              </w:rPr>
            </w:pPr>
          </w:p>
        </w:tc>
        <w:tc>
          <w:tcPr>
            <w:tcW w:w="2380" w:type="dxa"/>
            <w:vAlign w:val="bottom"/>
            <w:shd w:val="clear" w:color="auto" w:fill="CCEEFF"/>
          </w:tcPr>
          <w:p>
            <w:pPr>
              <w:spacing w:after="0"/>
              <w:rPr>
                <w:sz w:val="19"/>
                <w:szCs w:val="19"/>
                <w:color w:val="auto"/>
              </w:rPr>
            </w:pPr>
          </w:p>
        </w:tc>
      </w:tr>
      <w:tr>
        <w:trPr>
          <w:trHeight w:val="237"/>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accelerated awards attributable to pre-acquisition service</w:t>
            </w:r>
          </w:p>
        </w:tc>
        <w:tc>
          <w:tcPr>
            <w:tcW w:w="1600" w:type="dxa"/>
            <w:vAlign w:val="bottom"/>
            <w:tcBorders>
              <w:bottom w:val="single" w:sz="8" w:color="CCEEFF"/>
            </w:tcBorders>
            <w:shd w:val="clear" w:color="auto" w:fill="CCEEFF"/>
          </w:tcPr>
          <w:p>
            <w:pPr>
              <w:spacing w:after="0"/>
              <w:rPr>
                <w:sz w:val="20"/>
                <w:szCs w:val="20"/>
                <w:color w:val="auto"/>
              </w:rPr>
            </w:pPr>
          </w:p>
        </w:tc>
        <w:tc>
          <w:tcPr>
            <w:tcW w:w="23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10,642</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w w:val="99"/>
              </w:rPr>
              <w:t>Stock consideration for employee accelerated awards attributable to pre-acquisition service</w:t>
            </w:r>
          </w:p>
        </w:tc>
        <w:tc>
          <w:tcPr>
            <w:tcW w:w="1600" w:type="dxa"/>
            <w:vAlign w:val="bottom"/>
          </w:tcPr>
          <w:p>
            <w:pPr>
              <w:spacing w:after="0"/>
              <w:rPr>
                <w:sz w:val="21"/>
                <w:szCs w:val="21"/>
                <w:color w:val="auto"/>
              </w:rPr>
            </w:pPr>
          </w:p>
        </w:tc>
        <w:tc>
          <w:tcPr>
            <w:tcW w:w="2380" w:type="dxa"/>
            <w:vAlign w:val="bottom"/>
          </w:tcPr>
          <w:p>
            <w:pPr>
              <w:jc w:val="right"/>
              <w:ind w:right="70"/>
              <w:spacing w:after="0"/>
              <w:rPr>
                <w:sz w:val="20"/>
                <w:szCs w:val="20"/>
                <w:color w:val="auto"/>
              </w:rPr>
            </w:pPr>
            <w:r>
              <w:rPr>
                <w:rFonts w:ascii="Arial" w:cs="Arial" w:eastAsia="Arial" w:hAnsi="Arial"/>
                <w:sz w:val="18"/>
                <w:szCs w:val="18"/>
                <w:color w:val="auto"/>
              </w:rPr>
              <w:t>7,804</w:t>
            </w:r>
          </w:p>
        </w:tc>
      </w:tr>
      <w:tr>
        <w:trPr>
          <w:trHeight w:val="27"/>
        </w:trPr>
        <w:tc>
          <w:tcPr>
            <w:tcW w:w="7260" w:type="dxa"/>
            <w:vAlign w:val="bottom"/>
          </w:tcPr>
          <w:p>
            <w:pPr>
              <w:spacing w:after="0"/>
              <w:rPr>
                <w:sz w:val="2"/>
                <w:szCs w:val="2"/>
                <w:color w:val="auto"/>
              </w:rPr>
            </w:pPr>
          </w:p>
        </w:tc>
        <w:tc>
          <w:tcPr>
            <w:tcW w:w="1600" w:type="dxa"/>
            <w:vAlign w:val="bottom"/>
          </w:tcPr>
          <w:p>
            <w:pPr>
              <w:spacing w:after="0"/>
              <w:rPr>
                <w:sz w:val="2"/>
                <w:szCs w:val="2"/>
                <w:color w:val="auto"/>
              </w:rPr>
            </w:pPr>
          </w:p>
        </w:tc>
        <w:tc>
          <w:tcPr>
            <w:tcW w:w="2380" w:type="dxa"/>
            <w:vAlign w:val="bottom"/>
          </w:tcPr>
          <w:p>
            <w:pPr>
              <w:spacing w:after="0"/>
              <w:rPr>
                <w:sz w:val="2"/>
                <w:szCs w:val="2"/>
                <w:color w:val="auto"/>
              </w:rPr>
            </w:pPr>
          </w:p>
        </w:tc>
      </w:tr>
      <w:tr>
        <w:trPr>
          <w:trHeight w:val="27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Fair value of the replacement equity awards attributable to pre-acquisition service</w:t>
            </w:r>
          </w:p>
        </w:tc>
        <w:tc>
          <w:tcPr>
            <w:tcW w:w="1600" w:type="dxa"/>
            <w:vAlign w:val="bottom"/>
            <w:tcBorders>
              <w:bottom w:val="single" w:sz="8" w:color="CCEEFF"/>
            </w:tcBorders>
            <w:shd w:val="clear" w:color="auto" w:fill="CCEEFF"/>
          </w:tcPr>
          <w:p>
            <w:pPr>
              <w:spacing w:after="0"/>
              <w:rPr>
                <w:sz w:val="23"/>
                <w:szCs w:val="23"/>
                <w:color w:val="auto"/>
              </w:rPr>
            </w:pPr>
          </w:p>
        </w:tc>
        <w:tc>
          <w:tcPr>
            <w:tcW w:w="23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50,485</w:t>
            </w:r>
          </w:p>
        </w:tc>
      </w:tr>
      <w:tr>
        <w:trPr>
          <w:trHeight w:val="263"/>
        </w:trPr>
        <w:tc>
          <w:tcPr>
            <w:tcW w:w="726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600" w:type="dxa"/>
            <w:vAlign w:val="bottom"/>
            <w:tcBorders>
              <w:top w:val="single" w:sz="8" w:color="auto"/>
              <w:bottom w:val="single" w:sz="8" w:color="auto"/>
            </w:tcBorders>
          </w:tcPr>
          <w:p>
            <w:pPr>
              <w:jc w:val="right"/>
              <w:ind w:right="1410"/>
              <w:spacing w:after="0"/>
              <w:rPr>
                <w:sz w:val="20"/>
                <w:szCs w:val="20"/>
                <w:color w:val="auto"/>
              </w:rPr>
            </w:pPr>
            <w:r>
              <w:rPr>
                <w:rFonts w:ascii="Arial" w:cs="Arial" w:eastAsia="Arial" w:hAnsi="Arial"/>
                <w:sz w:val="18"/>
                <w:szCs w:val="18"/>
                <w:color w:val="auto"/>
                <w:w w:val="79"/>
              </w:rPr>
              <w:t>$</w:t>
            </w:r>
          </w:p>
        </w:tc>
        <w:tc>
          <w:tcPr>
            <w:tcW w:w="238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rPr>
              <w:t>6,161,796</w:t>
            </w:r>
          </w:p>
        </w:tc>
      </w:tr>
      <w:tr>
        <w:trPr>
          <w:trHeight w:val="20"/>
        </w:trPr>
        <w:tc>
          <w:tcPr>
            <w:tcW w:w="7260" w:type="dxa"/>
            <w:vAlign w:val="bottom"/>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238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jc w:val="both"/>
        <w:ind w:firstLine="405"/>
        <w:spacing w:after="0" w:line="263" w:lineRule="auto"/>
        <w:rPr>
          <w:sz w:val="20"/>
          <w:szCs w:val="20"/>
          <w:color w:val="auto"/>
        </w:rPr>
      </w:pPr>
      <w:r>
        <w:rPr>
          <w:rFonts w:ascii="Arial" w:cs="Arial" w:eastAsia="Arial" w:hAnsi="Arial"/>
          <w:sz w:val="18"/>
          <w:szCs w:val="18"/>
          <w:color w:val="auto"/>
        </w:rPr>
        <w:t>The factors contributing to the recognition of goodwill were based upon the Company's conclusion that there are strategic and synergistic benefits that are expected to be realized from the acquisition. Goodwill of $3.5 billion recorded for the Cavium acquisition is not expected to be deductible for tax purposes.</w:t>
      </w:r>
    </w:p>
    <w:p>
      <w:pPr>
        <w:spacing w:after="0" w:line="76"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260" w:type="dxa"/>
            <w:vAlign w:val="bottom"/>
          </w:tcPr>
          <w:p>
            <w:pPr>
              <w:ind w:left="420"/>
              <w:spacing w:after="0"/>
              <w:rPr>
                <w:sz w:val="20"/>
                <w:szCs w:val="20"/>
                <w:color w:val="auto"/>
              </w:rPr>
            </w:pPr>
            <w:r>
              <w:rPr>
                <w:rFonts w:ascii="Arial" w:cs="Arial" w:eastAsia="Arial" w:hAnsi="Arial"/>
                <w:sz w:val="18"/>
                <w:szCs w:val="18"/>
                <w:color w:val="auto"/>
              </w:rPr>
              <w:t>The purchase price allocation is as follows (in thousands):</w:t>
            </w:r>
          </w:p>
        </w:tc>
        <w:tc>
          <w:tcPr>
            <w:tcW w:w="1600" w:type="dxa"/>
            <w:vAlign w:val="bottom"/>
          </w:tcPr>
          <w:p>
            <w:pPr>
              <w:spacing w:after="0"/>
              <w:rPr>
                <w:sz w:val="20"/>
                <w:szCs w:val="20"/>
                <w:color w:val="auto"/>
              </w:rPr>
            </w:pPr>
          </w:p>
        </w:tc>
        <w:tc>
          <w:tcPr>
            <w:tcW w:w="2380" w:type="dxa"/>
            <w:vAlign w:val="bottom"/>
          </w:tcPr>
          <w:p>
            <w:pPr>
              <w:spacing w:after="0"/>
              <w:rPr>
                <w:sz w:val="20"/>
                <w:szCs w:val="20"/>
                <w:color w:val="auto"/>
              </w:rPr>
            </w:pPr>
          </w:p>
        </w:tc>
      </w:tr>
      <w:tr>
        <w:trPr>
          <w:trHeight w:val="135"/>
        </w:trPr>
        <w:tc>
          <w:tcPr>
            <w:tcW w:w="7260" w:type="dxa"/>
            <w:vAlign w:val="bottom"/>
          </w:tcPr>
          <w:p>
            <w:pPr>
              <w:spacing w:after="0"/>
              <w:rPr>
                <w:sz w:val="11"/>
                <w:szCs w:val="11"/>
                <w:color w:val="auto"/>
              </w:rPr>
            </w:pPr>
          </w:p>
        </w:tc>
        <w:tc>
          <w:tcPr>
            <w:tcW w:w="1600" w:type="dxa"/>
            <w:vAlign w:val="bottom"/>
          </w:tcPr>
          <w:p>
            <w:pPr>
              <w:spacing w:after="0"/>
              <w:rPr>
                <w:sz w:val="11"/>
                <w:szCs w:val="11"/>
                <w:color w:val="auto"/>
              </w:rPr>
            </w:pPr>
          </w:p>
        </w:tc>
        <w:tc>
          <w:tcPr>
            <w:tcW w:w="2380" w:type="dxa"/>
            <w:vAlign w:val="bottom"/>
          </w:tcPr>
          <w:p>
            <w:pPr>
              <w:spacing w:after="0"/>
              <w:rPr>
                <w:sz w:val="11"/>
                <w:szCs w:val="11"/>
                <w:color w:val="auto"/>
              </w:rPr>
            </w:pPr>
          </w:p>
        </w:tc>
      </w:tr>
      <w:tr>
        <w:trPr>
          <w:trHeight w:val="25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cash equivalents</w:t>
            </w:r>
          </w:p>
        </w:tc>
        <w:tc>
          <w:tcPr>
            <w:tcW w:w="1600" w:type="dxa"/>
            <w:vAlign w:val="bottom"/>
            <w:tcBorders>
              <w:bottom w:val="single" w:sz="8" w:color="CCEEFF"/>
            </w:tcBorders>
            <w:shd w:val="clear" w:color="auto" w:fill="CCEEFF"/>
          </w:tcPr>
          <w:p>
            <w:pPr>
              <w:jc w:val="right"/>
              <w:ind w:right="1410"/>
              <w:spacing w:after="0"/>
              <w:rPr>
                <w:sz w:val="20"/>
                <w:szCs w:val="20"/>
                <w:color w:val="auto"/>
              </w:rPr>
            </w:pPr>
            <w:r>
              <w:rPr>
                <w:rFonts w:ascii="Arial" w:cs="Arial" w:eastAsia="Arial" w:hAnsi="Arial"/>
                <w:sz w:val="18"/>
                <w:szCs w:val="18"/>
                <w:color w:val="auto"/>
                <w:w w:val="79"/>
              </w:rPr>
              <w:t>$</w:t>
            </w:r>
          </w:p>
        </w:tc>
        <w:tc>
          <w:tcPr>
            <w:tcW w:w="23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180,989</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Accounts receivable</w:t>
            </w:r>
          </w:p>
        </w:tc>
        <w:tc>
          <w:tcPr>
            <w:tcW w:w="1600" w:type="dxa"/>
            <w:vAlign w:val="bottom"/>
          </w:tcPr>
          <w:p>
            <w:pPr>
              <w:spacing w:after="0"/>
              <w:rPr>
                <w:sz w:val="21"/>
                <w:szCs w:val="21"/>
                <w:color w:val="auto"/>
              </w:rPr>
            </w:pPr>
          </w:p>
        </w:tc>
        <w:tc>
          <w:tcPr>
            <w:tcW w:w="2380" w:type="dxa"/>
            <w:vAlign w:val="bottom"/>
          </w:tcPr>
          <w:p>
            <w:pPr>
              <w:jc w:val="right"/>
              <w:ind w:right="70"/>
              <w:spacing w:after="0"/>
              <w:rPr>
                <w:sz w:val="20"/>
                <w:szCs w:val="20"/>
                <w:color w:val="auto"/>
              </w:rPr>
            </w:pPr>
            <w:r>
              <w:rPr>
                <w:rFonts w:ascii="Arial" w:cs="Arial" w:eastAsia="Arial" w:hAnsi="Arial"/>
                <w:sz w:val="18"/>
                <w:szCs w:val="18"/>
                <w:color w:val="auto"/>
              </w:rPr>
              <w:t>112,270</w:t>
            </w:r>
          </w:p>
        </w:tc>
      </w:tr>
      <w:tr>
        <w:trPr>
          <w:trHeight w:val="27"/>
        </w:trPr>
        <w:tc>
          <w:tcPr>
            <w:tcW w:w="7260" w:type="dxa"/>
            <w:vAlign w:val="bottom"/>
          </w:tcPr>
          <w:p>
            <w:pPr>
              <w:spacing w:after="0"/>
              <w:rPr>
                <w:sz w:val="2"/>
                <w:szCs w:val="2"/>
                <w:color w:val="auto"/>
              </w:rPr>
            </w:pPr>
          </w:p>
        </w:tc>
        <w:tc>
          <w:tcPr>
            <w:tcW w:w="1600" w:type="dxa"/>
            <w:vAlign w:val="bottom"/>
          </w:tcPr>
          <w:p>
            <w:pPr>
              <w:spacing w:after="0"/>
              <w:rPr>
                <w:sz w:val="2"/>
                <w:szCs w:val="2"/>
                <w:color w:val="auto"/>
              </w:rPr>
            </w:pPr>
          </w:p>
        </w:tc>
        <w:tc>
          <w:tcPr>
            <w:tcW w:w="2380" w:type="dxa"/>
            <w:vAlign w:val="bottom"/>
          </w:tcPr>
          <w:p>
            <w:pPr>
              <w:spacing w:after="0"/>
              <w:rPr>
                <w:sz w:val="2"/>
                <w:szCs w:val="2"/>
                <w:color w:val="auto"/>
              </w:rPr>
            </w:pPr>
          </w:p>
        </w:tc>
      </w:tr>
      <w:tr>
        <w:trPr>
          <w:trHeight w:val="25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1600" w:type="dxa"/>
            <w:vAlign w:val="bottom"/>
            <w:tcBorders>
              <w:bottom w:val="single" w:sz="8" w:color="CCEEFF"/>
            </w:tcBorders>
            <w:shd w:val="clear" w:color="auto" w:fill="CCEEFF"/>
          </w:tcPr>
          <w:p>
            <w:pPr>
              <w:spacing w:after="0"/>
              <w:rPr>
                <w:sz w:val="21"/>
                <w:szCs w:val="21"/>
                <w:color w:val="auto"/>
              </w:rPr>
            </w:pPr>
          </w:p>
        </w:tc>
        <w:tc>
          <w:tcPr>
            <w:tcW w:w="23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330,778</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Prepaid expense and other current assets</w:t>
            </w:r>
          </w:p>
        </w:tc>
        <w:tc>
          <w:tcPr>
            <w:tcW w:w="1600" w:type="dxa"/>
            <w:vAlign w:val="bottom"/>
          </w:tcPr>
          <w:p>
            <w:pPr>
              <w:spacing w:after="0"/>
              <w:rPr>
                <w:sz w:val="21"/>
                <w:szCs w:val="21"/>
                <w:color w:val="auto"/>
              </w:rPr>
            </w:pPr>
          </w:p>
        </w:tc>
        <w:tc>
          <w:tcPr>
            <w:tcW w:w="2380" w:type="dxa"/>
            <w:vAlign w:val="bottom"/>
          </w:tcPr>
          <w:p>
            <w:pPr>
              <w:jc w:val="right"/>
              <w:ind w:right="70"/>
              <w:spacing w:after="0"/>
              <w:rPr>
                <w:sz w:val="20"/>
                <w:szCs w:val="20"/>
                <w:color w:val="auto"/>
              </w:rPr>
            </w:pPr>
            <w:r>
              <w:rPr>
                <w:rFonts w:ascii="Arial" w:cs="Arial" w:eastAsia="Arial" w:hAnsi="Arial"/>
                <w:sz w:val="18"/>
                <w:szCs w:val="18"/>
                <w:color w:val="auto"/>
              </w:rPr>
              <w:t>19,890</w:t>
            </w:r>
          </w:p>
        </w:tc>
      </w:tr>
      <w:tr>
        <w:trPr>
          <w:trHeight w:val="27"/>
        </w:trPr>
        <w:tc>
          <w:tcPr>
            <w:tcW w:w="7260" w:type="dxa"/>
            <w:vAlign w:val="bottom"/>
          </w:tcPr>
          <w:p>
            <w:pPr>
              <w:spacing w:after="0"/>
              <w:rPr>
                <w:sz w:val="2"/>
                <w:szCs w:val="2"/>
                <w:color w:val="auto"/>
              </w:rPr>
            </w:pPr>
          </w:p>
        </w:tc>
        <w:tc>
          <w:tcPr>
            <w:tcW w:w="1600" w:type="dxa"/>
            <w:vAlign w:val="bottom"/>
          </w:tcPr>
          <w:p>
            <w:pPr>
              <w:spacing w:after="0"/>
              <w:rPr>
                <w:sz w:val="2"/>
                <w:szCs w:val="2"/>
                <w:color w:val="auto"/>
              </w:rPr>
            </w:pPr>
          </w:p>
        </w:tc>
        <w:tc>
          <w:tcPr>
            <w:tcW w:w="2380" w:type="dxa"/>
            <w:vAlign w:val="bottom"/>
          </w:tcPr>
          <w:p>
            <w:pPr>
              <w:spacing w:after="0"/>
              <w:rPr>
                <w:sz w:val="2"/>
                <w:szCs w:val="2"/>
                <w:color w:val="auto"/>
              </w:rPr>
            </w:pPr>
          </w:p>
        </w:tc>
      </w:tr>
      <w:tr>
        <w:trPr>
          <w:trHeight w:val="25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Assets held for sale</w:t>
            </w:r>
          </w:p>
        </w:tc>
        <w:tc>
          <w:tcPr>
            <w:tcW w:w="1600" w:type="dxa"/>
            <w:vAlign w:val="bottom"/>
            <w:tcBorders>
              <w:bottom w:val="single" w:sz="8" w:color="CCEEFF"/>
            </w:tcBorders>
            <w:shd w:val="clear" w:color="auto" w:fill="CCEEFF"/>
          </w:tcPr>
          <w:p>
            <w:pPr>
              <w:spacing w:after="0"/>
              <w:rPr>
                <w:sz w:val="21"/>
                <w:szCs w:val="21"/>
                <w:color w:val="auto"/>
              </w:rPr>
            </w:pPr>
          </w:p>
        </w:tc>
        <w:tc>
          <w:tcPr>
            <w:tcW w:w="23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483</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Property and equipment</w:t>
            </w:r>
          </w:p>
        </w:tc>
        <w:tc>
          <w:tcPr>
            <w:tcW w:w="1600" w:type="dxa"/>
            <w:vAlign w:val="bottom"/>
          </w:tcPr>
          <w:p>
            <w:pPr>
              <w:spacing w:after="0"/>
              <w:rPr>
                <w:sz w:val="21"/>
                <w:szCs w:val="21"/>
                <w:color w:val="auto"/>
              </w:rPr>
            </w:pPr>
          </w:p>
        </w:tc>
        <w:tc>
          <w:tcPr>
            <w:tcW w:w="2380" w:type="dxa"/>
            <w:vAlign w:val="bottom"/>
          </w:tcPr>
          <w:p>
            <w:pPr>
              <w:jc w:val="right"/>
              <w:ind w:right="70"/>
              <w:spacing w:after="0"/>
              <w:rPr>
                <w:sz w:val="20"/>
                <w:szCs w:val="20"/>
                <w:color w:val="auto"/>
              </w:rPr>
            </w:pPr>
            <w:r>
              <w:rPr>
                <w:rFonts w:ascii="Arial" w:cs="Arial" w:eastAsia="Arial" w:hAnsi="Arial"/>
                <w:sz w:val="18"/>
                <w:szCs w:val="18"/>
                <w:color w:val="auto"/>
              </w:rPr>
              <w:t>115,428</w:t>
            </w:r>
          </w:p>
        </w:tc>
      </w:tr>
      <w:tr>
        <w:trPr>
          <w:trHeight w:val="27"/>
        </w:trPr>
        <w:tc>
          <w:tcPr>
            <w:tcW w:w="7260" w:type="dxa"/>
            <w:vAlign w:val="bottom"/>
          </w:tcPr>
          <w:p>
            <w:pPr>
              <w:spacing w:after="0"/>
              <w:rPr>
                <w:sz w:val="2"/>
                <w:szCs w:val="2"/>
                <w:color w:val="auto"/>
              </w:rPr>
            </w:pPr>
          </w:p>
        </w:tc>
        <w:tc>
          <w:tcPr>
            <w:tcW w:w="1600" w:type="dxa"/>
            <w:vAlign w:val="bottom"/>
          </w:tcPr>
          <w:p>
            <w:pPr>
              <w:spacing w:after="0"/>
              <w:rPr>
                <w:sz w:val="2"/>
                <w:szCs w:val="2"/>
                <w:color w:val="auto"/>
              </w:rPr>
            </w:pPr>
          </w:p>
        </w:tc>
        <w:tc>
          <w:tcPr>
            <w:tcW w:w="2380" w:type="dxa"/>
            <w:vAlign w:val="bottom"/>
          </w:tcPr>
          <w:p>
            <w:pPr>
              <w:spacing w:after="0"/>
              <w:rPr>
                <w:sz w:val="2"/>
                <w:szCs w:val="2"/>
                <w:color w:val="auto"/>
              </w:rPr>
            </w:pPr>
          </w:p>
        </w:tc>
      </w:tr>
      <w:tr>
        <w:trPr>
          <w:trHeight w:val="25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Acquired intangible assets</w:t>
            </w:r>
          </w:p>
        </w:tc>
        <w:tc>
          <w:tcPr>
            <w:tcW w:w="1600" w:type="dxa"/>
            <w:vAlign w:val="bottom"/>
            <w:tcBorders>
              <w:bottom w:val="single" w:sz="8" w:color="CCEEFF"/>
            </w:tcBorders>
            <w:shd w:val="clear" w:color="auto" w:fill="CCEEFF"/>
          </w:tcPr>
          <w:p>
            <w:pPr>
              <w:spacing w:after="0"/>
              <w:rPr>
                <w:sz w:val="21"/>
                <w:szCs w:val="21"/>
                <w:color w:val="auto"/>
              </w:rPr>
            </w:pPr>
          </w:p>
        </w:tc>
        <w:tc>
          <w:tcPr>
            <w:tcW w:w="23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2,744,000</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1600" w:type="dxa"/>
            <w:vAlign w:val="bottom"/>
          </w:tcPr>
          <w:p>
            <w:pPr>
              <w:spacing w:after="0"/>
              <w:rPr>
                <w:sz w:val="21"/>
                <w:szCs w:val="21"/>
                <w:color w:val="auto"/>
              </w:rPr>
            </w:pPr>
          </w:p>
        </w:tc>
        <w:tc>
          <w:tcPr>
            <w:tcW w:w="2380" w:type="dxa"/>
            <w:vAlign w:val="bottom"/>
          </w:tcPr>
          <w:p>
            <w:pPr>
              <w:jc w:val="right"/>
              <w:ind w:right="70"/>
              <w:spacing w:after="0"/>
              <w:rPr>
                <w:sz w:val="20"/>
                <w:szCs w:val="20"/>
                <w:color w:val="auto"/>
              </w:rPr>
            </w:pPr>
            <w:r>
              <w:rPr>
                <w:rFonts w:ascii="Arial" w:cs="Arial" w:eastAsia="Arial" w:hAnsi="Arial"/>
                <w:sz w:val="18"/>
                <w:szCs w:val="18"/>
                <w:color w:val="auto"/>
              </w:rPr>
              <w:t>89,139</w:t>
            </w:r>
          </w:p>
        </w:tc>
      </w:tr>
      <w:tr>
        <w:trPr>
          <w:trHeight w:val="27"/>
        </w:trPr>
        <w:tc>
          <w:tcPr>
            <w:tcW w:w="7260" w:type="dxa"/>
            <w:vAlign w:val="bottom"/>
          </w:tcPr>
          <w:p>
            <w:pPr>
              <w:spacing w:after="0"/>
              <w:rPr>
                <w:sz w:val="2"/>
                <w:szCs w:val="2"/>
                <w:color w:val="auto"/>
              </w:rPr>
            </w:pPr>
          </w:p>
        </w:tc>
        <w:tc>
          <w:tcPr>
            <w:tcW w:w="1600" w:type="dxa"/>
            <w:vAlign w:val="bottom"/>
          </w:tcPr>
          <w:p>
            <w:pPr>
              <w:spacing w:after="0"/>
              <w:rPr>
                <w:sz w:val="2"/>
                <w:szCs w:val="2"/>
                <w:color w:val="auto"/>
              </w:rPr>
            </w:pPr>
          </w:p>
        </w:tc>
        <w:tc>
          <w:tcPr>
            <w:tcW w:w="2380" w:type="dxa"/>
            <w:vAlign w:val="bottom"/>
          </w:tcPr>
          <w:p>
            <w:pPr>
              <w:spacing w:after="0"/>
              <w:rPr>
                <w:sz w:val="2"/>
                <w:szCs w:val="2"/>
                <w:color w:val="auto"/>
              </w:rPr>
            </w:pPr>
          </w:p>
        </w:tc>
      </w:tr>
      <w:tr>
        <w:trPr>
          <w:trHeight w:val="25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1600" w:type="dxa"/>
            <w:vAlign w:val="bottom"/>
            <w:tcBorders>
              <w:bottom w:val="single" w:sz="8" w:color="CCEEFF"/>
            </w:tcBorders>
            <w:shd w:val="clear" w:color="auto" w:fill="CCEEFF"/>
          </w:tcPr>
          <w:p>
            <w:pPr>
              <w:spacing w:after="0"/>
              <w:rPr>
                <w:sz w:val="21"/>
                <w:szCs w:val="21"/>
                <w:color w:val="auto"/>
              </w:rPr>
            </w:pPr>
          </w:p>
        </w:tc>
        <w:tc>
          <w:tcPr>
            <w:tcW w:w="23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3,498,196</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Accounts payable</w:t>
            </w:r>
          </w:p>
        </w:tc>
        <w:tc>
          <w:tcPr>
            <w:tcW w:w="1600" w:type="dxa"/>
            <w:vAlign w:val="bottom"/>
          </w:tcPr>
          <w:p>
            <w:pPr>
              <w:spacing w:after="0"/>
              <w:rPr>
                <w:sz w:val="21"/>
                <w:szCs w:val="21"/>
                <w:color w:val="auto"/>
              </w:rPr>
            </w:pPr>
          </w:p>
        </w:tc>
        <w:tc>
          <w:tcPr>
            <w:tcW w:w="2380" w:type="dxa"/>
            <w:vAlign w:val="bottom"/>
          </w:tcPr>
          <w:p>
            <w:pPr>
              <w:jc w:val="right"/>
              <w:ind w:right="10"/>
              <w:spacing w:after="0"/>
              <w:rPr>
                <w:sz w:val="20"/>
                <w:szCs w:val="20"/>
                <w:color w:val="auto"/>
              </w:rPr>
            </w:pPr>
            <w:r>
              <w:rPr>
                <w:rFonts w:ascii="Arial" w:cs="Arial" w:eastAsia="Arial" w:hAnsi="Arial"/>
                <w:sz w:val="18"/>
                <w:szCs w:val="18"/>
                <w:color w:val="auto"/>
              </w:rPr>
              <w:t>(52,383)</w:t>
            </w:r>
          </w:p>
        </w:tc>
      </w:tr>
      <w:tr>
        <w:trPr>
          <w:trHeight w:val="27"/>
        </w:trPr>
        <w:tc>
          <w:tcPr>
            <w:tcW w:w="7260" w:type="dxa"/>
            <w:vAlign w:val="bottom"/>
          </w:tcPr>
          <w:p>
            <w:pPr>
              <w:spacing w:after="0"/>
              <w:rPr>
                <w:sz w:val="2"/>
                <w:szCs w:val="2"/>
                <w:color w:val="auto"/>
              </w:rPr>
            </w:pPr>
          </w:p>
        </w:tc>
        <w:tc>
          <w:tcPr>
            <w:tcW w:w="1600" w:type="dxa"/>
            <w:vAlign w:val="bottom"/>
          </w:tcPr>
          <w:p>
            <w:pPr>
              <w:spacing w:after="0"/>
              <w:rPr>
                <w:sz w:val="2"/>
                <w:szCs w:val="2"/>
                <w:color w:val="auto"/>
              </w:rPr>
            </w:pPr>
          </w:p>
        </w:tc>
        <w:tc>
          <w:tcPr>
            <w:tcW w:w="2380" w:type="dxa"/>
            <w:vAlign w:val="bottom"/>
          </w:tcPr>
          <w:p>
            <w:pPr>
              <w:spacing w:after="0"/>
              <w:rPr>
                <w:sz w:val="2"/>
                <w:szCs w:val="2"/>
                <w:color w:val="auto"/>
              </w:rPr>
            </w:pPr>
          </w:p>
        </w:tc>
      </w:tr>
      <w:tr>
        <w:trPr>
          <w:trHeight w:val="25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liabilities</w:t>
            </w:r>
          </w:p>
        </w:tc>
        <w:tc>
          <w:tcPr>
            <w:tcW w:w="1600" w:type="dxa"/>
            <w:vAlign w:val="bottom"/>
            <w:tcBorders>
              <w:bottom w:val="single" w:sz="8" w:color="CCEEFF"/>
            </w:tcBorders>
            <w:shd w:val="clear" w:color="auto" w:fill="CCEEFF"/>
          </w:tcPr>
          <w:p>
            <w:pPr>
              <w:spacing w:after="0"/>
              <w:rPr>
                <w:sz w:val="21"/>
                <w:szCs w:val="21"/>
                <w:color w:val="auto"/>
              </w:rPr>
            </w:pPr>
          </w:p>
        </w:tc>
        <w:tc>
          <w:tcPr>
            <w:tcW w:w="23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(126,007)</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Accrued employee compensation</w:t>
            </w:r>
          </w:p>
        </w:tc>
        <w:tc>
          <w:tcPr>
            <w:tcW w:w="1600" w:type="dxa"/>
            <w:vAlign w:val="bottom"/>
          </w:tcPr>
          <w:p>
            <w:pPr>
              <w:spacing w:after="0"/>
              <w:rPr>
                <w:sz w:val="21"/>
                <w:szCs w:val="21"/>
                <w:color w:val="auto"/>
              </w:rPr>
            </w:pPr>
          </w:p>
        </w:tc>
        <w:tc>
          <w:tcPr>
            <w:tcW w:w="2380" w:type="dxa"/>
            <w:vAlign w:val="bottom"/>
          </w:tcPr>
          <w:p>
            <w:pPr>
              <w:jc w:val="right"/>
              <w:ind w:right="10"/>
              <w:spacing w:after="0"/>
              <w:rPr>
                <w:sz w:val="20"/>
                <w:szCs w:val="20"/>
                <w:color w:val="auto"/>
              </w:rPr>
            </w:pPr>
            <w:r>
              <w:rPr>
                <w:rFonts w:ascii="Arial" w:cs="Arial" w:eastAsia="Arial" w:hAnsi="Arial"/>
                <w:sz w:val="18"/>
                <w:szCs w:val="18"/>
                <w:color w:val="auto"/>
              </w:rPr>
              <w:t>(34,813)</w:t>
            </w:r>
          </w:p>
        </w:tc>
      </w:tr>
      <w:tr>
        <w:trPr>
          <w:trHeight w:val="27"/>
        </w:trPr>
        <w:tc>
          <w:tcPr>
            <w:tcW w:w="7260" w:type="dxa"/>
            <w:vAlign w:val="bottom"/>
          </w:tcPr>
          <w:p>
            <w:pPr>
              <w:spacing w:after="0"/>
              <w:rPr>
                <w:sz w:val="2"/>
                <w:szCs w:val="2"/>
                <w:color w:val="auto"/>
              </w:rPr>
            </w:pPr>
          </w:p>
        </w:tc>
        <w:tc>
          <w:tcPr>
            <w:tcW w:w="1600" w:type="dxa"/>
            <w:vAlign w:val="bottom"/>
          </w:tcPr>
          <w:p>
            <w:pPr>
              <w:spacing w:after="0"/>
              <w:rPr>
                <w:sz w:val="2"/>
                <w:szCs w:val="2"/>
                <w:color w:val="auto"/>
              </w:rPr>
            </w:pPr>
          </w:p>
        </w:tc>
        <w:tc>
          <w:tcPr>
            <w:tcW w:w="2380" w:type="dxa"/>
            <w:vAlign w:val="bottom"/>
          </w:tcPr>
          <w:p>
            <w:pPr>
              <w:spacing w:after="0"/>
              <w:rPr>
                <w:sz w:val="2"/>
                <w:szCs w:val="2"/>
                <w:color w:val="auto"/>
              </w:rPr>
            </w:pPr>
          </w:p>
        </w:tc>
      </w:tr>
      <w:tr>
        <w:trPr>
          <w:trHeight w:val="25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Deferred income</w:t>
            </w:r>
          </w:p>
        </w:tc>
        <w:tc>
          <w:tcPr>
            <w:tcW w:w="1600" w:type="dxa"/>
            <w:vAlign w:val="bottom"/>
            <w:tcBorders>
              <w:bottom w:val="single" w:sz="8" w:color="CCEEFF"/>
            </w:tcBorders>
            <w:shd w:val="clear" w:color="auto" w:fill="CCEEFF"/>
          </w:tcPr>
          <w:p>
            <w:pPr>
              <w:spacing w:after="0"/>
              <w:rPr>
                <w:sz w:val="21"/>
                <w:szCs w:val="21"/>
                <w:color w:val="auto"/>
              </w:rPr>
            </w:pPr>
          </w:p>
        </w:tc>
        <w:tc>
          <w:tcPr>
            <w:tcW w:w="23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(2,466)</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Current portion of long-term debt</w:t>
            </w:r>
          </w:p>
        </w:tc>
        <w:tc>
          <w:tcPr>
            <w:tcW w:w="1600" w:type="dxa"/>
            <w:vAlign w:val="bottom"/>
          </w:tcPr>
          <w:p>
            <w:pPr>
              <w:spacing w:after="0"/>
              <w:rPr>
                <w:sz w:val="21"/>
                <w:szCs w:val="21"/>
                <w:color w:val="auto"/>
              </w:rPr>
            </w:pPr>
          </w:p>
        </w:tc>
        <w:tc>
          <w:tcPr>
            <w:tcW w:w="2380" w:type="dxa"/>
            <w:vAlign w:val="bottom"/>
          </w:tcPr>
          <w:p>
            <w:pPr>
              <w:jc w:val="right"/>
              <w:ind w:right="10"/>
              <w:spacing w:after="0"/>
              <w:rPr>
                <w:sz w:val="20"/>
                <w:szCs w:val="20"/>
                <w:color w:val="auto"/>
              </w:rPr>
            </w:pPr>
            <w:r>
              <w:rPr>
                <w:rFonts w:ascii="Arial" w:cs="Arial" w:eastAsia="Arial" w:hAnsi="Arial"/>
                <w:sz w:val="18"/>
                <w:szCs w:val="18"/>
                <w:color w:val="auto"/>
              </w:rPr>
              <w:t>(6,123)</w:t>
            </w:r>
          </w:p>
        </w:tc>
      </w:tr>
      <w:tr>
        <w:trPr>
          <w:trHeight w:val="27"/>
        </w:trPr>
        <w:tc>
          <w:tcPr>
            <w:tcW w:w="7260" w:type="dxa"/>
            <w:vAlign w:val="bottom"/>
          </w:tcPr>
          <w:p>
            <w:pPr>
              <w:spacing w:after="0"/>
              <w:rPr>
                <w:sz w:val="2"/>
                <w:szCs w:val="2"/>
                <w:color w:val="auto"/>
              </w:rPr>
            </w:pPr>
          </w:p>
        </w:tc>
        <w:tc>
          <w:tcPr>
            <w:tcW w:w="1600" w:type="dxa"/>
            <w:vAlign w:val="bottom"/>
          </w:tcPr>
          <w:p>
            <w:pPr>
              <w:spacing w:after="0"/>
              <w:rPr>
                <w:sz w:val="2"/>
                <w:szCs w:val="2"/>
                <w:color w:val="auto"/>
              </w:rPr>
            </w:pPr>
          </w:p>
        </w:tc>
        <w:tc>
          <w:tcPr>
            <w:tcW w:w="2380" w:type="dxa"/>
            <w:vAlign w:val="bottom"/>
          </w:tcPr>
          <w:p>
            <w:pPr>
              <w:spacing w:after="0"/>
              <w:rPr>
                <w:sz w:val="2"/>
                <w:szCs w:val="2"/>
                <w:color w:val="auto"/>
              </w:rPr>
            </w:pPr>
          </w:p>
        </w:tc>
      </w:tr>
      <w:tr>
        <w:trPr>
          <w:trHeight w:val="25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Liabilities held for sale</w:t>
            </w:r>
          </w:p>
        </w:tc>
        <w:tc>
          <w:tcPr>
            <w:tcW w:w="1600" w:type="dxa"/>
            <w:vAlign w:val="bottom"/>
            <w:tcBorders>
              <w:bottom w:val="single" w:sz="8" w:color="CCEEFF"/>
            </w:tcBorders>
            <w:shd w:val="clear" w:color="auto" w:fill="CCEEFF"/>
          </w:tcPr>
          <w:p>
            <w:pPr>
              <w:spacing w:after="0"/>
              <w:rPr>
                <w:sz w:val="21"/>
                <w:szCs w:val="21"/>
                <w:color w:val="auto"/>
              </w:rPr>
            </w:pPr>
          </w:p>
        </w:tc>
        <w:tc>
          <w:tcPr>
            <w:tcW w:w="23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(3,032)</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1600" w:type="dxa"/>
            <w:vAlign w:val="bottom"/>
          </w:tcPr>
          <w:p>
            <w:pPr>
              <w:spacing w:after="0"/>
              <w:rPr>
                <w:sz w:val="21"/>
                <w:szCs w:val="21"/>
                <w:color w:val="auto"/>
              </w:rPr>
            </w:pPr>
          </w:p>
        </w:tc>
        <w:tc>
          <w:tcPr>
            <w:tcW w:w="2380" w:type="dxa"/>
            <w:vAlign w:val="bottom"/>
          </w:tcPr>
          <w:p>
            <w:pPr>
              <w:jc w:val="right"/>
              <w:ind w:right="10"/>
              <w:spacing w:after="0"/>
              <w:rPr>
                <w:sz w:val="20"/>
                <w:szCs w:val="20"/>
                <w:color w:val="auto"/>
              </w:rPr>
            </w:pPr>
            <w:r>
              <w:rPr>
                <w:rFonts w:ascii="Arial" w:cs="Arial" w:eastAsia="Arial" w:hAnsi="Arial"/>
                <w:sz w:val="18"/>
                <w:szCs w:val="18"/>
                <w:color w:val="auto"/>
              </w:rPr>
              <w:t>(600,005)</w:t>
            </w:r>
          </w:p>
        </w:tc>
      </w:tr>
      <w:tr>
        <w:trPr>
          <w:trHeight w:val="27"/>
        </w:trPr>
        <w:tc>
          <w:tcPr>
            <w:tcW w:w="7260" w:type="dxa"/>
            <w:vAlign w:val="bottom"/>
          </w:tcPr>
          <w:p>
            <w:pPr>
              <w:spacing w:after="0"/>
              <w:rPr>
                <w:sz w:val="2"/>
                <w:szCs w:val="2"/>
                <w:color w:val="auto"/>
              </w:rPr>
            </w:pPr>
          </w:p>
        </w:tc>
        <w:tc>
          <w:tcPr>
            <w:tcW w:w="1600" w:type="dxa"/>
            <w:vAlign w:val="bottom"/>
          </w:tcPr>
          <w:p>
            <w:pPr>
              <w:spacing w:after="0"/>
              <w:rPr>
                <w:sz w:val="2"/>
                <w:szCs w:val="2"/>
                <w:color w:val="auto"/>
              </w:rPr>
            </w:pPr>
          </w:p>
        </w:tc>
        <w:tc>
          <w:tcPr>
            <w:tcW w:w="2380" w:type="dxa"/>
            <w:vAlign w:val="bottom"/>
          </w:tcPr>
          <w:p>
            <w:pPr>
              <w:spacing w:after="0"/>
              <w:rPr>
                <w:sz w:val="2"/>
                <w:szCs w:val="2"/>
                <w:color w:val="auto"/>
              </w:rPr>
            </w:pPr>
          </w:p>
        </w:tc>
      </w:tr>
      <w:tr>
        <w:trPr>
          <w:trHeight w:val="25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Non-current income taxes payable</w:t>
            </w:r>
          </w:p>
        </w:tc>
        <w:tc>
          <w:tcPr>
            <w:tcW w:w="1600" w:type="dxa"/>
            <w:vAlign w:val="bottom"/>
            <w:tcBorders>
              <w:bottom w:val="single" w:sz="8" w:color="CCEEFF"/>
            </w:tcBorders>
            <w:shd w:val="clear" w:color="auto" w:fill="CCEEFF"/>
          </w:tcPr>
          <w:p>
            <w:pPr>
              <w:spacing w:after="0"/>
              <w:rPr>
                <w:sz w:val="21"/>
                <w:szCs w:val="21"/>
                <w:color w:val="auto"/>
              </w:rPr>
            </w:pPr>
          </w:p>
        </w:tc>
        <w:tc>
          <w:tcPr>
            <w:tcW w:w="23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(8,454)</w:t>
            </w:r>
          </w:p>
        </w:tc>
      </w:tr>
      <w:tr>
        <w:trPr>
          <w:trHeight w:val="243"/>
        </w:trPr>
        <w:tc>
          <w:tcPr>
            <w:tcW w:w="7260" w:type="dxa"/>
            <w:vAlign w:val="bottom"/>
          </w:tcPr>
          <w:p>
            <w:pPr>
              <w:ind w:left="20"/>
              <w:spacing w:after="0"/>
              <w:rPr>
                <w:sz w:val="20"/>
                <w:szCs w:val="20"/>
                <w:color w:val="auto"/>
              </w:rPr>
            </w:pPr>
            <w:r>
              <w:rPr>
                <w:rFonts w:ascii="Arial" w:cs="Arial" w:eastAsia="Arial" w:hAnsi="Arial"/>
                <w:sz w:val="18"/>
                <w:szCs w:val="18"/>
                <w:color w:val="auto"/>
              </w:rPr>
              <w:t>Deferred tax liabilities</w:t>
            </w:r>
          </w:p>
        </w:tc>
        <w:tc>
          <w:tcPr>
            <w:tcW w:w="1600" w:type="dxa"/>
            <w:vAlign w:val="bottom"/>
          </w:tcPr>
          <w:p>
            <w:pPr>
              <w:spacing w:after="0"/>
              <w:rPr>
                <w:sz w:val="21"/>
                <w:szCs w:val="21"/>
                <w:color w:val="auto"/>
              </w:rPr>
            </w:pPr>
          </w:p>
        </w:tc>
        <w:tc>
          <w:tcPr>
            <w:tcW w:w="2380" w:type="dxa"/>
            <w:vAlign w:val="bottom"/>
          </w:tcPr>
          <w:p>
            <w:pPr>
              <w:jc w:val="right"/>
              <w:ind w:right="10"/>
              <w:spacing w:after="0"/>
              <w:rPr>
                <w:sz w:val="20"/>
                <w:szCs w:val="20"/>
                <w:color w:val="auto"/>
              </w:rPr>
            </w:pPr>
            <w:r>
              <w:rPr>
                <w:rFonts w:ascii="Arial" w:cs="Arial" w:eastAsia="Arial" w:hAnsi="Arial"/>
                <w:sz w:val="18"/>
                <w:szCs w:val="18"/>
                <w:color w:val="auto"/>
              </w:rPr>
              <w:t>(79,995)</w:t>
            </w:r>
          </w:p>
        </w:tc>
      </w:tr>
      <w:tr>
        <w:trPr>
          <w:trHeight w:val="27"/>
        </w:trPr>
        <w:tc>
          <w:tcPr>
            <w:tcW w:w="7260" w:type="dxa"/>
            <w:vAlign w:val="bottom"/>
          </w:tcPr>
          <w:p>
            <w:pPr>
              <w:spacing w:after="0"/>
              <w:rPr>
                <w:sz w:val="2"/>
                <w:szCs w:val="2"/>
                <w:color w:val="auto"/>
              </w:rPr>
            </w:pPr>
          </w:p>
        </w:tc>
        <w:tc>
          <w:tcPr>
            <w:tcW w:w="1600" w:type="dxa"/>
            <w:vAlign w:val="bottom"/>
          </w:tcPr>
          <w:p>
            <w:pPr>
              <w:spacing w:after="0"/>
              <w:rPr>
                <w:sz w:val="2"/>
                <w:szCs w:val="2"/>
                <w:color w:val="auto"/>
              </w:rPr>
            </w:pPr>
          </w:p>
        </w:tc>
        <w:tc>
          <w:tcPr>
            <w:tcW w:w="2380" w:type="dxa"/>
            <w:vAlign w:val="bottom"/>
          </w:tcPr>
          <w:p>
            <w:pPr>
              <w:spacing w:after="0"/>
              <w:rPr>
                <w:sz w:val="2"/>
                <w:szCs w:val="2"/>
                <w:color w:val="auto"/>
              </w:rPr>
            </w:pPr>
          </w:p>
        </w:tc>
      </w:tr>
      <w:tr>
        <w:trPr>
          <w:trHeight w:val="270"/>
        </w:trPr>
        <w:tc>
          <w:tcPr>
            <w:tcW w:w="7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1600" w:type="dxa"/>
            <w:vAlign w:val="bottom"/>
            <w:tcBorders>
              <w:bottom w:val="single" w:sz="8" w:color="CCEEFF"/>
            </w:tcBorders>
            <w:shd w:val="clear" w:color="auto" w:fill="CCEEFF"/>
          </w:tcPr>
          <w:p>
            <w:pPr>
              <w:spacing w:after="0"/>
              <w:rPr>
                <w:sz w:val="23"/>
                <w:szCs w:val="23"/>
                <w:color w:val="auto"/>
              </w:rPr>
            </w:pPr>
          </w:p>
        </w:tc>
        <w:tc>
          <w:tcPr>
            <w:tcW w:w="23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(16,099)</w:t>
            </w:r>
          </w:p>
        </w:tc>
      </w:tr>
      <w:tr>
        <w:trPr>
          <w:trHeight w:val="264"/>
        </w:trPr>
        <w:tc>
          <w:tcPr>
            <w:tcW w:w="726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600" w:type="dxa"/>
            <w:vAlign w:val="bottom"/>
            <w:tcBorders>
              <w:top w:val="single" w:sz="8" w:color="auto"/>
              <w:bottom w:val="single" w:sz="8" w:color="auto"/>
            </w:tcBorders>
          </w:tcPr>
          <w:p>
            <w:pPr>
              <w:jc w:val="right"/>
              <w:ind w:right="1410"/>
              <w:spacing w:after="0"/>
              <w:rPr>
                <w:sz w:val="20"/>
                <w:szCs w:val="20"/>
                <w:color w:val="auto"/>
              </w:rPr>
            </w:pPr>
            <w:r>
              <w:rPr>
                <w:rFonts w:ascii="Arial" w:cs="Arial" w:eastAsia="Arial" w:hAnsi="Arial"/>
                <w:sz w:val="18"/>
                <w:szCs w:val="18"/>
                <w:color w:val="auto"/>
                <w:w w:val="79"/>
              </w:rPr>
              <w:t>$</w:t>
            </w:r>
          </w:p>
        </w:tc>
        <w:tc>
          <w:tcPr>
            <w:tcW w:w="238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rPr>
              <w:t>6,161,796</w:t>
            </w:r>
          </w:p>
        </w:tc>
      </w:tr>
      <w:tr>
        <w:trPr>
          <w:trHeight w:val="20"/>
        </w:trPr>
        <w:tc>
          <w:tcPr>
            <w:tcW w:w="7260" w:type="dxa"/>
            <w:vAlign w:val="bottom"/>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238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40"/>
          </w:cols>
          <w:pgMar w:left="320" w:top="472" w:right="339" w:bottom="1440" w:gutter="0" w:footer="0" w:header="0"/>
        </w:sectPr>
      </w:pPr>
    </w:p>
    <w:p>
      <w:pPr>
        <w:spacing w:after="0" w:line="200" w:lineRule="exact"/>
        <w:rPr>
          <w:sz w:val="20"/>
          <w:szCs w:val="20"/>
          <w:color w:val="auto"/>
        </w:rPr>
      </w:pP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66" w:name="page67"/>
    <w:bookmarkEnd w:id="66"/>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83" w:lineRule="exact"/>
        <w:rPr>
          <w:sz w:val="20"/>
          <w:szCs w:val="20"/>
          <w:color w:val="auto"/>
        </w:rPr>
      </w:pPr>
    </w:p>
    <w:p>
      <w:pPr>
        <w:ind w:right="180" w:firstLine="405"/>
        <w:spacing w:after="0" w:line="286" w:lineRule="auto"/>
        <w:rPr>
          <w:sz w:val="20"/>
          <w:szCs w:val="20"/>
          <w:color w:val="auto"/>
        </w:rPr>
      </w:pPr>
      <w:r>
        <w:rPr>
          <w:rFonts w:ascii="Arial" w:cs="Arial" w:eastAsia="Arial" w:hAnsi="Arial"/>
          <w:sz w:val="17"/>
          <w:szCs w:val="17"/>
          <w:color w:val="auto"/>
        </w:rPr>
        <w:t>In fiscal year 2019, the Company incurred total acquisition related costs of $53.7 million which were recorded in selling, general and administrative expense in the consolidated statements of operations. The Company also incurred $22.8 million of debt financing costs. Additionally, the Company incurred $2.9 million of equity issuance costs, which were recorded in additional paid-in capital in the consolidated balance sheet.</w:t>
      </w:r>
    </w:p>
    <w:p>
      <w:pPr>
        <w:spacing w:after="0" w:line="5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117" w:lineRule="exact"/>
        <w:rPr>
          <w:sz w:val="20"/>
          <w:szCs w:val="20"/>
          <w:color w:val="auto"/>
        </w:rPr>
      </w:pPr>
    </w:p>
    <w:p>
      <w:pPr>
        <w:ind w:right="160" w:firstLine="405"/>
        <w:spacing w:after="0" w:line="279"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acquisitions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 are reasonable under the circumstances.</w:t>
      </w:r>
    </w:p>
    <w:p>
      <w:pPr>
        <w:spacing w:after="0" w:line="63" w:lineRule="exact"/>
        <w:rPr>
          <w:sz w:val="20"/>
          <w:szCs w:val="20"/>
          <w:color w:val="auto"/>
        </w:rPr>
      </w:pPr>
    </w:p>
    <w:p>
      <w:pPr>
        <w:ind w:right="120" w:firstLine="405"/>
        <w:spacing w:after="0" w:line="269" w:lineRule="auto"/>
        <w:rPr>
          <w:sz w:val="20"/>
          <w:szCs w:val="20"/>
          <w:color w:val="auto"/>
        </w:rPr>
      </w:pPr>
      <w:r>
        <w:rPr>
          <w:rFonts w:ascii="Arial" w:cs="Arial" w:eastAsia="Arial" w:hAnsi="Arial"/>
          <w:sz w:val="17"/>
          <w:szCs w:val="17"/>
          <w:color w:val="auto"/>
        </w:rPr>
        <w:t>The following unaudited supplemental pro forma information presents the combined results of operations for each of the periods presented, as if Avera and Aquantia had been acquired as of the beginning of fiscal year 2019 and Cavium had been acquired as of the beginning of fiscal year 2018. The unaudited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For fiscal year 2019, nonrecurring pro forma adjustments directly attributable to the Avera and Aquantia acquisitions included (i) the purchase accounting effect of inventories acquired of $73.1 million for Avera and Aquantia (ii) transaction costs of $18.6 million for Avera and Aquantia and (iii) share-based compensation expense of $3.5 million for Aquantia. The unaudited supplemental pro forma information presented below is for informational purposes only and is not necessarily indicative of our consolidated results of operations of the combined business had the Avera and Aquantia acquisitions actually occurred at the beginning of fiscal year 2019 and the Cavium acquisition actually occurred at the beginning of fiscal year 2018 or of the results of our future operations of the combined business.</w:t>
      </w:r>
    </w:p>
    <w:p>
      <w:pPr>
        <w:spacing w:after="0" w:line="7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periods presented is as follows (in thousands):</w:t>
      </w:r>
    </w:p>
    <w:p>
      <w:pPr>
        <w:spacing w:after="0" w:line="200" w:lineRule="exact"/>
        <w:rPr>
          <w:sz w:val="20"/>
          <w:szCs w:val="20"/>
          <w:color w:val="auto"/>
        </w:rPr>
      </w:pPr>
    </w:p>
    <w:p>
      <w:pPr>
        <w:spacing w:after="0" w:line="34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67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400" w:type="dxa"/>
            <w:vAlign w:val="bottom"/>
            <w:gridSpan w:val="2"/>
          </w:tcPr>
          <w:p>
            <w:pPr>
              <w:jc w:val="right"/>
              <w:spacing w:after="0"/>
              <w:rPr>
                <w:sz w:val="20"/>
                <w:szCs w:val="20"/>
                <w:color w:val="auto"/>
              </w:rPr>
            </w:pPr>
            <w:r>
              <w:rPr>
                <w:rFonts w:ascii="Arial" w:cs="Arial" w:eastAsia="Arial" w:hAnsi="Arial"/>
                <w:sz w:val="18"/>
                <w:szCs w:val="18"/>
                <w:b w:val="1"/>
                <w:bCs w:val="1"/>
                <w:color w:val="auto"/>
              </w:rPr>
              <w:t>Year Ended</w:t>
            </w:r>
          </w:p>
        </w:tc>
        <w:tc>
          <w:tcPr>
            <w:tcW w:w="1780" w:type="dxa"/>
            <w:vAlign w:val="bottom"/>
          </w:tcPr>
          <w:p>
            <w:pPr>
              <w:spacing w:after="0"/>
              <w:rPr>
                <w:sz w:val="20"/>
                <w:szCs w:val="20"/>
                <w:color w:val="auto"/>
              </w:rPr>
            </w:pPr>
          </w:p>
        </w:tc>
      </w:tr>
      <w:tr>
        <w:trPr>
          <w:trHeight w:val="27"/>
        </w:trPr>
        <w:tc>
          <w:tcPr>
            <w:tcW w:w="678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88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780" w:type="dxa"/>
            <w:vAlign w:val="bottom"/>
            <w:tcBorders>
              <w:bottom w:val="single" w:sz="8" w:color="auto"/>
            </w:tcBorders>
          </w:tcPr>
          <w:p>
            <w:pPr>
              <w:spacing w:after="0"/>
              <w:rPr>
                <w:sz w:val="2"/>
                <w:szCs w:val="2"/>
                <w:color w:val="auto"/>
              </w:rPr>
            </w:pPr>
          </w:p>
        </w:tc>
      </w:tr>
      <w:tr>
        <w:trPr>
          <w:trHeight w:val="237"/>
        </w:trPr>
        <w:tc>
          <w:tcPr>
            <w:tcW w:w="67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880" w:type="dxa"/>
            <w:vAlign w:val="bottom"/>
          </w:tcPr>
          <w:p>
            <w:pPr>
              <w:jc w:val="right"/>
              <w:ind w:right="290"/>
              <w:spacing w:after="0"/>
              <w:rPr>
                <w:sz w:val="20"/>
                <w:szCs w:val="20"/>
                <w:color w:val="auto"/>
              </w:rPr>
            </w:pPr>
            <w:r>
              <w:rPr>
                <w:rFonts w:ascii="Arial" w:cs="Arial" w:eastAsia="Arial" w:hAnsi="Arial"/>
                <w:sz w:val="18"/>
                <w:szCs w:val="18"/>
                <w:b w:val="1"/>
                <w:bCs w:val="1"/>
                <w:color w:val="auto"/>
              </w:rPr>
              <w:t>February 1, 2020</w:t>
            </w:r>
          </w:p>
        </w:tc>
        <w:tc>
          <w:tcPr>
            <w:tcW w:w="520" w:type="dxa"/>
            <w:vAlign w:val="bottom"/>
          </w:tcPr>
          <w:p>
            <w:pPr>
              <w:spacing w:after="0"/>
              <w:rPr>
                <w:sz w:val="20"/>
                <w:szCs w:val="20"/>
                <w:color w:val="auto"/>
              </w:rPr>
            </w:pPr>
          </w:p>
        </w:tc>
        <w:tc>
          <w:tcPr>
            <w:tcW w:w="1780" w:type="dxa"/>
            <w:vAlign w:val="bottom"/>
          </w:tcPr>
          <w:p>
            <w:pPr>
              <w:jc w:val="right"/>
              <w:ind w:right="370"/>
              <w:spacing w:after="0"/>
              <w:rPr>
                <w:sz w:val="20"/>
                <w:szCs w:val="20"/>
                <w:color w:val="auto"/>
              </w:rPr>
            </w:pPr>
            <w:r>
              <w:rPr>
                <w:rFonts w:ascii="Arial" w:cs="Arial" w:eastAsia="Arial" w:hAnsi="Arial"/>
                <w:sz w:val="18"/>
                <w:szCs w:val="18"/>
                <w:b w:val="1"/>
                <w:bCs w:val="1"/>
                <w:color w:val="auto"/>
                <w:w w:val="91"/>
              </w:rPr>
              <w:t>February 2, 2019</w:t>
            </w:r>
          </w:p>
        </w:tc>
      </w:tr>
      <w:tr>
        <w:trPr>
          <w:trHeight w:val="27"/>
        </w:trPr>
        <w:tc>
          <w:tcPr>
            <w:tcW w:w="67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88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780" w:type="dxa"/>
            <w:vAlign w:val="bottom"/>
            <w:tcBorders>
              <w:bottom w:val="single" w:sz="8" w:color="auto"/>
            </w:tcBorders>
          </w:tcPr>
          <w:p>
            <w:pPr>
              <w:spacing w:after="0"/>
              <w:rPr>
                <w:sz w:val="2"/>
                <w:szCs w:val="2"/>
                <w:color w:val="auto"/>
              </w:rPr>
            </w:pPr>
          </w:p>
        </w:tc>
      </w:tr>
      <w:tr>
        <w:trPr>
          <w:trHeight w:val="244"/>
        </w:trPr>
        <w:tc>
          <w:tcPr>
            <w:tcW w:w="67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Pro forma net revenue</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3,011,550</w:t>
            </w:r>
          </w:p>
        </w:tc>
        <w:tc>
          <w:tcPr>
            <w:tcW w:w="520" w:type="dxa"/>
            <w:vAlign w:val="bottom"/>
            <w:tcBorders>
              <w:bottom w:val="single" w:sz="8" w:color="CCEEFF"/>
            </w:tcBorders>
            <w:shd w:val="clear" w:color="auto" w:fill="CCEEFF"/>
          </w:tcPr>
          <w:p>
            <w:pPr>
              <w:jc w:val="right"/>
              <w:ind w:right="250"/>
              <w:spacing w:after="0"/>
              <w:rPr>
                <w:sz w:val="20"/>
                <w:szCs w:val="20"/>
                <w:color w:val="auto"/>
              </w:rPr>
            </w:pPr>
            <w:r>
              <w:rPr>
                <w:rFonts w:ascii="Arial" w:cs="Arial" w:eastAsia="Arial" w:hAnsi="Arial"/>
                <w:sz w:val="18"/>
                <w:szCs w:val="18"/>
                <w:color w:val="auto"/>
              </w:rPr>
              <w:t>$</w:t>
            </w:r>
          </w:p>
        </w:tc>
        <w:tc>
          <w:tcPr>
            <w:tcW w:w="17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3,638,086</w:t>
            </w:r>
          </w:p>
        </w:tc>
      </w:tr>
      <w:tr>
        <w:trPr>
          <w:trHeight w:val="243"/>
        </w:trPr>
        <w:tc>
          <w:tcPr>
            <w:tcW w:w="6780" w:type="dxa"/>
            <w:vAlign w:val="bottom"/>
          </w:tcPr>
          <w:p>
            <w:pPr>
              <w:ind w:left="20"/>
              <w:spacing w:after="0"/>
              <w:rPr>
                <w:sz w:val="20"/>
                <w:szCs w:val="20"/>
                <w:color w:val="auto"/>
              </w:rPr>
            </w:pPr>
            <w:r>
              <w:rPr>
                <w:rFonts w:ascii="Arial" w:cs="Arial" w:eastAsia="Arial" w:hAnsi="Arial"/>
                <w:sz w:val="18"/>
                <w:szCs w:val="18"/>
                <w:color w:val="auto"/>
              </w:rPr>
              <w:t>Pro forma net income</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880" w:type="dxa"/>
            <w:vAlign w:val="bottom"/>
          </w:tcPr>
          <w:p>
            <w:pPr>
              <w:jc w:val="right"/>
              <w:spacing w:after="0"/>
              <w:rPr>
                <w:sz w:val="20"/>
                <w:szCs w:val="20"/>
                <w:color w:val="auto"/>
              </w:rPr>
            </w:pPr>
            <w:r>
              <w:rPr>
                <w:rFonts w:ascii="Arial" w:cs="Arial" w:eastAsia="Arial" w:hAnsi="Arial"/>
                <w:sz w:val="18"/>
                <w:szCs w:val="18"/>
                <w:color w:val="auto"/>
              </w:rPr>
              <w:t>1,532,594</w:t>
            </w:r>
          </w:p>
        </w:tc>
        <w:tc>
          <w:tcPr>
            <w:tcW w:w="520" w:type="dxa"/>
            <w:vAlign w:val="bottom"/>
          </w:tcPr>
          <w:p>
            <w:pPr>
              <w:jc w:val="right"/>
              <w:ind w:right="250"/>
              <w:spacing w:after="0"/>
              <w:rPr>
                <w:sz w:val="20"/>
                <w:szCs w:val="20"/>
                <w:color w:val="auto"/>
              </w:rPr>
            </w:pPr>
            <w:r>
              <w:rPr>
                <w:rFonts w:ascii="Arial" w:cs="Arial" w:eastAsia="Arial" w:hAnsi="Arial"/>
                <w:sz w:val="18"/>
                <w:szCs w:val="18"/>
                <w:color w:val="auto"/>
              </w:rPr>
              <w:t>$</w:t>
            </w:r>
          </w:p>
        </w:tc>
        <w:tc>
          <w:tcPr>
            <w:tcW w:w="1780" w:type="dxa"/>
            <w:vAlign w:val="bottom"/>
          </w:tcPr>
          <w:p>
            <w:pPr>
              <w:jc w:val="right"/>
              <w:ind w:right="10"/>
              <w:spacing w:after="0"/>
              <w:rPr>
                <w:sz w:val="20"/>
                <w:szCs w:val="20"/>
                <w:color w:val="auto"/>
              </w:rPr>
            </w:pPr>
            <w:r>
              <w:rPr>
                <w:rFonts w:ascii="Arial" w:cs="Arial" w:eastAsia="Arial" w:hAnsi="Arial"/>
                <w:sz w:val="18"/>
                <w:szCs w:val="18"/>
                <w:color w:val="auto"/>
              </w:rPr>
              <w:t>(334,133)</w:t>
            </w:r>
          </w:p>
        </w:tc>
      </w:tr>
    </w:tbl>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 Goodwill and Acquired Intangible Assets, Net</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117" w:lineRule="exact"/>
        <w:rPr>
          <w:sz w:val="20"/>
          <w:szCs w:val="20"/>
          <w:color w:val="auto"/>
        </w:rPr>
      </w:pPr>
    </w:p>
    <w:p>
      <w:pPr>
        <w:ind w:right="60" w:firstLine="405"/>
        <w:spacing w:after="0" w:line="272" w:lineRule="auto"/>
        <w:rPr>
          <w:sz w:val="20"/>
          <w:szCs w:val="20"/>
          <w:color w:val="auto"/>
        </w:rPr>
      </w:pPr>
      <w:r>
        <w:rPr>
          <w:rFonts w:ascii="Arial" w:cs="Arial" w:eastAsia="Arial" w:hAnsi="Arial"/>
          <w:sz w:val="17"/>
          <w:szCs w:val="17"/>
          <w:color w:val="auto"/>
        </w:rPr>
        <w:t>Goodwill represents the excess of the purchase price over the fair value of the net tangible and identifiable intangible assets acquired in a business combination. In connection with the completion of the Wi-Fi business divestiture on December 6, 2019, the Company allocated goodwill of $511.1 million on a relative fair value basis to the divested business. See “Note 1 - Basis of Presentation” for further discussion of the divestiture. In connection with the Aquantia and Avera acquisitions on September 19, 2019 and November 5, 2019, respectively, the Company recorded goodwill of $357.0 million. In connection with the Cavium acquisition on July 6, 2018, the Company recorded goodwill of $3.5 billion during fiscal 2019 and reduced goodwill by $3.0 million during fiscal 2020 in connection with measurement period adjustments, which were primarily related to changes in estimates related to finalizing Cavium’s 2018 U.S. tax return. See “Note 3 - Business Combinations” for further discussion of the acquisitions.</w:t>
      </w:r>
    </w:p>
    <w:p>
      <w:pPr>
        <w:spacing w:after="0" w:line="69" w:lineRule="exact"/>
        <w:rPr>
          <w:sz w:val="20"/>
          <w:szCs w:val="20"/>
          <w:color w:val="auto"/>
        </w:rPr>
      </w:pPr>
    </w:p>
    <w:p>
      <w:pPr>
        <w:ind w:right="180" w:firstLine="405"/>
        <w:spacing w:after="0" w:line="263" w:lineRule="auto"/>
        <w:rPr>
          <w:sz w:val="20"/>
          <w:szCs w:val="20"/>
          <w:color w:val="auto"/>
        </w:rPr>
      </w:pPr>
      <w:r>
        <w:rPr>
          <w:rFonts w:ascii="Arial" w:cs="Arial" w:eastAsia="Arial" w:hAnsi="Arial"/>
          <w:sz w:val="18"/>
          <w:szCs w:val="18"/>
          <w:color w:val="auto"/>
        </w:rPr>
        <w:t>The Company has identified that its business operates as a single operating segment with two components that it has concluded can be aggregated into a single reporting unit. The Company’s annual test for goodwill impairment as of the last day of the fourth quarter of fiscal 2020 did not result in any impairment charge.</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There was no activity from acquisitions or divestitures recorded to goodwill in fiscal 2020 and 2019 other than those described above.</w:t>
      </w: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67" w:name="page68"/>
    <w:bookmarkEnd w:id="6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117" w:lineRule="exact"/>
        <w:rPr>
          <w:sz w:val="20"/>
          <w:szCs w:val="20"/>
          <w:color w:val="auto"/>
        </w:rPr>
      </w:pPr>
    </w:p>
    <w:p>
      <w:pPr>
        <w:ind w:right="840" w:firstLine="405"/>
        <w:spacing w:after="0" w:line="277" w:lineRule="auto"/>
        <w:rPr>
          <w:sz w:val="20"/>
          <w:szCs w:val="20"/>
          <w:color w:val="auto"/>
        </w:rPr>
      </w:pPr>
      <w:r>
        <w:rPr>
          <w:rFonts w:ascii="Arial" w:cs="Arial" w:eastAsia="Arial" w:hAnsi="Arial"/>
          <w:sz w:val="18"/>
          <w:szCs w:val="18"/>
          <w:color w:val="auto"/>
        </w:rPr>
        <w:t>During the year ended February 1, 2020 the Company acquired $572.0 million of intangible assets associated with the Aquantia and Avera acquisitions as follows (in thousands, except for weighted-average useful life as of acquisition date):</w:t>
      </w:r>
    </w:p>
    <w:p>
      <w:pPr>
        <w:spacing w:after="0" w:line="200" w:lineRule="exact"/>
        <w:rPr>
          <w:sz w:val="20"/>
          <w:szCs w:val="20"/>
          <w:color w:val="auto"/>
        </w:rPr>
      </w:pP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780" w:type="dxa"/>
            <w:vAlign w:val="bottom"/>
          </w:tcPr>
          <w:p>
            <w:pPr>
              <w:spacing w:after="0"/>
              <w:rPr>
                <w:sz w:val="14"/>
                <w:szCs w:val="14"/>
                <w:color w:val="auto"/>
              </w:rPr>
            </w:pPr>
          </w:p>
        </w:tc>
        <w:tc>
          <w:tcPr>
            <w:tcW w:w="224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w w:val="98"/>
              </w:rPr>
              <w:t>Preliminary Estimated Fair Value</w:t>
            </w: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92"/>
              </w:rPr>
              <w:t>Weighted-Average Useful Life</w:t>
            </w:r>
          </w:p>
        </w:tc>
        <w:tc>
          <w:tcPr>
            <w:tcW w:w="0" w:type="dxa"/>
            <w:vAlign w:val="bottom"/>
          </w:tcPr>
          <w:p>
            <w:pPr>
              <w:spacing w:after="0"/>
              <w:rPr>
                <w:sz w:val="1"/>
                <w:szCs w:val="1"/>
                <w:color w:val="auto"/>
              </w:rPr>
            </w:pPr>
          </w:p>
        </w:tc>
      </w:tr>
      <w:tr>
        <w:trPr>
          <w:trHeight w:val="192"/>
        </w:trPr>
        <w:tc>
          <w:tcPr>
            <w:tcW w:w="6780" w:type="dxa"/>
            <w:vAlign w:val="bottom"/>
            <w:tcBorders>
              <w:bottom w:val="single" w:sz="8" w:color="CCEEFF"/>
            </w:tcBorders>
          </w:tcPr>
          <w:p>
            <w:pPr>
              <w:spacing w:after="0"/>
              <w:rPr>
                <w:sz w:val="16"/>
                <w:szCs w:val="16"/>
                <w:color w:val="auto"/>
              </w:rPr>
            </w:pPr>
          </w:p>
        </w:tc>
        <w:tc>
          <w:tcPr>
            <w:tcW w:w="2240" w:type="dxa"/>
            <w:vAlign w:val="bottom"/>
            <w:tcBorders>
              <w:bottom w:val="single" w:sz="8" w:color="auto"/>
            </w:tcBorders>
            <w:gridSpan w:val="2"/>
            <w:vMerge w:val="continue"/>
          </w:tcPr>
          <w:p>
            <w:pPr>
              <w:spacing w:after="0"/>
              <w:rPr>
                <w:sz w:val="16"/>
                <w:szCs w:val="16"/>
                <w:color w:val="auto"/>
              </w:rPr>
            </w:pPr>
          </w:p>
        </w:tc>
        <w:tc>
          <w:tcPr>
            <w:tcW w:w="22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(Years)</w:t>
            </w:r>
          </w:p>
        </w:tc>
        <w:tc>
          <w:tcPr>
            <w:tcW w:w="0" w:type="dxa"/>
            <w:vAlign w:val="bottom"/>
          </w:tcPr>
          <w:p>
            <w:pPr>
              <w:spacing w:after="0"/>
              <w:rPr>
                <w:sz w:val="1"/>
                <w:szCs w:val="1"/>
                <w:color w:val="auto"/>
              </w:rPr>
            </w:pPr>
          </w:p>
        </w:tc>
      </w:tr>
      <w:tr>
        <w:trPr>
          <w:trHeight w:val="250"/>
        </w:trPr>
        <w:tc>
          <w:tcPr>
            <w:tcW w:w="67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technology</w:t>
            </w:r>
          </w:p>
        </w:tc>
        <w:tc>
          <w:tcPr>
            <w:tcW w:w="800" w:type="dxa"/>
            <w:vAlign w:val="bottom"/>
            <w:tcBorders>
              <w:bottom w:val="single" w:sz="8" w:color="CCEEFF"/>
            </w:tcBorders>
            <w:shd w:val="clear" w:color="auto" w:fill="CCEEFF"/>
          </w:tcPr>
          <w:p>
            <w:pPr>
              <w:jc w:val="right"/>
              <w:ind w:right="616"/>
              <w:spacing w:after="0"/>
              <w:rPr>
                <w:sz w:val="20"/>
                <w:szCs w:val="20"/>
                <w:color w:val="auto"/>
              </w:rPr>
            </w:pPr>
            <w:r>
              <w:rPr>
                <w:rFonts w:ascii="Arial" w:cs="Arial" w:eastAsia="Arial" w:hAnsi="Arial"/>
                <w:sz w:val="18"/>
                <w:szCs w:val="18"/>
                <w:color w:val="auto"/>
                <w:w w:val="79"/>
              </w:rPr>
              <w:t>$</w:t>
            </w:r>
          </w:p>
        </w:tc>
        <w:tc>
          <w:tcPr>
            <w:tcW w:w="14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353,000</w:t>
            </w:r>
          </w:p>
        </w:tc>
        <w:tc>
          <w:tcPr>
            <w:tcW w:w="222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91"/>
              </w:rPr>
              <w:t>5.58</w:t>
            </w:r>
          </w:p>
        </w:tc>
        <w:tc>
          <w:tcPr>
            <w:tcW w:w="0" w:type="dxa"/>
            <w:vAlign w:val="bottom"/>
          </w:tcPr>
          <w:p>
            <w:pPr>
              <w:spacing w:after="0"/>
              <w:rPr>
                <w:sz w:val="1"/>
                <w:szCs w:val="1"/>
                <w:color w:val="auto"/>
              </w:rPr>
            </w:pPr>
          </w:p>
        </w:tc>
      </w:tr>
      <w:tr>
        <w:trPr>
          <w:trHeight w:val="243"/>
        </w:trPr>
        <w:tc>
          <w:tcPr>
            <w:tcW w:w="6780" w:type="dxa"/>
            <w:vAlign w:val="bottom"/>
          </w:tcPr>
          <w:p>
            <w:pPr>
              <w:ind w:left="20"/>
              <w:spacing w:after="0"/>
              <w:rPr>
                <w:sz w:val="20"/>
                <w:szCs w:val="20"/>
                <w:color w:val="auto"/>
              </w:rPr>
            </w:pPr>
            <w:r>
              <w:rPr>
                <w:rFonts w:ascii="Arial" w:cs="Arial" w:eastAsia="Arial" w:hAnsi="Arial"/>
                <w:sz w:val="18"/>
                <w:szCs w:val="18"/>
                <w:color w:val="auto"/>
              </w:rPr>
              <w:t>IPR&amp;D</w:t>
            </w:r>
          </w:p>
        </w:tc>
        <w:tc>
          <w:tcPr>
            <w:tcW w:w="800" w:type="dxa"/>
            <w:vAlign w:val="bottom"/>
          </w:tcPr>
          <w:p>
            <w:pPr>
              <w:spacing w:after="0"/>
              <w:rPr>
                <w:sz w:val="21"/>
                <w:szCs w:val="21"/>
                <w:color w:val="auto"/>
              </w:rPr>
            </w:pPr>
          </w:p>
        </w:tc>
        <w:tc>
          <w:tcPr>
            <w:tcW w:w="1440" w:type="dxa"/>
            <w:vAlign w:val="bottom"/>
          </w:tcPr>
          <w:p>
            <w:pPr>
              <w:jc w:val="right"/>
              <w:ind w:right="50"/>
              <w:spacing w:after="0"/>
              <w:rPr>
                <w:sz w:val="20"/>
                <w:szCs w:val="20"/>
                <w:color w:val="auto"/>
              </w:rPr>
            </w:pPr>
            <w:r>
              <w:rPr>
                <w:rFonts w:ascii="Arial" w:cs="Arial" w:eastAsia="Arial" w:hAnsi="Arial"/>
                <w:sz w:val="18"/>
                <w:szCs w:val="18"/>
                <w:color w:val="auto"/>
              </w:rPr>
              <w:t>41,000</w:t>
            </w:r>
          </w:p>
        </w:tc>
        <w:tc>
          <w:tcPr>
            <w:tcW w:w="2220" w:type="dxa"/>
            <w:vAlign w:val="bottom"/>
          </w:tcPr>
          <w:p>
            <w:pPr>
              <w:jc w:val="center"/>
              <w:spacing w:after="0"/>
              <w:rPr>
                <w:sz w:val="20"/>
                <w:szCs w:val="20"/>
                <w:color w:val="auto"/>
              </w:rPr>
            </w:pPr>
            <w:r>
              <w:rPr>
                <w:rFonts w:ascii="Arial" w:cs="Arial" w:eastAsia="Arial" w:hAnsi="Arial"/>
                <w:sz w:val="18"/>
                <w:szCs w:val="18"/>
                <w:color w:val="auto"/>
                <w:w w:val="91"/>
              </w:rPr>
              <w:t>7.39</w:t>
            </w:r>
          </w:p>
        </w:tc>
        <w:tc>
          <w:tcPr>
            <w:tcW w:w="0" w:type="dxa"/>
            <w:vAlign w:val="bottom"/>
          </w:tcPr>
          <w:p>
            <w:pPr>
              <w:spacing w:after="0"/>
              <w:rPr>
                <w:sz w:val="1"/>
                <w:szCs w:val="1"/>
                <w:color w:val="auto"/>
              </w:rPr>
            </w:pPr>
          </w:p>
        </w:tc>
      </w:tr>
      <w:tr>
        <w:trPr>
          <w:trHeight w:val="27"/>
        </w:trPr>
        <w:tc>
          <w:tcPr>
            <w:tcW w:w="67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440" w:type="dxa"/>
            <w:vAlign w:val="bottom"/>
          </w:tcPr>
          <w:p>
            <w:pPr>
              <w:spacing w:after="0"/>
              <w:rPr>
                <w:sz w:val="2"/>
                <w:szCs w:val="2"/>
                <w:color w:val="auto"/>
              </w:rPr>
            </w:pPr>
          </w:p>
        </w:tc>
        <w:tc>
          <w:tcPr>
            <w:tcW w:w="2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800" w:type="dxa"/>
            <w:vAlign w:val="bottom"/>
            <w:tcBorders>
              <w:bottom w:val="single" w:sz="8" w:color="CCEEFF"/>
            </w:tcBorders>
            <w:shd w:val="clear" w:color="auto" w:fill="CCEEFF"/>
          </w:tcPr>
          <w:p>
            <w:pPr>
              <w:spacing w:after="0"/>
              <w:rPr>
                <w:sz w:val="23"/>
                <w:szCs w:val="23"/>
                <w:color w:val="auto"/>
              </w:rPr>
            </w:pPr>
          </w:p>
        </w:tc>
        <w:tc>
          <w:tcPr>
            <w:tcW w:w="14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178,000</w:t>
            </w:r>
          </w:p>
        </w:tc>
        <w:tc>
          <w:tcPr>
            <w:tcW w:w="222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91"/>
              </w:rPr>
              <w:t>5.21</w:t>
            </w:r>
          </w:p>
        </w:tc>
        <w:tc>
          <w:tcPr>
            <w:tcW w:w="0" w:type="dxa"/>
            <w:vAlign w:val="bottom"/>
          </w:tcPr>
          <w:p>
            <w:pPr>
              <w:spacing w:after="0"/>
              <w:rPr>
                <w:sz w:val="1"/>
                <w:szCs w:val="1"/>
                <w:color w:val="auto"/>
              </w:rPr>
            </w:pPr>
          </w:p>
        </w:tc>
      </w:tr>
      <w:tr>
        <w:trPr>
          <w:trHeight w:val="237"/>
        </w:trPr>
        <w:tc>
          <w:tcPr>
            <w:tcW w:w="6780" w:type="dxa"/>
            <w:vAlign w:val="bottom"/>
          </w:tcPr>
          <w:p>
            <w:pPr>
              <w:spacing w:after="0"/>
              <w:rPr>
                <w:sz w:val="20"/>
                <w:szCs w:val="20"/>
                <w:color w:val="auto"/>
              </w:rPr>
            </w:pPr>
          </w:p>
        </w:tc>
        <w:tc>
          <w:tcPr>
            <w:tcW w:w="800" w:type="dxa"/>
            <w:vAlign w:val="bottom"/>
            <w:tcBorders>
              <w:top w:val="single" w:sz="8" w:color="auto"/>
            </w:tcBorders>
          </w:tcPr>
          <w:p>
            <w:pPr>
              <w:jc w:val="right"/>
              <w:ind w:right="616"/>
              <w:spacing w:after="0"/>
              <w:rPr>
                <w:sz w:val="20"/>
                <w:szCs w:val="20"/>
                <w:color w:val="auto"/>
              </w:rPr>
            </w:pPr>
            <w:r>
              <w:rPr>
                <w:rFonts w:ascii="Arial" w:cs="Arial" w:eastAsia="Arial" w:hAnsi="Arial"/>
                <w:sz w:val="18"/>
                <w:szCs w:val="18"/>
                <w:color w:val="auto"/>
                <w:w w:val="79"/>
              </w:rPr>
              <w:t>$</w:t>
            </w:r>
          </w:p>
        </w:tc>
        <w:tc>
          <w:tcPr>
            <w:tcW w:w="144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rPr>
              <w:t>572,000</w:t>
            </w:r>
          </w:p>
        </w:tc>
        <w:tc>
          <w:tcPr>
            <w:tcW w:w="2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6780" w:type="dxa"/>
            <w:vAlign w:val="bottom"/>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22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6780" w:type="dxa"/>
            <w:vAlign w:val="bottom"/>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tcBorders>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February 1, 2020, net carrying amounts are as follows (in thousands, except for weighted-average remaining amortization period):</w:t>
      </w:r>
    </w:p>
    <w:p>
      <w:pPr>
        <w:spacing w:after="0" w:line="200" w:lineRule="exact"/>
        <w:rPr>
          <w:sz w:val="20"/>
          <w:szCs w:val="20"/>
          <w:color w:val="auto"/>
        </w:rPr>
      </w:pPr>
    </w:p>
    <w:p>
      <w:pPr>
        <w:spacing w:after="0" w:line="210"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1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740" w:type="dxa"/>
            <w:vAlign w:val="bottom"/>
            <w:gridSpan w:val="4"/>
          </w:tcPr>
          <w:p>
            <w:pPr>
              <w:jc w:val="right"/>
              <w:ind w:right="696"/>
              <w:spacing w:after="0"/>
              <w:rPr>
                <w:sz w:val="20"/>
                <w:szCs w:val="20"/>
                <w:color w:val="auto"/>
              </w:rPr>
            </w:pPr>
            <w:r>
              <w:rPr>
                <w:rFonts w:ascii="Arial" w:cs="Arial" w:eastAsia="Arial" w:hAnsi="Arial"/>
                <w:sz w:val="18"/>
                <w:szCs w:val="18"/>
                <w:b w:val="1"/>
                <w:bCs w:val="1"/>
                <w:color w:val="auto"/>
              </w:rPr>
              <w:t>February 1, 2020</w:t>
            </w:r>
          </w:p>
        </w:tc>
        <w:tc>
          <w:tcPr>
            <w:tcW w:w="100" w:type="dxa"/>
            <w:vAlign w:val="bottom"/>
          </w:tcPr>
          <w:p>
            <w:pPr>
              <w:spacing w:after="0"/>
              <w:rPr>
                <w:sz w:val="20"/>
                <w:szCs w:val="20"/>
                <w:color w:val="auto"/>
              </w:rPr>
            </w:pPr>
          </w:p>
        </w:tc>
        <w:tc>
          <w:tcPr>
            <w:tcW w:w="15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46"/>
        </w:trPr>
        <w:tc>
          <w:tcPr>
            <w:tcW w:w="5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60" w:type="dxa"/>
            <w:vAlign w:val="bottom"/>
            <w:gridSpan w:val="2"/>
            <w:vMerge w:val="restart"/>
          </w:tcPr>
          <w:p>
            <w:pPr>
              <w:jc w:val="center"/>
              <w:ind w:right="380"/>
              <w:spacing w:after="0"/>
              <w:rPr>
                <w:sz w:val="20"/>
                <w:szCs w:val="20"/>
                <w:color w:val="auto"/>
              </w:rPr>
            </w:pPr>
            <w:r>
              <w:rPr>
                <w:rFonts w:ascii="Arial" w:cs="Arial" w:eastAsia="Arial" w:hAnsi="Arial"/>
                <w:sz w:val="14"/>
                <w:szCs w:val="14"/>
                <w:b w:val="1"/>
                <w:bCs w:val="1"/>
                <w:color w:val="auto"/>
                <w:w w:val="88"/>
              </w:rPr>
              <w:t>Gross</w:t>
            </w:r>
          </w:p>
        </w:tc>
        <w:tc>
          <w:tcPr>
            <w:tcW w:w="200" w:type="dxa"/>
            <w:vAlign w:val="bottom"/>
          </w:tcPr>
          <w:p>
            <w:pPr>
              <w:spacing w:after="0"/>
              <w:rPr>
                <w:sz w:val="12"/>
                <w:szCs w:val="12"/>
                <w:color w:val="auto"/>
              </w:rPr>
            </w:pPr>
          </w:p>
        </w:tc>
        <w:tc>
          <w:tcPr>
            <w:tcW w:w="1320" w:type="dxa"/>
            <w:vAlign w:val="bottom"/>
            <w:gridSpan w:val="2"/>
          </w:tcPr>
          <w:p>
            <w:pPr>
              <w:jc w:val="center"/>
              <w:ind w:right="320"/>
              <w:spacing w:after="0" w:line="147" w:lineRule="exact"/>
              <w:rPr>
                <w:sz w:val="20"/>
                <w:szCs w:val="20"/>
                <w:color w:val="auto"/>
              </w:rPr>
            </w:pPr>
            <w:r>
              <w:rPr>
                <w:rFonts w:ascii="Arial" w:cs="Arial" w:eastAsia="Arial" w:hAnsi="Arial"/>
                <w:sz w:val="14"/>
                <w:szCs w:val="14"/>
                <w:b w:val="1"/>
                <w:bCs w:val="1"/>
                <w:color w:val="auto"/>
                <w:w w:val="90"/>
              </w:rPr>
              <w:t>Accumulated</w:t>
            </w:r>
          </w:p>
        </w:tc>
        <w:tc>
          <w:tcPr>
            <w:tcW w:w="260" w:type="dxa"/>
            <w:vAlign w:val="bottom"/>
          </w:tcPr>
          <w:p>
            <w:pPr>
              <w:spacing w:after="0"/>
              <w:rPr>
                <w:sz w:val="12"/>
                <w:szCs w:val="12"/>
                <w:color w:val="auto"/>
              </w:rPr>
            </w:pPr>
          </w:p>
        </w:tc>
        <w:tc>
          <w:tcPr>
            <w:tcW w:w="1160" w:type="dxa"/>
            <w:vAlign w:val="bottom"/>
            <w:vMerge w:val="restart"/>
          </w:tcPr>
          <w:p>
            <w:pPr>
              <w:jc w:val="right"/>
              <w:ind w:right="516"/>
              <w:spacing w:after="0"/>
              <w:rPr>
                <w:sz w:val="20"/>
                <w:szCs w:val="20"/>
                <w:color w:val="auto"/>
              </w:rPr>
            </w:pPr>
            <w:r>
              <w:rPr>
                <w:rFonts w:ascii="Arial" w:cs="Arial" w:eastAsia="Arial" w:hAnsi="Arial"/>
                <w:sz w:val="14"/>
                <w:szCs w:val="14"/>
                <w:b w:val="1"/>
                <w:bCs w:val="1"/>
                <w:color w:val="auto"/>
              </w:rPr>
              <w:t>Net</w:t>
            </w:r>
          </w:p>
        </w:tc>
        <w:tc>
          <w:tcPr>
            <w:tcW w:w="100" w:type="dxa"/>
            <w:vAlign w:val="bottom"/>
          </w:tcPr>
          <w:p>
            <w:pPr>
              <w:spacing w:after="0"/>
              <w:rPr>
                <w:sz w:val="12"/>
                <w:szCs w:val="12"/>
                <w:color w:val="auto"/>
              </w:rPr>
            </w:pPr>
          </w:p>
        </w:tc>
        <w:tc>
          <w:tcPr>
            <w:tcW w:w="1500" w:type="dxa"/>
            <w:vAlign w:val="bottom"/>
            <w:vMerge w:val="restart"/>
          </w:tcPr>
          <w:p>
            <w:pPr>
              <w:jc w:val="right"/>
              <w:ind w:right="104"/>
              <w:spacing w:after="0"/>
              <w:rPr>
                <w:sz w:val="20"/>
                <w:szCs w:val="20"/>
                <w:color w:val="auto"/>
              </w:rPr>
            </w:pPr>
            <w:r>
              <w:rPr>
                <w:rFonts w:ascii="Arial" w:cs="Arial" w:eastAsia="Arial" w:hAnsi="Arial"/>
                <w:sz w:val="14"/>
                <w:szCs w:val="14"/>
                <w:b w:val="1"/>
                <w:bCs w:val="1"/>
                <w:color w:val="auto"/>
              </w:rPr>
              <w:t>Weighted -average</w:t>
            </w:r>
          </w:p>
        </w:tc>
        <w:tc>
          <w:tcPr>
            <w:tcW w:w="0" w:type="dxa"/>
            <w:vAlign w:val="bottom"/>
          </w:tcPr>
          <w:p>
            <w:pPr>
              <w:spacing w:after="0"/>
              <w:rPr>
                <w:sz w:val="1"/>
                <w:szCs w:val="1"/>
                <w:color w:val="auto"/>
              </w:rPr>
            </w:pPr>
          </w:p>
        </w:tc>
      </w:tr>
      <w:tr>
        <w:trPr>
          <w:trHeight w:val="149"/>
        </w:trPr>
        <w:tc>
          <w:tcPr>
            <w:tcW w:w="5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200" w:type="dxa"/>
            <w:vAlign w:val="bottom"/>
          </w:tcPr>
          <w:p>
            <w:pPr>
              <w:spacing w:after="0"/>
              <w:rPr>
                <w:sz w:val="12"/>
                <w:szCs w:val="12"/>
                <w:color w:val="auto"/>
              </w:rPr>
            </w:pPr>
          </w:p>
        </w:tc>
        <w:tc>
          <w:tcPr>
            <w:tcW w:w="13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8"/>
              </w:rPr>
              <w:t>Amortization</w:t>
            </w:r>
          </w:p>
        </w:tc>
        <w:tc>
          <w:tcPr>
            <w:tcW w:w="260" w:type="dxa"/>
            <w:vAlign w:val="bottom"/>
          </w:tcPr>
          <w:p>
            <w:pPr>
              <w:spacing w:after="0"/>
              <w:rPr>
                <w:sz w:val="12"/>
                <w:szCs w:val="12"/>
                <w:color w:val="auto"/>
              </w:rPr>
            </w:pPr>
          </w:p>
        </w:tc>
        <w:tc>
          <w:tcPr>
            <w:tcW w:w="116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50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7"/>
              </w:rPr>
              <w:t>Carrying</w:t>
            </w:r>
          </w:p>
        </w:tc>
        <w:tc>
          <w:tcPr>
            <w:tcW w:w="200" w:type="dxa"/>
            <w:vAlign w:val="bottom"/>
          </w:tcPr>
          <w:p>
            <w:pPr>
              <w:spacing w:after="0"/>
              <w:rPr>
                <w:sz w:val="12"/>
                <w:szCs w:val="12"/>
                <w:color w:val="auto"/>
              </w:rPr>
            </w:pPr>
          </w:p>
        </w:tc>
        <w:tc>
          <w:tcPr>
            <w:tcW w:w="13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6"/>
              </w:rPr>
              <w:t>and</w:t>
            </w:r>
          </w:p>
        </w:tc>
        <w:tc>
          <w:tcPr>
            <w:tcW w:w="260" w:type="dxa"/>
            <w:vAlign w:val="bottom"/>
          </w:tcPr>
          <w:p>
            <w:pPr>
              <w:spacing w:after="0"/>
              <w:rPr>
                <w:sz w:val="12"/>
                <w:szCs w:val="12"/>
                <w:color w:val="auto"/>
              </w:rPr>
            </w:pPr>
          </w:p>
        </w:tc>
        <w:tc>
          <w:tcPr>
            <w:tcW w:w="1160" w:type="dxa"/>
            <w:vAlign w:val="bottom"/>
          </w:tcPr>
          <w:p>
            <w:pPr>
              <w:jc w:val="right"/>
              <w:ind w:right="356"/>
              <w:spacing w:after="0" w:line="149" w:lineRule="exact"/>
              <w:rPr>
                <w:sz w:val="20"/>
                <w:szCs w:val="20"/>
                <w:color w:val="auto"/>
              </w:rPr>
            </w:pPr>
            <w:r>
              <w:rPr>
                <w:rFonts w:ascii="Arial" w:cs="Arial" w:eastAsia="Arial" w:hAnsi="Arial"/>
                <w:sz w:val="14"/>
                <w:szCs w:val="14"/>
                <w:b w:val="1"/>
                <w:bCs w:val="1"/>
                <w:color w:val="auto"/>
              </w:rPr>
              <w:t>Carrying</w:t>
            </w:r>
          </w:p>
        </w:tc>
        <w:tc>
          <w:tcPr>
            <w:tcW w:w="100" w:type="dxa"/>
            <w:vAlign w:val="bottom"/>
          </w:tcPr>
          <w:p>
            <w:pPr>
              <w:spacing w:after="0"/>
              <w:rPr>
                <w:sz w:val="12"/>
                <w:szCs w:val="12"/>
                <w:color w:val="auto"/>
              </w:rPr>
            </w:pPr>
          </w:p>
        </w:tc>
        <w:tc>
          <w:tcPr>
            <w:tcW w:w="15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2"/>
        </w:trPr>
        <w:tc>
          <w:tcPr>
            <w:tcW w:w="516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176"/>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17"/>
              <w:spacing w:after="0"/>
              <w:rPr>
                <w:sz w:val="20"/>
                <w:szCs w:val="20"/>
                <w:color w:val="auto"/>
              </w:rPr>
            </w:pPr>
            <w:r>
              <w:rPr>
                <w:rFonts w:ascii="Arial" w:cs="Arial" w:eastAsia="Arial" w:hAnsi="Arial"/>
                <w:sz w:val="14"/>
                <w:szCs w:val="14"/>
                <w:b w:val="1"/>
                <w:bCs w:val="1"/>
                <w:color w:val="auto"/>
              </w:rPr>
              <w:t>Write-Offs</w:t>
            </w:r>
          </w:p>
        </w:tc>
        <w:tc>
          <w:tcPr>
            <w:tcW w:w="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356"/>
              <w:spacing w:after="0"/>
              <w:rPr>
                <w:sz w:val="20"/>
                <w:szCs w:val="20"/>
                <w:color w:val="auto"/>
              </w:rPr>
            </w:pPr>
            <w:r>
              <w:rPr>
                <w:rFonts w:ascii="Arial" w:cs="Arial" w:eastAsia="Arial" w:hAnsi="Arial"/>
                <w:sz w:val="14"/>
                <w:szCs w:val="14"/>
                <w:b w:val="1"/>
                <w:bCs w:val="1"/>
                <w:color w:val="auto"/>
              </w:rPr>
              <w:t>Amounts</w:t>
            </w:r>
          </w:p>
        </w:tc>
        <w:tc>
          <w:tcPr>
            <w:tcW w:w="10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244"/>
              <w:spacing w:after="0"/>
              <w:rPr>
                <w:sz w:val="20"/>
                <w:szCs w:val="20"/>
                <w:color w:val="auto"/>
              </w:rPr>
            </w:pPr>
            <w:r>
              <w:rPr>
                <w:rFonts w:ascii="Arial" w:cs="Arial" w:eastAsia="Arial" w:hAnsi="Arial"/>
                <w:sz w:val="14"/>
                <w:szCs w:val="14"/>
                <w:b w:val="1"/>
                <w:bCs w:val="1"/>
                <w:color w:val="auto"/>
              </w:rPr>
              <w:t>period (years)</w:t>
            </w:r>
          </w:p>
        </w:tc>
        <w:tc>
          <w:tcPr>
            <w:tcW w:w="0" w:type="dxa"/>
            <w:vAlign w:val="bottom"/>
          </w:tcPr>
          <w:p>
            <w:pPr>
              <w:spacing w:after="0"/>
              <w:rPr>
                <w:sz w:val="1"/>
                <w:szCs w:val="1"/>
                <w:color w:val="auto"/>
              </w:rPr>
            </w:pPr>
          </w:p>
        </w:tc>
      </w:tr>
      <w:tr>
        <w:trPr>
          <w:trHeight w:val="250"/>
        </w:trPr>
        <w:tc>
          <w:tcPr>
            <w:tcW w:w="51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2,511,000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(413,735)</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2,097,265</w:t>
            </w:r>
          </w:p>
        </w:tc>
        <w:tc>
          <w:tcPr>
            <w:tcW w:w="16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6.41</w:t>
            </w:r>
          </w:p>
        </w:tc>
        <w:tc>
          <w:tcPr>
            <w:tcW w:w="0" w:type="dxa"/>
            <w:vAlign w:val="bottom"/>
          </w:tcPr>
          <w:p>
            <w:pPr>
              <w:spacing w:after="0"/>
              <w:rPr>
                <w:sz w:val="1"/>
                <w:szCs w:val="1"/>
                <w:color w:val="auto"/>
              </w:rPr>
            </w:pPr>
          </w:p>
        </w:tc>
      </w:tr>
      <w:tr>
        <w:trPr>
          <w:trHeight w:val="243"/>
        </w:trPr>
        <w:tc>
          <w:tcPr>
            <w:tcW w:w="516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280" w:type="dxa"/>
            <w:vAlign w:val="bottom"/>
          </w:tcPr>
          <w:p>
            <w:pPr>
              <w:spacing w:after="0"/>
              <w:rPr>
                <w:sz w:val="21"/>
                <w:szCs w:val="21"/>
                <w:color w:val="auto"/>
              </w:rPr>
            </w:pPr>
          </w:p>
        </w:tc>
        <w:tc>
          <w:tcPr>
            <w:tcW w:w="1140" w:type="dxa"/>
            <w:vAlign w:val="bottom"/>
          </w:tcPr>
          <w:p>
            <w:pPr>
              <w:jc w:val="right"/>
              <w:ind w:right="76"/>
              <w:spacing w:after="0"/>
              <w:rPr>
                <w:sz w:val="20"/>
                <w:szCs w:val="20"/>
                <w:color w:val="auto"/>
              </w:rPr>
            </w:pPr>
            <w:r>
              <w:rPr>
                <w:rFonts w:ascii="Arial" w:cs="Arial" w:eastAsia="Arial" w:hAnsi="Arial"/>
                <w:sz w:val="18"/>
                <w:szCs w:val="18"/>
                <w:color w:val="auto"/>
              </w:rPr>
              <w:t>643,000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0" w:type="dxa"/>
            <w:vAlign w:val="bottom"/>
          </w:tcPr>
          <w:p>
            <w:pPr>
              <w:jc w:val="right"/>
              <w:ind w:right="17"/>
              <w:spacing w:after="0"/>
              <w:rPr>
                <w:sz w:val="20"/>
                <w:szCs w:val="20"/>
                <w:color w:val="auto"/>
              </w:rPr>
            </w:pPr>
            <w:r>
              <w:rPr>
                <w:rFonts w:ascii="Arial" w:cs="Arial" w:eastAsia="Arial" w:hAnsi="Arial"/>
                <w:sz w:val="18"/>
                <w:szCs w:val="18"/>
                <w:color w:val="auto"/>
              </w:rPr>
              <w:t>(128,939)</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60" w:type="dxa"/>
            <w:vAlign w:val="bottom"/>
          </w:tcPr>
          <w:p>
            <w:pPr>
              <w:jc w:val="right"/>
              <w:ind w:right="76"/>
              <w:spacing w:after="0"/>
              <w:rPr>
                <w:sz w:val="20"/>
                <w:szCs w:val="20"/>
                <w:color w:val="auto"/>
              </w:rPr>
            </w:pPr>
            <w:r>
              <w:rPr>
                <w:rFonts w:ascii="Arial" w:cs="Arial" w:eastAsia="Arial" w:hAnsi="Arial"/>
                <w:sz w:val="18"/>
                <w:szCs w:val="18"/>
                <w:color w:val="auto"/>
              </w:rPr>
              <w:t>514,061</w:t>
            </w:r>
          </w:p>
        </w:tc>
        <w:tc>
          <w:tcPr>
            <w:tcW w:w="1600" w:type="dxa"/>
            <w:vAlign w:val="bottom"/>
            <w:gridSpan w:val="2"/>
          </w:tcPr>
          <w:p>
            <w:pPr>
              <w:jc w:val="right"/>
              <w:spacing w:after="0"/>
              <w:rPr>
                <w:sz w:val="20"/>
                <w:szCs w:val="20"/>
                <w:color w:val="auto"/>
              </w:rPr>
            </w:pPr>
            <w:r>
              <w:rPr>
                <w:rFonts w:ascii="Arial" w:cs="Arial" w:eastAsia="Arial" w:hAnsi="Arial"/>
                <w:sz w:val="18"/>
                <w:szCs w:val="18"/>
                <w:color w:val="auto"/>
              </w:rPr>
              <w:t>6.61</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28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23,000</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(8,726)</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14,274</w:t>
            </w:r>
          </w:p>
        </w:tc>
        <w:tc>
          <w:tcPr>
            <w:tcW w:w="16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2.96</w:t>
            </w:r>
          </w:p>
        </w:tc>
        <w:tc>
          <w:tcPr>
            <w:tcW w:w="0" w:type="dxa"/>
            <w:vAlign w:val="bottom"/>
          </w:tcPr>
          <w:p>
            <w:pPr>
              <w:spacing w:after="0"/>
              <w:rPr>
                <w:sz w:val="1"/>
                <w:szCs w:val="1"/>
                <w:color w:val="auto"/>
              </w:rPr>
            </w:pPr>
          </w:p>
        </w:tc>
      </w:tr>
      <w:tr>
        <w:trPr>
          <w:trHeight w:val="237"/>
        </w:trPr>
        <w:tc>
          <w:tcPr>
            <w:tcW w:w="516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28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3,177,000</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(551,400)</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2,625,600</w:t>
            </w:r>
          </w:p>
        </w:tc>
        <w:tc>
          <w:tcPr>
            <w:tcW w:w="1600" w:type="dxa"/>
            <w:vAlign w:val="bottom"/>
            <w:gridSpan w:val="2"/>
          </w:tcPr>
          <w:p>
            <w:pPr>
              <w:jc w:val="right"/>
              <w:spacing w:after="0"/>
              <w:rPr>
                <w:sz w:val="20"/>
                <w:szCs w:val="20"/>
                <w:color w:val="auto"/>
              </w:rPr>
            </w:pPr>
            <w:r>
              <w:rPr>
                <w:rFonts w:ascii="Arial" w:cs="Arial" w:eastAsia="Arial" w:hAnsi="Arial"/>
                <w:sz w:val="18"/>
                <w:szCs w:val="18"/>
                <w:color w:val="auto"/>
              </w:rPr>
              <w:t>6.43</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IPR&amp;D</w:t>
            </w:r>
          </w:p>
        </w:tc>
        <w:tc>
          <w:tcPr>
            <w:tcW w:w="28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139,000</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139,000</w:t>
            </w:r>
          </w:p>
        </w:tc>
        <w:tc>
          <w:tcPr>
            <w:tcW w:w="100" w:type="dxa"/>
            <w:vAlign w:val="bottom"/>
            <w:tcBorders>
              <w:bottom w:val="single" w:sz="8" w:color="CCEEFF"/>
            </w:tcBorders>
            <w:shd w:val="clear" w:color="auto" w:fill="CCEEFF"/>
          </w:tcPr>
          <w:p>
            <w:pPr>
              <w:spacing w:after="0"/>
              <w:rPr>
                <w:sz w:val="23"/>
                <w:szCs w:val="23"/>
                <w:color w:val="auto"/>
              </w:rPr>
            </w:pPr>
          </w:p>
        </w:tc>
        <w:tc>
          <w:tcPr>
            <w:tcW w:w="15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63"/>
        </w:trPr>
        <w:tc>
          <w:tcPr>
            <w:tcW w:w="516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28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bottom w:val="single" w:sz="8" w:color="auto"/>
            </w:tcBorders>
          </w:tcPr>
          <w:p>
            <w:pPr>
              <w:jc w:val="right"/>
              <w:ind w:right="76"/>
              <w:spacing w:after="0"/>
              <w:rPr>
                <w:sz w:val="20"/>
                <w:szCs w:val="20"/>
                <w:color w:val="auto"/>
              </w:rPr>
            </w:pPr>
            <w:r>
              <w:rPr>
                <w:rFonts w:ascii="Arial" w:cs="Arial" w:eastAsia="Arial" w:hAnsi="Arial"/>
                <w:sz w:val="18"/>
                <w:szCs w:val="18"/>
                <w:color w:val="auto"/>
              </w:rPr>
              <w:t>3,316,000</w:t>
            </w:r>
          </w:p>
        </w:tc>
        <w:tc>
          <w:tcPr>
            <w:tcW w:w="120" w:type="dxa"/>
            <w:vAlign w:val="bottom"/>
          </w:tcPr>
          <w:p>
            <w:pPr>
              <w:spacing w:after="0"/>
              <w:rPr>
                <w:sz w:val="22"/>
                <w:szCs w:val="22"/>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200" w:type="dxa"/>
            <w:vAlign w:val="bottom"/>
            <w:tcBorders>
              <w:top w:val="single" w:sz="8" w:color="auto"/>
              <w:bottom w:val="single" w:sz="8" w:color="auto"/>
            </w:tcBorders>
          </w:tcPr>
          <w:p>
            <w:pPr>
              <w:jc w:val="right"/>
              <w:ind w:right="17"/>
              <w:spacing w:after="0"/>
              <w:rPr>
                <w:sz w:val="20"/>
                <w:szCs w:val="20"/>
                <w:color w:val="auto"/>
              </w:rPr>
            </w:pPr>
            <w:r>
              <w:rPr>
                <w:rFonts w:ascii="Arial" w:cs="Arial" w:eastAsia="Arial" w:hAnsi="Arial"/>
                <w:sz w:val="18"/>
                <w:szCs w:val="18"/>
                <w:color w:val="auto"/>
              </w:rPr>
              <w:t>(551,400)</w:t>
            </w:r>
          </w:p>
        </w:tc>
        <w:tc>
          <w:tcPr>
            <w:tcW w:w="120" w:type="dxa"/>
            <w:vAlign w:val="bottom"/>
          </w:tcPr>
          <w:p>
            <w:pPr>
              <w:spacing w:after="0"/>
              <w:rPr>
                <w:sz w:val="22"/>
                <w:szCs w:val="22"/>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ind w:right="76"/>
              <w:spacing w:after="0"/>
              <w:rPr>
                <w:sz w:val="20"/>
                <w:szCs w:val="20"/>
                <w:color w:val="auto"/>
              </w:rPr>
            </w:pPr>
            <w:r>
              <w:rPr>
                <w:rFonts w:ascii="Arial" w:cs="Arial" w:eastAsia="Arial" w:hAnsi="Arial"/>
                <w:sz w:val="18"/>
                <w:szCs w:val="18"/>
                <w:color w:val="auto"/>
              </w:rPr>
              <w:t>2,764,600</w:t>
            </w:r>
          </w:p>
        </w:tc>
        <w:tc>
          <w:tcPr>
            <w:tcW w:w="100" w:type="dxa"/>
            <w:vAlign w:val="bottom"/>
          </w:tcPr>
          <w:p>
            <w:pPr>
              <w:spacing w:after="0"/>
              <w:rPr>
                <w:sz w:val="22"/>
                <w:szCs w:val="22"/>
                <w:color w:val="auto"/>
              </w:rPr>
            </w:pPr>
          </w:p>
        </w:tc>
        <w:tc>
          <w:tcPr>
            <w:tcW w:w="15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16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left="420"/>
        <w:spacing w:after="0"/>
        <w:rPr>
          <w:sz w:val="20"/>
          <w:szCs w:val="20"/>
          <w:color w:val="auto"/>
        </w:rPr>
      </w:pPr>
      <w:r>
        <w:rPr>
          <w:rFonts w:ascii="Arial" w:cs="Arial" w:eastAsia="Arial" w:hAnsi="Arial"/>
          <w:sz w:val="16"/>
          <w:szCs w:val="16"/>
          <w:color w:val="auto"/>
        </w:rPr>
        <w:t>During the year ended February 2, 2019, in connection with the Cavium acquisition, the Company acquired $2.7 billion of intangible assets. As of</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February 2, 2019, net carrying amounts are as follows (in thousands, except for weighted-average remaining amortization period):</w:t>
      </w:r>
    </w:p>
    <w:p>
      <w:pPr>
        <w:spacing w:after="0" w:line="200" w:lineRule="exact"/>
        <w:rPr>
          <w:sz w:val="20"/>
          <w:szCs w:val="20"/>
          <w:color w:val="auto"/>
        </w:rPr>
      </w:pPr>
    </w:p>
    <w:p>
      <w:pPr>
        <w:spacing w:after="0" w:line="23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2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760" w:type="dxa"/>
            <w:vAlign w:val="bottom"/>
            <w:gridSpan w:val="4"/>
          </w:tcPr>
          <w:p>
            <w:pPr>
              <w:jc w:val="right"/>
              <w:ind w:right="756"/>
              <w:spacing w:after="0"/>
              <w:rPr>
                <w:sz w:val="20"/>
                <w:szCs w:val="20"/>
                <w:color w:val="auto"/>
              </w:rPr>
            </w:pPr>
            <w:r>
              <w:rPr>
                <w:rFonts w:ascii="Arial" w:cs="Arial" w:eastAsia="Arial" w:hAnsi="Arial"/>
                <w:sz w:val="18"/>
                <w:szCs w:val="18"/>
                <w:b w:val="1"/>
                <w:bCs w:val="1"/>
                <w:color w:val="auto"/>
              </w:rPr>
              <w:t>February 2, 2019</w:t>
            </w:r>
          </w:p>
        </w:tc>
        <w:tc>
          <w:tcPr>
            <w:tcW w:w="10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52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46"/>
        </w:trPr>
        <w:tc>
          <w:tcPr>
            <w:tcW w:w="52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60" w:type="dxa"/>
            <w:vAlign w:val="bottom"/>
            <w:gridSpan w:val="2"/>
            <w:vMerge w:val="restart"/>
          </w:tcPr>
          <w:p>
            <w:pPr>
              <w:jc w:val="center"/>
              <w:ind w:right="380"/>
              <w:spacing w:after="0"/>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2"/>
                <w:szCs w:val="12"/>
                <w:color w:val="auto"/>
              </w:rPr>
            </w:pPr>
          </w:p>
        </w:tc>
        <w:tc>
          <w:tcPr>
            <w:tcW w:w="1320" w:type="dxa"/>
            <w:vAlign w:val="bottom"/>
            <w:gridSpan w:val="2"/>
          </w:tcPr>
          <w:p>
            <w:pPr>
              <w:jc w:val="center"/>
              <w:ind w:right="320"/>
              <w:spacing w:after="0" w:line="147" w:lineRule="exact"/>
              <w:rPr>
                <w:sz w:val="20"/>
                <w:szCs w:val="20"/>
                <w:color w:val="auto"/>
              </w:rPr>
            </w:pPr>
            <w:r>
              <w:rPr>
                <w:rFonts w:ascii="Arial" w:cs="Arial" w:eastAsia="Arial" w:hAnsi="Arial"/>
                <w:sz w:val="14"/>
                <w:szCs w:val="14"/>
                <w:b w:val="1"/>
                <w:bCs w:val="1"/>
                <w:color w:val="auto"/>
                <w:w w:val="90"/>
              </w:rPr>
              <w:t>Accumulated</w:t>
            </w:r>
          </w:p>
        </w:tc>
        <w:tc>
          <w:tcPr>
            <w:tcW w:w="280" w:type="dxa"/>
            <w:vAlign w:val="bottom"/>
          </w:tcPr>
          <w:p>
            <w:pPr>
              <w:spacing w:after="0"/>
              <w:rPr>
                <w:sz w:val="12"/>
                <w:szCs w:val="12"/>
                <w:color w:val="auto"/>
              </w:rPr>
            </w:pPr>
          </w:p>
        </w:tc>
        <w:tc>
          <w:tcPr>
            <w:tcW w:w="1160" w:type="dxa"/>
            <w:vAlign w:val="bottom"/>
            <w:vMerge w:val="restart"/>
          </w:tcPr>
          <w:p>
            <w:pPr>
              <w:jc w:val="right"/>
              <w:ind w:right="536"/>
              <w:spacing w:after="0"/>
              <w:rPr>
                <w:sz w:val="20"/>
                <w:szCs w:val="20"/>
                <w:color w:val="auto"/>
              </w:rPr>
            </w:pPr>
            <w:r>
              <w:rPr>
                <w:rFonts w:ascii="Arial" w:cs="Arial" w:eastAsia="Arial" w:hAnsi="Arial"/>
                <w:sz w:val="14"/>
                <w:szCs w:val="14"/>
                <w:b w:val="1"/>
                <w:bCs w:val="1"/>
                <w:color w:val="auto"/>
              </w:rPr>
              <w:t>Net</w:t>
            </w:r>
          </w:p>
        </w:tc>
        <w:tc>
          <w:tcPr>
            <w:tcW w:w="100" w:type="dxa"/>
            <w:vAlign w:val="bottom"/>
          </w:tcPr>
          <w:p>
            <w:pPr>
              <w:spacing w:after="0"/>
              <w:rPr>
                <w:sz w:val="12"/>
                <w:szCs w:val="12"/>
                <w:color w:val="auto"/>
              </w:rPr>
            </w:pPr>
          </w:p>
        </w:tc>
        <w:tc>
          <w:tcPr>
            <w:tcW w:w="1420" w:type="dxa"/>
            <w:vAlign w:val="bottom"/>
          </w:tcPr>
          <w:p>
            <w:pPr>
              <w:jc w:val="center"/>
              <w:spacing w:after="0" w:line="147"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49"/>
        </w:trPr>
        <w:tc>
          <w:tcPr>
            <w:tcW w:w="52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220" w:type="dxa"/>
            <w:vAlign w:val="bottom"/>
          </w:tcPr>
          <w:p>
            <w:pPr>
              <w:spacing w:after="0"/>
              <w:rPr>
                <w:sz w:val="12"/>
                <w:szCs w:val="12"/>
                <w:color w:val="auto"/>
              </w:rPr>
            </w:pPr>
          </w:p>
        </w:tc>
        <w:tc>
          <w:tcPr>
            <w:tcW w:w="13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8"/>
              </w:rPr>
              <w:t>Amortization</w:t>
            </w:r>
          </w:p>
        </w:tc>
        <w:tc>
          <w:tcPr>
            <w:tcW w:w="280" w:type="dxa"/>
            <w:vAlign w:val="bottom"/>
          </w:tcPr>
          <w:p>
            <w:pPr>
              <w:spacing w:after="0"/>
              <w:rPr>
                <w:sz w:val="12"/>
                <w:szCs w:val="12"/>
                <w:color w:val="auto"/>
              </w:rPr>
            </w:pPr>
          </w:p>
        </w:tc>
        <w:tc>
          <w:tcPr>
            <w:tcW w:w="116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remaining</w:t>
            </w:r>
          </w:p>
        </w:tc>
        <w:tc>
          <w:tcPr>
            <w:tcW w:w="0" w:type="dxa"/>
            <w:vAlign w:val="bottom"/>
          </w:tcPr>
          <w:p>
            <w:pPr>
              <w:spacing w:after="0"/>
              <w:rPr>
                <w:sz w:val="1"/>
                <w:szCs w:val="1"/>
                <w:color w:val="auto"/>
              </w:rPr>
            </w:pPr>
          </w:p>
        </w:tc>
      </w:tr>
      <w:tr>
        <w:trPr>
          <w:trHeight w:val="148"/>
        </w:trPr>
        <w:tc>
          <w:tcPr>
            <w:tcW w:w="52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7"/>
              </w:rPr>
              <w:t>Carrying</w:t>
            </w:r>
          </w:p>
        </w:tc>
        <w:tc>
          <w:tcPr>
            <w:tcW w:w="220" w:type="dxa"/>
            <w:vAlign w:val="bottom"/>
          </w:tcPr>
          <w:p>
            <w:pPr>
              <w:spacing w:after="0"/>
              <w:rPr>
                <w:sz w:val="12"/>
                <w:szCs w:val="12"/>
                <w:color w:val="auto"/>
              </w:rPr>
            </w:pPr>
          </w:p>
        </w:tc>
        <w:tc>
          <w:tcPr>
            <w:tcW w:w="13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6"/>
              </w:rPr>
              <w:t>and</w:t>
            </w:r>
          </w:p>
        </w:tc>
        <w:tc>
          <w:tcPr>
            <w:tcW w:w="280" w:type="dxa"/>
            <w:vAlign w:val="bottom"/>
          </w:tcPr>
          <w:p>
            <w:pPr>
              <w:spacing w:after="0"/>
              <w:rPr>
                <w:sz w:val="12"/>
                <w:szCs w:val="12"/>
                <w:color w:val="auto"/>
              </w:rPr>
            </w:pPr>
          </w:p>
        </w:tc>
        <w:tc>
          <w:tcPr>
            <w:tcW w:w="1160" w:type="dxa"/>
            <w:vAlign w:val="bottom"/>
          </w:tcPr>
          <w:p>
            <w:pPr>
              <w:jc w:val="right"/>
              <w:ind w:right="356"/>
              <w:spacing w:after="0" w:line="149" w:lineRule="exact"/>
              <w:rPr>
                <w:sz w:val="20"/>
                <w:szCs w:val="20"/>
                <w:color w:val="auto"/>
              </w:rPr>
            </w:pPr>
            <w:r>
              <w:rPr>
                <w:rFonts w:ascii="Arial" w:cs="Arial" w:eastAsia="Arial" w:hAnsi="Arial"/>
                <w:sz w:val="14"/>
                <w:szCs w:val="14"/>
                <w:b w:val="1"/>
                <w:bCs w:val="1"/>
                <w:color w:val="auto"/>
              </w:rPr>
              <w:t>Carrying</w:t>
            </w:r>
          </w:p>
        </w:tc>
        <w:tc>
          <w:tcPr>
            <w:tcW w:w="100" w:type="dxa"/>
            <w:vAlign w:val="bottom"/>
          </w:tcPr>
          <w:p>
            <w:pPr>
              <w:spacing w:after="0"/>
              <w:rPr>
                <w:sz w:val="12"/>
                <w:szCs w:val="12"/>
                <w:color w:val="auto"/>
              </w:rPr>
            </w:pP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amortization period</w:t>
            </w:r>
          </w:p>
        </w:tc>
        <w:tc>
          <w:tcPr>
            <w:tcW w:w="0" w:type="dxa"/>
            <w:vAlign w:val="bottom"/>
          </w:tcPr>
          <w:p>
            <w:pPr>
              <w:spacing w:after="0"/>
              <w:rPr>
                <w:sz w:val="1"/>
                <w:szCs w:val="1"/>
                <w:color w:val="auto"/>
              </w:rPr>
            </w:pPr>
          </w:p>
        </w:tc>
      </w:tr>
      <w:tr>
        <w:trPr>
          <w:trHeight w:val="192"/>
        </w:trPr>
        <w:tc>
          <w:tcPr>
            <w:tcW w:w="52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center"/>
              <w:ind w:right="196"/>
              <w:spacing w:after="0"/>
              <w:rPr>
                <w:sz w:val="20"/>
                <w:szCs w:val="20"/>
                <w:color w:val="auto"/>
              </w:rPr>
            </w:pPr>
            <w:r>
              <w:rPr>
                <w:rFonts w:ascii="Arial" w:cs="Arial" w:eastAsia="Arial" w:hAnsi="Arial"/>
                <w:sz w:val="14"/>
                <w:szCs w:val="14"/>
                <w:b w:val="1"/>
                <w:bCs w:val="1"/>
                <w:color w:val="auto"/>
                <w:w w:val="92"/>
              </w:rPr>
              <w:t>Amounts</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137"/>
              <w:spacing w:after="0"/>
              <w:rPr>
                <w:sz w:val="20"/>
                <w:szCs w:val="20"/>
                <w:color w:val="auto"/>
              </w:rPr>
            </w:pPr>
            <w:r>
              <w:rPr>
                <w:rFonts w:ascii="Arial" w:cs="Arial" w:eastAsia="Arial" w:hAnsi="Arial"/>
                <w:sz w:val="14"/>
                <w:szCs w:val="14"/>
                <w:b w:val="1"/>
                <w:bCs w:val="1"/>
                <w:color w:val="auto"/>
              </w:rPr>
              <w:t>Write-Offs</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356"/>
              <w:spacing w:after="0"/>
              <w:rPr>
                <w:sz w:val="20"/>
                <w:szCs w:val="20"/>
                <w:color w:val="auto"/>
              </w:rPr>
            </w:pPr>
            <w:r>
              <w:rPr>
                <w:rFonts w:ascii="Arial" w:cs="Arial" w:eastAsia="Arial" w:hAnsi="Arial"/>
                <w:sz w:val="14"/>
                <w:szCs w:val="14"/>
                <w:b w:val="1"/>
                <w:bCs w:val="1"/>
                <w:color w:val="auto"/>
              </w:rPr>
              <w:t>Amounts</w:t>
            </w:r>
          </w:p>
        </w:tc>
        <w:tc>
          <w:tcPr>
            <w:tcW w:w="100" w:type="dxa"/>
            <w:vAlign w:val="bottom"/>
            <w:tcBorders>
              <w:bottom w:val="single" w:sz="8" w:color="CCEEFF"/>
            </w:tcBorders>
          </w:tcPr>
          <w:p>
            <w:pPr>
              <w:spacing w:after="0"/>
              <w:rPr>
                <w:sz w:val="16"/>
                <w:szCs w:val="16"/>
                <w:color w:val="auto"/>
              </w:rPr>
            </w:pPr>
          </w:p>
        </w:tc>
        <w:tc>
          <w:tcPr>
            <w:tcW w:w="14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(years)</w:t>
            </w:r>
          </w:p>
        </w:tc>
        <w:tc>
          <w:tcPr>
            <w:tcW w:w="0" w:type="dxa"/>
            <w:vAlign w:val="bottom"/>
          </w:tcPr>
          <w:p>
            <w:pPr>
              <w:spacing w:after="0"/>
              <w:rPr>
                <w:sz w:val="1"/>
                <w:szCs w:val="1"/>
                <w:color w:val="auto"/>
              </w:rPr>
            </w:pPr>
          </w:p>
        </w:tc>
      </w:tr>
      <w:tr>
        <w:trPr>
          <w:trHeight w:val="249"/>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1,743,000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(134,167)</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1,608,833</w:t>
            </w:r>
          </w:p>
        </w:tc>
        <w:tc>
          <w:tcPr>
            <w:tcW w:w="15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7.10</w:t>
            </w:r>
          </w:p>
        </w:tc>
        <w:tc>
          <w:tcPr>
            <w:tcW w:w="0" w:type="dxa"/>
            <w:vAlign w:val="bottom"/>
          </w:tcPr>
          <w:p>
            <w:pPr>
              <w:spacing w:after="0"/>
              <w:rPr>
                <w:sz w:val="1"/>
                <w:szCs w:val="1"/>
                <w:color w:val="auto"/>
              </w:rPr>
            </w:pPr>
          </w:p>
        </w:tc>
      </w:tr>
      <w:tr>
        <w:trPr>
          <w:trHeight w:val="243"/>
        </w:trPr>
        <w:tc>
          <w:tcPr>
            <w:tcW w:w="520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280" w:type="dxa"/>
            <w:vAlign w:val="bottom"/>
          </w:tcPr>
          <w:p>
            <w:pPr>
              <w:spacing w:after="0"/>
              <w:rPr>
                <w:sz w:val="21"/>
                <w:szCs w:val="21"/>
                <w:color w:val="auto"/>
              </w:rPr>
            </w:pPr>
          </w:p>
        </w:tc>
        <w:tc>
          <w:tcPr>
            <w:tcW w:w="1160" w:type="dxa"/>
            <w:vAlign w:val="bottom"/>
          </w:tcPr>
          <w:p>
            <w:pPr>
              <w:jc w:val="right"/>
              <w:ind w:right="76"/>
              <w:spacing w:after="0"/>
              <w:rPr>
                <w:sz w:val="20"/>
                <w:szCs w:val="20"/>
                <w:color w:val="auto"/>
              </w:rPr>
            </w:pPr>
            <w:r>
              <w:rPr>
                <w:rFonts w:ascii="Arial" w:cs="Arial" w:eastAsia="Arial" w:hAnsi="Arial"/>
                <w:sz w:val="18"/>
                <w:szCs w:val="18"/>
                <w:color w:val="auto"/>
              </w:rPr>
              <w:t>465,000</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20" w:type="dxa"/>
            <w:vAlign w:val="bottom"/>
          </w:tcPr>
          <w:p>
            <w:pPr>
              <w:jc w:val="right"/>
              <w:ind w:right="37"/>
              <w:spacing w:after="0"/>
              <w:rPr>
                <w:sz w:val="20"/>
                <w:szCs w:val="20"/>
                <w:color w:val="auto"/>
              </w:rPr>
            </w:pPr>
            <w:r>
              <w:rPr>
                <w:rFonts w:ascii="Arial" w:cs="Arial" w:eastAsia="Arial" w:hAnsi="Arial"/>
                <w:sz w:val="18"/>
                <w:szCs w:val="18"/>
                <w:color w:val="auto"/>
              </w:rPr>
              <w:t>(45,939)</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60" w:type="dxa"/>
            <w:vAlign w:val="bottom"/>
          </w:tcPr>
          <w:p>
            <w:pPr>
              <w:jc w:val="right"/>
              <w:ind w:right="76"/>
              <w:spacing w:after="0"/>
              <w:rPr>
                <w:sz w:val="20"/>
                <w:szCs w:val="20"/>
                <w:color w:val="auto"/>
              </w:rPr>
            </w:pPr>
            <w:r>
              <w:rPr>
                <w:rFonts w:ascii="Arial" w:cs="Arial" w:eastAsia="Arial" w:hAnsi="Arial"/>
                <w:sz w:val="18"/>
                <w:szCs w:val="18"/>
                <w:color w:val="auto"/>
              </w:rPr>
              <w:t>419,061</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8.42</w:t>
            </w:r>
          </w:p>
        </w:tc>
        <w:tc>
          <w:tcPr>
            <w:tcW w:w="0" w:type="dxa"/>
            <w:vAlign w:val="bottom"/>
          </w:tcPr>
          <w:p>
            <w:pPr>
              <w:spacing w:after="0"/>
              <w:rPr>
                <w:sz w:val="1"/>
                <w:szCs w:val="1"/>
                <w:color w:val="auto"/>
              </w:rPr>
            </w:pPr>
          </w:p>
        </w:tc>
      </w:tr>
      <w:tr>
        <w:trPr>
          <w:trHeight w:val="27"/>
        </w:trPr>
        <w:tc>
          <w:tcPr>
            <w:tcW w:w="5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28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23,000</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(3,212)</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19,788</w:t>
            </w:r>
          </w:p>
        </w:tc>
        <w:tc>
          <w:tcPr>
            <w:tcW w:w="15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3.85</w:t>
            </w:r>
          </w:p>
        </w:tc>
        <w:tc>
          <w:tcPr>
            <w:tcW w:w="0" w:type="dxa"/>
            <w:vAlign w:val="bottom"/>
          </w:tcPr>
          <w:p>
            <w:pPr>
              <w:spacing w:after="0"/>
              <w:rPr>
                <w:sz w:val="1"/>
                <w:szCs w:val="1"/>
                <w:color w:val="auto"/>
              </w:rPr>
            </w:pPr>
          </w:p>
        </w:tc>
      </w:tr>
      <w:tr>
        <w:trPr>
          <w:trHeight w:val="237"/>
        </w:trPr>
        <w:tc>
          <w:tcPr>
            <w:tcW w:w="520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28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2,231,000</w:t>
            </w:r>
          </w:p>
        </w:tc>
        <w:tc>
          <w:tcPr>
            <w:tcW w:w="10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(183,318)</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2,047,682</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7.34</w:t>
            </w:r>
          </w:p>
        </w:tc>
        <w:tc>
          <w:tcPr>
            <w:tcW w:w="0" w:type="dxa"/>
            <w:vAlign w:val="bottom"/>
          </w:tcPr>
          <w:p>
            <w:pPr>
              <w:spacing w:after="0"/>
              <w:rPr>
                <w:sz w:val="1"/>
                <w:szCs w:val="1"/>
                <w:color w:val="auto"/>
              </w:rPr>
            </w:pPr>
          </w:p>
        </w:tc>
      </w:tr>
      <w:tr>
        <w:trPr>
          <w:trHeight w:val="27"/>
        </w:trPr>
        <w:tc>
          <w:tcPr>
            <w:tcW w:w="5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28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513,000</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513,000</w:t>
            </w:r>
          </w:p>
        </w:tc>
        <w:tc>
          <w:tcPr>
            <w:tcW w:w="100" w:type="dxa"/>
            <w:vAlign w:val="bottom"/>
            <w:tcBorders>
              <w:bottom w:val="single" w:sz="8" w:color="CCEEFF"/>
            </w:tcBorders>
            <w:shd w:val="clear" w:color="auto" w:fill="CCEEFF"/>
          </w:tcPr>
          <w:p>
            <w:pPr>
              <w:spacing w:after="0"/>
              <w:rPr>
                <w:sz w:val="23"/>
                <w:szCs w:val="23"/>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36"/>
        </w:trPr>
        <w:tc>
          <w:tcPr>
            <w:tcW w:w="520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2,744,000</w:t>
            </w: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(183,318)</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2,560,682</w:t>
            </w:r>
          </w:p>
        </w:tc>
        <w:tc>
          <w:tcPr>
            <w:tcW w:w="10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52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52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right="60" w:firstLine="405"/>
        <w:spacing w:after="0" w:line="255" w:lineRule="auto"/>
        <w:rPr>
          <w:sz w:val="20"/>
          <w:szCs w:val="20"/>
          <w:color w:val="auto"/>
        </w:rPr>
      </w:pPr>
      <w:r>
        <w:rPr>
          <w:rFonts w:ascii="Arial" w:cs="Arial" w:eastAsia="Arial" w:hAnsi="Arial"/>
          <w:sz w:val="18"/>
          <w:szCs w:val="18"/>
          <w:color w:val="auto"/>
        </w:rPr>
        <w:t>The intangible assets are amortized on a straight-line basis over the estimated useful lives, except for certain Cavium customer contracts and related relationships, which are amortized using an accelerated method of amortization over the expected customer lives in order to more closely align with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3 to 10 years. In the event the IPR&amp;D is abandoned, the related assets will be written off.</w:t>
      </w:r>
    </w:p>
    <w:p>
      <w:pPr>
        <w:sectPr>
          <w:pgSz w:w="11900" w:h="16838" w:orient="portrait"/>
          <w:cols w:equalWidth="0" w:num="1">
            <w:col w:w="11240"/>
          </w:cols>
          <w:pgMar w:left="320" w:top="472" w:right="339" w:bottom="1440" w:gutter="0" w:footer="0" w:header="0"/>
        </w:sectPr>
      </w:pP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68" w:name="page69"/>
    <w:bookmarkEnd w:id="6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jc w:val="both"/>
        <w:ind w:right="20" w:firstLine="405"/>
        <w:spacing w:after="0" w:line="263" w:lineRule="auto"/>
        <w:rPr>
          <w:sz w:val="20"/>
          <w:szCs w:val="20"/>
          <w:color w:val="auto"/>
        </w:rPr>
      </w:pPr>
      <w:r>
        <w:rPr>
          <w:rFonts w:ascii="Arial" w:cs="Arial" w:eastAsia="Arial" w:hAnsi="Arial"/>
          <w:sz w:val="18"/>
          <w:szCs w:val="18"/>
          <w:color w:val="auto"/>
        </w:rPr>
        <w:t>Amortization for acquired intangible assets was $368.1 million, $183.3 million and $3.6 million during the years ended February 1, 2020, February 2, 2019 and February 3, 2018 respectively. The following table presents the estimated future amortization expense of acquired amortizable intangible assets as of February 1, 2020 (in thousands):</w:t>
      </w:r>
    </w:p>
    <w:p>
      <w:pPr>
        <w:spacing w:after="0" w:line="12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7020" w:type="dxa"/>
            <w:vAlign w:val="bottom"/>
            <w:gridSpan w:val="2"/>
          </w:tcPr>
          <w:p>
            <w:pPr>
              <w:ind w:left="20"/>
              <w:spacing w:after="0"/>
              <w:rPr>
                <w:sz w:val="20"/>
                <w:szCs w:val="20"/>
                <w:color w:val="auto"/>
              </w:rPr>
            </w:pPr>
            <w:r>
              <w:rPr>
                <w:rFonts w:ascii="Arial" w:cs="Arial" w:eastAsia="Arial" w:hAnsi="Arial"/>
                <w:sz w:val="18"/>
                <w:szCs w:val="18"/>
                <w:b w:val="1"/>
                <w:bCs w:val="1"/>
                <w:color w:val="auto"/>
              </w:rPr>
              <w:t>Fiscal Year</w:t>
            </w:r>
          </w:p>
        </w:tc>
        <w:tc>
          <w:tcPr>
            <w:tcW w:w="1740" w:type="dxa"/>
            <w:vAlign w:val="bottom"/>
          </w:tcPr>
          <w:p>
            <w:pPr>
              <w:spacing w:after="0"/>
              <w:rPr>
                <w:sz w:val="20"/>
                <w:szCs w:val="20"/>
                <w:color w:val="auto"/>
              </w:rPr>
            </w:pPr>
          </w:p>
        </w:tc>
        <w:tc>
          <w:tcPr>
            <w:tcW w:w="2480" w:type="dxa"/>
            <w:vAlign w:val="bottom"/>
          </w:tcPr>
          <w:p>
            <w:pPr>
              <w:jc w:val="right"/>
              <w:ind w:right="70"/>
              <w:spacing w:after="0"/>
              <w:rPr>
                <w:sz w:val="20"/>
                <w:szCs w:val="20"/>
                <w:color w:val="auto"/>
              </w:rPr>
            </w:pPr>
            <w:r>
              <w:rPr>
                <w:rFonts w:ascii="Arial" w:cs="Arial" w:eastAsia="Arial" w:hAnsi="Arial"/>
                <w:sz w:val="18"/>
                <w:szCs w:val="18"/>
                <w:b w:val="1"/>
                <w:bCs w:val="1"/>
                <w:color w:val="auto"/>
              </w:rPr>
              <w:t>Amount</w:t>
            </w:r>
          </w:p>
        </w:tc>
      </w:tr>
      <w:tr>
        <w:trPr>
          <w:trHeight w:val="27"/>
        </w:trPr>
        <w:tc>
          <w:tcPr>
            <w:tcW w:w="682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1740" w:type="dxa"/>
            <w:vAlign w:val="bottom"/>
            <w:tcBorders>
              <w:bottom w:val="single" w:sz="8" w:color="auto"/>
            </w:tcBorders>
          </w:tcPr>
          <w:p>
            <w:pPr>
              <w:spacing w:after="0"/>
              <w:rPr>
                <w:sz w:val="2"/>
                <w:szCs w:val="2"/>
                <w:color w:val="auto"/>
              </w:rPr>
            </w:pPr>
          </w:p>
        </w:tc>
        <w:tc>
          <w:tcPr>
            <w:tcW w:w="2480" w:type="dxa"/>
            <w:vAlign w:val="bottom"/>
            <w:tcBorders>
              <w:bottom w:val="single" w:sz="8" w:color="auto"/>
            </w:tcBorders>
          </w:tcPr>
          <w:p>
            <w:pPr>
              <w:spacing w:after="0"/>
              <w:rPr>
                <w:sz w:val="2"/>
                <w:szCs w:val="2"/>
                <w:color w:val="auto"/>
              </w:rPr>
            </w:pPr>
          </w:p>
        </w:tc>
      </w:tr>
      <w:tr>
        <w:trPr>
          <w:trHeight w:val="243"/>
        </w:trPr>
        <w:tc>
          <w:tcPr>
            <w:tcW w:w="68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2021</w:t>
            </w:r>
          </w:p>
        </w:tc>
        <w:tc>
          <w:tcPr>
            <w:tcW w:w="200" w:type="dxa"/>
            <w:vAlign w:val="bottom"/>
            <w:tcBorders>
              <w:bottom w:val="single" w:sz="8" w:color="CCEEFF"/>
            </w:tcBorders>
            <w:shd w:val="clear" w:color="auto" w:fill="CCEEFF"/>
          </w:tcPr>
          <w:p>
            <w:pPr>
              <w:spacing w:after="0"/>
              <w:rPr>
                <w:sz w:val="21"/>
                <w:szCs w:val="21"/>
                <w:color w:val="auto"/>
              </w:rPr>
            </w:pPr>
          </w:p>
        </w:tc>
        <w:tc>
          <w:tcPr>
            <w:tcW w:w="1740" w:type="dxa"/>
            <w:vAlign w:val="bottom"/>
            <w:tcBorders>
              <w:bottom w:val="single" w:sz="8" w:color="CCEEFF"/>
            </w:tcBorders>
            <w:shd w:val="clear" w:color="auto" w:fill="CCEEFF"/>
          </w:tcPr>
          <w:p>
            <w:pPr>
              <w:jc w:val="right"/>
              <w:ind w:right="1530"/>
              <w:spacing w:after="0"/>
              <w:rPr>
                <w:sz w:val="20"/>
                <w:szCs w:val="20"/>
                <w:color w:val="auto"/>
              </w:rPr>
            </w:pPr>
            <w:r>
              <w:rPr>
                <w:rFonts w:ascii="Arial" w:cs="Arial" w:eastAsia="Arial" w:hAnsi="Arial"/>
                <w:sz w:val="18"/>
                <w:szCs w:val="18"/>
                <w:color w:val="auto"/>
                <w:w w:val="99"/>
              </w:rPr>
              <w:t>$</w:t>
            </w:r>
          </w:p>
        </w:tc>
        <w:tc>
          <w:tcPr>
            <w:tcW w:w="24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451,686</w:t>
            </w:r>
          </w:p>
        </w:tc>
      </w:tr>
      <w:tr>
        <w:trPr>
          <w:trHeight w:val="243"/>
        </w:trPr>
        <w:tc>
          <w:tcPr>
            <w:tcW w:w="6820" w:type="dxa"/>
            <w:vAlign w:val="bottom"/>
          </w:tcPr>
          <w:p>
            <w:pPr>
              <w:ind w:left="20"/>
              <w:spacing w:after="0"/>
              <w:rPr>
                <w:sz w:val="20"/>
                <w:szCs w:val="20"/>
                <w:color w:val="auto"/>
              </w:rPr>
            </w:pPr>
            <w:r>
              <w:rPr>
                <w:rFonts w:ascii="Arial" w:cs="Arial" w:eastAsia="Arial" w:hAnsi="Arial"/>
                <w:sz w:val="18"/>
                <w:szCs w:val="18"/>
                <w:color w:val="auto"/>
              </w:rPr>
              <w:t>2022</w:t>
            </w:r>
          </w:p>
        </w:tc>
        <w:tc>
          <w:tcPr>
            <w:tcW w:w="200" w:type="dxa"/>
            <w:vAlign w:val="bottom"/>
          </w:tcPr>
          <w:p>
            <w:pPr>
              <w:spacing w:after="0"/>
              <w:rPr>
                <w:sz w:val="21"/>
                <w:szCs w:val="21"/>
                <w:color w:val="auto"/>
              </w:rPr>
            </w:pPr>
          </w:p>
        </w:tc>
        <w:tc>
          <w:tcPr>
            <w:tcW w:w="1740" w:type="dxa"/>
            <w:vAlign w:val="bottom"/>
          </w:tcPr>
          <w:p>
            <w:pPr>
              <w:spacing w:after="0"/>
              <w:rPr>
                <w:sz w:val="21"/>
                <w:szCs w:val="21"/>
                <w:color w:val="auto"/>
              </w:rPr>
            </w:pPr>
          </w:p>
        </w:tc>
        <w:tc>
          <w:tcPr>
            <w:tcW w:w="2480" w:type="dxa"/>
            <w:vAlign w:val="bottom"/>
          </w:tcPr>
          <w:p>
            <w:pPr>
              <w:jc w:val="right"/>
              <w:ind w:right="70"/>
              <w:spacing w:after="0"/>
              <w:rPr>
                <w:sz w:val="20"/>
                <w:szCs w:val="20"/>
                <w:color w:val="auto"/>
              </w:rPr>
            </w:pPr>
            <w:r>
              <w:rPr>
                <w:rFonts w:ascii="Arial" w:cs="Arial" w:eastAsia="Arial" w:hAnsi="Arial"/>
                <w:sz w:val="18"/>
                <w:szCs w:val="18"/>
                <w:color w:val="auto"/>
              </w:rPr>
              <w:t>441,969</w:t>
            </w:r>
          </w:p>
        </w:tc>
      </w:tr>
      <w:tr>
        <w:trPr>
          <w:trHeight w:val="27"/>
        </w:trPr>
        <w:tc>
          <w:tcPr>
            <w:tcW w:w="68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740" w:type="dxa"/>
            <w:vAlign w:val="bottom"/>
          </w:tcPr>
          <w:p>
            <w:pPr>
              <w:spacing w:after="0"/>
              <w:rPr>
                <w:sz w:val="2"/>
                <w:szCs w:val="2"/>
                <w:color w:val="auto"/>
              </w:rPr>
            </w:pPr>
          </w:p>
        </w:tc>
        <w:tc>
          <w:tcPr>
            <w:tcW w:w="2480" w:type="dxa"/>
            <w:vAlign w:val="bottom"/>
          </w:tcPr>
          <w:p>
            <w:pPr>
              <w:spacing w:after="0"/>
              <w:rPr>
                <w:sz w:val="2"/>
                <w:szCs w:val="2"/>
                <w:color w:val="auto"/>
              </w:rPr>
            </w:pPr>
          </w:p>
        </w:tc>
      </w:tr>
      <w:tr>
        <w:trPr>
          <w:trHeight w:val="250"/>
        </w:trPr>
        <w:tc>
          <w:tcPr>
            <w:tcW w:w="68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2023</w:t>
            </w:r>
          </w:p>
        </w:tc>
        <w:tc>
          <w:tcPr>
            <w:tcW w:w="200" w:type="dxa"/>
            <w:vAlign w:val="bottom"/>
            <w:tcBorders>
              <w:bottom w:val="single" w:sz="8" w:color="CCEEFF"/>
            </w:tcBorders>
            <w:shd w:val="clear" w:color="auto" w:fill="CCEEFF"/>
          </w:tcPr>
          <w:p>
            <w:pPr>
              <w:spacing w:after="0"/>
              <w:rPr>
                <w:sz w:val="21"/>
                <w:szCs w:val="21"/>
                <w:color w:val="auto"/>
              </w:rPr>
            </w:pPr>
          </w:p>
        </w:tc>
        <w:tc>
          <w:tcPr>
            <w:tcW w:w="1740" w:type="dxa"/>
            <w:vAlign w:val="bottom"/>
            <w:tcBorders>
              <w:bottom w:val="single" w:sz="8" w:color="CCEEFF"/>
            </w:tcBorders>
            <w:shd w:val="clear" w:color="auto" w:fill="CCEEFF"/>
          </w:tcPr>
          <w:p>
            <w:pPr>
              <w:spacing w:after="0"/>
              <w:rPr>
                <w:sz w:val="21"/>
                <w:szCs w:val="21"/>
                <w:color w:val="auto"/>
              </w:rPr>
            </w:pPr>
          </w:p>
        </w:tc>
        <w:tc>
          <w:tcPr>
            <w:tcW w:w="24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428,891</w:t>
            </w:r>
          </w:p>
        </w:tc>
      </w:tr>
      <w:tr>
        <w:trPr>
          <w:trHeight w:val="243"/>
        </w:trPr>
        <w:tc>
          <w:tcPr>
            <w:tcW w:w="6820" w:type="dxa"/>
            <w:vAlign w:val="bottom"/>
          </w:tcPr>
          <w:p>
            <w:pPr>
              <w:ind w:left="20"/>
              <w:spacing w:after="0"/>
              <w:rPr>
                <w:sz w:val="20"/>
                <w:szCs w:val="20"/>
                <w:color w:val="auto"/>
              </w:rPr>
            </w:pPr>
            <w:r>
              <w:rPr>
                <w:rFonts w:ascii="Arial" w:cs="Arial" w:eastAsia="Arial" w:hAnsi="Arial"/>
                <w:sz w:val="18"/>
                <w:szCs w:val="18"/>
                <w:color w:val="auto"/>
              </w:rPr>
              <w:t>2024</w:t>
            </w:r>
          </w:p>
        </w:tc>
        <w:tc>
          <w:tcPr>
            <w:tcW w:w="200" w:type="dxa"/>
            <w:vAlign w:val="bottom"/>
          </w:tcPr>
          <w:p>
            <w:pPr>
              <w:spacing w:after="0"/>
              <w:rPr>
                <w:sz w:val="21"/>
                <w:szCs w:val="21"/>
                <w:color w:val="auto"/>
              </w:rPr>
            </w:pPr>
          </w:p>
        </w:tc>
        <w:tc>
          <w:tcPr>
            <w:tcW w:w="1740" w:type="dxa"/>
            <w:vAlign w:val="bottom"/>
          </w:tcPr>
          <w:p>
            <w:pPr>
              <w:spacing w:after="0"/>
              <w:rPr>
                <w:sz w:val="21"/>
                <w:szCs w:val="21"/>
                <w:color w:val="auto"/>
              </w:rPr>
            </w:pPr>
          </w:p>
        </w:tc>
        <w:tc>
          <w:tcPr>
            <w:tcW w:w="2480" w:type="dxa"/>
            <w:vAlign w:val="bottom"/>
          </w:tcPr>
          <w:p>
            <w:pPr>
              <w:jc w:val="right"/>
              <w:ind w:right="70"/>
              <w:spacing w:after="0"/>
              <w:rPr>
                <w:sz w:val="20"/>
                <w:szCs w:val="20"/>
                <w:color w:val="auto"/>
              </w:rPr>
            </w:pPr>
            <w:r>
              <w:rPr>
                <w:rFonts w:ascii="Arial" w:cs="Arial" w:eastAsia="Arial" w:hAnsi="Arial"/>
                <w:sz w:val="18"/>
                <w:szCs w:val="18"/>
                <w:color w:val="auto"/>
              </w:rPr>
              <w:t>399,920</w:t>
            </w:r>
          </w:p>
        </w:tc>
      </w:tr>
      <w:tr>
        <w:trPr>
          <w:trHeight w:val="27"/>
        </w:trPr>
        <w:tc>
          <w:tcPr>
            <w:tcW w:w="68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740" w:type="dxa"/>
            <w:vAlign w:val="bottom"/>
          </w:tcPr>
          <w:p>
            <w:pPr>
              <w:spacing w:after="0"/>
              <w:rPr>
                <w:sz w:val="2"/>
                <w:szCs w:val="2"/>
                <w:color w:val="auto"/>
              </w:rPr>
            </w:pPr>
          </w:p>
        </w:tc>
        <w:tc>
          <w:tcPr>
            <w:tcW w:w="2480" w:type="dxa"/>
            <w:vAlign w:val="bottom"/>
          </w:tcPr>
          <w:p>
            <w:pPr>
              <w:spacing w:after="0"/>
              <w:rPr>
                <w:sz w:val="2"/>
                <w:szCs w:val="2"/>
                <w:color w:val="auto"/>
              </w:rPr>
            </w:pPr>
          </w:p>
        </w:tc>
      </w:tr>
      <w:tr>
        <w:trPr>
          <w:trHeight w:val="250"/>
        </w:trPr>
        <w:tc>
          <w:tcPr>
            <w:tcW w:w="68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2025</w:t>
            </w:r>
          </w:p>
        </w:tc>
        <w:tc>
          <w:tcPr>
            <w:tcW w:w="200" w:type="dxa"/>
            <w:vAlign w:val="bottom"/>
            <w:tcBorders>
              <w:bottom w:val="single" w:sz="8" w:color="CCEEFF"/>
            </w:tcBorders>
            <w:shd w:val="clear" w:color="auto" w:fill="CCEEFF"/>
          </w:tcPr>
          <w:p>
            <w:pPr>
              <w:spacing w:after="0"/>
              <w:rPr>
                <w:sz w:val="21"/>
                <w:szCs w:val="21"/>
                <w:color w:val="auto"/>
              </w:rPr>
            </w:pPr>
          </w:p>
        </w:tc>
        <w:tc>
          <w:tcPr>
            <w:tcW w:w="1740" w:type="dxa"/>
            <w:vAlign w:val="bottom"/>
            <w:tcBorders>
              <w:bottom w:val="single" w:sz="8" w:color="CCEEFF"/>
            </w:tcBorders>
            <w:shd w:val="clear" w:color="auto" w:fill="CCEEFF"/>
          </w:tcPr>
          <w:p>
            <w:pPr>
              <w:spacing w:after="0"/>
              <w:rPr>
                <w:sz w:val="21"/>
                <w:szCs w:val="21"/>
                <w:color w:val="auto"/>
              </w:rPr>
            </w:pPr>
          </w:p>
        </w:tc>
        <w:tc>
          <w:tcPr>
            <w:tcW w:w="24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354,012</w:t>
            </w:r>
          </w:p>
        </w:tc>
      </w:tr>
      <w:tr>
        <w:trPr>
          <w:trHeight w:val="243"/>
        </w:trPr>
        <w:tc>
          <w:tcPr>
            <w:tcW w:w="702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1740" w:type="dxa"/>
            <w:vAlign w:val="bottom"/>
          </w:tcPr>
          <w:p>
            <w:pPr>
              <w:spacing w:after="0"/>
              <w:rPr>
                <w:sz w:val="21"/>
                <w:szCs w:val="21"/>
                <w:color w:val="auto"/>
              </w:rPr>
            </w:pPr>
          </w:p>
        </w:tc>
        <w:tc>
          <w:tcPr>
            <w:tcW w:w="2480" w:type="dxa"/>
            <w:vAlign w:val="bottom"/>
          </w:tcPr>
          <w:p>
            <w:pPr>
              <w:jc w:val="right"/>
              <w:ind w:right="70"/>
              <w:spacing w:after="0"/>
              <w:rPr>
                <w:sz w:val="20"/>
                <w:szCs w:val="20"/>
                <w:color w:val="auto"/>
              </w:rPr>
            </w:pPr>
            <w:r>
              <w:rPr>
                <w:rFonts w:ascii="Arial" w:cs="Arial" w:eastAsia="Arial" w:hAnsi="Arial"/>
                <w:sz w:val="18"/>
                <w:szCs w:val="18"/>
                <w:color w:val="auto"/>
              </w:rPr>
              <w:t>549,122</w:t>
            </w:r>
          </w:p>
        </w:tc>
      </w:tr>
      <w:tr>
        <w:trPr>
          <w:trHeight w:val="27"/>
        </w:trPr>
        <w:tc>
          <w:tcPr>
            <w:tcW w:w="682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1740" w:type="dxa"/>
            <w:vAlign w:val="bottom"/>
            <w:tcBorders>
              <w:bottom w:val="single" w:sz="8" w:color="auto"/>
            </w:tcBorders>
          </w:tcPr>
          <w:p>
            <w:pPr>
              <w:spacing w:after="0"/>
              <w:rPr>
                <w:sz w:val="2"/>
                <w:szCs w:val="2"/>
                <w:color w:val="auto"/>
              </w:rPr>
            </w:pPr>
          </w:p>
        </w:tc>
        <w:tc>
          <w:tcPr>
            <w:tcW w:w="2480" w:type="dxa"/>
            <w:vAlign w:val="bottom"/>
            <w:tcBorders>
              <w:bottom w:val="single" w:sz="8" w:color="auto"/>
            </w:tcBorders>
          </w:tcPr>
          <w:p>
            <w:pPr>
              <w:spacing w:after="0"/>
              <w:rPr>
                <w:sz w:val="2"/>
                <w:szCs w:val="2"/>
                <w:color w:val="auto"/>
              </w:rPr>
            </w:pPr>
          </w:p>
        </w:tc>
      </w:tr>
      <w:tr>
        <w:trPr>
          <w:trHeight w:val="289"/>
        </w:trPr>
        <w:tc>
          <w:tcPr>
            <w:tcW w:w="682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spacing w:after="0"/>
              <w:rPr>
                <w:sz w:val="24"/>
                <w:szCs w:val="24"/>
                <w:color w:val="auto"/>
              </w:rPr>
            </w:pPr>
          </w:p>
        </w:tc>
        <w:tc>
          <w:tcPr>
            <w:tcW w:w="1740" w:type="dxa"/>
            <w:vAlign w:val="bottom"/>
            <w:tcBorders>
              <w:bottom w:val="single" w:sz="8" w:color="CCEEFF"/>
            </w:tcBorders>
            <w:shd w:val="clear" w:color="auto" w:fill="CCEEFF"/>
          </w:tcPr>
          <w:p>
            <w:pPr>
              <w:jc w:val="right"/>
              <w:ind w:right="1530"/>
              <w:spacing w:after="0"/>
              <w:rPr>
                <w:sz w:val="20"/>
                <w:szCs w:val="20"/>
                <w:color w:val="auto"/>
              </w:rPr>
            </w:pPr>
            <w:r>
              <w:rPr>
                <w:rFonts w:ascii="Arial" w:cs="Arial" w:eastAsia="Arial" w:hAnsi="Arial"/>
                <w:sz w:val="18"/>
                <w:szCs w:val="18"/>
                <w:color w:val="auto"/>
                <w:w w:val="99"/>
              </w:rPr>
              <w:t>$</w:t>
            </w:r>
          </w:p>
        </w:tc>
        <w:tc>
          <w:tcPr>
            <w:tcW w:w="24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2,625,600</w:t>
            </w:r>
          </w:p>
        </w:tc>
      </w:tr>
      <w:tr>
        <w:trPr>
          <w:trHeight w:val="20"/>
        </w:trPr>
        <w:tc>
          <w:tcPr>
            <w:tcW w:w="68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1740" w:type="dxa"/>
            <w:vAlign w:val="bottom"/>
            <w:tcBorders>
              <w:top w:val="single" w:sz="8" w:color="auto"/>
              <w:bottom w:val="single" w:sz="8" w:color="auto"/>
            </w:tcBorders>
          </w:tcPr>
          <w:p>
            <w:pPr>
              <w:spacing w:after="0" w:line="20" w:lineRule="exact"/>
              <w:rPr>
                <w:sz w:val="1"/>
                <w:szCs w:val="1"/>
                <w:color w:val="auto"/>
              </w:rPr>
            </w:pPr>
          </w:p>
        </w:tc>
        <w:tc>
          <w:tcPr>
            <w:tcW w:w="248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Discontinued Operations</w:t>
      </w:r>
    </w:p>
    <w:p>
      <w:pPr>
        <w:spacing w:after="0" w:line="121" w:lineRule="exact"/>
        <w:rPr>
          <w:sz w:val="20"/>
          <w:szCs w:val="20"/>
          <w:color w:val="auto"/>
        </w:rPr>
      </w:pPr>
    </w:p>
    <w:p>
      <w:pPr>
        <w:ind w:right="100" w:firstLine="405"/>
        <w:spacing w:after="0" w:line="275" w:lineRule="auto"/>
        <w:rPr>
          <w:sz w:val="20"/>
          <w:szCs w:val="20"/>
          <w:color w:val="auto"/>
        </w:rPr>
      </w:pPr>
      <w:r>
        <w:rPr>
          <w:rFonts w:ascii="Arial" w:cs="Arial" w:eastAsia="Arial" w:hAnsi="Arial"/>
          <w:sz w:val="17"/>
          <w:szCs w:val="17"/>
          <w:color w:val="auto"/>
        </w:rPr>
        <w:t>In November 2016, the Company announced a plan to restructure its operations to refocus its research and development, increase operational efficiency and improve profitability. As part of these actions, the Company began an active program to locate buyers for several businesses. The Company concluded that the divestitures of these businesses in the aggregate represented a strategic shift that had a major effect on the Company’s operations and financial results. These businesses were deemed not to align with the Company’s core business. The Company classified these businesses as discontinued operations for all periods presented in its consolidated financial statements.</w:t>
      </w:r>
    </w:p>
    <w:p>
      <w:pPr>
        <w:spacing w:after="0" w:line="68" w:lineRule="exact"/>
        <w:rPr>
          <w:sz w:val="20"/>
          <w:szCs w:val="20"/>
          <w:color w:val="auto"/>
        </w:rPr>
      </w:pPr>
    </w:p>
    <w:p>
      <w:pPr>
        <w:ind w:right="160" w:firstLine="405"/>
        <w:spacing w:after="0" w:line="311" w:lineRule="auto"/>
        <w:rPr>
          <w:sz w:val="20"/>
          <w:szCs w:val="20"/>
          <w:color w:val="auto"/>
        </w:rPr>
      </w:pPr>
      <w:r>
        <w:rPr>
          <w:rFonts w:ascii="Arial" w:cs="Arial" w:eastAsia="Arial" w:hAnsi="Arial"/>
          <w:sz w:val="16"/>
          <w:szCs w:val="16"/>
          <w:color w:val="auto"/>
        </w:rPr>
        <w:t>In February 2017, the Company entered into an agreement to sell the assets of one of these businesses, the Broadband operations. The transaction closed on April 4, 2017. Based on the terms of the agreement, the Company received sale consideration of $23.0 million in cash proceeds. The divestiture resulted in a pre-tax gain on sale of $8.2 million, which is included in income from discontinued operations in the consolidated statements of operations.</w:t>
      </w:r>
    </w:p>
    <w:p>
      <w:pPr>
        <w:spacing w:after="0" w:line="41" w:lineRule="exact"/>
        <w:rPr>
          <w:sz w:val="20"/>
          <w:szCs w:val="20"/>
          <w:color w:val="auto"/>
        </w:rPr>
      </w:pPr>
    </w:p>
    <w:p>
      <w:pPr>
        <w:ind w:right="80" w:firstLine="405"/>
        <w:spacing w:after="0" w:line="259" w:lineRule="auto"/>
        <w:rPr>
          <w:sz w:val="20"/>
          <w:szCs w:val="20"/>
          <w:color w:val="auto"/>
        </w:rPr>
      </w:pPr>
      <w:r>
        <w:rPr>
          <w:rFonts w:ascii="Arial" w:cs="Arial" w:eastAsia="Arial" w:hAnsi="Arial"/>
          <w:sz w:val="18"/>
          <w:szCs w:val="18"/>
          <w:color w:val="auto"/>
        </w:rPr>
        <w:t>In May 2017, the Company sold the assets of a second business, the LTE thin-modem operations. The transaction closed on May 18, 2017. Based on the terms of the agreement, the Company received sale consideration of $52.9 million. The sale consideration included $3.6 million related to the Company's tax withholding liability paid by the buyer to tax authorities. The divestiture resulted in a pre-tax gain on sale of $34.0 million, which is included in income from discontinued operations in the consolidated statements of operations.</w:t>
      </w:r>
    </w:p>
    <w:p>
      <w:pPr>
        <w:spacing w:after="0" w:line="79" w:lineRule="exact"/>
        <w:rPr>
          <w:sz w:val="20"/>
          <w:szCs w:val="20"/>
          <w:color w:val="auto"/>
        </w:rPr>
      </w:pPr>
    </w:p>
    <w:p>
      <w:pPr>
        <w:ind w:right="220" w:firstLine="405"/>
        <w:spacing w:after="0" w:line="311" w:lineRule="auto"/>
        <w:rPr>
          <w:sz w:val="20"/>
          <w:szCs w:val="20"/>
          <w:color w:val="auto"/>
        </w:rPr>
      </w:pPr>
      <w:r>
        <w:rPr>
          <w:rFonts w:ascii="Arial" w:cs="Arial" w:eastAsia="Arial" w:hAnsi="Arial"/>
          <w:sz w:val="16"/>
          <w:szCs w:val="16"/>
          <w:color w:val="auto"/>
        </w:rPr>
        <w:t>In June 2017, the Company entered into an agreement to sell the assets of a third business, the Multimedia operations. The transaction closed on September 8, 2017. Based on the terms of the agreement, the Company received sale consideration of $93.7 million in cash proceeds. The divestiture resulted in a pre-tax gain on sale of $46.2 million which is included in income from discontinued operations in the consolidated statements of operations.</w:t>
      </w:r>
    </w:p>
    <w:p>
      <w:pPr>
        <w:spacing w:after="0" w:line="41"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There were no carrying amounts of assets and liabilities pertaining to discontinued operations in the consolidated balance sheet as of February 1, 2020 and February 2, 2019. There were no other assets held for sale as of February 1, 2020.</w:t>
      </w: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69" w:name="page70"/>
    <w:bookmarkEnd w:id="6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240" w:firstLine="405"/>
        <w:spacing w:after="0" w:line="308" w:lineRule="auto"/>
        <w:rPr>
          <w:sz w:val="20"/>
          <w:szCs w:val="20"/>
          <w:color w:val="auto"/>
        </w:rPr>
      </w:pPr>
      <w:r>
        <w:rPr>
          <w:rFonts w:ascii="Arial" w:cs="Arial" w:eastAsia="Arial" w:hAnsi="Arial"/>
          <w:sz w:val="17"/>
          <w:szCs w:val="17"/>
          <w:color w:val="auto"/>
        </w:rPr>
        <w:t>The following table presents a reconciliation of the major financial lines constituting the results of operations for discontinued operations to the net income (loss) from discontinued operations presented separately in the consolidated statements of operations (in thousands):</w:t>
      </w: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020" w:type="dxa"/>
            <w:vAlign w:val="bottom"/>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3360" w:type="dxa"/>
            <w:vAlign w:val="bottom"/>
            <w:tcBorders>
              <w:bottom w:val="single" w:sz="8" w:color="auto"/>
            </w:tcBorders>
          </w:tcPr>
          <w:p>
            <w:pPr>
              <w:jc w:val="right"/>
              <w:ind w:right="1713"/>
              <w:spacing w:after="0"/>
              <w:rPr>
                <w:sz w:val="20"/>
                <w:szCs w:val="20"/>
                <w:color w:val="auto"/>
              </w:rPr>
            </w:pPr>
            <w:r>
              <w:rPr>
                <w:rFonts w:ascii="Arial" w:cs="Arial" w:eastAsia="Arial" w:hAnsi="Arial"/>
                <w:sz w:val="14"/>
                <w:szCs w:val="14"/>
                <w:b w:val="1"/>
                <w:bCs w:val="1"/>
                <w:color w:val="auto"/>
              </w:rPr>
              <w:t>Year Ended</w:t>
            </w:r>
          </w:p>
        </w:tc>
      </w:tr>
      <w:tr>
        <w:trPr>
          <w:trHeight w:val="196"/>
        </w:trPr>
        <w:tc>
          <w:tcPr>
            <w:tcW w:w="7020" w:type="dxa"/>
            <w:vAlign w:val="bottom"/>
            <w:tcBorders>
              <w:bottom w:val="single" w:sz="8" w:color="CCEEFF"/>
            </w:tcBorders>
          </w:tcPr>
          <w:p>
            <w:pPr>
              <w:spacing w:after="0"/>
              <w:rPr>
                <w:sz w:val="17"/>
                <w:szCs w:val="17"/>
                <w:color w:val="auto"/>
              </w:rPr>
            </w:pPr>
          </w:p>
        </w:tc>
        <w:tc>
          <w:tcPr>
            <w:tcW w:w="860" w:type="dxa"/>
            <w:vAlign w:val="bottom"/>
            <w:tcBorders>
              <w:bottom w:val="single" w:sz="8" w:color="auto"/>
            </w:tcBorders>
          </w:tcPr>
          <w:p>
            <w:pPr>
              <w:spacing w:after="0"/>
              <w:rPr>
                <w:sz w:val="17"/>
                <w:szCs w:val="17"/>
                <w:color w:val="auto"/>
              </w:rPr>
            </w:pPr>
          </w:p>
        </w:tc>
        <w:tc>
          <w:tcPr>
            <w:tcW w:w="3360" w:type="dxa"/>
            <w:vAlign w:val="bottom"/>
            <w:tcBorders>
              <w:bottom w:val="single" w:sz="8" w:color="auto"/>
            </w:tcBorders>
          </w:tcPr>
          <w:p>
            <w:pPr>
              <w:jc w:val="right"/>
              <w:ind w:right="1493"/>
              <w:spacing w:after="0"/>
              <w:rPr>
                <w:sz w:val="20"/>
                <w:szCs w:val="20"/>
                <w:color w:val="auto"/>
              </w:rPr>
            </w:pPr>
            <w:r>
              <w:rPr>
                <w:rFonts w:ascii="Arial" w:cs="Arial" w:eastAsia="Arial" w:hAnsi="Arial"/>
                <w:sz w:val="14"/>
                <w:szCs w:val="14"/>
                <w:b w:val="1"/>
                <w:bCs w:val="1"/>
                <w:color w:val="auto"/>
              </w:rPr>
              <w:t>February 3, 2018</w:t>
            </w:r>
          </w:p>
        </w:tc>
      </w:tr>
      <w:tr>
        <w:trPr>
          <w:trHeight w:val="250"/>
        </w:trPr>
        <w:tc>
          <w:tcPr>
            <w:tcW w:w="70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860" w:type="dxa"/>
            <w:vAlign w:val="bottom"/>
            <w:tcBorders>
              <w:bottom w:val="single" w:sz="8" w:color="CCEEFF"/>
            </w:tcBorders>
            <w:shd w:val="clear" w:color="auto" w:fill="CCEEFF"/>
          </w:tcPr>
          <w:p>
            <w:pPr>
              <w:jc w:val="right"/>
              <w:ind w:right="650"/>
              <w:spacing w:after="0"/>
              <w:rPr>
                <w:sz w:val="20"/>
                <w:szCs w:val="20"/>
                <w:color w:val="auto"/>
              </w:rPr>
            </w:pPr>
            <w:r>
              <w:rPr>
                <w:rFonts w:ascii="Arial" w:cs="Arial" w:eastAsia="Arial" w:hAnsi="Arial"/>
                <w:sz w:val="18"/>
                <w:szCs w:val="18"/>
                <w:color w:val="auto"/>
                <w:w w:val="99"/>
              </w:rPr>
              <w:t>$</w:t>
            </w:r>
          </w:p>
        </w:tc>
        <w:tc>
          <w:tcPr>
            <w:tcW w:w="33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94,137</w:t>
            </w:r>
          </w:p>
        </w:tc>
      </w:tr>
      <w:tr>
        <w:trPr>
          <w:trHeight w:val="243"/>
        </w:trPr>
        <w:tc>
          <w:tcPr>
            <w:tcW w:w="7020" w:type="dxa"/>
            <w:vAlign w:val="bottom"/>
          </w:tcPr>
          <w:p>
            <w:pPr>
              <w:ind w:left="20"/>
              <w:spacing w:after="0"/>
              <w:rPr>
                <w:sz w:val="20"/>
                <w:szCs w:val="20"/>
                <w:color w:val="auto"/>
              </w:rPr>
            </w:pPr>
            <w:r>
              <w:rPr>
                <w:rFonts w:ascii="Arial" w:cs="Arial" w:eastAsia="Arial" w:hAnsi="Arial"/>
                <w:sz w:val="18"/>
                <w:szCs w:val="18"/>
                <w:color w:val="auto"/>
              </w:rPr>
              <w:t>Cost of goods sold</w:t>
            </w:r>
          </w:p>
        </w:tc>
        <w:tc>
          <w:tcPr>
            <w:tcW w:w="860" w:type="dxa"/>
            <w:vAlign w:val="bottom"/>
          </w:tcPr>
          <w:p>
            <w:pPr>
              <w:spacing w:after="0"/>
              <w:rPr>
                <w:sz w:val="21"/>
                <w:szCs w:val="21"/>
                <w:color w:val="auto"/>
              </w:rPr>
            </w:pPr>
          </w:p>
        </w:tc>
        <w:tc>
          <w:tcPr>
            <w:tcW w:w="3360" w:type="dxa"/>
            <w:vAlign w:val="bottom"/>
          </w:tcPr>
          <w:p>
            <w:pPr>
              <w:jc w:val="right"/>
              <w:ind w:right="73"/>
              <w:spacing w:after="0"/>
              <w:rPr>
                <w:sz w:val="20"/>
                <w:szCs w:val="20"/>
                <w:color w:val="auto"/>
              </w:rPr>
            </w:pPr>
            <w:r>
              <w:rPr>
                <w:rFonts w:ascii="Arial" w:cs="Arial" w:eastAsia="Arial" w:hAnsi="Arial"/>
                <w:sz w:val="18"/>
                <w:szCs w:val="18"/>
                <w:color w:val="auto"/>
              </w:rPr>
              <w:t>47,499</w:t>
            </w:r>
          </w:p>
        </w:tc>
      </w:tr>
      <w:tr>
        <w:trPr>
          <w:trHeight w:val="27"/>
        </w:trPr>
        <w:tc>
          <w:tcPr>
            <w:tcW w:w="7020" w:type="dxa"/>
            <w:vAlign w:val="bottom"/>
            <w:tcBorders>
              <w:bottom w:val="single" w:sz="8" w:color="CCEEFF"/>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3360" w:type="dxa"/>
            <w:vAlign w:val="bottom"/>
            <w:tcBorders>
              <w:bottom w:val="single" w:sz="8" w:color="auto"/>
            </w:tcBorders>
          </w:tcPr>
          <w:p>
            <w:pPr>
              <w:spacing w:after="0"/>
              <w:rPr>
                <w:sz w:val="2"/>
                <w:szCs w:val="2"/>
                <w:color w:val="auto"/>
              </w:rPr>
            </w:pPr>
          </w:p>
        </w:tc>
      </w:tr>
      <w:tr>
        <w:trPr>
          <w:trHeight w:val="264"/>
        </w:trPr>
        <w:tc>
          <w:tcPr>
            <w:tcW w:w="70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860" w:type="dxa"/>
            <w:vAlign w:val="bottom"/>
            <w:tcBorders>
              <w:bottom w:val="single" w:sz="8" w:color="CCEEFF"/>
            </w:tcBorders>
            <w:shd w:val="clear" w:color="auto" w:fill="CCEEFF"/>
          </w:tcPr>
          <w:p>
            <w:pPr>
              <w:spacing w:after="0"/>
              <w:rPr>
                <w:sz w:val="22"/>
                <w:szCs w:val="22"/>
                <w:color w:val="auto"/>
              </w:rPr>
            </w:pPr>
          </w:p>
        </w:tc>
        <w:tc>
          <w:tcPr>
            <w:tcW w:w="33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46,638</w:t>
            </w:r>
          </w:p>
        </w:tc>
      </w:tr>
      <w:tr>
        <w:trPr>
          <w:trHeight w:val="223"/>
        </w:trPr>
        <w:tc>
          <w:tcPr>
            <w:tcW w:w="702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860" w:type="dxa"/>
            <w:vAlign w:val="bottom"/>
            <w:tcBorders>
              <w:top w:val="single" w:sz="8" w:color="auto"/>
            </w:tcBorders>
          </w:tcPr>
          <w:p>
            <w:pPr>
              <w:spacing w:after="0"/>
              <w:rPr>
                <w:sz w:val="19"/>
                <w:szCs w:val="19"/>
                <w:color w:val="auto"/>
              </w:rPr>
            </w:pPr>
          </w:p>
        </w:tc>
        <w:tc>
          <w:tcPr>
            <w:tcW w:w="3360" w:type="dxa"/>
            <w:vAlign w:val="bottom"/>
            <w:tcBorders>
              <w:top w:val="single" w:sz="8" w:color="auto"/>
            </w:tcBorders>
          </w:tcPr>
          <w:p>
            <w:pPr>
              <w:spacing w:after="0"/>
              <w:rPr>
                <w:sz w:val="19"/>
                <w:szCs w:val="19"/>
                <w:color w:val="auto"/>
              </w:rPr>
            </w:pPr>
          </w:p>
        </w:tc>
      </w:tr>
      <w:tr>
        <w:trPr>
          <w:trHeight w:val="27"/>
        </w:trPr>
        <w:tc>
          <w:tcPr>
            <w:tcW w:w="7020" w:type="dxa"/>
            <w:vAlign w:val="bottom"/>
          </w:tcPr>
          <w:p>
            <w:pPr>
              <w:spacing w:after="0"/>
              <w:rPr>
                <w:sz w:val="2"/>
                <w:szCs w:val="2"/>
                <w:color w:val="auto"/>
              </w:rPr>
            </w:pPr>
          </w:p>
        </w:tc>
        <w:tc>
          <w:tcPr>
            <w:tcW w:w="860" w:type="dxa"/>
            <w:vAlign w:val="bottom"/>
          </w:tcPr>
          <w:p>
            <w:pPr>
              <w:spacing w:after="0"/>
              <w:rPr>
                <w:sz w:val="2"/>
                <w:szCs w:val="2"/>
                <w:color w:val="auto"/>
              </w:rPr>
            </w:pPr>
          </w:p>
        </w:tc>
        <w:tc>
          <w:tcPr>
            <w:tcW w:w="3360" w:type="dxa"/>
            <w:vAlign w:val="bottom"/>
          </w:tcPr>
          <w:p>
            <w:pPr>
              <w:spacing w:after="0"/>
              <w:rPr>
                <w:sz w:val="2"/>
                <w:szCs w:val="2"/>
                <w:color w:val="auto"/>
              </w:rPr>
            </w:pPr>
          </w:p>
        </w:tc>
      </w:tr>
      <w:tr>
        <w:trPr>
          <w:trHeight w:val="250"/>
        </w:trPr>
        <w:tc>
          <w:tcPr>
            <w:tcW w:w="702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Research and development</w:t>
            </w:r>
          </w:p>
        </w:tc>
        <w:tc>
          <w:tcPr>
            <w:tcW w:w="860" w:type="dxa"/>
            <w:vAlign w:val="bottom"/>
            <w:tcBorders>
              <w:bottom w:val="single" w:sz="8" w:color="CCEEFF"/>
            </w:tcBorders>
            <w:shd w:val="clear" w:color="auto" w:fill="CCEEFF"/>
          </w:tcPr>
          <w:p>
            <w:pPr>
              <w:spacing w:after="0"/>
              <w:rPr>
                <w:sz w:val="21"/>
                <w:szCs w:val="21"/>
                <w:color w:val="auto"/>
              </w:rPr>
            </w:pPr>
          </w:p>
        </w:tc>
        <w:tc>
          <w:tcPr>
            <w:tcW w:w="33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34,530</w:t>
            </w:r>
          </w:p>
        </w:tc>
      </w:tr>
      <w:tr>
        <w:trPr>
          <w:trHeight w:val="243"/>
        </w:trPr>
        <w:tc>
          <w:tcPr>
            <w:tcW w:w="7020" w:type="dxa"/>
            <w:vAlign w:val="bottom"/>
          </w:tcPr>
          <w:p>
            <w:pPr>
              <w:ind w:left="260"/>
              <w:spacing w:after="0"/>
              <w:rPr>
                <w:sz w:val="20"/>
                <w:szCs w:val="20"/>
                <w:color w:val="auto"/>
              </w:rPr>
            </w:pPr>
            <w:r>
              <w:rPr>
                <w:rFonts w:ascii="Arial" w:cs="Arial" w:eastAsia="Arial" w:hAnsi="Arial"/>
                <w:sz w:val="18"/>
                <w:szCs w:val="18"/>
                <w:color w:val="auto"/>
              </w:rPr>
              <w:t>Selling, general and administrative</w:t>
            </w:r>
          </w:p>
        </w:tc>
        <w:tc>
          <w:tcPr>
            <w:tcW w:w="860" w:type="dxa"/>
            <w:vAlign w:val="bottom"/>
          </w:tcPr>
          <w:p>
            <w:pPr>
              <w:spacing w:after="0"/>
              <w:rPr>
                <w:sz w:val="21"/>
                <w:szCs w:val="21"/>
                <w:color w:val="auto"/>
              </w:rPr>
            </w:pPr>
          </w:p>
        </w:tc>
        <w:tc>
          <w:tcPr>
            <w:tcW w:w="3360" w:type="dxa"/>
            <w:vAlign w:val="bottom"/>
          </w:tcPr>
          <w:p>
            <w:pPr>
              <w:jc w:val="right"/>
              <w:ind w:right="73"/>
              <w:spacing w:after="0"/>
              <w:rPr>
                <w:sz w:val="20"/>
                <w:szCs w:val="20"/>
                <w:color w:val="auto"/>
              </w:rPr>
            </w:pPr>
            <w:r>
              <w:rPr>
                <w:rFonts w:ascii="Arial" w:cs="Arial" w:eastAsia="Arial" w:hAnsi="Arial"/>
                <w:sz w:val="18"/>
                <w:szCs w:val="18"/>
                <w:color w:val="auto"/>
              </w:rPr>
              <w:t>6,925</w:t>
            </w:r>
          </w:p>
        </w:tc>
      </w:tr>
      <w:tr>
        <w:trPr>
          <w:trHeight w:val="27"/>
        </w:trPr>
        <w:tc>
          <w:tcPr>
            <w:tcW w:w="7020" w:type="dxa"/>
            <w:vAlign w:val="bottom"/>
            <w:tcBorders>
              <w:bottom w:val="single" w:sz="8" w:color="CCEEFF"/>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3360" w:type="dxa"/>
            <w:vAlign w:val="bottom"/>
            <w:tcBorders>
              <w:bottom w:val="single" w:sz="8" w:color="auto"/>
            </w:tcBorders>
          </w:tcPr>
          <w:p>
            <w:pPr>
              <w:spacing w:after="0"/>
              <w:rPr>
                <w:sz w:val="2"/>
                <w:szCs w:val="2"/>
                <w:color w:val="auto"/>
              </w:rPr>
            </w:pPr>
          </w:p>
        </w:tc>
      </w:tr>
      <w:tr>
        <w:trPr>
          <w:trHeight w:val="263"/>
        </w:trPr>
        <w:tc>
          <w:tcPr>
            <w:tcW w:w="7020" w:type="dxa"/>
            <w:vAlign w:val="bottom"/>
            <w:tcBorders>
              <w:bottom w:val="single" w:sz="8" w:color="CCEEFF"/>
            </w:tcBorders>
            <w:shd w:val="clear" w:color="auto" w:fill="CCEEFF"/>
          </w:tcPr>
          <w:p>
            <w:pPr>
              <w:ind w:left="480"/>
              <w:spacing w:after="0"/>
              <w:rPr>
                <w:sz w:val="20"/>
                <w:szCs w:val="20"/>
                <w:color w:val="auto"/>
              </w:rPr>
            </w:pPr>
            <w:r>
              <w:rPr>
                <w:rFonts w:ascii="Arial" w:cs="Arial" w:eastAsia="Arial" w:hAnsi="Arial"/>
                <w:sz w:val="18"/>
                <w:szCs w:val="18"/>
                <w:color w:val="auto"/>
              </w:rPr>
              <w:t>Total operating expenses</w:t>
            </w:r>
          </w:p>
        </w:tc>
        <w:tc>
          <w:tcPr>
            <w:tcW w:w="860" w:type="dxa"/>
            <w:vAlign w:val="bottom"/>
            <w:tcBorders>
              <w:bottom w:val="single" w:sz="8" w:color="CCEEFF"/>
            </w:tcBorders>
            <w:shd w:val="clear" w:color="auto" w:fill="CCEEFF"/>
          </w:tcPr>
          <w:p>
            <w:pPr>
              <w:spacing w:after="0"/>
              <w:rPr>
                <w:sz w:val="22"/>
                <w:szCs w:val="22"/>
                <w:color w:val="auto"/>
              </w:rPr>
            </w:pPr>
          </w:p>
        </w:tc>
        <w:tc>
          <w:tcPr>
            <w:tcW w:w="33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41,455</w:t>
            </w:r>
          </w:p>
        </w:tc>
      </w:tr>
      <w:tr>
        <w:trPr>
          <w:trHeight w:val="237"/>
        </w:trPr>
        <w:tc>
          <w:tcPr>
            <w:tcW w:w="7020" w:type="dxa"/>
            <w:vAlign w:val="bottom"/>
          </w:tcPr>
          <w:p>
            <w:pPr>
              <w:ind w:left="20"/>
              <w:spacing w:after="0"/>
              <w:rPr>
                <w:sz w:val="20"/>
                <w:szCs w:val="20"/>
                <w:color w:val="auto"/>
              </w:rPr>
            </w:pPr>
            <w:r>
              <w:rPr>
                <w:rFonts w:ascii="Arial" w:cs="Arial" w:eastAsia="Arial" w:hAnsi="Arial"/>
                <w:sz w:val="18"/>
                <w:szCs w:val="18"/>
                <w:color w:val="auto"/>
              </w:rPr>
              <w:t>Income from discontinued operations before income taxes</w:t>
            </w:r>
          </w:p>
        </w:tc>
        <w:tc>
          <w:tcPr>
            <w:tcW w:w="860" w:type="dxa"/>
            <w:vAlign w:val="bottom"/>
            <w:tcBorders>
              <w:top w:val="single" w:sz="8" w:color="auto"/>
            </w:tcBorders>
          </w:tcPr>
          <w:p>
            <w:pPr>
              <w:spacing w:after="0"/>
              <w:rPr>
                <w:sz w:val="20"/>
                <w:szCs w:val="20"/>
                <w:color w:val="auto"/>
              </w:rPr>
            </w:pPr>
          </w:p>
        </w:tc>
        <w:tc>
          <w:tcPr>
            <w:tcW w:w="336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5,183</w:t>
            </w:r>
          </w:p>
        </w:tc>
      </w:tr>
      <w:tr>
        <w:trPr>
          <w:trHeight w:val="27"/>
        </w:trPr>
        <w:tc>
          <w:tcPr>
            <w:tcW w:w="7020" w:type="dxa"/>
            <w:vAlign w:val="bottom"/>
          </w:tcPr>
          <w:p>
            <w:pPr>
              <w:spacing w:after="0"/>
              <w:rPr>
                <w:sz w:val="2"/>
                <w:szCs w:val="2"/>
                <w:color w:val="auto"/>
              </w:rPr>
            </w:pPr>
          </w:p>
        </w:tc>
        <w:tc>
          <w:tcPr>
            <w:tcW w:w="860" w:type="dxa"/>
            <w:vAlign w:val="bottom"/>
          </w:tcPr>
          <w:p>
            <w:pPr>
              <w:spacing w:after="0"/>
              <w:rPr>
                <w:sz w:val="2"/>
                <w:szCs w:val="2"/>
                <w:color w:val="auto"/>
              </w:rPr>
            </w:pPr>
          </w:p>
        </w:tc>
        <w:tc>
          <w:tcPr>
            <w:tcW w:w="3360" w:type="dxa"/>
            <w:vAlign w:val="bottom"/>
          </w:tcPr>
          <w:p>
            <w:pPr>
              <w:spacing w:after="0"/>
              <w:rPr>
                <w:sz w:val="2"/>
                <w:szCs w:val="2"/>
                <w:color w:val="auto"/>
              </w:rPr>
            </w:pPr>
          </w:p>
        </w:tc>
      </w:tr>
      <w:tr>
        <w:trPr>
          <w:trHeight w:val="250"/>
        </w:trPr>
        <w:tc>
          <w:tcPr>
            <w:tcW w:w="70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Gain from sale of discontinued operations</w:t>
            </w:r>
          </w:p>
        </w:tc>
        <w:tc>
          <w:tcPr>
            <w:tcW w:w="860" w:type="dxa"/>
            <w:vAlign w:val="bottom"/>
            <w:tcBorders>
              <w:bottom w:val="single" w:sz="8" w:color="CCEEFF"/>
            </w:tcBorders>
            <w:shd w:val="clear" w:color="auto" w:fill="CCEEFF"/>
          </w:tcPr>
          <w:p>
            <w:pPr>
              <w:spacing w:after="0"/>
              <w:rPr>
                <w:sz w:val="21"/>
                <w:szCs w:val="21"/>
                <w:color w:val="auto"/>
              </w:rPr>
            </w:pPr>
          </w:p>
        </w:tc>
        <w:tc>
          <w:tcPr>
            <w:tcW w:w="33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88,406</w:t>
            </w:r>
          </w:p>
        </w:tc>
      </w:tr>
      <w:tr>
        <w:trPr>
          <w:trHeight w:val="243"/>
        </w:trPr>
        <w:tc>
          <w:tcPr>
            <w:tcW w:w="7020" w:type="dxa"/>
            <w:vAlign w:val="bottom"/>
          </w:tcPr>
          <w:p>
            <w:pPr>
              <w:ind w:left="20"/>
              <w:spacing w:after="0"/>
              <w:rPr>
                <w:sz w:val="20"/>
                <w:szCs w:val="20"/>
                <w:color w:val="auto"/>
              </w:rPr>
            </w:pPr>
            <w:r>
              <w:rPr>
                <w:rFonts w:ascii="Arial" w:cs="Arial" w:eastAsia="Arial" w:hAnsi="Arial"/>
                <w:sz w:val="18"/>
                <w:szCs w:val="18"/>
                <w:color w:val="auto"/>
              </w:rPr>
              <w:t>Provision for income taxes</w:t>
            </w:r>
          </w:p>
        </w:tc>
        <w:tc>
          <w:tcPr>
            <w:tcW w:w="860" w:type="dxa"/>
            <w:vAlign w:val="bottom"/>
          </w:tcPr>
          <w:p>
            <w:pPr>
              <w:spacing w:after="0"/>
              <w:rPr>
                <w:sz w:val="21"/>
                <w:szCs w:val="21"/>
                <w:color w:val="auto"/>
              </w:rPr>
            </w:pPr>
          </w:p>
        </w:tc>
        <w:tc>
          <w:tcPr>
            <w:tcW w:w="3360" w:type="dxa"/>
            <w:vAlign w:val="bottom"/>
          </w:tcPr>
          <w:p>
            <w:pPr>
              <w:jc w:val="right"/>
              <w:ind w:right="73"/>
              <w:spacing w:after="0"/>
              <w:rPr>
                <w:sz w:val="20"/>
                <w:szCs w:val="20"/>
                <w:color w:val="auto"/>
              </w:rPr>
            </w:pPr>
            <w:r>
              <w:rPr>
                <w:rFonts w:ascii="Arial" w:cs="Arial" w:eastAsia="Arial" w:hAnsi="Arial"/>
                <w:sz w:val="18"/>
                <w:szCs w:val="18"/>
                <w:color w:val="auto"/>
              </w:rPr>
              <w:t>5,900</w:t>
            </w:r>
          </w:p>
        </w:tc>
      </w:tr>
      <w:tr>
        <w:trPr>
          <w:trHeight w:val="27"/>
        </w:trPr>
        <w:tc>
          <w:tcPr>
            <w:tcW w:w="7020" w:type="dxa"/>
            <w:vAlign w:val="bottom"/>
            <w:tcBorders>
              <w:bottom w:val="single" w:sz="8" w:color="CCEEFF"/>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3360" w:type="dxa"/>
            <w:vAlign w:val="bottom"/>
            <w:tcBorders>
              <w:bottom w:val="single" w:sz="8" w:color="auto"/>
            </w:tcBorders>
          </w:tcPr>
          <w:p>
            <w:pPr>
              <w:spacing w:after="0"/>
              <w:rPr>
                <w:sz w:val="2"/>
                <w:szCs w:val="2"/>
                <w:color w:val="auto"/>
              </w:rPr>
            </w:pPr>
          </w:p>
        </w:tc>
      </w:tr>
      <w:tr>
        <w:trPr>
          <w:trHeight w:val="288"/>
        </w:trPr>
        <w:tc>
          <w:tcPr>
            <w:tcW w:w="70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from discontinued operations</w:t>
            </w:r>
          </w:p>
        </w:tc>
        <w:tc>
          <w:tcPr>
            <w:tcW w:w="860" w:type="dxa"/>
            <w:vAlign w:val="bottom"/>
            <w:tcBorders>
              <w:bottom w:val="single" w:sz="8" w:color="CCEEFF"/>
            </w:tcBorders>
            <w:shd w:val="clear" w:color="auto" w:fill="CCEEFF"/>
          </w:tcPr>
          <w:p>
            <w:pPr>
              <w:jc w:val="right"/>
              <w:ind w:right="650"/>
              <w:spacing w:after="0"/>
              <w:rPr>
                <w:sz w:val="20"/>
                <w:szCs w:val="20"/>
                <w:color w:val="auto"/>
              </w:rPr>
            </w:pPr>
            <w:r>
              <w:rPr>
                <w:rFonts w:ascii="Arial" w:cs="Arial" w:eastAsia="Arial" w:hAnsi="Arial"/>
                <w:sz w:val="18"/>
                <w:szCs w:val="18"/>
                <w:color w:val="auto"/>
                <w:w w:val="99"/>
              </w:rPr>
              <w:t>$</w:t>
            </w:r>
          </w:p>
        </w:tc>
        <w:tc>
          <w:tcPr>
            <w:tcW w:w="33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87,689</w:t>
            </w: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3360" w:type="dxa"/>
            <w:vAlign w:val="bottom"/>
            <w:tcBorders>
              <w:top w:val="single" w:sz="8" w:color="auto"/>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right="20" w:firstLine="405"/>
        <w:spacing w:after="0" w:line="290" w:lineRule="auto"/>
        <w:rPr>
          <w:sz w:val="20"/>
          <w:szCs w:val="20"/>
          <w:color w:val="auto"/>
        </w:rPr>
      </w:pPr>
      <w:r>
        <w:rPr>
          <w:rFonts w:ascii="Arial" w:cs="Arial" w:eastAsia="Arial" w:hAnsi="Arial"/>
          <w:sz w:val="16"/>
          <w:szCs w:val="16"/>
          <w:color w:val="auto"/>
        </w:rPr>
        <w:t>The Company had no discontinued operations for the years ended February 1, 2020 and February 2, 2019. Non-cash operating amounts reported for discontinued operations include share-based compensation expense of $1.6 million in fiscal 2018. Depreciation, amortization and capital expenditures are not material. The proceeds from sale of the Multimedia business of $93.7 million, proceeds from sale of the LTE thin-modem business of $49.2 million and proceeds from sale of the Broadband business of $23.0 million are classified in investing activities for fiscal 2018, and the gain on sale of such business is presented in operating activities in the consolidated statements of cash flows. Due to the Company's transfer pricing arrangements, the Company generates income in most jurisdictions in which it operates, regardless of a loss that may exist on a consolidated basis. In addition, the Company recognized a tax expense of $0.5 million on the sale of its Multimedia business for fiscal 2018, and a tax expense of $4.5 million on the sale of its LTE thin-modem business for fiscal 2018. As such, the Company has reflected a tax expense of $5.9 million for fiscal 2018, attributable to discontinued operations.</w:t>
      </w:r>
    </w:p>
    <w:p>
      <w:pPr>
        <w:spacing w:after="0" w:line="200" w:lineRule="exact"/>
        <w:rPr>
          <w:sz w:val="20"/>
          <w:szCs w:val="20"/>
          <w:color w:val="auto"/>
        </w:rPr>
      </w:pPr>
    </w:p>
    <w:p>
      <w:pPr>
        <w:spacing w:after="0" w:line="34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0" w:name="page71"/>
    <w:bookmarkEnd w:id="7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Restructuring and Other Related Charges</w:t>
      </w:r>
    </w:p>
    <w:p>
      <w:pPr>
        <w:spacing w:after="0" w:line="121" w:lineRule="exact"/>
        <w:rPr>
          <w:sz w:val="20"/>
          <w:szCs w:val="20"/>
          <w:color w:val="auto"/>
        </w:rPr>
      </w:pPr>
    </w:p>
    <w:p>
      <w:pPr>
        <w:ind w:right="700" w:firstLine="405"/>
        <w:spacing w:after="0" w:line="277" w:lineRule="auto"/>
        <w:rPr>
          <w:sz w:val="20"/>
          <w:szCs w:val="20"/>
          <w:color w:val="auto"/>
        </w:rPr>
      </w:pPr>
      <w:r>
        <w:rPr>
          <w:rFonts w:ascii="Arial" w:cs="Arial" w:eastAsia="Arial" w:hAnsi="Arial"/>
          <w:sz w:val="18"/>
          <w:szCs w:val="18"/>
          <w:color w:val="auto"/>
        </w:rPr>
        <w:t>The following table presents details related to the restructuring related charges as presented in the Consolidated Statements of Operations (in thousands):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r>
      <w:tr>
        <w:trPr>
          <w:trHeight w:val="152"/>
        </w:trPr>
        <w:tc>
          <w:tcPr>
            <w:tcW w:w="67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30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1,</w:t>
            </w:r>
          </w:p>
        </w:tc>
        <w:tc>
          <w:tcPr>
            <w:tcW w:w="240" w:type="dxa"/>
            <w:vAlign w:val="bottom"/>
          </w:tcPr>
          <w:p>
            <w:pPr>
              <w:spacing w:after="0"/>
              <w:rPr>
                <w:sz w:val="13"/>
                <w:szCs w:val="13"/>
                <w:color w:val="auto"/>
              </w:rPr>
            </w:pPr>
          </w:p>
        </w:tc>
        <w:tc>
          <w:tcPr>
            <w:tcW w:w="1300" w:type="dxa"/>
            <w:vAlign w:val="bottom"/>
            <w:gridSpan w:val="2"/>
          </w:tcPr>
          <w:p>
            <w:pPr>
              <w:jc w:val="center"/>
              <w:ind w:right="340"/>
              <w:spacing w:after="0" w:line="153" w:lineRule="exact"/>
              <w:rPr>
                <w:sz w:val="20"/>
                <w:szCs w:val="20"/>
                <w:color w:val="auto"/>
              </w:rPr>
            </w:pPr>
            <w:r>
              <w:rPr>
                <w:rFonts w:ascii="Arial" w:cs="Arial" w:eastAsia="Arial" w:hAnsi="Arial"/>
                <w:sz w:val="14"/>
                <w:szCs w:val="14"/>
                <w:b w:val="1"/>
                <w:bCs w:val="1"/>
                <w:color w:val="auto"/>
                <w:w w:val="95"/>
              </w:rPr>
              <w:t>February 2,</w:t>
            </w:r>
          </w:p>
        </w:tc>
        <w:tc>
          <w:tcPr>
            <w:tcW w:w="240" w:type="dxa"/>
            <w:vAlign w:val="bottom"/>
          </w:tcPr>
          <w:p>
            <w:pPr>
              <w:spacing w:after="0"/>
              <w:rPr>
                <w:sz w:val="13"/>
                <w:szCs w:val="13"/>
                <w:color w:val="auto"/>
              </w:rPr>
            </w:pPr>
          </w:p>
        </w:tc>
        <w:tc>
          <w:tcPr>
            <w:tcW w:w="1200" w:type="dxa"/>
            <w:vAlign w:val="bottom"/>
          </w:tcPr>
          <w:p>
            <w:pPr>
              <w:jc w:val="right"/>
              <w:ind w:right="272"/>
              <w:spacing w:after="0" w:line="153" w:lineRule="exact"/>
              <w:rPr>
                <w:sz w:val="20"/>
                <w:szCs w:val="20"/>
                <w:color w:val="auto"/>
              </w:rPr>
            </w:pPr>
            <w:r>
              <w:rPr>
                <w:rFonts w:ascii="Arial" w:cs="Arial" w:eastAsia="Arial" w:hAnsi="Arial"/>
                <w:sz w:val="14"/>
                <w:szCs w:val="14"/>
                <w:b w:val="1"/>
                <w:bCs w:val="1"/>
                <w:color w:val="auto"/>
              </w:rPr>
              <w:t>February 3,</w:t>
            </w:r>
          </w:p>
        </w:tc>
      </w:tr>
      <w:tr>
        <w:trPr>
          <w:trHeight w:val="192"/>
        </w:trPr>
        <w:tc>
          <w:tcPr>
            <w:tcW w:w="67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3"/>
              <w:spacing w:after="0"/>
              <w:rPr>
                <w:sz w:val="20"/>
                <w:szCs w:val="20"/>
                <w:color w:val="auto"/>
              </w:rPr>
            </w:pPr>
            <w:r>
              <w:rPr>
                <w:rFonts w:ascii="Arial" w:cs="Arial" w:eastAsia="Arial" w:hAnsi="Arial"/>
                <w:sz w:val="14"/>
                <w:szCs w:val="14"/>
                <w:b w:val="1"/>
                <w:bCs w:val="1"/>
                <w:color w:val="auto"/>
                <w:w w:val="89"/>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2018</w:t>
            </w:r>
          </w:p>
        </w:tc>
      </w:tr>
      <w:tr>
        <w:trPr>
          <w:trHeight w:val="250"/>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Severance and related costs</w:t>
            </w: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31,685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40,345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8,247</w:t>
            </w:r>
          </w:p>
        </w:tc>
      </w:tr>
      <w:tr>
        <w:trPr>
          <w:trHeight w:val="243"/>
        </w:trPr>
        <w:tc>
          <w:tcPr>
            <w:tcW w:w="6740" w:type="dxa"/>
            <w:vAlign w:val="bottom"/>
          </w:tcPr>
          <w:p>
            <w:pPr>
              <w:ind w:left="20"/>
              <w:spacing w:after="0"/>
              <w:rPr>
                <w:sz w:val="20"/>
                <w:szCs w:val="20"/>
                <w:color w:val="auto"/>
              </w:rPr>
            </w:pPr>
            <w:r>
              <w:rPr>
                <w:rFonts w:ascii="Arial" w:cs="Arial" w:eastAsia="Arial" w:hAnsi="Arial"/>
                <w:sz w:val="18"/>
                <w:szCs w:val="18"/>
                <w:color w:val="auto"/>
              </w:rPr>
              <w:t>Facilities and related costs</w:t>
            </w:r>
          </w:p>
        </w:tc>
        <w:tc>
          <w:tcPr>
            <w:tcW w:w="220" w:type="dxa"/>
            <w:vAlign w:val="bottom"/>
          </w:tcPr>
          <w:p>
            <w:pPr>
              <w:spacing w:after="0"/>
              <w:rPr>
                <w:sz w:val="21"/>
                <w:szCs w:val="21"/>
                <w:color w:val="auto"/>
              </w:rPr>
            </w:pPr>
          </w:p>
        </w:tc>
        <w:tc>
          <w:tcPr>
            <w:tcW w:w="1200" w:type="dxa"/>
            <w:vAlign w:val="bottom"/>
          </w:tcPr>
          <w:p>
            <w:pPr>
              <w:jc w:val="right"/>
              <w:ind w:right="72"/>
              <w:spacing w:after="0"/>
              <w:rPr>
                <w:sz w:val="20"/>
                <w:szCs w:val="20"/>
                <w:color w:val="auto"/>
              </w:rPr>
            </w:pPr>
            <w:r>
              <w:rPr>
                <w:rFonts w:ascii="Arial" w:cs="Arial" w:eastAsia="Arial" w:hAnsi="Arial"/>
                <w:sz w:val="18"/>
                <w:szCs w:val="18"/>
                <w:color w:val="auto"/>
              </w:rPr>
              <w:t>3,938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3"/>
              <w:spacing w:after="0"/>
              <w:rPr>
                <w:sz w:val="20"/>
                <w:szCs w:val="20"/>
                <w:color w:val="auto"/>
              </w:rPr>
            </w:pPr>
            <w:r>
              <w:rPr>
                <w:rFonts w:ascii="Arial" w:cs="Arial" w:eastAsia="Arial" w:hAnsi="Arial"/>
                <w:sz w:val="18"/>
                <w:szCs w:val="18"/>
                <w:color w:val="auto"/>
              </w:rPr>
              <w:t>35,831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2"/>
              <w:spacing w:after="0"/>
              <w:rPr>
                <w:sz w:val="20"/>
                <w:szCs w:val="20"/>
                <w:color w:val="auto"/>
              </w:rPr>
            </w:pPr>
            <w:r>
              <w:rPr>
                <w:rFonts w:ascii="Arial" w:cs="Arial" w:eastAsia="Arial" w:hAnsi="Arial"/>
                <w:sz w:val="18"/>
                <w:szCs w:val="18"/>
                <w:color w:val="auto"/>
              </w:rPr>
              <w:t>1,692</w:t>
            </w:r>
          </w:p>
        </w:tc>
      </w:tr>
      <w:tr>
        <w:trPr>
          <w:trHeight w:val="27"/>
        </w:trPr>
        <w:tc>
          <w:tcPr>
            <w:tcW w:w="67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exit-related costs</w:t>
            </w:r>
          </w:p>
        </w:tc>
        <w:tc>
          <w:tcPr>
            <w:tcW w:w="22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3,621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2,050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2,082</w:t>
            </w:r>
          </w:p>
        </w:tc>
      </w:tr>
      <w:tr>
        <w:trPr>
          <w:trHeight w:val="237"/>
        </w:trPr>
        <w:tc>
          <w:tcPr>
            <w:tcW w:w="674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39,244</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78,226</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12,021</w:t>
            </w:r>
          </w:p>
        </w:tc>
      </w:tr>
      <w:tr>
        <w:trPr>
          <w:trHeight w:val="27"/>
        </w:trPr>
        <w:tc>
          <w:tcPr>
            <w:tcW w:w="67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Release of reserves:</w:t>
            </w: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6740" w:type="dxa"/>
            <w:vAlign w:val="bottom"/>
          </w:tcPr>
          <w:p>
            <w:pPr>
              <w:ind w:left="340"/>
              <w:spacing w:after="0"/>
              <w:rPr>
                <w:sz w:val="20"/>
                <w:szCs w:val="20"/>
                <w:color w:val="auto"/>
              </w:rPr>
            </w:pPr>
            <w:r>
              <w:rPr>
                <w:rFonts w:ascii="Arial" w:cs="Arial" w:eastAsia="Arial" w:hAnsi="Arial"/>
                <w:sz w:val="18"/>
                <w:szCs w:val="18"/>
                <w:color w:val="auto"/>
              </w:rPr>
              <w:t>Severance</w:t>
            </w:r>
          </w:p>
        </w:tc>
        <w:tc>
          <w:tcPr>
            <w:tcW w:w="22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(480)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(1,273)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(1,612)</w:t>
            </w:r>
          </w:p>
        </w:tc>
      </w:tr>
      <w:tr>
        <w:trPr>
          <w:trHeight w:val="27"/>
        </w:trPr>
        <w:tc>
          <w:tcPr>
            <w:tcW w:w="67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Facilities and related costs</w:t>
            </w: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(893)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(258)</w:t>
            </w:r>
          </w:p>
        </w:tc>
      </w:tr>
      <w:tr>
        <w:trPr>
          <w:trHeight w:val="243"/>
        </w:trPr>
        <w:tc>
          <w:tcPr>
            <w:tcW w:w="6740" w:type="dxa"/>
            <w:vAlign w:val="bottom"/>
          </w:tcPr>
          <w:p>
            <w:pPr>
              <w:ind w:left="340"/>
              <w:spacing w:after="0"/>
              <w:rPr>
                <w:sz w:val="20"/>
                <w:szCs w:val="20"/>
                <w:color w:val="auto"/>
              </w:rPr>
            </w:pPr>
            <w:r>
              <w:rPr>
                <w:rFonts w:ascii="Arial" w:cs="Arial" w:eastAsia="Arial" w:hAnsi="Arial"/>
                <w:sz w:val="18"/>
                <w:szCs w:val="18"/>
                <w:color w:val="auto"/>
              </w:rPr>
              <w:t>Other exit-related costs</w:t>
            </w:r>
          </w:p>
        </w:tc>
        <w:tc>
          <w:tcPr>
            <w:tcW w:w="22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(138)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(340)</w:t>
            </w:r>
          </w:p>
        </w:tc>
      </w:tr>
      <w:tr>
        <w:trPr>
          <w:trHeight w:val="27"/>
        </w:trPr>
        <w:tc>
          <w:tcPr>
            <w:tcW w:w="67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6"/>
        </w:trPr>
        <w:tc>
          <w:tcPr>
            <w:tcW w:w="674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20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20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200" w:type="dxa"/>
            <w:vAlign w:val="bottom"/>
            <w:shd w:val="clear" w:color="auto" w:fill="CCEEFF"/>
          </w:tcPr>
          <w:p>
            <w:pPr>
              <w:spacing w:after="0"/>
              <w:rPr>
                <w:sz w:val="22"/>
                <w:szCs w:val="22"/>
                <w:color w:val="auto"/>
              </w:rPr>
            </w:pPr>
          </w:p>
        </w:tc>
      </w:tr>
      <w:tr>
        <w:trPr>
          <w:trHeight w:val="243"/>
        </w:trPr>
        <w:tc>
          <w:tcPr>
            <w:tcW w:w="6740" w:type="dxa"/>
            <w:vAlign w:val="bottom"/>
          </w:tcPr>
          <w:p>
            <w:pPr>
              <w:ind w:left="20"/>
              <w:spacing w:after="0"/>
              <w:rPr>
                <w:sz w:val="20"/>
                <w:szCs w:val="20"/>
                <w:color w:val="auto"/>
              </w:rPr>
            </w:pPr>
            <w:r>
              <w:rPr>
                <w:rFonts w:ascii="Arial" w:cs="Arial" w:eastAsia="Arial" w:hAnsi="Arial"/>
                <w:sz w:val="18"/>
                <w:szCs w:val="18"/>
                <w:color w:val="auto"/>
              </w:rPr>
              <w:t>Impairment and write-off of assets &amp; restructuring (gain):</w:t>
            </w:r>
          </w:p>
        </w:tc>
        <w:tc>
          <w:tcPr>
            <w:tcW w:w="2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27"/>
        </w:trPr>
        <w:tc>
          <w:tcPr>
            <w:tcW w:w="67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Right-of-use asset amortization and impairment</w:t>
            </w: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18,356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w:t>
            </w:r>
          </w:p>
        </w:tc>
      </w:tr>
      <w:tr>
        <w:trPr>
          <w:trHeight w:val="243"/>
        </w:trPr>
        <w:tc>
          <w:tcPr>
            <w:tcW w:w="6740" w:type="dxa"/>
            <w:vAlign w:val="bottom"/>
          </w:tcPr>
          <w:p>
            <w:pPr>
              <w:ind w:left="340"/>
              <w:spacing w:after="0"/>
              <w:rPr>
                <w:sz w:val="20"/>
                <w:szCs w:val="20"/>
                <w:color w:val="auto"/>
              </w:rPr>
            </w:pPr>
            <w:r>
              <w:rPr>
                <w:rFonts w:ascii="Arial" w:cs="Arial" w:eastAsia="Arial" w:hAnsi="Arial"/>
                <w:sz w:val="18"/>
                <w:szCs w:val="18"/>
                <w:color w:val="auto"/>
              </w:rPr>
              <w:t>Release of facility lease liability</w:t>
            </w:r>
          </w:p>
        </w:tc>
        <w:tc>
          <w:tcPr>
            <w:tcW w:w="22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(1,394)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00" w:type="dxa"/>
            <w:vAlign w:val="bottom"/>
          </w:tcPr>
          <w:p>
            <w:pPr>
              <w:jc w:val="right"/>
              <w:ind w:right="72"/>
              <w:spacing w:after="0"/>
              <w:rPr>
                <w:sz w:val="20"/>
                <w:szCs w:val="20"/>
                <w:color w:val="auto"/>
              </w:rPr>
            </w:pPr>
            <w:r>
              <w:rPr>
                <w:rFonts w:ascii="Arial" w:cs="Arial" w:eastAsia="Arial" w:hAnsi="Arial"/>
                <w:sz w:val="18"/>
                <w:szCs w:val="18"/>
                <w:color w:val="auto"/>
              </w:rPr>
              <w:t>—</w:t>
            </w:r>
          </w:p>
        </w:tc>
      </w:tr>
      <w:tr>
        <w:trPr>
          <w:trHeight w:val="27"/>
        </w:trPr>
        <w:tc>
          <w:tcPr>
            <w:tcW w:w="67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Technology licenses</w:t>
            </w:r>
          </w:p>
        </w:tc>
        <w:tc>
          <w:tcPr>
            <w:tcW w:w="2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6,523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174</w:t>
            </w:r>
          </w:p>
        </w:tc>
      </w:tr>
      <w:tr>
        <w:trPr>
          <w:trHeight w:val="243"/>
        </w:trPr>
        <w:tc>
          <w:tcPr>
            <w:tcW w:w="6740" w:type="dxa"/>
            <w:vAlign w:val="bottom"/>
          </w:tcPr>
          <w:p>
            <w:pPr>
              <w:ind w:left="340"/>
              <w:spacing w:after="0"/>
              <w:rPr>
                <w:sz w:val="20"/>
                <w:szCs w:val="20"/>
                <w:color w:val="auto"/>
              </w:rPr>
            </w:pPr>
            <w:r>
              <w:rPr>
                <w:rFonts w:ascii="Arial" w:cs="Arial" w:eastAsia="Arial" w:hAnsi="Arial"/>
                <w:sz w:val="18"/>
                <w:szCs w:val="18"/>
                <w:color w:val="auto"/>
              </w:rPr>
              <w:t>Equipment and other</w:t>
            </w:r>
          </w:p>
        </w:tc>
        <w:tc>
          <w:tcPr>
            <w:tcW w:w="220" w:type="dxa"/>
            <w:vAlign w:val="bottom"/>
          </w:tcPr>
          <w:p>
            <w:pPr>
              <w:spacing w:after="0"/>
              <w:rPr>
                <w:sz w:val="21"/>
                <w:szCs w:val="21"/>
                <w:color w:val="auto"/>
              </w:rPr>
            </w:pPr>
          </w:p>
        </w:tc>
        <w:tc>
          <w:tcPr>
            <w:tcW w:w="1200" w:type="dxa"/>
            <w:vAlign w:val="bottom"/>
          </w:tcPr>
          <w:p>
            <w:pPr>
              <w:jc w:val="right"/>
              <w:ind w:right="72"/>
              <w:spacing w:after="0"/>
              <w:rPr>
                <w:sz w:val="20"/>
                <w:szCs w:val="20"/>
                <w:color w:val="auto"/>
              </w:rPr>
            </w:pPr>
            <w:r>
              <w:rPr>
                <w:rFonts w:ascii="Arial" w:cs="Arial" w:eastAsia="Arial" w:hAnsi="Arial"/>
                <w:sz w:val="18"/>
                <w:szCs w:val="18"/>
                <w:color w:val="auto"/>
              </w:rPr>
              <w:t>633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3"/>
              <w:spacing w:after="0"/>
              <w:rPr>
                <w:sz w:val="20"/>
                <w:szCs w:val="20"/>
                <w:color w:val="auto"/>
              </w:rPr>
            </w:pPr>
            <w:r>
              <w:rPr>
                <w:rFonts w:ascii="Arial" w:cs="Arial" w:eastAsia="Arial" w:hAnsi="Arial"/>
                <w:sz w:val="18"/>
                <w:szCs w:val="18"/>
                <w:color w:val="auto"/>
              </w:rPr>
              <w:t>5,503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(489)</w:t>
            </w:r>
          </w:p>
        </w:tc>
      </w:tr>
      <w:tr>
        <w:trPr>
          <w:trHeight w:val="27"/>
        </w:trPr>
        <w:tc>
          <w:tcPr>
            <w:tcW w:w="67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67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Building sale</w:t>
            </w:r>
          </w:p>
        </w:tc>
        <w:tc>
          <w:tcPr>
            <w:tcW w:w="2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(12,226)</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(4,246)</w:t>
            </w:r>
          </w:p>
        </w:tc>
      </w:tr>
      <w:tr>
        <w:trPr>
          <w:trHeight w:val="237"/>
        </w:trPr>
        <w:tc>
          <w:tcPr>
            <w:tcW w:w="6740" w:type="dxa"/>
            <w:vAlign w:val="bottom"/>
          </w:tcPr>
          <w:p>
            <w:pPr>
              <w:spacing w:after="0"/>
              <w:rPr>
                <w:sz w:val="20"/>
                <w:szCs w:val="20"/>
                <w:color w:val="auto"/>
              </w:rPr>
            </w:pPr>
          </w:p>
        </w:tc>
        <w:tc>
          <w:tcPr>
            <w:tcW w:w="2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55,328</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76,753</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5,250</w:t>
            </w:r>
          </w:p>
        </w:tc>
      </w:tr>
      <w:tr>
        <w:trPr>
          <w:trHeight w:val="27"/>
        </w:trPr>
        <w:tc>
          <w:tcPr>
            <w:tcW w:w="674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0"/>
        </w:trPr>
        <w:tc>
          <w:tcPr>
            <w:tcW w:w="67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right="20" w:firstLine="405"/>
        <w:spacing w:after="0" w:line="296" w:lineRule="auto"/>
        <w:rPr>
          <w:sz w:val="20"/>
          <w:szCs w:val="20"/>
          <w:color w:val="auto"/>
        </w:rPr>
      </w:pPr>
      <w:r>
        <w:rPr>
          <w:rFonts w:ascii="Arial" w:cs="Arial" w:eastAsia="Arial" w:hAnsi="Arial"/>
          <w:sz w:val="16"/>
          <w:szCs w:val="16"/>
          <w:i w:val="1"/>
          <w:iCs w:val="1"/>
          <w:color w:val="auto"/>
        </w:rPr>
        <w:t xml:space="preserve">Fiscal 2020. </w:t>
      </w:r>
      <w:r>
        <w:rPr>
          <w:rFonts w:ascii="Arial" w:cs="Arial" w:eastAsia="Arial" w:hAnsi="Arial"/>
          <w:sz w:val="16"/>
          <w:szCs w:val="16"/>
          <w:color w:val="auto"/>
        </w:rPr>
        <w:t>The Company recorded $55.3 million of restructuring and other related charges in connection with the acquisitions as described in “Note</w:t>
      </w:r>
      <w:r>
        <w:rPr>
          <w:rFonts w:ascii="Arial" w:cs="Arial" w:eastAsia="Arial" w:hAnsi="Arial"/>
          <w:sz w:val="16"/>
          <w:szCs w:val="16"/>
          <w:i w:val="1"/>
          <w:iCs w:val="1"/>
          <w:color w:val="auto"/>
        </w:rPr>
        <w:t xml:space="preserve"> </w:t>
      </w:r>
      <w:r>
        <w:rPr>
          <w:rFonts w:ascii="Arial" w:cs="Arial" w:eastAsia="Arial" w:hAnsi="Arial"/>
          <w:sz w:val="16"/>
          <w:szCs w:val="16"/>
          <w:color w:val="auto"/>
        </w:rPr>
        <w:t>3 - Business Combinations.” Following the acquisition of Avera, the Company reviewed its financial position and operating results against the Company's strategic objectives, long-term operating targets and other operational priorities and initiated a restructuring plan in an effort to increase operational efficiency, decrease costs and increase profitability. The charges include $15.4 million recorded in connection with the Avera acquisition and $39.9 million recorded in connection with the other acquisitions. The Company expects to complete these restructuring actions by the end of fiscal 2021.</w:t>
      </w:r>
    </w:p>
    <w:p>
      <w:pPr>
        <w:spacing w:after="0" w:line="53" w:lineRule="exact"/>
        <w:rPr>
          <w:sz w:val="20"/>
          <w:szCs w:val="20"/>
          <w:color w:val="auto"/>
        </w:rPr>
      </w:pPr>
    </w:p>
    <w:p>
      <w:pPr>
        <w:ind w:right="20" w:firstLine="405"/>
        <w:spacing w:after="0" w:line="275" w:lineRule="auto"/>
        <w:rPr>
          <w:sz w:val="20"/>
          <w:szCs w:val="20"/>
          <w:color w:val="auto"/>
        </w:rPr>
      </w:pPr>
      <w:r>
        <w:rPr>
          <w:rFonts w:ascii="Arial" w:cs="Arial" w:eastAsia="Arial" w:hAnsi="Arial"/>
          <w:sz w:val="17"/>
          <w:szCs w:val="17"/>
          <w:color w:val="auto"/>
        </w:rPr>
        <w:t>The charges include approximately $31.2 million in severance and related costs, $18.4 million in right-of-use asset amortization and impairment costs associated with restructured facility leases, $3.5 million in other exit-related costs, $3.0 million in facilities and related costs, $0.6 million for the impairment of equipment and other, offset by a gain of $1.4 million from the release of facility lease liability. The severance costs primarily relate to the employee separation costs in connection with the acquisitions. The facility and related costs primarily relate to the remaining payments under lease obligations upon vacating certain worldwide office locations, and ongoing operating expenses of vacated facilities.</w:t>
      </w:r>
    </w:p>
    <w:p>
      <w:pPr>
        <w:spacing w:after="0" w:line="68"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i w:val="1"/>
          <w:iCs w:val="1"/>
          <w:color w:val="auto"/>
        </w:rPr>
        <w:t xml:space="preserve">Fiscal 2019. </w:t>
      </w:r>
      <w:r>
        <w:rPr>
          <w:rFonts w:ascii="Arial" w:cs="Arial" w:eastAsia="Arial" w:hAnsi="Arial"/>
          <w:sz w:val="18"/>
          <w:szCs w:val="18"/>
          <w:color w:val="auto"/>
        </w:rPr>
        <w:t>The Company recorded $76.8 million of restructuring and other related charges in fiscal 2019 in connection with the Cavium acquisition</w:t>
      </w:r>
      <w:r>
        <w:rPr>
          <w:rFonts w:ascii="Arial" w:cs="Arial" w:eastAsia="Arial" w:hAnsi="Arial"/>
          <w:sz w:val="18"/>
          <w:szCs w:val="18"/>
          <w:i w:val="1"/>
          <w:iCs w:val="1"/>
          <w:color w:val="auto"/>
        </w:rPr>
        <w:t xml:space="preserve"> </w:t>
      </w:r>
      <w:r>
        <w:rPr>
          <w:rFonts w:ascii="Arial" w:cs="Arial" w:eastAsia="Arial" w:hAnsi="Arial"/>
          <w:sz w:val="18"/>
          <w:szCs w:val="18"/>
          <w:color w:val="auto"/>
        </w:rPr>
        <w:t>as described in “Note 3 - Business Combinations.” The charges include approximately $39.1 million in severance and related costs, $35.8 million in facilities and related costs, $2.0 million in other exit-related costs, $12.0 million for the impairment of equipment and technology licenses, offset by a gain of $12.2 million from the sale of a building in Singapore.</w:t>
      </w:r>
    </w:p>
    <w:p>
      <w:pPr>
        <w:spacing w:after="0" w:line="79" w:lineRule="exact"/>
        <w:rPr>
          <w:sz w:val="20"/>
          <w:szCs w:val="20"/>
          <w:color w:val="auto"/>
        </w:rPr>
      </w:pPr>
    </w:p>
    <w:p>
      <w:pPr>
        <w:jc w:val="both"/>
        <w:ind w:right="200" w:firstLine="405"/>
        <w:spacing w:after="0" w:line="259" w:lineRule="auto"/>
        <w:rPr>
          <w:sz w:val="20"/>
          <w:szCs w:val="20"/>
          <w:color w:val="auto"/>
        </w:rPr>
      </w:pPr>
      <w:r>
        <w:rPr>
          <w:rFonts w:ascii="Arial" w:cs="Arial" w:eastAsia="Arial" w:hAnsi="Arial"/>
          <w:sz w:val="18"/>
          <w:szCs w:val="18"/>
          <w:i w:val="1"/>
          <w:iCs w:val="1"/>
          <w:color w:val="auto"/>
        </w:rPr>
        <w:t xml:space="preserve">Fiscal 2018. </w:t>
      </w:r>
      <w:r>
        <w:rPr>
          <w:rFonts w:ascii="Arial" w:cs="Arial" w:eastAsia="Arial" w:hAnsi="Arial"/>
          <w:sz w:val="18"/>
          <w:szCs w:val="18"/>
          <w:color w:val="auto"/>
        </w:rPr>
        <w:t>The Company recorded $5.3 million of restructuring and other related charges in fiscal 2018 in continuation of the restructuring plan</w:t>
      </w:r>
      <w:r>
        <w:rPr>
          <w:rFonts w:ascii="Arial" w:cs="Arial" w:eastAsia="Arial" w:hAnsi="Arial"/>
          <w:sz w:val="18"/>
          <w:szCs w:val="18"/>
          <w:i w:val="1"/>
          <w:iCs w:val="1"/>
          <w:color w:val="auto"/>
        </w:rPr>
        <w:t xml:space="preserve"> </w:t>
      </w:r>
      <w:r>
        <w:rPr>
          <w:rFonts w:ascii="Arial" w:cs="Arial" w:eastAsia="Arial" w:hAnsi="Arial"/>
          <w:sz w:val="18"/>
          <w:szCs w:val="18"/>
          <w:color w:val="auto"/>
        </w:rPr>
        <w:t>announced in November 2016 as described in “Note 5 - Discontinued Operations”. As of February 2, 2019, the Company has completed its restructuring actions that were contemplated in the original November 2016 announcement. Total cumulative charges recorded related to this restructuring action were $95.6 million.</w:t>
      </w:r>
    </w:p>
    <w:p>
      <w:pPr>
        <w:spacing w:after="0" w:line="3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1" w:name="page72"/>
    <w:bookmarkEnd w:id="7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80" w:firstLine="405"/>
        <w:spacing w:after="0" w:line="277"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(in thousands):</w:t>
      </w:r>
    </w:p>
    <w:p>
      <w:pPr>
        <w:spacing w:after="0" w:line="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540" w:type="dxa"/>
            <w:vAlign w:val="bottom"/>
            <w:gridSpan w:val="9"/>
          </w:tcPr>
          <w:p>
            <w:pPr>
              <w:jc w:val="center"/>
              <w:ind w:right="200"/>
              <w:spacing w:after="0"/>
              <w:rPr>
                <w:sz w:val="20"/>
                <w:szCs w:val="20"/>
                <w:color w:val="auto"/>
              </w:rPr>
            </w:pPr>
            <w:r>
              <w:rPr>
                <w:rFonts w:ascii="Arial" w:cs="Arial" w:eastAsia="Arial" w:hAnsi="Arial"/>
                <w:sz w:val="14"/>
                <w:szCs w:val="14"/>
                <w:b w:val="1"/>
                <w:bCs w:val="1"/>
                <w:color w:val="auto"/>
                <w:w w:val="93"/>
              </w:rPr>
              <w:t>November 2016 and Other</w:t>
            </w:r>
          </w:p>
        </w:tc>
        <w:tc>
          <w:tcPr>
            <w:tcW w:w="100" w:type="dxa"/>
            <w:vAlign w:val="bottom"/>
          </w:tcPr>
          <w:p>
            <w:pPr>
              <w:spacing w:after="0"/>
              <w:rPr>
                <w:sz w:val="14"/>
                <w:szCs w:val="14"/>
                <w:color w:val="auto"/>
              </w:rPr>
            </w:pPr>
          </w:p>
        </w:tc>
        <w:tc>
          <w:tcPr>
            <w:tcW w:w="2440" w:type="dxa"/>
            <w:vAlign w:val="bottom"/>
            <w:gridSpan w:val="7"/>
            <w:vMerge w:val="restart"/>
          </w:tcPr>
          <w:p>
            <w:pPr>
              <w:jc w:val="right"/>
              <w:ind w:right="440"/>
              <w:spacing w:after="0"/>
              <w:rPr>
                <w:sz w:val="20"/>
                <w:szCs w:val="20"/>
                <w:color w:val="auto"/>
              </w:rPr>
            </w:pPr>
            <w:r>
              <w:rPr>
                <w:rFonts w:ascii="Arial" w:cs="Arial" w:eastAsia="Arial" w:hAnsi="Arial"/>
                <w:sz w:val="14"/>
                <w:szCs w:val="14"/>
                <w:b w:val="1"/>
                <w:bCs w:val="1"/>
                <w:color w:val="auto"/>
              </w:rPr>
              <w:t>July 2018 Restructuring</w:t>
            </w:r>
          </w:p>
        </w:tc>
        <w:tc>
          <w:tcPr>
            <w:tcW w:w="80" w:type="dxa"/>
            <w:vAlign w:val="bottom"/>
            <w:vMerge w:val="restart"/>
          </w:tcPr>
          <w:p>
            <w:pPr>
              <w:spacing w:after="0"/>
              <w:rPr>
                <w:sz w:val="14"/>
                <w:szCs w:val="14"/>
                <w:color w:val="auto"/>
              </w:rPr>
            </w:pPr>
          </w:p>
        </w:tc>
        <w:tc>
          <w:tcPr>
            <w:tcW w:w="160" w:type="dxa"/>
            <w:vAlign w:val="bottom"/>
          </w:tcPr>
          <w:p>
            <w:pPr>
              <w:spacing w:after="0"/>
              <w:rPr>
                <w:sz w:val="14"/>
                <w:szCs w:val="14"/>
                <w:color w:val="auto"/>
              </w:rPr>
            </w:pPr>
          </w:p>
        </w:tc>
        <w:tc>
          <w:tcPr>
            <w:tcW w:w="2400" w:type="dxa"/>
            <w:vAlign w:val="bottom"/>
            <w:gridSpan w:val="7"/>
            <w:vMerge w:val="restart"/>
          </w:tcPr>
          <w:p>
            <w:pPr>
              <w:jc w:val="center"/>
              <w:ind w:right="60"/>
              <w:spacing w:after="0"/>
              <w:rPr>
                <w:sz w:val="20"/>
                <w:szCs w:val="20"/>
                <w:color w:val="auto"/>
              </w:rPr>
            </w:pPr>
            <w:r>
              <w:rPr>
                <w:rFonts w:ascii="Arial" w:cs="Arial" w:eastAsia="Arial" w:hAnsi="Arial"/>
                <w:sz w:val="14"/>
                <w:szCs w:val="14"/>
                <w:b w:val="1"/>
                <w:bCs w:val="1"/>
                <w:color w:val="auto"/>
                <w:w w:val="93"/>
              </w:rPr>
              <w:t>November 2019 Restructuring</w:t>
            </w:r>
          </w:p>
        </w:tc>
        <w:tc>
          <w:tcPr>
            <w:tcW w:w="100" w:type="dxa"/>
            <w:vAlign w:val="bottom"/>
            <w:vMerge w:val="restart"/>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2"/>
        </w:trPr>
        <w:tc>
          <w:tcPr>
            <w:tcW w:w="250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70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gridSpan w:val="5"/>
          </w:tcPr>
          <w:p>
            <w:pPr>
              <w:jc w:val="center"/>
              <w:ind w:right="40"/>
              <w:spacing w:after="0"/>
              <w:rPr>
                <w:sz w:val="20"/>
                <w:szCs w:val="20"/>
                <w:color w:val="auto"/>
              </w:rPr>
            </w:pPr>
            <w:r>
              <w:rPr>
                <w:rFonts w:ascii="Arial" w:cs="Arial" w:eastAsia="Arial" w:hAnsi="Arial"/>
                <w:sz w:val="14"/>
                <w:szCs w:val="14"/>
                <w:b w:val="1"/>
                <w:bCs w:val="1"/>
                <w:color w:val="auto"/>
                <w:w w:val="93"/>
              </w:rPr>
              <w:t>Restructuring</w:t>
            </w:r>
          </w:p>
        </w:tc>
        <w:tc>
          <w:tcPr>
            <w:tcW w:w="140" w:type="dxa"/>
            <w:vAlign w:val="bottom"/>
            <w:tcBorders>
              <w:bottom w:val="single" w:sz="8" w:color="auto"/>
            </w:tcBorders>
          </w:tcPr>
          <w:p>
            <w:pPr>
              <w:spacing w:after="0"/>
              <w:rPr>
                <w:sz w:val="16"/>
                <w:szCs w:val="16"/>
                <w:color w:val="auto"/>
              </w:rPr>
            </w:pPr>
          </w:p>
        </w:tc>
        <w:tc>
          <w:tcPr>
            <w:tcW w:w="640" w:type="dxa"/>
            <w:vAlign w:val="bottom"/>
            <w:tcBorders>
              <w:bottom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7"/>
            <w:vMerge w:val="continue"/>
          </w:tcPr>
          <w:p>
            <w:pPr>
              <w:spacing w:after="0"/>
              <w:rPr>
                <w:sz w:val="16"/>
                <w:szCs w:val="16"/>
                <w:color w:val="auto"/>
              </w:rPr>
            </w:pPr>
          </w:p>
        </w:tc>
        <w:tc>
          <w:tcPr>
            <w:tcW w:w="80" w:type="dxa"/>
            <w:vAlign w:val="bottom"/>
            <w:vMerge w:val="continue"/>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400" w:type="dxa"/>
            <w:vAlign w:val="bottom"/>
            <w:tcBorders>
              <w:bottom w:val="single" w:sz="8" w:color="auto"/>
            </w:tcBorders>
            <w:gridSpan w:val="7"/>
            <w:vMerge w:val="continue"/>
          </w:tcPr>
          <w:p>
            <w:pPr>
              <w:spacing w:after="0"/>
              <w:rPr>
                <w:sz w:val="16"/>
                <w:szCs w:val="16"/>
                <w:color w:val="auto"/>
              </w:rPr>
            </w:pPr>
          </w:p>
        </w:tc>
        <w:tc>
          <w:tcPr>
            <w:tcW w:w="100" w:type="dxa"/>
            <w:vAlign w:val="bottom"/>
            <w:vMerge w:val="continue"/>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25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8"/>
              </w:rPr>
              <w:t>Severance</w:t>
            </w:r>
          </w:p>
        </w:tc>
        <w:tc>
          <w:tcPr>
            <w:tcW w:w="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20" w:type="dxa"/>
            <w:vAlign w:val="bottom"/>
            <w:gridSpan w:val="3"/>
          </w:tcPr>
          <w:p>
            <w:pPr>
              <w:jc w:val="center"/>
              <w:ind w:right="100"/>
              <w:spacing w:after="0" w:line="153" w:lineRule="exact"/>
              <w:rPr>
                <w:sz w:val="20"/>
                <w:szCs w:val="20"/>
                <w:color w:val="auto"/>
              </w:rPr>
            </w:pPr>
            <w:r>
              <w:rPr>
                <w:rFonts w:ascii="Arial" w:cs="Arial" w:eastAsia="Arial" w:hAnsi="Arial"/>
                <w:sz w:val="14"/>
                <w:szCs w:val="14"/>
                <w:b w:val="1"/>
                <w:bCs w:val="1"/>
                <w:color w:val="auto"/>
                <w:w w:val="93"/>
              </w:rPr>
              <w:t>Facilities</w:t>
            </w:r>
          </w:p>
        </w:tc>
        <w:tc>
          <w:tcPr>
            <w:tcW w:w="860" w:type="dxa"/>
            <w:vAlign w:val="bottom"/>
            <w:gridSpan w:val="3"/>
            <w:vMerge w:val="restart"/>
          </w:tcPr>
          <w:p>
            <w:pPr>
              <w:jc w:val="center"/>
              <w:ind w:right="100"/>
              <w:spacing w:after="0"/>
              <w:rPr>
                <w:sz w:val="20"/>
                <w:szCs w:val="20"/>
                <w:color w:val="auto"/>
              </w:rPr>
            </w:pPr>
            <w:r>
              <w:rPr>
                <w:rFonts w:ascii="Arial" w:cs="Arial" w:eastAsia="Arial" w:hAnsi="Arial"/>
                <w:sz w:val="14"/>
                <w:szCs w:val="14"/>
                <w:b w:val="1"/>
                <w:bCs w:val="1"/>
                <w:color w:val="auto"/>
                <w:w w:val="97"/>
              </w:rPr>
              <w:t>Other exit-</w:t>
            </w:r>
          </w:p>
        </w:tc>
        <w:tc>
          <w:tcPr>
            <w:tcW w:w="100" w:type="dxa"/>
            <w:vAlign w:val="bottom"/>
          </w:tcPr>
          <w:p>
            <w:pPr>
              <w:spacing w:after="0"/>
              <w:rPr>
                <w:sz w:val="13"/>
                <w:szCs w:val="13"/>
                <w:color w:val="auto"/>
              </w:rPr>
            </w:pPr>
          </w:p>
        </w:tc>
        <w:tc>
          <w:tcPr>
            <w:tcW w:w="84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88"/>
              </w:rPr>
              <w:t>Severance</w:t>
            </w:r>
          </w:p>
        </w:tc>
        <w:tc>
          <w:tcPr>
            <w:tcW w:w="100" w:type="dxa"/>
            <w:vAlign w:val="bottom"/>
          </w:tcPr>
          <w:p>
            <w:pPr>
              <w:spacing w:after="0"/>
              <w:rPr>
                <w:sz w:val="13"/>
                <w:szCs w:val="13"/>
                <w:color w:val="auto"/>
              </w:rPr>
            </w:pPr>
          </w:p>
        </w:tc>
        <w:tc>
          <w:tcPr>
            <w:tcW w:w="78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0"/>
              </w:rPr>
              <w:t>Facilities</w:t>
            </w:r>
          </w:p>
        </w:tc>
        <w:tc>
          <w:tcPr>
            <w:tcW w:w="80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Other exit-</w:t>
            </w:r>
          </w:p>
        </w:tc>
        <w:tc>
          <w:tcPr>
            <w:tcW w:w="900" w:type="dxa"/>
            <w:vAlign w:val="bottom"/>
            <w:gridSpan w:val="3"/>
            <w:vMerge w:val="restart"/>
          </w:tcPr>
          <w:p>
            <w:pPr>
              <w:jc w:val="center"/>
              <w:ind w:right="80"/>
              <w:spacing w:after="0"/>
              <w:rPr>
                <w:sz w:val="20"/>
                <w:szCs w:val="20"/>
                <w:color w:val="auto"/>
              </w:rPr>
            </w:pPr>
            <w:r>
              <w:rPr>
                <w:rFonts w:ascii="Arial" w:cs="Arial" w:eastAsia="Arial" w:hAnsi="Arial"/>
                <w:sz w:val="14"/>
                <w:szCs w:val="14"/>
                <w:b w:val="1"/>
                <w:bCs w:val="1"/>
                <w:color w:val="auto"/>
                <w:w w:val="88"/>
              </w:rPr>
              <w:t>Severance</w:t>
            </w:r>
          </w:p>
        </w:tc>
        <w:tc>
          <w:tcPr>
            <w:tcW w:w="100" w:type="dxa"/>
            <w:vAlign w:val="bottom"/>
          </w:tcPr>
          <w:p>
            <w:pPr>
              <w:spacing w:after="0"/>
              <w:rPr>
                <w:sz w:val="13"/>
                <w:szCs w:val="13"/>
                <w:color w:val="auto"/>
              </w:rPr>
            </w:pPr>
          </w:p>
        </w:tc>
        <w:tc>
          <w:tcPr>
            <w:tcW w:w="78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0"/>
              </w:rPr>
              <w:t>Facilities</w:t>
            </w:r>
          </w:p>
        </w:tc>
        <w:tc>
          <w:tcPr>
            <w:tcW w:w="880" w:type="dxa"/>
            <w:vAlign w:val="bottom"/>
            <w:gridSpan w:val="3"/>
            <w:vMerge w:val="restart"/>
          </w:tcPr>
          <w:p>
            <w:pPr>
              <w:jc w:val="center"/>
              <w:ind w:right="80"/>
              <w:spacing w:after="0"/>
              <w:rPr>
                <w:sz w:val="20"/>
                <w:szCs w:val="20"/>
                <w:color w:val="auto"/>
              </w:rPr>
            </w:pPr>
            <w:r>
              <w:rPr>
                <w:rFonts w:ascii="Arial" w:cs="Arial" w:eastAsia="Arial" w:hAnsi="Arial"/>
                <w:sz w:val="14"/>
                <w:szCs w:val="14"/>
                <w:b w:val="1"/>
                <w:bCs w:val="1"/>
                <w:color w:val="auto"/>
                <w:w w:val="97"/>
              </w:rPr>
              <w:t>Other exit-</w:t>
            </w: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5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vMerge w:val="continue"/>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6"/>
              </w:rPr>
              <w:t>and</w:t>
            </w:r>
          </w:p>
        </w:tc>
        <w:tc>
          <w:tcPr>
            <w:tcW w:w="860" w:type="dxa"/>
            <w:vAlign w:val="bottom"/>
            <w:gridSpan w:val="3"/>
            <w:vMerge w:val="continue"/>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gridSpan w:val="2"/>
            <w:vMerge w:val="continue"/>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gridSpan w:val="2"/>
            <w:vMerge w:val="continue"/>
          </w:tcPr>
          <w:p>
            <w:pPr>
              <w:spacing w:after="0"/>
              <w:rPr>
                <w:sz w:val="12"/>
                <w:szCs w:val="12"/>
                <w:color w:val="auto"/>
              </w:rPr>
            </w:pPr>
          </w:p>
        </w:tc>
        <w:tc>
          <w:tcPr>
            <w:tcW w:w="800" w:type="dxa"/>
            <w:vAlign w:val="bottom"/>
            <w:gridSpan w:val="3"/>
            <w:vMerge w:val="continue"/>
          </w:tcPr>
          <w:p>
            <w:pPr>
              <w:spacing w:after="0"/>
              <w:rPr>
                <w:sz w:val="12"/>
                <w:szCs w:val="12"/>
                <w:color w:val="auto"/>
              </w:rPr>
            </w:pPr>
          </w:p>
        </w:tc>
        <w:tc>
          <w:tcPr>
            <w:tcW w:w="900" w:type="dxa"/>
            <w:vAlign w:val="bottom"/>
            <w:gridSpan w:val="3"/>
            <w:vMerge w:val="continue"/>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gridSpan w:val="2"/>
            <w:vMerge w:val="continue"/>
          </w:tcPr>
          <w:p>
            <w:pPr>
              <w:spacing w:after="0"/>
              <w:rPr>
                <w:sz w:val="12"/>
                <w:szCs w:val="12"/>
                <w:color w:val="auto"/>
              </w:rPr>
            </w:pPr>
          </w:p>
        </w:tc>
        <w:tc>
          <w:tcPr>
            <w:tcW w:w="880" w:type="dxa"/>
            <w:vAlign w:val="bottom"/>
            <w:gridSpan w:val="3"/>
            <w:vMerge w:val="continue"/>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500" w:type="dxa"/>
            <w:vAlign w:val="bottom"/>
          </w:tcPr>
          <w:p>
            <w:pPr>
              <w:spacing w:after="0"/>
              <w:rPr>
                <w:sz w:val="12"/>
                <w:szCs w:val="12"/>
                <w:color w:val="auto"/>
              </w:rPr>
            </w:pPr>
          </w:p>
        </w:tc>
        <w:tc>
          <w:tcPr>
            <w:tcW w:w="820" w:type="dxa"/>
            <w:vAlign w:val="bottom"/>
            <w:gridSpan w:val="2"/>
          </w:tcPr>
          <w:p>
            <w:pPr>
              <w:jc w:val="center"/>
              <w:ind w:left="2"/>
              <w:spacing w:after="0" w:line="149" w:lineRule="exact"/>
              <w:rPr>
                <w:sz w:val="20"/>
                <w:szCs w:val="20"/>
                <w:color w:val="auto"/>
              </w:rPr>
            </w:pPr>
            <w:r>
              <w:rPr>
                <w:rFonts w:ascii="Arial" w:cs="Arial" w:eastAsia="Arial" w:hAnsi="Arial"/>
                <w:sz w:val="14"/>
                <w:szCs w:val="14"/>
                <w:b w:val="1"/>
                <w:bCs w:val="1"/>
                <w:color w:val="auto"/>
                <w:w w:val="93"/>
              </w:rPr>
              <w:t>and related</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5"/>
              </w:rPr>
              <w:t>related</w:t>
            </w:r>
          </w:p>
        </w:tc>
        <w:tc>
          <w:tcPr>
            <w:tcW w:w="140" w:type="dxa"/>
            <w:vAlign w:val="bottom"/>
          </w:tcPr>
          <w:p>
            <w:pPr>
              <w:spacing w:after="0"/>
              <w:rPr>
                <w:sz w:val="12"/>
                <w:szCs w:val="12"/>
                <w:color w:val="auto"/>
              </w:rPr>
            </w:pPr>
          </w:p>
        </w:tc>
        <w:tc>
          <w:tcPr>
            <w:tcW w:w="7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1"/>
              </w:rPr>
              <w:t>related</w:t>
            </w:r>
          </w:p>
        </w:tc>
        <w:tc>
          <w:tcPr>
            <w:tcW w:w="9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93"/>
              </w:rPr>
              <w:t>and related</w:t>
            </w:r>
          </w:p>
        </w:tc>
        <w:tc>
          <w:tcPr>
            <w:tcW w:w="88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and related</w:t>
            </w:r>
          </w:p>
        </w:tc>
        <w:tc>
          <w:tcPr>
            <w:tcW w:w="120" w:type="dxa"/>
            <w:vAlign w:val="bottom"/>
          </w:tcPr>
          <w:p>
            <w:pPr>
              <w:spacing w:after="0"/>
              <w:rPr>
                <w:sz w:val="12"/>
                <w:szCs w:val="12"/>
                <w:color w:val="auto"/>
              </w:rPr>
            </w:pPr>
          </w:p>
        </w:tc>
        <w:tc>
          <w:tcPr>
            <w:tcW w:w="68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related</w:t>
            </w:r>
          </w:p>
        </w:tc>
        <w:tc>
          <w:tcPr>
            <w:tcW w:w="90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93"/>
              </w:rPr>
              <w:t>and related</w:t>
            </w:r>
          </w:p>
        </w:tc>
        <w:tc>
          <w:tcPr>
            <w:tcW w:w="88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and related</w:t>
            </w:r>
          </w:p>
        </w:tc>
        <w:tc>
          <w:tcPr>
            <w:tcW w:w="140" w:type="dxa"/>
            <w:vAlign w:val="bottom"/>
          </w:tcPr>
          <w:p>
            <w:pPr>
              <w:spacing w:after="0"/>
              <w:rPr>
                <w:sz w:val="12"/>
                <w:szCs w:val="12"/>
                <w:color w:val="auto"/>
              </w:rPr>
            </w:pPr>
          </w:p>
        </w:tc>
        <w:tc>
          <w:tcPr>
            <w:tcW w:w="7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5"/>
              </w:rPr>
              <w:t>related</w:t>
            </w:r>
          </w:p>
        </w:tc>
        <w:tc>
          <w:tcPr>
            <w:tcW w:w="120" w:type="dxa"/>
            <w:vAlign w:val="bottom"/>
          </w:tcPr>
          <w:p>
            <w:pPr>
              <w:spacing w:after="0"/>
              <w:rPr>
                <w:sz w:val="12"/>
                <w:szCs w:val="12"/>
                <w:color w:val="auto"/>
              </w:rPr>
            </w:pPr>
          </w:p>
        </w:tc>
        <w:tc>
          <w:tcPr>
            <w:tcW w:w="680" w:type="dxa"/>
            <w:vAlign w:val="bottom"/>
            <w:vMerge w:val="restart"/>
          </w:tcPr>
          <w:p>
            <w:pPr>
              <w:jc w:val="right"/>
              <w:ind w:right="16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250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1"/>
              </w:rPr>
              <w:t>costs</w:t>
            </w:r>
          </w:p>
        </w:tc>
        <w:tc>
          <w:tcPr>
            <w:tcW w:w="6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600" w:type="dxa"/>
            <w:vAlign w:val="bottom"/>
            <w:tcBorders>
              <w:bottom w:val="single" w:sz="8" w:color="auto"/>
            </w:tcBorders>
          </w:tcPr>
          <w:p>
            <w:pPr>
              <w:jc w:val="center"/>
              <w:ind w:right="41"/>
              <w:spacing w:after="0"/>
              <w:rPr>
                <w:sz w:val="20"/>
                <w:szCs w:val="20"/>
                <w:color w:val="auto"/>
              </w:rPr>
            </w:pPr>
            <w:r>
              <w:rPr>
                <w:rFonts w:ascii="Arial" w:cs="Arial" w:eastAsia="Arial" w:hAnsi="Arial"/>
                <w:sz w:val="14"/>
                <w:szCs w:val="14"/>
                <w:b w:val="1"/>
                <w:bCs w:val="1"/>
                <w:color w:val="auto"/>
                <w:w w:val="76"/>
              </w:rPr>
              <w:t>costs</w:t>
            </w:r>
          </w:p>
        </w:tc>
        <w:tc>
          <w:tcPr>
            <w:tcW w:w="10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640" w:type="dxa"/>
            <w:vAlign w:val="bottom"/>
            <w:tcBorders>
              <w:bottom w:val="single" w:sz="8" w:color="auto"/>
            </w:tcBorders>
          </w:tcPr>
          <w:p>
            <w:pPr>
              <w:jc w:val="center"/>
              <w:ind w:right="60"/>
              <w:spacing w:after="0"/>
              <w:rPr>
                <w:sz w:val="20"/>
                <w:szCs w:val="20"/>
                <w:color w:val="auto"/>
              </w:rPr>
            </w:pPr>
            <w:r>
              <w:rPr>
                <w:rFonts w:ascii="Arial" w:cs="Arial" w:eastAsia="Arial" w:hAnsi="Arial"/>
                <w:sz w:val="14"/>
                <w:szCs w:val="14"/>
                <w:b w:val="1"/>
                <w:bCs w:val="1"/>
                <w:color w:val="auto"/>
                <w:w w:val="81"/>
              </w:rPr>
              <w:t>costs</w:t>
            </w:r>
          </w:p>
        </w:tc>
        <w:tc>
          <w:tcPr>
            <w:tcW w:w="80" w:type="dxa"/>
            <w:vAlign w:val="bottom"/>
            <w:tcBorders>
              <w:bottom w:val="single" w:sz="8" w:color="CCEEFF"/>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jc w:val="center"/>
              <w:ind w:right="1"/>
              <w:spacing w:after="0"/>
              <w:rPr>
                <w:sz w:val="20"/>
                <w:szCs w:val="20"/>
                <w:color w:val="auto"/>
              </w:rPr>
            </w:pPr>
            <w:r>
              <w:rPr>
                <w:rFonts w:ascii="Arial" w:cs="Arial" w:eastAsia="Arial" w:hAnsi="Arial"/>
                <w:sz w:val="14"/>
                <w:szCs w:val="14"/>
                <w:b w:val="1"/>
                <w:bCs w:val="1"/>
                <w:color w:val="auto"/>
                <w:w w:val="81"/>
              </w:rPr>
              <w:t>costs</w:t>
            </w:r>
          </w:p>
        </w:tc>
        <w:tc>
          <w:tcPr>
            <w:tcW w:w="100" w:type="dxa"/>
            <w:vAlign w:val="bottom"/>
            <w:tcBorders>
              <w:bottom w:val="single" w:sz="8" w:color="CCEEFF"/>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680" w:type="dxa"/>
            <w:vAlign w:val="bottom"/>
            <w:tcBorders>
              <w:bottom w:val="single" w:sz="8" w:color="auto"/>
            </w:tcBorders>
          </w:tcPr>
          <w:p>
            <w:pPr>
              <w:jc w:val="center"/>
              <w:ind w:right="20"/>
              <w:spacing w:after="0"/>
              <w:rPr>
                <w:sz w:val="20"/>
                <w:szCs w:val="20"/>
                <w:color w:val="auto"/>
              </w:rPr>
            </w:pPr>
            <w:r>
              <w:rPr>
                <w:rFonts w:ascii="Arial" w:cs="Arial" w:eastAsia="Arial" w:hAnsi="Arial"/>
                <w:sz w:val="14"/>
                <w:szCs w:val="14"/>
                <w:b w:val="1"/>
                <w:bCs w:val="1"/>
                <w:color w:val="auto"/>
                <w:w w:val="81"/>
              </w:rPr>
              <w:t>costs</w:t>
            </w:r>
          </w:p>
        </w:tc>
        <w:tc>
          <w:tcPr>
            <w:tcW w:w="10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60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w w:val="98"/>
              </w:rPr>
              <w:t>costs</w:t>
            </w:r>
          </w:p>
        </w:tc>
        <w:tc>
          <w:tcPr>
            <w:tcW w:w="8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640" w:type="dxa"/>
            <w:vAlign w:val="bottom"/>
            <w:tcBorders>
              <w:bottom w:val="single" w:sz="8" w:color="auto"/>
            </w:tcBorders>
          </w:tcPr>
          <w:p>
            <w:pPr>
              <w:jc w:val="center"/>
              <w:ind w:right="60"/>
              <w:spacing w:after="0"/>
              <w:rPr>
                <w:sz w:val="20"/>
                <w:szCs w:val="20"/>
                <w:color w:val="auto"/>
              </w:rPr>
            </w:pPr>
            <w:r>
              <w:rPr>
                <w:rFonts w:ascii="Arial" w:cs="Arial" w:eastAsia="Arial" w:hAnsi="Arial"/>
                <w:sz w:val="14"/>
                <w:szCs w:val="14"/>
                <w:b w:val="1"/>
                <w:bCs w:val="1"/>
                <w:color w:val="auto"/>
                <w:w w:val="81"/>
              </w:rPr>
              <w:t>costs</w:t>
            </w:r>
          </w:p>
        </w:tc>
        <w:tc>
          <w:tcPr>
            <w:tcW w:w="100" w:type="dxa"/>
            <w:vAlign w:val="bottom"/>
            <w:tcBorders>
              <w:bottom w:val="single" w:sz="8" w:color="CCEEFF"/>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700" w:type="dxa"/>
            <w:vAlign w:val="bottom"/>
            <w:tcBorders>
              <w:bottom w:val="single" w:sz="8" w:color="auto"/>
            </w:tcBorders>
          </w:tcPr>
          <w:p>
            <w:pPr>
              <w:jc w:val="center"/>
              <w:ind w:right="40"/>
              <w:spacing w:after="0"/>
              <w:rPr>
                <w:sz w:val="20"/>
                <w:szCs w:val="20"/>
                <w:color w:val="auto"/>
              </w:rPr>
            </w:pPr>
            <w:r>
              <w:rPr>
                <w:rFonts w:ascii="Arial" w:cs="Arial" w:eastAsia="Arial" w:hAnsi="Arial"/>
                <w:sz w:val="14"/>
                <w:szCs w:val="14"/>
                <w:b w:val="1"/>
                <w:bCs w:val="1"/>
                <w:color w:val="auto"/>
                <w:w w:val="81"/>
              </w:rPr>
              <w:t>costs</w:t>
            </w:r>
          </w:p>
        </w:tc>
        <w:tc>
          <w:tcPr>
            <w:tcW w:w="8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640" w:type="dxa"/>
            <w:vAlign w:val="bottom"/>
            <w:tcBorders>
              <w:bottom w:val="single" w:sz="8" w:color="auto"/>
            </w:tcBorders>
          </w:tcPr>
          <w:p>
            <w:pPr>
              <w:jc w:val="center"/>
              <w:ind w:right="60"/>
              <w:spacing w:after="0"/>
              <w:rPr>
                <w:sz w:val="20"/>
                <w:szCs w:val="20"/>
                <w:color w:val="auto"/>
              </w:rPr>
            </w:pPr>
            <w:r>
              <w:rPr>
                <w:rFonts w:ascii="Arial" w:cs="Arial" w:eastAsia="Arial" w:hAnsi="Arial"/>
                <w:sz w:val="14"/>
                <w:szCs w:val="14"/>
                <w:b w:val="1"/>
                <w:bCs w:val="1"/>
                <w:color w:val="auto"/>
                <w:w w:val="81"/>
              </w:rPr>
              <w:t>costs</w:t>
            </w:r>
          </w:p>
        </w:tc>
        <w:tc>
          <w:tcPr>
            <w:tcW w:w="10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68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49"/>
        </w:trPr>
        <w:tc>
          <w:tcPr>
            <w:tcW w:w="2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Balance at February 3, 2018</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00" w:type="dxa"/>
            <w:vAlign w:val="bottom"/>
            <w:tcBorders>
              <w:bottom w:val="single" w:sz="8" w:color="CCEEFF"/>
            </w:tcBorders>
            <w:shd w:val="clear" w:color="auto" w:fill="CCEEFF"/>
          </w:tcPr>
          <w:p>
            <w:pPr>
              <w:jc w:val="right"/>
              <w:ind w:right="1"/>
              <w:spacing w:after="0"/>
              <w:rPr>
                <w:sz w:val="20"/>
                <w:szCs w:val="20"/>
                <w:color w:val="auto"/>
              </w:rPr>
            </w:pPr>
            <w:r>
              <w:rPr>
                <w:rFonts w:ascii="Arial" w:cs="Arial" w:eastAsia="Arial" w:hAnsi="Arial"/>
                <w:sz w:val="16"/>
                <w:szCs w:val="16"/>
                <w:color w:val="auto"/>
              </w:rPr>
              <w:t>654</w:t>
            </w:r>
          </w:p>
        </w:tc>
        <w:tc>
          <w:tcPr>
            <w:tcW w:w="28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600" w:type="dxa"/>
            <w:vAlign w:val="bottom"/>
            <w:tcBorders>
              <w:bottom w:val="single" w:sz="8" w:color="CCEEFF"/>
            </w:tcBorders>
            <w:shd w:val="clear" w:color="auto" w:fill="CCEEFF"/>
          </w:tcPr>
          <w:p>
            <w:pPr>
              <w:jc w:val="right"/>
              <w:ind w:right="61"/>
              <w:spacing w:after="0"/>
              <w:rPr>
                <w:sz w:val="20"/>
                <w:szCs w:val="20"/>
                <w:color w:val="auto"/>
              </w:rPr>
            </w:pPr>
            <w:r>
              <w:rPr>
                <w:rFonts w:ascii="Arial" w:cs="Arial" w:eastAsia="Arial" w:hAnsi="Arial"/>
                <w:sz w:val="16"/>
                <w:szCs w:val="16"/>
                <w:color w:val="auto"/>
              </w:rPr>
              <w:t>462</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640" w:type="dxa"/>
            <w:vAlign w:val="bottom"/>
            <w:tcBorders>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555</w:t>
            </w:r>
          </w:p>
        </w:tc>
        <w:tc>
          <w:tcPr>
            <w:tcW w:w="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8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w w:val="89"/>
              </w:rPr>
              <w:t>$</w:t>
            </w:r>
          </w:p>
        </w:tc>
        <w:tc>
          <w:tcPr>
            <w:tcW w:w="6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1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7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68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1,671</w:t>
            </w:r>
          </w:p>
        </w:tc>
        <w:tc>
          <w:tcPr>
            <w:tcW w:w="0" w:type="dxa"/>
            <w:vAlign w:val="bottom"/>
          </w:tcPr>
          <w:p>
            <w:pPr>
              <w:spacing w:after="0"/>
              <w:rPr>
                <w:sz w:val="1"/>
                <w:szCs w:val="1"/>
                <w:color w:val="auto"/>
              </w:rPr>
            </w:pPr>
          </w:p>
        </w:tc>
      </w:tr>
      <w:tr>
        <w:trPr>
          <w:trHeight w:val="224"/>
        </w:trPr>
        <w:tc>
          <w:tcPr>
            <w:tcW w:w="2500" w:type="dxa"/>
            <w:vAlign w:val="bottom"/>
          </w:tcPr>
          <w:p>
            <w:pPr>
              <w:ind w:left="140"/>
              <w:spacing w:after="0"/>
              <w:rPr>
                <w:sz w:val="20"/>
                <w:szCs w:val="20"/>
                <w:color w:val="auto"/>
              </w:rPr>
            </w:pPr>
            <w:r>
              <w:rPr>
                <w:rFonts w:ascii="Arial" w:cs="Arial" w:eastAsia="Arial" w:hAnsi="Arial"/>
                <w:sz w:val="16"/>
                <w:szCs w:val="16"/>
                <w:color w:val="auto"/>
              </w:rPr>
              <w:t>Restructuring charges</w:t>
            </w:r>
          </w:p>
        </w:tc>
        <w:tc>
          <w:tcPr>
            <w:tcW w:w="120" w:type="dxa"/>
            <w:vAlign w:val="bottom"/>
          </w:tcPr>
          <w:p>
            <w:pPr>
              <w:spacing w:after="0"/>
              <w:rPr>
                <w:sz w:val="19"/>
                <w:szCs w:val="19"/>
                <w:color w:val="auto"/>
              </w:rPr>
            </w:pPr>
          </w:p>
        </w:tc>
        <w:tc>
          <w:tcPr>
            <w:tcW w:w="700" w:type="dxa"/>
            <w:vAlign w:val="bottom"/>
          </w:tcPr>
          <w:p>
            <w:pPr>
              <w:jc w:val="right"/>
              <w:ind w:right="1"/>
              <w:spacing w:after="0"/>
              <w:rPr>
                <w:sz w:val="20"/>
                <w:szCs w:val="20"/>
                <w:color w:val="auto"/>
              </w:rPr>
            </w:pPr>
            <w:r>
              <w:rPr>
                <w:rFonts w:ascii="Arial" w:cs="Arial" w:eastAsia="Arial" w:hAnsi="Arial"/>
                <w:sz w:val="16"/>
                <w:szCs w:val="16"/>
                <w:color w:val="auto"/>
              </w:rPr>
              <w:t>—</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0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Pr>
          <w:p>
            <w:pPr>
              <w:spacing w:after="0"/>
              <w:rPr>
                <w:sz w:val="19"/>
                <w:szCs w:val="19"/>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9"/>
                <w:szCs w:val="19"/>
                <w:color w:val="auto"/>
              </w:rPr>
            </w:pPr>
          </w:p>
        </w:tc>
        <w:tc>
          <w:tcPr>
            <w:tcW w:w="740" w:type="dxa"/>
            <w:vAlign w:val="bottom"/>
          </w:tcPr>
          <w:p>
            <w:pPr>
              <w:jc w:val="right"/>
              <w:ind w:right="61"/>
              <w:spacing w:after="0"/>
              <w:rPr>
                <w:sz w:val="20"/>
                <w:szCs w:val="20"/>
                <w:color w:val="auto"/>
              </w:rPr>
            </w:pPr>
            <w:r>
              <w:rPr>
                <w:rFonts w:ascii="Arial" w:cs="Arial" w:eastAsia="Arial" w:hAnsi="Arial"/>
                <w:sz w:val="16"/>
                <w:szCs w:val="16"/>
                <w:color w:val="auto"/>
              </w:rPr>
              <w:t>40,345</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tcPr>
          <w:p>
            <w:pPr>
              <w:jc w:val="right"/>
              <w:ind w:right="60"/>
              <w:spacing w:after="0"/>
              <w:rPr>
                <w:sz w:val="20"/>
                <w:szCs w:val="20"/>
                <w:color w:val="auto"/>
              </w:rPr>
            </w:pPr>
            <w:r>
              <w:rPr>
                <w:rFonts w:ascii="Arial" w:cs="Arial" w:eastAsia="Arial" w:hAnsi="Arial"/>
                <w:sz w:val="16"/>
                <w:szCs w:val="16"/>
                <w:color w:val="auto"/>
              </w:rPr>
              <w:t>35,831</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0" w:type="dxa"/>
            <w:vAlign w:val="bottom"/>
          </w:tcPr>
          <w:p>
            <w:pPr>
              <w:jc w:val="right"/>
              <w:ind w:right="60"/>
              <w:spacing w:after="0"/>
              <w:rPr>
                <w:sz w:val="20"/>
                <w:szCs w:val="20"/>
                <w:color w:val="auto"/>
              </w:rPr>
            </w:pPr>
            <w:r>
              <w:rPr>
                <w:rFonts w:ascii="Arial" w:cs="Arial" w:eastAsia="Arial" w:hAnsi="Arial"/>
                <w:sz w:val="16"/>
                <w:szCs w:val="16"/>
                <w:color w:val="auto"/>
              </w:rPr>
              <w:t>2,050</w:t>
            </w:r>
          </w:p>
        </w:tc>
        <w:tc>
          <w:tcPr>
            <w:tcW w:w="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9"/>
                <w:szCs w:val="19"/>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Pr>
          <w:p>
            <w:pPr>
              <w:spacing w:after="0"/>
              <w:rPr>
                <w:sz w:val="19"/>
                <w:szCs w:val="19"/>
                <w:color w:val="auto"/>
              </w:rPr>
            </w:pPr>
          </w:p>
        </w:tc>
        <w:tc>
          <w:tcPr>
            <w:tcW w:w="7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19"/>
                <w:szCs w:val="19"/>
                <w:color w:val="auto"/>
              </w:rPr>
            </w:pPr>
          </w:p>
        </w:tc>
        <w:tc>
          <w:tcPr>
            <w:tcW w:w="680" w:type="dxa"/>
            <w:vAlign w:val="bottom"/>
          </w:tcPr>
          <w:p>
            <w:pPr>
              <w:jc w:val="right"/>
              <w:ind w:right="60"/>
              <w:spacing w:after="0"/>
              <w:rPr>
                <w:sz w:val="20"/>
                <w:szCs w:val="20"/>
                <w:color w:val="auto"/>
              </w:rPr>
            </w:pPr>
            <w:r>
              <w:rPr>
                <w:rFonts w:ascii="Arial" w:cs="Arial" w:eastAsia="Arial" w:hAnsi="Arial"/>
                <w:sz w:val="16"/>
                <w:szCs w:val="16"/>
                <w:color w:val="auto"/>
              </w:rPr>
              <w:t>78,226</w:t>
            </w:r>
          </w:p>
        </w:tc>
        <w:tc>
          <w:tcPr>
            <w:tcW w:w="0" w:type="dxa"/>
            <w:vAlign w:val="bottom"/>
          </w:tcPr>
          <w:p>
            <w:pPr>
              <w:spacing w:after="0"/>
              <w:rPr>
                <w:sz w:val="1"/>
                <w:szCs w:val="1"/>
                <w:color w:val="auto"/>
              </w:rPr>
            </w:pPr>
          </w:p>
        </w:tc>
      </w:tr>
      <w:tr>
        <w:trPr>
          <w:trHeight w:val="33"/>
        </w:trPr>
        <w:tc>
          <w:tcPr>
            <w:tcW w:w="2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37"/>
        </w:trPr>
        <w:tc>
          <w:tcPr>
            <w:tcW w:w="2500" w:type="dxa"/>
            <w:vAlign w:val="bottom"/>
            <w:tcBorders>
              <w:bottom w:val="single" w:sz="8" w:color="CCEEFF"/>
            </w:tcBorders>
            <w:shd w:val="clear" w:color="auto" w:fill="CCEEFF"/>
          </w:tcPr>
          <w:p>
            <w:pPr>
              <w:ind w:left="140"/>
              <w:spacing w:after="0"/>
              <w:rPr>
                <w:sz w:val="20"/>
                <w:szCs w:val="20"/>
                <w:color w:val="auto"/>
              </w:rPr>
            </w:pPr>
            <w:r>
              <w:rPr>
                <w:rFonts w:ascii="Arial" w:cs="Arial" w:eastAsia="Arial" w:hAnsi="Arial"/>
                <w:sz w:val="16"/>
                <w:szCs w:val="16"/>
                <w:color w:val="auto"/>
              </w:rPr>
              <w:t>Net cash payments</w:t>
            </w:r>
          </w:p>
        </w:tc>
        <w:tc>
          <w:tcPr>
            <w:tcW w:w="120" w:type="dxa"/>
            <w:vAlign w:val="bottom"/>
            <w:tcBorders>
              <w:bottom w:val="single" w:sz="8" w:color="CCEEFF"/>
            </w:tcBorders>
            <w:shd w:val="clear" w:color="auto" w:fill="CCEEFF"/>
          </w:tcPr>
          <w:p>
            <w:pPr>
              <w:spacing w:after="0"/>
              <w:rPr>
                <w:sz w:val="20"/>
                <w:szCs w:val="20"/>
                <w:color w:val="auto"/>
              </w:rPr>
            </w:pPr>
          </w:p>
        </w:tc>
        <w:tc>
          <w:tcPr>
            <w:tcW w:w="7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(654)</w:t>
            </w:r>
          </w:p>
        </w:tc>
        <w:tc>
          <w:tcPr>
            <w:tcW w:w="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600" w:type="dxa"/>
            <w:vAlign w:val="bottom"/>
            <w:tcBorders>
              <w:bottom w:val="single" w:sz="8" w:color="CCEEFF"/>
            </w:tcBorders>
            <w:shd w:val="clear" w:color="auto" w:fill="CCEEFF"/>
          </w:tcPr>
          <w:p>
            <w:pPr>
              <w:jc w:val="right"/>
              <w:ind w:right="21"/>
              <w:spacing w:after="0"/>
              <w:rPr>
                <w:sz w:val="20"/>
                <w:szCs w:val="20"/>
                <w:color w:val="auto"/>
              </w:rPr>
            </w:pPr>
            <w:r>
              <w:rPr>
                <w:rFonts w:ascii="Arial" w:cs="Arial" w:eastAsia="Arial" w:hAnsi="Arial"/>
                <w:sz w:val="16"/>
                <w:szCs w:val="16"/>
                <w:color w:val="auto"/>
              </w:rPr>
              <w:t>(462)</w:t>
            </w:r>
          </w:p>
        </w:tc>
        <w:tc>
          <w:tcPr>
            <w:tcW w:w="10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64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(555)</w:t>
            </w:r>
          </w:p>
        </w:tc>
        <w:tc>
          <w:tcPr>
            <w:tcW w:w="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jc w:val="right"/>
              <w:ind w:right="21"/>
              <w:spacing w:after="0"/>
              <w:rPr>
                <w:sz w:val="20"/>
                <w:szCs w:val="20"/>
                <w:color w:val="auto"/>
              </w:rPr>
            </w:pPr>
            <w:r>
              <w:rPr>
                <w:rFonts w:ascii="Arial" w:cs="Arial" w:eastAsia="Arial" w:hAnsi="Arial"/>
                <w:sz w:val="16"/>
                <w:szCs w:val="16"/>
                <w:color w:val="auto"/>
              </w:rPr>
              <w:t>(26,614)</w:t>
            </w:r>
          </w:p>
        </w:tc>
        <w:tc>
          <w:tcPr>
            <w:tcW w:w="1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68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(8,927)</w:t>
            </w: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60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w w:val="94"/>
              </w:rPr>
              <w:t>(1,001)</w:t>
            </w:r>
          </w:p>
        </w:tc>
        <w:tc>
          <w:tcPr>
            <w:tcW w:w="8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00" w:type="dxa"/>
            <w:vAlign w:val="bottom"/>
            <w:tcBorders>
              <w:bottom w:val="single" w:sz="8" w:color="CCEEFF"/>
            </w:tcBorders>
            <w:shd w:val="clear" w:color="auto" w:fill="CCEEFF"/>
          </w:tcPr>
          <w:p>
            <w:pPr>
              <w:spacing w:after="0"/>
              <w:rPr>
                <w:sz w:val="20"/>
                <w:szCs w:val="20"/>
                <w:color w:val="auto"/>
              </w:rPr>
            </w:pPr>
          </w:p>
        </w:tc>
        <w:tc>
          <w:tcPr>
            <w:tcW w:w="7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shd w:val="clear" w:color="auto" w:fill="CCEEFF"/>
          </w:tcPr>
          <w:p>
            <w:pPr>
              <w:spacing w:after="0"/>
              <w:rPr>
                <w:sz w:val="20"/>
                <w:szCs w:val="20"/>
                <w:color w:val="auto"/>
              </w:rPr>
            </w:pPr>
          </w:p>
        </w:tc>
        <w:tc>
          <w:tcPr>
            <w:tcW w:w="68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w w:val="93"/>
              </w:rPr>
              <w:t>(38,213)</w:t>
            </w:r>
          </w:p>
        </w:tc>
        <w:tc>
          <w:tcPr>
            <w:tcW w:w="0" w:type="dxa"/>
            <w:vAlign w:val="bottom"/>
          </w:tcPr>
          <w:p>
            <w:pPr>
              <w:spacing w:after="0"/>
              <w:rPr>
                <w:sz w:val="1"/>
                <w:szCs w:val="1"/>
                <w:color w:val="auto"/>
              </w:rPr>
            </w:pPr>
          </w:p>
        </w:tc>
      </w:tr>
      <w:tr>
        <w:trPr>
          <w:trHeight w:val="223"/>
        </w:trPr>
        <w:tc>
          <w:tcPr>
            <w:tcW w:w="2500" w:type="dxa"/>
            <w:vAlign w:val="bottom"/>
          </w:tcPr>
          <w:p>
            <w:pPr>
              <w:ind w:left="140"/>
              <w:spacing w:after="0"/>
              <w:rPr>
                <w:sz w:val="20"/>
                <w:szCs w:val="20"/>
                <w:color w:val="auto"/>
              </w:rPr>
            </w:pPr>
            <w:r>
              <w:rPr>
                <w:rFonts w:ascii="Arial" w:cs="Arial" w:eastAsia="Arial" w:hAnsi="Arial"/>
                <w:sz w:val="16"/>
                <w:szCs w:val="16"/>
                <w:color w:val="auto"/>
              </w:rPr>
              <w:t>Release of reserves</w:t>
            </w:r>
          </w:p>
        </w:tc>
        <w:tc>
          <w:tcPr>
            <w:tcW w:w="120" w:type="dxa"/>
            <w:vAlign w:val="bottom"/>
          </w:tcPr>
          <w:p>
            <w:pPr>
              <w:spacing w:after="0"/>
              <w:rPr>
                <w:sz w:val="19"/>
                <w:szCs w:val="19"/>
                <w:color w:val="auto"/>
              </w:rPr>
            </w:pPr>
          </w:p>
        </w:tc>
        <w:tc>
          <w:tcPr>
            <w:tcW w:w="700" w:type="dxa"/>
            <w:vAlign w:val="bottom"/>
          </w:tcPr>
          <w:p>
            <w:pPr>
              <w:jc w:val="right"/>
              <w:ind w:right="1"/>
              <w:spacing w:after="0"/>
              <w:rPr>
                <w:sz w:val="20"/>
                <w:szCs w:val="20"/>
                <w:color w:val="auto"/>
              </w:rPr>
            </w:pPr>
            <w:r>
              <w:rPr>
                <w:rFonts w:ascii="Arial" w:cs="Arial" w:eastAsia="Arial" w:hAnsi="Arial"/>
                <w:sz w:val="16"/>
                <w:szCs w:val="16"/>
                <w:color w:val="auto"/>
              </w:rPr>
              <w:t>—</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0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Pr>
          <w:p>
            <w:pPr>
              <w:spacing w:after="0"/>
              <w:rPr>
                <w:sz w:val="19"/>
                <w:szCs w:val="19"/>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9"/>
                <w:szCs w:val="19"/>
                <w:color w:val="auto"/>
              </w:rPr>
            </w:pPr>
          </w:p>
        </w:tc>
        <w:tc>
          <w:tcPr>
            <w:tcW w:w="740" w:type="dxa"/>
            <w:vAlign w:val="bottom"/>
          </w:tcPr>
          <w:p>
            <w:pPr>
              <w:jc w:val="right"/>
              <w:ind w:right="21"/>
              <w:spacing w:after="0"/>
              <w:rPr>
                <w:sz w:val="20"/>
                <w:szCs w:val="20"/>
                <w:color w:val="auto"/>
              </w:rPr>
            </w:pPr>
            <w:r>
              <w:rPr>
                <w:rFonts w:ascii="Arial" w:cs="Arial" w:eastAsia="Arial" w:hAnsi="Arial"/>
                <w:sz w:val="16"/>
                <w:szCs w:val="16"/>
                <w:color w:val="auto"/>
              </w:rPr>
              <w:t>(1,273)</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19"/>
                <w:szCs w:val="19"/>
                <w:color w:val="auto"/>
              </w:rPr>
            </w:pPr>
          </w:p>
        </w:tc>
        <w:tc>
          <w:tcPr>
            <w:tcW w:w="68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9"/>
                <w:szCs w:val="19"/>
                <w:color w:val="auto"/>
              </w:rPr>
            </w:pPr>
          </w:p>
        </w:tc>
        <w:tc>
          <w:tcPr>
            <w:tcW w:w="7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9"/>
                <w:szCs w:val="19"/>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Pr>
          <w:p>
            <w:pPr>
              <w:spacing w:after="0"/>
              <w:rPr>
                <w:sz w:val="19"/>
                <w:szCs w:val="19"/>
                <w:color w:val="auto"/>
              </w:rPr>
            </w:pPr>
          </w:p>
        </w:tc>
        <w:tc>
          <w:tcPr>
            <w:tcW w:w="7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19"/>
                <w:szCs w:val="19"/>
                <w:color w:val="auto"/>
              </w:rPr>
            </w:pPr>
          </w:p>
        </w:tc>
        <w:tc>
          <w:tcPr>
            <w:tcW w:w="680" w:type="dxa"/>
            <w:vAlign w:val="bottom"/>
          </w:tcPr>
          <w:p>
            <w:pPr>
              <w:jc w:val="right"/>
              <w:ind w:right="20"/>
              <w:spacing w:after="0"/>
              <w:rPr>
                <w:sz w:val="20"/>
                <w:szCs w:val="20"/>
                <w:color w:val="auto"/>
              </w:rPr>
            </w:pPr>
            <w:r>
              <w:rPr>
                <w:rFonts w:ascii="Arial" w:cs="Arial" w:eastAsia="Arial" w:hAnsi="Arial"/>
                <w:sz w:val="16"/>
                <w:szCs w:val="16"/>
                <w:color w:val="auto"/>
              </w:rPr>
              <w:t>(1,273)</w:t>
            </w:r>
          </w:p>
        </w:tc>
        <w:tc>
          <w:tcPr>
            <w:tcW w:w="0" w:type="dxa"/>
            <w:vAlign w:val="bottom"/>
          </w:tcPr>
          <w:p>
            <w:pPr>
              <w:spacing w:after="0"/>
              <w:rPr>
                <w:sz w:val="1"/>
                <w:szCs w:val="1"/>
                <w:color w:val="auto"/>
              </w:rPr>
            </w:pPr>
          </w:p>
        </w:tc>
      </w:tr>
      <w:tr>
        <w:trPr>
          <w:trHeight w:val="33"/>
        </w:trPr>
        <w:tc>
          <w:tcPr>
            <w:tcW w:w="2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6"/>
        </w:trPr>
        <w:tc>
          <w:tcPr>
            <w:tcW w:w="2500" w:type="dxa"/>
            <w:vAlign w:val="bottom"/>
            <w:tcBorders>
              <w:bottom w:val="single" w:sz="8" w:color="CCEEFF"/>
            </w:tcBorders>
            <w:shd w:val="clear" w:color="auto" w:fill="CCEEFF"/>
          </w:tcPr>
          <w:p>
            <w:pPr>
              <w:ind w:left="140"/>
              <w:spacing w:after="0"/>
              <w:rPr>
                <w:sz w:val="20"/>
                <w:szCs w:val="20"/>
                <w:color w:val="auto"/>
              </w:rPr>
            </w:pPr>
            <w:r>
              <w:rPr>
                <w:rFonts w:ascii="Arial" w:cs="Arial" w:eastAsia="Arial" w:hAnsi="Arial"/>
                <w:sz w:val="16"/>
                <w:szCs w:val="16"/>
                <w:color w:val="auto"/>
              </w:rPr>
              <w:t>Exchange rate adjustment</w:t>
            </w:r>
          </w:p>
        </w:tc>
        <w:tc>
          <w:tcPr>
            <w:tcW w:w="120" w:type="dxa"/>
            <w:vAlign w:val="bottom"/>
            <w:tcBorders>
              <w:bottom w:val="single" w:sz="8" w:color="CCEEFF"/>
            </w:tcBorders>
            <w:shd w:val="clear" w:color="auto" w:fill="CCEEFF"/>
          </w:tcPr>
          <w:p>
            <w:pPr>
              <w:spacing w:after="0"/>
              <w:rPr>
                <w:sz w:val="22"/>
                <w:szCs w:val="22"/>
                <w:color w:val="auto"/>
              </w:rPr>
            </w:pPr>
          </w:p>
        </w:tc>
        <w:tc>
          <w:tcPr>
            <w:tcW w:w="700" w:type="dxa"/>
            <w:vAlign w:val="bottom"/>
            <w:tcBorders>
              <w:bottom w:val="single" w:sz="8" w:color="CCEEFF"/>
            </w:tcBorders>
            <w:shd w:val="clear" w:color="auto" w:fill="CCEEFF"/>
          </w:tcPr>
          <w:p>
            <w:pPr>
              <w:jc w:val="right"/>
              <w:ind w:right="1"/>
              <w:spacing w:after="0"/>
              <w:rPr>
                <w:sz w:val="20"/>
                <w:szCs w:val="20"/>
                <w:color w:val="auto"/>
              </w:rPr>
            </w:pPr>
            <w:r>
              <w:rPr>
                <w:rFonts w:ascii="Arial" w:cs="Arial" w:eastAsia="Arial" w:hAnsi="Arial"/>
                <w:sz w:val="16"/>
                <w:szCs w:val="16"/>
                <w:color w:val="auto"/>
              </w:rPr>
              <w:t>—</w:t>
            </w:r>
          </w:p>
        </w:tc>
        <w:tc>
          <w:tcPr>
            <w:tcW w:w="6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7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Borders>
              <w:bottom w:val="single" w:sz="8" w:color="CCEEFF"/>
            </w:tcBorders>
            <w:shd w:val="clear" w:color="auto" w:fill="CCEEFF"/>
          </w:tcPr>
          <w:p>
            <w:pPr>
              <w:spacing w:after="0"/>
              <w:rPr>
                <w:sz w:val="22"/>
                <w:szCs w:val="22"/>
                <w:color w:val="auto"/>
              </w:rPr>
            </w:pPr>
          </w:p>
        </w:tc>
        <w:tc>
          <w:tcPr>
            <w:tcW w:w="72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0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jc w:val="right"/>
              <w:ind w:right="21"/>
              <w:spacing w:after="0"/>
              <w:rPr>
                <w:sz w:val="20"/>
                <w:szCs w:val="20"/>
                <w:color w:val="auto"/>
              </w:rPr>
            </w:pPr>
            <w:r>
              <w:rPr>
                <w:rFonts w:ascii="Arial" w:cs="Arial" w:eastAsia="Arial" w:hAnsi="Arial"/>
                <w:sz w:val="16"/>
                <w:szCs w:val="16"/>
                <w:color w:val="auto"/>
              </w:rPr>
              <w:t>(55)</w:t>
            </w:r>
          </w:p>
        </w:tc>
        <w:tc>
          <w:tcPr>
            <w:tcW w:w="10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7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shd w:val="clear" w:color="auto" w:fill="CCEEFF"/>
          </w:tcPr>
          <w:p>
            <w:pPr>
              <w:spacing w:after="0"/>
              <w:rPr>
                <w:sz w:val="22"/>
                <w:szCs w:val="22"/>
                <w:color w:val="auto"/>
              </w:rPr>
            </w:pPr>
          </w:p>
        </w:tc>
        <w:tc>
          <w:tcPr>
            <w:tcW w:w="6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16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00" w:type="dxa"/>
            <w:vAlign w:val="bottom"/>
            <w:tcBorders>
              <w:bottom w:val="single" w:sz="8" w:color="CCEEFF"/>
            </w:tcBorders>
            <w:shd w:val="clear" w:color="auto" w:fill="CCEEFF"/>
          </w:tcPr>
          <w:p>
            <w:pPr>
              <w:spacing w:after="0"/>
              <w:rPr>
                <w:sz w:val="22"/>
                <w:szCs w:val="22"/>
                <w:color w:val="auto"/>
              </w:rPr>
            </w:pPr>
          </w:p>
        </w:tc>
        <w:tc>
          <w:tcPr>
            <w:tcW w:w="7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shd w:val="clear" w:color="auto" w:fill="CCEEFF"/>
          </w:tcPr>
          <w:p>
            <w:pPr>
              <w:spacing w:after="0"/>
              <w:rPr>
                <w:sz w:val="22"/>
                <w:szCs w:val="22"/>
                <w:color w:val="auto"/>
              </w:rPr>
            </w:pPr>
          </w:p>
        </w:tc>
        <w:tc>
          <w:tcPr>
            <w:tcW w:w="68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(55)</w:t>
            </w:r>
          </w:p>
        </w:tc>
        <w:tc>
          <w:tcPr>
            <w:tcW w:w="0" w:type="dxa"/>
            <w:vAlign w:val="bottom"/>
          </w:tcPr>
          <w:p>
            <w:pPr>
              <w:spacing w:after="0"/>
              <w:rPr>
                <w:sz w:val="1"/>
                <w:szCs w:val="1"/>
                <w:color w:val="auto"/>
              </w:rPr>
            </w:pPr>
          </w:p>
        </w:tc>
      </w:tr>
      <w:tr>
        <w:trPr>
          <w:trHeight w:val="217"/>
        </w:trPr>
        <w:tc>
          <w:tcPr>
            <w:tcW w:w="2500" w:type="dxa"/>
            <w:vAlign w:val="bottom"/>
          </w:tcPr>
          <w:p>
            <w:pPr>
              <w:ind w:left="20"/>
              <w:spacing w:after="0"/>
              <w:rPr>
                <w:sz w:val="20"/>
                <w:szCs w:val="20"/>
                <w:color w:val="auto"/>
              </w:rPr>
            </w:pPr>
            <w:r>
              <w:rPr>
                <w:rFonts w:ascii="Arial" w:cs="Arial" w:eastAsia="Arial" w:hAnsi="Arial"/>
                <w:sz w:val="16"/>
                <w:szCs w:val="16"/>
                <w:color w:val="auto"/>
              </w:rPr>
              <w:t>Balance at February 2, 2019</w:t>
            </w:r>
          </w:p>
        </w:tc>
        <w:tc>
          <w:tcPr>
            <w:tcW w:w="120" w:type="dxa"/>
            <w:vAlign w:val="bottom"/>
            <w:tcBorders>
              <w:top w:val="single" w:sz="8" w:color="auto"/>
            </w:tcBorders>
          </w:tcPr>
          <w:p>
            <w:pPr>
              <w:spacing w:after="0"/>
              <w:rPr>
                <w:sz w:val="18"/>
                <w:szCs w:val="18"/>
                <w:color w:val="auto"/>
              </w:rPr>
            </w:pPr>
          </w:p>
        </w:tc>
        <w:tc>
          <w:tcPr>
            <w:tcW w:w="700" w:type="dxa"/>
            <w:vAlign w:val="bottom"/>
            <w:tcBorders>
              <w:top w:val="single" w:sz="8" w:color="auto"/>
            </w:tcBorders>
          </w:tcPr>
          <w:p>
            <w:pPr>
              <w:jc w:val="right"/>
              <w:ind w:right="1"/>
              <w:spacing w:after="0"/>
              <w:rPr>
                <w:sz w:val="20"/>
                <w:szCs w:val="20"/>
                <w:color w:val="auto"/>
              </w:rPr>
            </w:pPr>
            <w:r>
              <w:rPr>
                <w:rFonts w:ascii="Arial" w:cs="Arial" w:eastAsia="Arial" w:hAnsi="Arial"/>
                <w:sz w:val="16"/>
                <w:szCs w:val="16"/>
                <w:color w:val="auto"/>
              </w:rPr>
              <w:t>—</w:t>
            </w:r>
          </w:p>
        </w:tc>
        <w:tc>
          <w:tcPr>
            <w:tcW w:w="6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00" w:type="dxa"/>
            <w:vAlign w:val="bottom"/>
            <w:tcBorders>
              <w:top w:val="single" w:sz="8" w:color="auto"/>
            </w:tcBorders>
          </w:tcPr>
          <w:p>
            <w:pPr>
              <w:jc w:val="right"/>
              <w:ind w:right="61"/>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640" w:type="dxa"/>
            <w:vAlign w:val="bottom"/>
            <w:tcBorders>
              <w:top w:val="single" w:sz="8" w:color="auto"/>
            </w:tcBorders>
          </w:tcPr>
          <w:p>
            <w:pPr>
              <w:jc w:val="right"/>
              <w:ind w:right="80"/>
              <w:spacing w:after="0"/>
              <w:rPr>
                <w:sz w:val="20"/>
                <w:szCs w:val="20"/>
                <w:color w:val="auto"/>
              </w:rPr>
            </w:pPr>
            <w:r>
              <w:rPr>
                <w:rFonts w:ascii="Arial" w:cs="Arial" w:eastAsia="Arial" w:hAnsi="Arial"/>
                <w:sz w:val="16"/>
                <w:szCs w:val="16"/>
                <w:color w:val="auto"/>
              </w:rPr>
              <w:t>—</w:t>
            </w:r>
          </w:p>
        </w:tc>
        <w:tc>
          <w:tcPr>
            <w:tcW w:w="8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740" w:type="dxa"/>
            <w:vAlign w:val="bottom"/>
            <w:tcBorders>
              <w:top w:val="single" w:sz="8" w:color="auto"/>
            </w:tcBorders>
          </w:tcPr>
          <w:p>
            <w:pPr>
              <w:jc w:val="right"/>
              <w:ind w:right="61"/>
              <w:spacing w:after="0"/>
              <w:rPr>
                <w:sz w:val="20"/>
                <w:szCs w:val="20"/>
                <w:color w:val="auto"/>
              </w:rPr>
            </w:pPr>
            <w:r>
              <w:rPr>
                <w:rFonts w:ascii="Arial" w:cs="Arial" w:eastAsia="Arial" w:hAnsi="Arial"/>
                <w:sz w:val="16"/>
                <w:szCs w:val="16"/>
                <w:color w:val="auto"/>
              </w:rPr>
              <w:t>12,403</w:t>
            </w:r>
          </w:p>
        </w:tc>
        <w:tc>
          <w:tcPr>
            <w:tcW w:w="10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80" w:type="dxa"/>
            <w:vAlign w:val="bottom"/>
            <w:tcBorders>
              <w:top w:val="single" w:sz="8" w:color="auto"/>
            </w:tcBorders>
          </w:tcPr>
          <w:p>
            <w:pPr>
              <w:jc w:val="right"/>
              <w:ind w:right="60"/>
              <w:spacing w:after="0"/>
              <w:rPr>
                <w:sz w:val="20"/>
                <w:szCs w:val="20"/>
                <w:color w:val="auto"/>
              </w:rPr>
            </w:pPr>
            <w:r>
              <w:rPr>
                <w:rFonts w:ascii="Arial" w:cs="Arial" w:eastAsia="Arial" w:hAnsi="Arial"/>
                <w:sz w:val="16"/>
                <w:szCs w:val="16"/>
                <w:color w:val="auto"/>
              </w:rPr>
              <w:t>26,904</w:t>
            </w:r>
          </w:p>
        </w:tc>
        <w:tc>
          <w:tcPr>
            <w:tcW w:w="10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00" w:type="dxa"/>
            <w:vAlign w:val="bottom"/>
            <w:tcBorders>
              <w:top w:val="single" w:sz="8" w:color="auto"/>
            </w:tcBorders>
          </w:tcPr>
          <w:p>
            <w:pPr>
              <w:jc w:val="right"/>
              <w:ind w:right="60"/>
              <w:spacing w:after="0"/>
              <w:rPr>
                <w:sz w:val="20"/>
                <w:szCs w:val="20"/>
                <w:color w:val="auto"/>
              </w:rPr>
            </w:pPr>
            <w:r>
              <w:rPr>
                <w:rFonts w:ascii="Arial" w:cs="Arial" w:eastAsia="Arial" w:hAnsi="Arial"/>
                <w:sz w:val="16"/>
                <w:szCs w:val="16"/>
                <w:color w:val="auto"/>
              </w:rPr>
              <w:t>1,049</w:t>
            </w:r>
          </w:p>
        </w:tc>
        <w:tc>
          <w:tcPr>
            <w:tcW w:w="8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640" w:type="dxa"/>
            <w:vAlign w:val="bottom"/>
            <w:tcBorders>
              <w:top w:val="single" w:sz="8" w:color="auto"/>
            </w:tcBorders>
          </w:tcPr>
          <w:p>
            <w:pPr>
              <w:jc w:val="right"/>
              <w:ind w:right="6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700" w:type="dxa"/>
            <w:vAlign w:val="bottom"/>
            <w:tcBorders>
              <w:top w:val="single" w:sz="8" w:color="auto"/>
            </w:tcBorders>
          </w:tcPr>
          <w:p>
            <w:pPr>
              <w:jc w:val="right"/>
              <w:ind w:right="80"/>
              <w:spacing w:after="0"/>
              <w:rPr>
                <w:sz w:val="20"/>
                <w:szCs w:val="20"/>
                <w:color w:val="auto"/>
              </w:rPr>
            </w:pPr>
            <w:r>
              <w:rPr>
                <w:rFonts w:ascii="Arial" w:cs="Arial" w:eastAsia="Arial" w:hAnsi="Arial"/>
                <w:sz w:val="16"/>
                <w:szCs w:val="16"/>
                <w:color w:val="auto"/>
              </w:rPr>
              <w:t>—</w:t>
            </w:r>
          </w:p>
        </w:tc>
        <w:tc>
          <w:tcPr>
            <w:tcW w:w="8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640" w:type="dxa"/>
            <w:vAlign w:val="bottom"/>
            <w:tcBorders>
              <w:top w:val="single" w:sz="8" w:color="auto"/>
            </w:tcBorders>
          </w:tcPr>
          <w:p>
            <w:pPr>
              <w:jc w:val="right"/>
              <w:ind w:right="6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80" w:type="dxa"/>
            <w:vAlign w:val="bottom"/>
            <w:tcBorders>
              <w:top w:val="single" w:sz="8" w:color="auto"/>
            </w:tcBorders>
          </w:tcPr>
          <w:p>
            <w:pPr>
              <w:jc w:val="right"/>
              <w:ind w:right="60"/>
              <w:spacing w:after="0"/>
              <w:rPr>
                <w:sz w:val="20"/>
                <w:szCs w:val="20"/>
                <w:color w:val="auto"/>
              </w:rPr>
            </w:pPr>
            <w:r>
              <w:rPr>
                <w:rFonts w:ascii="Arial" w:cs="Arial" w:eastAsia="Arial" w:hAnsi="Arial"/>
                <w:sz w:val="16"/>
                <w:szCs w:val="16"/>
                <w:color w:val="auto"/>
              </w:rPr>
              <w:t>40,356</w:t>
            </w:r>
          </w:p>
        </w:tc>
        <w:tc>
          <w:tcPr>
            <w:tcW w:w="0" w:type="dxa"/>
            <w:vAlign w:val="bottom"/>
          </w:tcPr>
          <w:p>
            <w:pPr>
              <w:spacing w:after="0"/>
              <w:rPr>
                <w:sz w:val="1"/>
                <w:szCs w:val="1"/>
                <w:color w:val="auto"/>
              </w:rPr>
            </w:pPr>
          </w:p>
        </w:tc>
      </w:tr>
      <w:tr>
        <w:trPr>
          <w:trHeight w:val="33"/>
        </w:trPr>
        <w:tc>
          <w:tcPr>
            <w:tcW w:w="2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37"/>
        </w:trPr>
        <w:tc>
          <w:tcPr>
            <w:tcW w:w="2500" w:type="dxa"/>
            <w:vAlign w:val="bottom"/>
            <w:tcBorders>
              <w:bottom w:val="single" w:sz="8" w:color="CCEEFF"/>
            </w:tcBorders>
            <w:shd w:val="clear" w:color="auto" w:fill="CCEEFF"/>
          </w:tcPr>
          <w:p>
            <w:pPr>
              <w:ind w:left="140"/>
              <w:spacing w:after="0"/>
              <w:rPr>
                <w:sz w:val="20"/>
                <w:szCs w:val="20"/>
                <w:color w:val="auto"/>
              </w:rPr>
            </w:pPr>
            <w:r>
              <w:rPr>
                <w:rFonts w:ascii="Arial" w:cs="Arial" w:eastAsia="Arial" w:hAnsi="Arial"/>
                <w:sz w:val="16"/>
                <w:szCs w:val="16"/>
                <w:color w:val="auto"/>
              </w:rPr>
              <w:t>Restructuring charges</w:t>
            </w:r>
          </w:p>
        </w:tc>
        <w:tc>
          <w:tcPr>
            <w:tcW w:w="120" w:type="dxa"/>
            <w:vAlign w:val="bottom"/>
            <w:tcBorders>
              <w:bottom w:val="single" w:sz="8" w:color="CCEEFF"/>
            </w:tcBorders>
            <w:shd w:val="clear" w:color="auto" w:fill="CCEEFF"/>
          </w:tcPr>
          <w:p>
            <w:pPr>
              <w:spacing w:after="0"/>
              <w:rPr>
                <w:sz w:val="20"/>
                <w:szCs w:val="20"/>
                <w:color w:val="auto"/>
              </w:rPr>
            </w:pPr>
          </w:p>
        </w:tc>
        <w:tc>
          <w:tcPr>
            <w:tcW w:w="700" w:type="dxa"/>
            <w:vAlign w:val="bottom"/>
            <w:tcBorders>
              <w:bottom w:val="single" w:sz="8" w:color="CCEEFF"/>
            </w:tcBorders>
            <w:shd w:val="clear" w:color="auto" w:fill="CCEEFF"/>
          </w:tcPr>
          <w:p>
            <w:pPr>
              <w:jc w:val="right"/>
              <w:ind w:right="1"/>
              <w:spacing w:after="0"/>
              <w:rPr>
                <w:sz w:val="20"/>
                <w:szCs w:val="20"/>
                <w:color w:val="auto"/>
              </w:rPr>
            </w:pPr>
            <w:r>
              <w:rPr>
                <w:rFonts w:ascii="Arial" w:cs="Arial" w:eastAsia="Arial" w:hAnsi="Arial"/>
                <w:sz w:val="16"/>
                <w:szCs w:val="16"/>
                <w:b w:val="1"/>
                <w:bCs w:val="1"/>
                <w:color w:val="auto"/>
              </w:rPr>
              <w:t>—</w:t>
            </w:r>
          </w:p>
        </w:tc>
        <w:tc>
          <w:tcPr>
            <w:tcW w:w="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7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Borders>
              <w:bottom w:val="single" w:sz="8" w:color="CCEEFF"/>
            </w:tcBorders>
            <w:shd w:val="clear" w:color="auto" w:fill="CCEEFF"/>
          </w:tcPr>
          <w:p>
            <w:pPr>
              <w:spacing w:after="0"/>
              <w:rPr>
                <w:sz w:val="20"/>
                <w:szCs w:val="20"/>
                <w:color w:val="auto"/>
              </w:rPr>
            </w:pPr>
          </w:p>
        </w:tc>
        <w:tc>
          <w:tcPr>
            <w:tcW w:w="72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b w:val="1"/>
                <w:bCs w:val="1"/>
                <w:color w:val="auto"/>
              </w:rPr>
              <w:t>—</w:t>
            </w:r>
          </w:p>
        </w:tc>
        <w:tc>
          <w:tcPr>
            <w:tcW w:w="10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jc w:val="right"/>
              <w:ind w:right="61"/>
              <w:spacing w:after="0"/>
              <w:rPr>
                <w:sz w:val="20"/>
                <w:szCs w:val="20"/>
                <w:color w:val="auto"/>
              </w:rPr>
            </w:pPr>
            <w:r>
              <w:rPr>
                <w:rFonts w:ascii="Arial" w:cs="Arial" w:eastAsia="Arial" w:hAnsi="Arial"/>
                <w:sz w:val="16"/>
                <w:szCs w:val="16"/>
                <w:color w:val="auto"/>
              </w:rPr>
              <w:t>16,698</w:t>
            </w:r>
          </w:p>
        </w:tc>
        <w:tc>
          <w:tcPr>
            <w:tcW w:w="1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68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3,713</w:t>
            </w: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60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3,429</w:t>
            </w:r>
          </w:p>
        </w:tc>
        <w:tc>
          <w:tcPr>
            <w:tcW w:w="8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64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w w:val="98"/>
              </w:rPr>
              <w:t>14,987</w:t>
            </w:r>
          </w:p>
        </w:tc>
        <w:tc>
          <w:tcPr>
            <w:tcW w:w="1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700" w:type="dxa"/>
            <w:vAlign w:val="bottom"/>
            <w:tcBorders>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225</w:t>
            </w:r>
          </w:p>
        </w:tc>
        <w:tc>
          <w:tcPr>
            <w:tcW w:w="8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64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192</w:t>
            </w: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68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39,244</w:t>
            </w:r>
          </w:p>
        </w:tc>
        <w:tc>
          <w:tcPr>
            <w:tcW w:w="0" w:type="dxa"/>
            <w:vAlign w:val="bottom"/>
          </w:tcPr>
          <w:p>
            <w:pPr>
              <w:spacing w:after="0"/>
              <w:rPr>
                <w:sz w:val="1"/>
                <w:szCs w:val="1"/>
                <w:color w:val="auto"/>
              </w:rPr>
            </w:pPr>
          </w:p>
        </w:tc>
      </w:tr>
      <w:tr>
        <w:trPr>
          <w:trHeight w:val="224"/>
        </w:trPr>
        <w:tc>
          <w:tcPr>
            <w:tcW w:w="2500" w:type="dxa"/>
            <w:vAlign w:val="bottom"/>
          </w:tcPr>
          <w:p>
            <w:pPr>
              <w:ind w:left="140"/>
              <w:spacing w:after="0"/>
              <w:rPr>
                <w:sz w:val="20"/>
                <w:szCs w:val="20"/>
                <w:color w:val="auto"/>
              </w:rPr>
            </w:pPr>
            <w:r>
              <w:rPr>
                <w:rFonts w:ascii="Arial" w:cs="Arial" w:eastAsia="Arial" w:hAnsi="Arial"/>
                <w:sz w:val="16"/>
                <w:szCs w:val="16"/>
                <w:color w:val="auto"/>
              </w:rPr>
              <w:t>Net cash payments</w:t>
            </w:r>
          </w:p>
        </w:tc>
        <w:tc>
          <w:tcPr>
            <w:tcW w:w="120" w:type="dxa"/>
            <w:vAlign w:val="bottom"/>
          </w:tcPr>
          <w:p>
            <w:pPr>
              <w:spacing w:after="0"/>
              <w:rPr>
                <w:sz w:val="19"/>
                <w:szCs w:val="19"/>
                <w:color w:val="auto"/>
              </w:rPr>
            </w:pPr>
          </w:p>
        </w:tc>
        <w:tc>
          <w:tcPr>
            <w:tcW w:w="700" w:type="dxa"/>
            <w:vAlign w:val="bottom"/>
          </w:tcPr>
          <w:p>
            <w:pPr>
              <w:jc w:val="right"/>
              <w:ind w:right="1"/>
              <w:spacing w:after="0"/>
              <w:rPr>
                <w:sz w:val="20"/>
                <w:szCs w:val="20"/>
                <w:color w:val="auto"/>
              </w:rPr>
            </w:pPr>
            <w:r>
              <w:rPr>
                <w:rFonts w:ascii="Arial" w:cs="Arial" w:eastAsia="Arial" w:hAnsi="Arial"/>
                <w:sz w:val="16"/>
                <w:szCs w:val="16"/>
                <w:b w:val="1"/>
                <w:bCs w:val="1"/>
                <w:color w:val="auto"/>
              </w:rPr>
              <w:t>—</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0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Pr>
          <w:p>
            <w:pPr>
              <w:spacing w:after="0"/>
              <w:rPr>
                <w:sz w:val="19"/>
                <w:szCs w:val="19"/>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6"/>
                <w:szCs w:val="16"/>
                <w:b w:val="1"/>
                <w:bCs w:val="1"/>
                <w:color w:val="auto"/>
              </w:rPr>
              <w:t>—</w:t>
            </w:r>
          </w:p>
        </w:tc>
        <w:tc>
          <w:tcPr>
            <w:tcW w:w="100" w:type="dxa"/>
            <w:vAlign w:val="bottom"/>
          </w:tcPr>
          <w:p>
            <w:pPr>
              <w:spacing w:after="0"/>
              <w:rPr>
                <w:sz w:val="19"/>
                <w:szCs w:val="19"/>
                <w:color w:val="auto"/>
              </w:rPr>
            </w:pPr>
          </w:p>
        </w:tc>
        <w:tc>
          <w:tcPr>
            <w:tcW w:w="740" w:type="dxa"/>
            <w:vAlign w:val="bottom"/>
          </w:tcPr>
          <w:p>
            <w:pPr>
              <w:jc w:val="right"/>
              <w:ind w:right="21"/>
              <w:spacing w:after="0"/>
              <w:rPr>
                <w:sz w:val="20"/>
                <w:szCs w:val="20"/>
                <w:color w:val="auto"/>
              </w:rPr>
            </w:pPr>
            <w:r>
              <w:rPr>
                <w:rFonts w:ascii="Arial" w:cs="Arial" w:eastAsia="Arial" w:hAnsi="Arial"/>
                <w:sz w:val="16"/>
                <w:szCs w:val="16"/>
                <w:color w:val="auto"/>
              </w:rPr>
              <w:t>(27,706)</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tcPr>
          <w:p>
            <w:pPr>
              <w:jc w:val="right"/>
              <w:ind w:right="20"/>
              <w:spacing w:after="0"/>
              <w:rPr>
                <w:sz w:val="20"/>
                <w:szCs w:val="20"/>
                <w:color w:val="auto"/>
              </w:rPr>
            </w:pPr>
            <w:r>
              <w:rPr>
                <w:rFonts w:ascii="Arial" w:cs="Arial" w:eastAsia="Arial" w:hAnsi="Arial"/>
                <w:sz w:val="16"/>
                <w:szCs w:val="16"/>
                <w:color w:val="auto"/>
              </w:rPr>
              <w:t>(3,374)</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0" w:type="dxa"/>
            <w:vAlign w:val="bottom"/>
          </w:tcPr>
          <w:p>
            <w:pPr>
              <w:jc w:val="right"/>
              <w:ind w:right="20"/>
              <w:spacing w:after="0"/>
              <w:rPr>
                <w:sz w:val="20"/>
                <w:szCs w:val="20"/>
                <w:color w:val="auto"/>
              </w:rPr>
            </w:pPr>
            <w:r>
              <w:rPr>
                <w:rFonts w:ascii="Arial" w:cs="Arial" w:eastAsia="Arial" w:hAnsi="Arial"/>
                <w:sz w:val="16"/>
                <w:szCs w:val="16"/>
                <w:color w:val="auto"/>
                <w:w w:val="94"/>
              </w:rPr>
              <w:t>(3,804)</w:t>
            </w:r>
          </w:p>
        </w:tc>
        <w:tc>
          <w:tcPr>
            <w:tcW w:w="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40" w:type="dxa"/>
            <w:vAlign w:val="bottom"/>
          </w:tcPr>
          <w:p>
            <w:pPr>
              <w:jc w:val="right"/>
              <w:ind w:right="20"/>
              <w:spacing w:after="0"/>
              <w:rPr>
                <w:sz w:val="20"/>
                <w:szCs w:val="20"/>
                <w:color w:val="auto"/>
              </w:rPr>
            </w:pPr>
            <w:r>
              <w:rPr>
                <w:rFonts w:ascii="Arial" w:cs="Arial" w:eastAsia="Arial" w:hAnsi="Arial"/>
                <w:sz w:val="16"/>
                <w:szCs w:val="16"/>
                <w:color w:val="auto"/>
              </w:rPr>
              <w:t>(2,674)</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ind w:right="40"/>
              <w:spacing w:after="0"/>
              <w:rPr>
                <w:sz w:val="20"/>
                <w:szCs w:val="20"/>
                <w:color w:val="auto"/>
              </w:rPr>
            </w:pPr>
            <w:r>
              <w:rPr>
                <w:rFonts w:ascii="Arial" w:cs="Arial" w:eastAsia="Arial" w:hAnsi="Arial"/>
                <w:sz w:val="16"/>
                <w:szCs w:val="16"/>
                <w:color w:val="auto"/>
              </w:rPr>
              <w:t>(29)</w:t>
            </w:r>
          </w:p>
        </w:tc>
        <w:tc>
          <w:tcPr>
            <w:tcW w:w="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jc w:val="right"/>
              <w:ind w:right="20"/>
              <w:spacing w:after="0"/>
              <w:rPr>
                <w:sz w:val="20"/>
                <w:szCs w:val="20"/>
                <w:color w:val="auto"/>
              </w:rPr>
            </w:pPr>
            <w:r>
              <w:rPr>
                <w:rFonts w:ascii="Arial" w:cs="Arial" w:eastAsia="Arial" w:hAnsi="Arial"/>
                <w:sz w:val="16"/>
                <w:szCs w:val="16"/>
                <w:color w:val="auto"/>
              </w:rPr>
              <w:t>(181)</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80" w:type="dxa"/>
            <w:vAlign w:val="bottom"/>
          </w:tcPr>
          <w:p>
            <w:pPr>
              <w:jc w:val="right"/>
              <w:ind w:right="20"/>
              <w:spacing w:after="0"/>
              <w:rPr>
                <w:sz w:val="20"/>
                <w:szCs w:val="20"/>
                <w:color w:val="auto"/>
              </w:rPr>
            </w:pPr>
            <w:r>
              <w:rPr>
                <w:rFonts w:ascii="Arial" w:cs="Arial" w:eastAsia="Arial" w:hAnsi="Arial"/>
                <w:sz w:val="16"/>
                <w:szCs w:val="16"/>
                <w:color w:val="auto"/>
                <w:w w:val="93"/>
              </w:rPr>
              <w:t>(37,768)</w:t>
            </w:r>
          </w:p>
        </w:tc>
        <w:tc>
          <w:tcPr>
            <w:tcW w:w="0" w:type="dxa"/>
            <w:vAlign w:val="bottom"/>
          </w:tcPr>
          <w:p>
            <w:pPr>
              <w:spacing w:after="0"/>
              <w:rPr>
                <w:sz w:val="1"/>
                <w:szCs w:val="1"/>
                <w:color w:val="auto"/>
              </w:rPr>
            </w:pPr>
          </w:p>
        </w:tc>
      </w:tr>
      <w:tr>
        <w:trPr>
          <w:trHeight w:val="33"/>
        </w:trPr>
        <w:tc>
          <w:tcPr>
            <w:tcW w:w="2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37"/>
        </w:trPr>
        <w:tc>
          <w:tcPr>
            <w:tcW w:w="2500" w:type="dxa"/>
            <w:vAlign w:val="bottom"/>
            <w:tcBorders>
              <w:bottom w:val="single" w:sz="8" w:color="CCEEFF"/>
            </w:tcBorders>
            <w:shd w:val="clear" w:color="auto" w:fill="CCEEFF"/>
          </w:tcPr>
          <w:p>
            <w:pPr>
              <w:ind w:left="140"/>
              <w:spacing w:after="0"/>
              <w:rPr>
                <w:sz w:val="20"/>
                <w:szCs w:val="20"/>
                <w:color w:val="auto"/>
              </w:rPr>
            </w:pPr>
            <w:r>
              <w:rPr>
                <w:rFonts w:ascii="Arial" w:cs="Arial" w:eastAsia="Arial" w:hAnsi="Arial"/>
                <w:sz w:val="16"/>
                <w:szCs w:val="16"/>
                <w:color w:val="auto"/>
              </w:rPr>
              <w:t>Release of reserve</w:t>
            </w:r>
          </w:p>
        </w:tc>
        <w:tc>
          <w:tcPr>
            <w:tcW w:w="120" w:type="dxa"/>
            <w:vAlign w:val="bottom"/>
            <w:tcBorders>
              <w:bottom w:val="single" w:sz="8" w:color="CCEEFF"/>
            </w:tcBorders>
            <w:shd w:val="clear" w:color="auto" w:fill="CCEEFF"/>
          </w:tcPr>
          <w:p>
            <w:pPr>
              <w:spacing w:after="0"/>
              <w:rPr>
                <w:sz w:val="20"/>
                <w:szCs w:val="20"/>
                <w:color w:val="auto"/>
              </w:rPr>
            </w:pPr>
          </w:p>
        </w:tc>
        <w:tc>
          <w:tcPr>
            <w:tcW w:w="700" w:type="dxa"/>
            <w:vAlign w:val="bottom"/>
            <w:tcBorders>
              <w:bottom w:val="single" w:sz="8" w:color="CCEEFF"/>
            </w:tcBorders>
            <w:shd w:val="clear" w:color="auto" w:fill="CCEEFF"/>
          </w:tcPr>
          <w:p>
            <w:pPr>
              <w:jc w:val="right"/>
              <w:ind w:right="1"/>
              <w:spacing w:after="0"/>
              <w:rPr>
                <w:sz w:val="20"/>
                <w:szCs w:val="20"/>
                <w:color w:val="auto"/>
              </w:rPr>
            </w:pPr>
            <w:r>
              <w:rPr>
                <w:rFonts w:ascii="Arial" w:cs="Arial" w:eastAsia="Arial" w:hAnsi="Arial"/>
                <w:sz w:val="16"/>
                <w:szCs w:val="16"/>
                <w:b w:val="1"/>
                <w:bCs w:val="1"/>
                <w:color w:val="auto"/>
              </w:rPr>
              <w:t>—</w:t>
            </w:r>
          </w:p>
        </w:tc>
        <w:tc>
          <w:tcPr>
            <w:tcW w:w="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7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Borders>
              <w:bottom w:val="single" w:sz="8" w:color="CCEEFF"/>
            </w:tcBorders>
            <w:shd w:val="clear" w:color="auto" w:fill="CCEEFF"/>
          </w:tcPr>
          <w:p>
            <w:pPr>
              <w:spacing w:after="0"/>
              <w:rPr>
                <w:sz w:val="20"/>
                <w:szCs w:val="20"/>
                <w:color w:val="auto"/>
              </w:rPr>
            </w:pPr>
          </w:p>
        </w:tc>
        <w:tc>
          <w:tcPr>
            <w:tcW w:w="72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b w:val="1"/>
                <w:bCs w:val="1"/>
                <w:color w:val="auto"/>
              </w:rPr>
              <w:t>—</w:t>
            </w:r>
          </w:p>
        </w:tc>
        <w:tc>
          <w:tcPr>
            <w:tcW w:w="10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jc w:val="right"/>
              <w:ind w:right="21"/>
              <w:spacing w:after="0"/>
              <w:rPr>
                <w:sz w:val="20"/>
                <w:szCs w:val="20"/>
                <w:color w:val="auto"/>
              </w:rPr>
            </w:pPr>
            <w:r>
              <w:rPr>
                <w:rFonts w:ascii="Arial" w:cs="Arial" w:eastAsia="Arial" w:hAnsi="Arial"/>
                <w:sz w:val="16"/>
                <w:szCs w:val="16"/>
                <w:color w:val="auto"/>
              </w:rPr>
              <w:t>(479)</w:t>
            </w:r>
          </w:p>
        </w:tc>
        <w:tc>
          <w:tcPr>
            <w:tcW w:w="1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68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(893)</w:t>
            </w: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60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(138)</w:t>
            </w:r>
          </w:p>
        </w:tc>
        <w:tc>
          <w:tcPr>
            <w:tcW w:w="8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64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(1)</w:t>
            </w:r>
          </w:p>
        </w:tc>
        <w:tc>
          <w:tcPr>
            <w:tcW w:w="1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7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shd w:val="clear" w:color="auto" w:fill="CCEEFF"/>
          </w:tcPr>
          <w:p>
            <w:pPr>
              <w:spacing w:after="0"/>
              <w:rPr>
                <w:sz w:val="20"/>
                <w:szCs w:val="20"/>
                <w:color w:val="auto"/>
              </w:rPr>
            </w:pPr>
          </w:p>
        </w:tc>
        <w:tc>
          <w:tcPr>
            <w:tcW w:w="68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(1,511)</w:t>
            </w:r>
          </w:p>
        </w:tc>
        <w:tc>
          <w:tcPr>
            <w:tcW w:w="0" w:type="dxa"/>
            <w:vAlign w:val="bottom"/>
          </w:tcPr>
          <w:p>
            <w:pPr>
              <w:spacing w:after="0"/>
              <w:rPr>
                <w:sz w:val="1"/>
                <w:szCs w:val="1"/>
                <w:color w:val="auto"/>
              </w:rPr>
            </w:pPr>
          </w:p>
        </w:tc>
      </w:tr>
      <w:tr>
        <w:trPr>
          <w:trHeight w:val="220"/>
        </w:trPr>
        <w:tc>
          <w:tcPr>
            <w:tcW w:w="2500" w:type="dxa"/>
            <w:vAlign w:val="bottom"/>
          </w:tcPr>
          <w:p>
            <w:pPr>
              <w:ind w:left="140"/>
              <w:spacing w:after="0"/>
              <w:rPr>
                <w:sz w:val="20"/>
                <w:szCs w:val="20"/>
                <w:color w:val="auto"/>
              </w:rPr>
            </w:pPr>
            <w:r>
              <w:rPr>
                <w:rFonts w:ascii="Arial" w:cs="Arial" w:eastAsia="Arial" w:hAnsi="Arial"/>
                <w:sz w:val="16"/>
                <w:szCs w:val="16"/>
                <w:color w:val="auto"/>
              </w:rPr>
              <w:t>Effect of adoption of new lease</w:t>
            </w:r>
          </w:p>
        </w:tc>
        <w:tc>
          <w:tcPr>
            <w:tcW w:w="120" w:type="dxa"/>
            <w:vAlign w:val="bottom"/>
          </w:tcPr>
          <w:p>
            <w:pPr>
              <w:spacing w:after="0"/>
              <w:rPr>
                <w:sz w:val="19"/>
                <w:szCs w:val="19"/>
                <w:color w:val="auto"/>
              </w:rPr>
            </w:pPr>
          </w:p>
        </w:tc>
        <w:tc>
          <w:tcPr>
            <w:tcW w:w="700" w:type="dxa"/>
            <w:vAlign w:val="bottom"/>
            <w:vMerge w:val="restart"/>
          </w:tcPr>
          <w:p>
            <w:pPr>
              <w:jc w:val="right"/>
              <w:ind w:right="1"/>
              <w:spacing w:after="0"/>
              <w:rPr>
                <w:sz w:val="20"/>
                <w:szCs w:val="20"/>
                <w:color w:val="auto"/>
              </w:rPr>
            </w:pPr>
            <w:r>
              <w:rPr>
                <w:rFonts w:ascii="Arial" w:cs="Arial" w:eastAsia="Arial" w:hAnsi="Arial"/>
                <w:sz w:val="16"/>
                <w:szCs w:val="16"/>
                <w:b w:val="1"/>
                <w:bCs w:val="1"/>
                <w:color w:val="auto"/>
              </w:rPr>
              <w:t>—</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20" w:type="dxa"/>
            <w:vAlign w:val="bottom"/>
            <w:gridSpan w:val="2"/>
            <w:vMerge w:val="restart"/>
          </w:tcPr>
          <w:p>
            <w:pPr>
              <w:jc w:val="right"/>
              <w:ind w:right="240"/>
              <w:spacing w:after="0"/>
              <w:rPr>
                <w:sz w:val="20"/>
                <w:szCs w:val="20"/>
                <w:color w:val="auto"/>
              </w:rPr>
            </w:pPr>
            <w:r>
              <w:rPr>
                <w:rFonts w:ascii="Arial" w:cs="Arial" w:eastAsia="Arial" w:hAnsi="Arial"/>
                <w:sz w:val="16"/>
                <w:szCs w:val="16"/>
                <w:b w:val="1"/>
                <w:bCs w:val="1"/>
                <w:color w:val="auto"/>
              </w:rPr>
              <w:t>—</w:t>
            </w:r>
          </w:p>
        </w:tc>
        <w:tc>
          <w:tcPr>
            <w:tcW w:w="1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2500" w:type="dxa"/>
            <w:vAlign w:val="bottom"/>
          </w:tcPr>
          <w:p>
            <w:pPr>
              <w:ind w:left="20"/>
              <w:spacing w:after="0"/>
              <w:rPr>
                <w:sz w:val="20"/>
                <w:szCs w:val="20"/>
                <w:color w:val="auto"/>
              </w:rPr>
            </w:pPr>
            <w:r>
              <w:rPr>
                <w:rFonts w:ascii="Arial" w:cs="Arial" w:eastAsia="Arial" w:hAnsi="Arial"/>
                <w:sz w:val="16"/>
                <w:szCs w:val="16"/>
                <w:color w:val="auto"/>
              </w:rPr>
              <w:t>standard</w:t>
            </w:r>
          </w:p>
        </w:tc>
        <w:tc>
          <w:tcPr>
            <w:tcW w:w="120" w:type="dxa"/>
            <w:vAlign w:val="bottom"/>
          </w:tcPr>
          <w:p>
            <w:pPr>
              <w:spacing w:after="0"/>
              <w:rPr>
                <w:sz w:val="17"/>
                <w:szCs w:val="17"/>
                <w:color w:val="auto"/>
              </w:rPr>
            </w:pPr>
          </w:p>
        </w:tc>
        <w:tc>
          <w:tcPr>
            <w:tcW w:w="700" w:type="dxa"/>
            <w:vAlign w:val="bottom"/>
            <w:vMerge w:val="continue"/>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Pr>
          <w:p>
            <w:pPr>
              <w:spacing w:after="0"/>
              <w:rPr>
                <w:sz w:val="17"/>
                <w:szCs w:val="17"/>
                <w:color w:val="auto"/>
              </w:rPr>
            </w:pPr>
          </w:p>
        </w:tc>
        <w:tc>
          <w:tcPr>
            <w:tcW w:w="720" w:type="dxa"/>
            <w:vAlign w:val="bottom"/>
            <w:gridSpan w:val="2"/>
            <w:vMerge w:val="continue"/>
          </w:tcPr>
          <w:p>
            <w:pPr>
              <w:spacing w:after="0"/>
              <w:rPr>
                <w:sz w:val="17"/>
                <w:szCs w:val="17"/>
                <w:color w:val="auto"/>
              </w:rPr>
            </w:pPr>
          </w:p>
        </w:tc>
        <w:tc>
          <w:tcPr>
            <w:tcW w:w="100" w:type="dxa"/>
            <w:vAlign w:val="bottom"/>
          </w:tcPr>
          <w:p>
            <w:pPr>
              <w:spacing w:after="0"/>
              <w:rPr>
                <w:sz w:val="17"/>
                <w:szCs w:val="17"/>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7"/>
                <w:szCs w:val="17"/>
                <w:color w:val="auto"/>
              </w:rPr>
            </w:pPr>
          </w:p>
        </w:tc>
        <w:tc>
          <w:tcPr>
            <w:tcW w:w="680" w:type="dxa"/>
            <w:vAlign w:val="bottom"/>
          </w:tcPr>
          <w:p>
            <w:pPr>
              <w:jc w:val="right"/>
              <w:ind w:right="20"/>
              <w:spacing w:after="0"/>
              <w:rPr>
                <w:sz w:val="20"/>
                <w:szCs w:val="20"/>
                <w:color w:val="auto"/>
              </w:rPr>
            </w:pPr>
            <w:r>
              <w:rPr>
                <w:rFonts w:ascii="Arial" w:cs="Arial" w:eastAsia="Arial" w:hAnsi="Arial"/>
                <w:sz w:val="16"/>
                <w:szCs w:val="16"/>
                <w:color w:val="auto"/>
                <w:w w:val="93"/>
              </w:rPr>
              <w:t>(25,893)</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8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7"/>
                <w:szCs w:val="17"/>
                <w:color w:val="auto"/>
              </w:rPr>
            </w:pPr>
          </w:p>
        </w:tc>
        <w:tc>
          <w:tcPr>
            <w:tcW w:w="7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Pr>
          <w:p>
            <w:pPr>
              <w:spacing w:after="0"/>
              <w:rPr>
                <w:sz w:val="17"/>
                <w:szCs w:val="17"/>
                <w:color w:val="auto"/>
              </w:rPr>
            </w:pPr>
          </w:p>
        </w:tc>
        <w:tc>
          <w:tcPr>
            <w:tcW w:w="7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17"/>
                <w:szCs w:val="17"/>
                <w:color w:val="auto"/>
              </w:rPr>
            </w:pPr>
          </w:p>
        </w:tc>
        <w:tc>
          <w:tcPr>
            <w:tcW w:w="680" w:type="dxa"/>
            <w:vAlign w:val="bottom"/>
          </w:tcPr>
          <w:p>
            <w:pPr>
              <w:jc w:val="right"/>
              <w:ind w:right="20"/>
              <w:spacing w:after="0"/>
              <w:rPr>
                <w:sz w:val="20"/>
                <w:szCs w:val="20"/>
                <w:color w:val="auto"/>
              </w:rPr>
            </w:pPr>
            <w:r>
              <w:rPr>
                <w:rFonts w:ascii="Arial" w:cs="Arial" w:eastAsia="Arial" w:hAnsi="Arial"/>
                <w:sz w:val="16"/>
                <w:szCs w:val="16"/>
                <w:color w:val="auto"/>
                <w:w w:val="93"/>
              </w:rPr>
              <w:t>(25,893)</w:t>
            </w:r>
          </w:p>
        </w:tc>
        <w:tc>
          <w:tcPr>
            <w:tcW w:w="0" w:type="dxa"/>
            <w:vAlign w:val="bottom"/>
          </w:tcPr>
          <w:p>
            <w:pPr>
              <w:spacing w:after="0"/>
              <w:rPr>
                <w:sz w:val="1"/>
                <w:szCs w:val="1"/>
                <w:color w:val="auto"/>
              </w:rPr>
            </w:pPr>
          </w:p>
        </w:tc>
      </w:tr>
      <w:tr>
        <w:trPr>
          <w:trHeight w:val="33"/>
        </w:trPr>
        <w:tc>
          <w:tcPr>
            <w:tcW w:w="25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0"/>
        </w:trPr>
        <w:tc>
          <w:tcPr>
            <w:tcW w:w="2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Balance at February 1, 2020</w:t>
            </w:r>
          </w:p>
        </w:tc>
        <w:tc>
          <w:tcPr>
            <w:tcW w:w="120" w:type="dxa"/>
            <w:vAlign w:val="bottom"/>
            <w:tcBorders>
              <w:bottom w:val="single" w:sz="8" w:color="CCEEFF"/>
            </w:tcBorders>
            <w:shd w:val="clear" w:color="auto" w:fill="CCEEFF"/>
          </w:tcPr>
          <w:p>
            <w:pPr>
              <w:spacing w:after="0"/>
              <w:rPr>
                <w:sz w:val="20"/>
                <w:szCs w:val="20"/>
                <w:color w:val="auto"/>
              </w:rPr>
            </w:pPr>
          </w:p>
        </w:tc>
        <w:tc>
          <w:tcPr>
            <w:tcW w:w="700" w:type="dxa"/>
            <w:vAlign w:val="bottom"/>
            <w:tcBorders>
              <w:bottom w:val="single" w:sz="8" w:color="CCEEFF"/>
            </w:tcBorders>
            <w:shd w:val="clear" w:color="auto" w:fill="CCEEFF"/>
          </w:tcPr>
          <w:p>
            <w:pPr>
              <w:jc w:val="right"/>
              <w:ind w:right="1"/>
              <w:spacing w:after="0"/>
              <w:rPr>
                <w:sz w:val="20"/>
                <w:szCs w:val="20"/>
                <w:color w:val="auto"/>
              </w:rPr>
            </w:pPr>
            <w:r>
              <w:rPr>
                <w:rFonts w:ascii="Arial" w:cs="Arial" w:eastAsia="Arial" w:hAnsi="Arial"/>
                <w:sz w:val="16"/>
                <w:szCs w:val="16"/>
                <w:color w:val="auto"/>
              </w:rPr>
              <w:t>—</w:t>
            </w:r>
          </w:p>
        </w:tc>
        <w:tc>
          <w:tcPr>
            <w:tcW w:w="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7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Borders>
              <w:bottom w:val="single" w:sz="8" w:color="CCEEFF"/>
            </w:tcBorders>
            <w:shd w:val="clear" w:color="auto" w:fill="CCEEFF"/>
          </w:tcPr>
          <w:p>
            <w:pPr>
              <w:spacing w:after="0"/>
              <w:rPr>
                <w:sz w:val="20"/>
                <w:szCs w:val="20"/>
                <w:color w:val="auto"/>
              </w:rPr>
            </w:pPr>
          </w:p>
        </w:tc>
        <w:tc>
          <w:tcPr>
            <w:tcW w:w="72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0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jc w:val="right"/>
              <w:ind w:right="61"/>
              <w:spacing w:after="0"/>
              <w:rPr>
                <w:sz w:val="20"/>
                <w:szCs w:val="20"/>
                <w:color w:val="auto"/>
              </w:rPr>
            </w:pPr>
            <w:r>
              <w:rPr>
                <w:rFonts w:ascii="Arial" w:cs="Arial" w:eastAsia="Arial" w:hAnsi="Arial"/>
                <w:sz w:val="16"/>
                <w:szCs w:val="16"/>
                <w:color w:val="auto"/>
              </w:rPr>
              <w:t>916</w:t>
            </w:r>
          </w:p>
        </w:tc>
        <w:tc>
          <w:tcPr>
            <w:tcW w:w="1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68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457</w:t>
            </w: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60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536</w:t>
            </w:r>
          </w:p>
        </w:tc>
        <w:tc>
          <w:tcPr>
            <w:tcW w:w="8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64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w w:val="98"/>
              </w:rPr>
              <w:t>12,312</w:t>
            </w:r>
          </w:p>
        </w:tc>
        <w:tc>
          <w:tcPr>
            <w:tcW w:w="1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700" w:type="dxa"/>
            <w:vAlign w:val="bottom"/>
            <w:tcBorders>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rPr>
              <w:t>196</w:t>
            </w:r>
          </w:p>
        </w:tc>
        <w:tc>
          <w:tcPr>
            <w:tcW w:w="8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64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11</w:t>
            </w: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680" w:type="dxa"/>
            <w:vAlign w:val="bottom"/>
            <w:tcBorders>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rPr>
              <w:t>14,428</w:t>
            </w:r>
          </w:p>
        </w:tc>
        <w:tc>
          <w:tcPr>
            <w:tcW w:w="0" w:type="dxa"/>
            <w:vAlign w:val="bottom"/>
          </w:tcPr>
          <w:p>
            <w:pPr>
              <w:spacing w:after="0"/>
              <w:rPr>
                <w:sz w:val="1"/>
                <w:szCs w:val="1"/>
                <w:color w:val="auto"/>
              </w:rPr>
            </w:pPr>
          </w:p>
        </w:tc>
      </w:tr>
      <w:tr>
        <w:trPr>
          <w:trHeight w:val="224"/>
        </w:trPr>
        <w:tc>
          <w:tcPr>
            <w:tcW w:w="2500" w:type="dxa"/>
            <w:vAlign w:val="bottom"/>
          </w:tcPr>
          <w:p>
            <w:pPr>
              <w:ind w:left="20"/>
              <w:spacing w:after="0"/>
              <w:rPr>
                <w:sz w:val="20"/>
                <w:szCs w:val="20"/>
                <w:color w:val="auto"/>
              </w:rPr>
            </w:pPr>
            <w:r>
              <w:rPr>
                <w:rFonts w:ascii="Arial" w:cs="Arial" w:eastAsia="Arial" w:hAnsi="Arial"/>
                <w:sz w:val="16"/>
                <w:szCs w:val="16"/>
                <w:color w:val="auto"/>
              </w:rPr>
              <w:t>Less: non-current portion</w:t>
            </w:r>
          </w:p>
        </w:tc>
        <w:tc>
          <w:tcPr>
            <w:tcW w:w="120" w:type="dxa"/>
            <w:vAlign w:val="bottom"/>
          </w:tcPr>
          <w:p>
            <w:pPr>
              <w:spacing w:after="0"/>
              <w:rPr>
                <w:sz w:val="19"/>
                <w:szCs w:val="19"/>
                <w:color w:val="auto"/>
              </w:rPr>
            </w:pPr>
          </w:p>
        </w:tc>
        <w:tc>
          <w:tcPr>
            <w:tcW w:w="700" w:type="dxa"/>
            <w:vAlign w:val="bottom"/>
          </w:tcPr>
          <w:p>
            <w:pPr>
              <w:jc w:val="right"/>
              <w:ind w:right="1"/>
              <w:spacing w:after="0"/>
              <w:rPr>
                <w:sz w:val="20"/>
                <w:szCs w:val="20"/>
                <w:color w:val="auto"/>
              </w:rPr>
            </w:pPr>
            <w:r>
              <w:rPr>
                <w:rFonts w:ascii="Arial" w:cs="Arial" w:eastAsia="Arial" w:hAnsi="Arial"/>
                <w:sz w:val="16"/>
                <w:szCs w:val="16"/>
                <w:b w:val="1"/>
                <w:bCs w:val="1"/>
                <w:color w:val="auto"/>
              </w:rPr>
              <w:t>—</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0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Pr>
          <w:p>
            <w:pPr>
              <w:spacing w:after="0"/>
              <w:rPr>
                <w:sz w:val="19"/>
                <w:szCs w:val="19"/>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6"/>
                <w:szCs w:val="16"/>
                <w:b w:val="1"/>
                <w:bCs w:val="1"/>
                <w:color w:val="auto"/>
              </w:rPr>
              <w:t>—</w:t>
            </w:r>
          </w:p>
        </w:tc>
        <w:tc>
          <w:tcPr>
            <w:tcW w:w="100" w:type="dxa"/>
            <w:vAlign w:val="bottom"/>
          </w:tcPr>
          <w:p>
            <w:pPr>
              <w:spacing w:after="0"/>
              <w:rPr>
                <w:sz w:val="19"/>
                <w:szCs w:val="19"/>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6"/>
                <w:szCs w:val="16"/>
                <w:b w:val="1"/>
                <w:bCs w:val="1"/>
                <w:color w:val="auto"/>
              </w:rPr>
              <w:t>—</w:t>
            </w:r>
          </w:p>
        </w:tc>
        <w:tc>
          <w:tcPr>
            <w:tcW w:w="100" w:type="dxa"/>
            <w:vAlign w:val="bottom"/>
          </w:tcPr>
          <w:p>
            <w:pPr>
              <w:spacing w:after="0"/>
              <w:rPr>
                <w:sz w:val="19"/>
                <w:szCs w:val="19"/>
                <w:color w:val="auto"/>
              </w:rPr>
            </w:pPr>
          </w:p>
        </w:tc>
        <w:tc>
          <w:tcPr>
            <w:tcW w:w="680" w:type="dxa"/>
            <w:vAlign w:val="bottom"/>
          </w:tcPr>
          <w:p>
            <w:pPr>
              <w:jc w:val="right"/>
              <w:ind w:right="60"/>
              <w:spacing w:after="0"/>
              <w:rPr>
                <w:sz w:val="20"/>
                <w:szCs w:val="20"/>
                <w:color w:val="auto"/>
              </w:rPr>
            </w:pPr>
            <w:r>
              <w:rPr>
                <w:rFonts w:ascii="Arial" w:cs="Arial" w:eastAsia="Arial" w:hAnsi="Arial"/>
                <w:sz w:val="16"/>
                <w:szCs w:val="16"/>
                <w:color w:val="auto"/>
              </w:rPr>
              <w:t>126</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80" w:type="dxa"/>
            <w:vAlign w:val="bottom"/>
            <w:gridSpan w:val="2"/>
          </w:tcPr>
          <w:p>
            <w:pPr>
              <w:jc w:val="right"/>
              <w:ind w:right="220"/>
              <w:spacing w:after="0"/>
              <w:rPr>
                <w:sz w:val="20"/>
                <w:szCs w:val="20"/>
                <w:color w:val="auto"/>
              </w:rPr>
            </w:pPr>
            <w:r>
              <w:rPr>
                <w:rFonts w:ascii="Arial" w:cs="Arial" w:eastAsia="Arial" w:hAnsi="Arial"/>
                <w:sz w:val="16"/>
                <w:szCs w:val="16"/>
                <w:b w:val="1"/>
                <w:bCs w:val="1"/>
                <w:color w:val="auto"/>
              </w:rPr>
              <w:t>—</w:t>
            </w:r>
          </w:p>
        </w:tc>
        <w:tc>
          <w:tcPr>
            <w:tcW w:w="160" w:type="dxa"/>
            <w:vAlign w:val="bottom"/>
          </w:tcPr>
          <w:p>
            <w:pPr>
              <w:spacing w:after="0"/>
              <w:rPr>
                <w:sz w:val="19"/>
                <w:szCs w:val="19"/>
                <w:color w:val="auto"/>
              </w:rPr>
            </w:pPr>
          </w:p>
        </w:tc>
        <w:tc>
          <w:tcPr>
            <w:tcW w:w="7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9"/>
                <w:szCs w:val="19"/>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tcPr>
          <w:p>
            <w:pPr>
              <w:spacing w:after="0"/>
              <w:rPr>
                <w:sz w:val="19"/>
                <w:szCs w:val="19"/>
                <w:color w:val="auto"/>
              </w:rPr>
            </w:pPr>
          </w:p>
        </w:tc>
        <w:tc>
          <w:tcPr>
            <w:tcW w:w="7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19"/>
                <w:szCs w:val="19"/>
                <w:color w:val="auto"/>
              </w:rPr>
            </w:pPr>
          </w:p>
        </w:tc>
        <w:tc>
          <w:tcPr>
            <w:tcW w:w="680" w:type="dxa"/>
            <w:vAlign w:val="bottom"/>
          </w:tcPr>
          <w:p>
            <w:pPr>
              <w:jc w:val="right"/>
              <w:ind w:right="60"/>
              <w:spacing w:after="0"/>
              <w:rPr>
                <w:sz w:val="20"/>
                <w:szCs w:val="20"/>
                <w:color w:val="auto"/>
              </w:rPr>
            </w:pPr>
            <w:r>
              <w:rPr>
                <w:rFonts w:ascii="Arial" w:cs="Arial" w:eastAsia="Arial" w:hAnsi="Arial"/>
                <w:sz w:val="16"/>
                <w:szCs w:val="16"/>
                <w:color w:val="auto"/>
              </w:rPr>
              <w:t>126</w:t>
            </w:r>
          </w:p>
        </w:tc>
        <w:tc>
          <w:tcPr>
            <w:tcW w:w="0" w:type="dxa"/>
            <w:vAlign w:val="bottom"/>
          </w:tcPr>
          <w:p>
            <w:pPr>
              <w:spacing w:after="0"/>
              <w:rPr>
                <w:sz w:val="1"/>
                <w:szCs w:val="1"/>
                <w:color w:val="auto"/>
              </w:rPr>
            </w:pPr>
          </w:p>
        </w:tc>
      </w:tr>
      <w:tr>
        <w:trPr>
          <w:trHeight w:val="33"/>
        </w:trPr>
        <w:tc>
          <w:tcPr>
            <w:tcW w:w="25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80" w:type="dxa"/>
            <w:vAlign w:val="bottom"/>
            <w:tcBorders>
              <w:bottom w:val="single" w:sz="8" w:color="CCEEFF"/>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7"/>
        </w:trPr>
        <w:tc>
          <w:tcPr>
            <w:tcW w:w="2500" w:type="dxa"/>
            <w:vAlign w:val="bottom"/>
            <w:shd w:val="clear" w:color="auto" w:fill="CCEEFF"/>
          </w:tcPr>
          <w:p>
            <w:pPr>
              <w:ind w:left="20"/>
              <w:spacing w:after="0"/>
              <w:rPr>
                <w:sz w:val="20"/>
                <w:szCs w:val="20"/>
                <w:color w:val="auto"/>
              </w:rPr>
            </w:pPr>
            <w:r>
              <w:rPr>
                <w:rFonts w:ascii="Arial" w:cs="Arial" w:eastAsia="Arial" w:hAnsi="Arial"/>
                <w:sz w:val="16"/>
                <w:szCs w:val="16"/>
                <w:color w:val="auto"/>
              </w:rPr>
              <w:t>Current portion</w:t>
            </w:r>
          </w:p>
        </w:tc>
        <w:tc>
          <w:tcPr>
            <w:tcW w:w="12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00" w:type="dxa"/>
            <w:vAlign w:val="bottom"/>
            <w:shd w:val="clear" w:color="auto" w:fill="CCEEFF"/>
          </w:tcPr>
          <w:p>
            <w:pPr>
              <w:jc w:val="right"/>
              <w:ind w:right="1"/>
              <w:spacing w:after="0"/>
              <w:rPr>
                <w:sz w:val="20"/>
                <w:szCs w:val="20"/>
                <w:color w:val="auto"/>
              </w:rPr>
            </w:pPr>
            <w:r>
              <w:rPr>
                <w:rFonts w:ascii="Arial" w:cs="Arial" w:eastAsia="Arial" w:hAnsi="Arial"/>
                <w:sz w:val="16"/>
                <w:szCs w:val="16"/>
                <w:color w:val="auto"/>
              </w:rPr>
              <w:t>—</w:t>
            </w:r>
          </w:p>
        </w:tc>
        <w:tc>
          <w:tcPr>
            <w:tcW w:w="280" w:type="dxa"/>
            <w:vAlign w:val="bottom"/>
            <w:gridSpan w:val="3"/>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700" w:type="dxa"/>
            <w:vAlign w:val="bottom"/>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4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20" w:type="dxa"/>
            <w:vAlign w:val="bottom"/>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40" w:type="dxa"/>
            <w:vAlign w:val="bottom"/>
            <w:shd w:val="clear" w:color="auto" w:fill="CCEEFF"/>
          </w:tcPr>
          <w:p>
            <w:pPr>
              <w:jc w:val="right"/>
              <w:ind w:right="61"/>
              <w:spacing w:after="0"/>
              <w:rPr>
                <w:sz w:val="20"/>
                <w:szCs w:val="20"/>
                <w:color w:val="auto"/>
              </w:rPr>
            </w:pPr>
            <w:r>
              <w:rPr>
                <w:rFonts w:ascii="Arial" w:cs="Arial" w:eastAsia="Arial" w:hAnsi="Arial"/>
                <w:sz w:val="16"/>
                <w:szCs w:val="16"/>
                <w:color w:val="auto"/>
              </w:rPr>
              <w:t>916</w:t>
            </w:r>
          </w:p>
        </w:tc>
        <w:tc>
          <w:tcPr>
            <w:tcW w:w="100" w:type="dxa"/>
            <w:vAlign w:val="bottom"/>
            <w:shd w:val="clear" w:color="auto" w:fill="CCEEFF"/>
          </w:tcPr>
          <w:p>
            <w:pPr>
              <w:spacing w:after="0"/>
              <w:rPr>
                <w:sz w:val="23"/>
                <w:szCs w:val="23"/>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680" w:type="dxa"/>
            <w:vAlign w:val="bottom"/>
            <w:shd w:val="clear" w:color="auto" w:fill="CCEEFF"/>
          </w:tcPr>
          <w:p>
            <w:pPr>
              <w:jc w:val="right"/>
              <w:ind w:right="60"/>
              <w:spacing w:after="0"/>
              <w:rPr>
                <w:sz w:val="20"/>
                <w:szCs w:val="20"/>
                <w:color w:val="auto"/>
              </w:rPr>
            </w:pPr>
            <w:r>
              <w:rPr>
                <w:rFonts w:ascii="Arial" w:cs="Arial" w:eastAsia="Arial" w:hAnsi="Arial"/>
                <w:sz w:val="16"/>
                <w:szCs w:val="16"/>
                <w:color w:val="auto"/>
              </w:rPr>
              <w:t>331</w:t>
            </w:r>
          </w:p>
        </w:tc>
        <w:tc>
          <w:tcPr>
            <w:tcW w:w="100" w:type="dxa"/>
            <w:vAlign w:val="bottom"/>
            <w:shd w:val="clear" w:color="auto" w:fill="CCEEFF"/>
          </w:tcPr>
          <w:p>
            <w:pPr>
              <w:spacing w:after="0"/>
              <w:rPr>
                <w:sz w:val="23"/>
                <w:szCs w:val="23"/>
                <w:color w:val="auto"/>
              </w:rPr>
            </w:pPr>
          </w:p>
        </w:tc>
        <w:tc>
          <w:tcPr>
            <w:tcW w:w="120" w:type="dxa"/>
            <w:vAlign w:val="bottom"/>
            <w:shd w:val="clear" w:color="auto" w:fill="CCEEFF"/>
          </w:tcPr>
          <w:p>
            <w:pPr>
              <w:ind w:left="20"/>
              <w:spacing w:after="0"/>
              <w:rPr>
                <w:sz w:val="20"/>
                <w:szCs w:val="20"/>
                <w:color w:val="auto"/>
              </w:rPr>
            </w:pPr>
            <w:r>
              <w:rPr>
                <w:rFonts w:ascii="Arial" w:cs="Arial" w:eastAsia="Arial" w:hAnsi="Arial"/>
                <w:sz w:val="16"/>
                <w:szCs w:val="16"/>
                <w:color w:val="auto"/>
                <w:w w:val="89"/>
              </w:rPr>
              <w:t>$</w:t>
            </w:r>
          </w:p>
        </w:tc>
        <w:tc>
          <w:tcPr>
            <w:tcW w:w="600" w:type="dxa"/>
            <w:vAlign w:val="bottom"/>
            <w:shd w:val="clear" w:color="auto" w:fill="CCEEFF"/>
          </w:tcPr>
          <w:p>
            <w:pPr>
              <w:jc w:val="right"/>
              <w:ind w:right="60"/>
              <w:spacing w:after="0"/>
              <w:rPr>
                <w:sz w:val="20"/>
                <w:szCs w:val="20"/>
                <w:color w:val="auto"/>
              </w:rPr>
            </w:pPr>
            <w:r>
              <w:rPr>
                <w:rFonts w:ascii="Arial" w:cs="Arial" w:eastAsia="Arial" w:hAnsi="Arial"/>
                <w:sz w:val="16"/>
                <w:szCs w:val="16"/>
                <w:color w:val="auto"/>
              </w:rPr>
              <w:t>536</w:t>
            </w:r>
          </w:p>
        </w:tc>
        <w:tc>
          <w:tcPr>
            <w:tcW w:w="80" w:type="dxa"/>
            <w:vAlign w:val="bottom"/>
            <w:shd w:val="clear" w:color="auto" w:fill="CCEEFF"/>
          </w:tcPr>
          <w:p>
            <w:pPr>
              <w:spacing w:after="0"/>
              <w:rPr>
                <w:sz w:val="23"/>
                <w:szCs w:val="23"/>
                <w:color w:val="auto"/>
              </w:rPr>
            </w:pPr>
          </w:p>
        </w:tc>
        <w:tc>
          <w:tcPr>
            <w:tcW w:w="160" w:type="dxa"/>
            <w:vAlign w:val="bottom"/>
            <w:shd w:val="clear" w:color="auto" w:fill="CCEEFF"/>
          </w:tcPr>
          <w:p>
            <w:pPr>
              <w:ind w:left="20"/>
              <w:spacing w:after="0"/>
              <w:rPr>
                <w:sz w:val="20"/>
                <w:szCs w:val="20"/>
                <w:color w:val="auto"/>
              </w:rPr>
            </w:pPr>
            <w:r>
              <w:rPr>
                <w:rFonts w:ascii="Arial" w:cs="Arial" w:eastAsia="Arial" w:hAnsi="Arial"/>
                <w:sz w:val="16"/>
                <w:szCs w:val="16"/>
                <w:color w:val="auto"/>
              </w:rPr>
              <w:t>$</w:t>
            </w:r>
          </w:p>
        </w:tc>
        <w:tc>
          <w:tcPr>
            <w:tcW w:w="640" w:type="dxa"/>
            <w:vAlign w:val="bottom"/>
            <w:shd w:val="clear" w:color="auto" w:fill="CCEEFF"/>
          </w:tcPr>
          <w:p>
            <w:pPr>
              <w:jc w:val="right"/>
              <w:ind w:right="60"/>
              <w:spacing w:after="0"/>
              <w:rPr>
                <w:sz w:val="20"/>
                <w:szCs w:val="20"/>
                <w:color w:val="auto"/>
              </w:rPr>
            </w:pPr>
            <w:r>
              <w:rPr>
                <w:rFonts w:ascii="Arial" w:cs="Arial" w:eastAsia="Arial" w:hAnsi="Arial"/>
                <w:sz w:val="16"/>
                <w:szCs w:val="16"/>
                <w:color w:val="auto"/>
                <w:w w:val="98"/>
              </w:rPr>
              <w:t>12,312</w:t>
            </w:r>
          </w:p>
        </w:tc>
        <w:tc>
          <w:tcPr>
            <w:tcW w:w="100" w:type="dxa"/>
            <w:vAlign w:val="bottom"/>
            <w:shd w:val="clear" w:color="auto" w:fill="CCEEFF"/>
          </w:tcPr>
          <w:p>
            <w:pPr>
              <w:spacing w:after="0"/>
              <w:rPr>
                <w:sz w:val="23"/>
                <w:szCs w:val="23"/>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00" w:type="dxa"/>
            <w:vAlign w:val="bottom"/>
            <w:shd w:val="clear" w:color="auto" w:fill="CCEEFF"/>
          </w:tcPr>
          <w:p>
            <w:pPr>
              <w:jc w:val="right"/>
              <w:ind w:right="80"/>
              <w:spacing w:after="0"/>
              <w:rPr>
                <w:sz w:val="20"/>
                <w:szCs w:val="20"/>
                <w:color w:val="auto"/>
              </w:rPr>
            </w:pPr>
            <w:r>
              <w:rPr>
                <w:rFonts w:ascii="Arial" w:cs="Arial" w:eastAsia="Arial" w:hAnsi="Arial"/>
                <w:sz w:val="16"/>
                <w:szCs w:val="16"/>
                <w:color w:val="auto"/>
              </w:rPr>
              <w:t>196</w:t>
            </w:r>
          </w:p>
        </w:tc>
        <w:tc>
          <w:tcPr>
            <w:tcW w:w="80" w:type="dxa"/>
            <w:vAlign w:val="bottom"/>
            <w:shd w:val="clear" w:color="auto" w:fill="CCEEFF"/>
          </w:tcPr>
          <w:p>
            <w:pPr>
              <w:spacing w:after="0"/>
              <w:rPr>
                <w:sz w:val="23"/>
                <w:szCs w:val="23"/>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640" w:type="dxa"/>
            <w:vAlign w:val="bottom"/>
            <w:shd w:val="clear" w:color="auto" w:fill="CCEEFF"/>
          </w:tcPr>
          <w:p>
            <w:pPr>
              <w:jc w:val="right"/>
              <w:ind w:right="60"/>
              <w:spacing w:after="0"/>
              <w:rPr>
                <w:sz w:val="20"/>
                <w:szCs w:val="20"/>
                <w:color w:val="auto"/>
              </w:rPr>
            </w:pPr>
            <w:r>
              <w:rPr>
                <w:rFonts w:ascii="Arial" w:cs="Arial" w:eastAsia="Arial" w:hAnsi="Arial"/>
                <w:sz w:val="16"/>
                <w:szCs w:val="16"/>
                <w:color w:val="auto"/>
              </w:rPr>
              <w:t>11</w:t>
            </w:r>
          </w:p>
        </w:tc>
        <w:tc>
          <w:tcPr>
            <w:tcW w:w="100" w:type="dxa"/>
            <w:vAlign w:val="bottom"/>
            <w:shd w:val="clear" w:color="auto" w:fill="CCEEFF"/>
          </w:tcPr>
          <w:p>
            <w:pPr>
              <w:spacing w:after="0"/>
              <w:rPr>
                <w:sz w:val="23"/>
                <w:szCs w:val="23"/>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680" w:type="dxa"/>
            <w:vAlign w:val="bottom"/>
            <w:shd w:val="clear" w:color="auto" w:fill="CCEEFF"/>
          </w:tcPr>
          <w:p>
            <w:pPr>
              <w:jc w:val="right"/>
              <w:ind w:right="60"/>
              <w:spacing w:after="0"/>
              <w:rPr>
                <w:sz w:val="20"/>
                <w:szCs w:val="20"/>
                <w:color w:val="auto"/>
              </w:rPr>
            </w:pPr>
            <w:r>
              <w:rPr>
                <w:rFonts w:ascii="Arial" w:cs="Arial" w:eastAsia="Arial" w:hAnsi="Arial"/>
                <w:sz w:val="16"/>
                <w:szCs w:val="16"/>
                <w:color w:val="auto"/>
              </w:rPr>
              <w:t>14,302</w:t>
            </w:r>
          </w:p>
        </w:tc>
        <w:tc>
          <w:tcPr>
            <w:tcW w:w="0" w:type="dxa"/>
            <w:vAlign w:val="bottom"/>
          </w:tcPr>
          <w:p>
            <w:pPr>
              <w:spacing w:after="0"/>
              <w:rPr>
                <w:sz w:val="1"/>
                <w:szCs w:val="1"/>
                <w:color w:val="auto"/>
              </w:rPr>
            </w:pPr>
          </w:p>
        </w:tc>
      </w:tr>
      <w:tr>
        <w:trPr>
          <w:trHeight w:val="20"/>
        </w:trPr>
        <w:tc>
          <w:tcPr>
            <w:tcW w:w="25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91" w:lineRule="exact"/>
        <w:rPr>
          <w:sz w:val="20"/>
          <w:szCs w:val="20"/>
          <w:color w:val="auto"/>
        </w:rPr>
      </w:pPr>
    </w:p>
    <w:p>
      <w:pPr>
        <w:ind w:right="480" w:firstLine="405"/>
        <w:spacing w:after="0" w:line="277" w:lineRule="auto"/>
        <w:rPr>
          <w:sz w:val="20"/>
          <w:szCs w:val="20"/>
          <w:color w:val="auto"/>
        </w:rPr>
      </w:pPr>
      <w:r>
        <w:rPr>
          <w:rFonts w:ascii="Arial" w:cs="Arial" w:eastAsia="Arial" w:hAnsi="Arial"/>
          <w:sz w:val="18"/>
          <w:szCs w:val="18"/>
          <w:color w:val="auto"/>
        </w:rPr>
        <w:t>Upon adoption of the new lease accounting standard (see “Note 7 - Leases”), certain restructuring liabilities were required to be recognized as a reduction of the ROU asset.</w:t>
      </w:r>
    </w:p>
    <w:p>
      <w:pPr>
        <w:spacing w:after="0" w:line="62" w:lineRule="exact"/>
        <w:rPr>
          <w:sz w:val="20"/>
          <w:szCs w:val="20"/>
          <w:color w:val="auto"/>
        </w:rPr>
      </w:pPr>
    </w:p>
    <w:p>
      <w:pPr>
        <w:ind w:right="80" w:firstLine="405"/>
        <w:spacing w:after="0" w:line="263" w:lineRule="auto"/>
        <w:rPr>
          <w:sz w:val="20"/>
          <w:szCs w:val="20"/>
          <w:color w:val="auto"/>
        </w:rPr>
      </w:pPr>
      <w:r>
        <w:rPr>
          <w:rFonts w:ascii="Arial" w:cs="Arial" w:eastAsia="Arial" w:hAnsi="Arial"/>
          <w:sz w:val="18"/>
          <w:szCs w:val="18"/>
          <w:color w:val="auto"/>
        </w:rPr>
        <w:t>The balance at February 1, 2020 for facility and related costs includes remaining payments under lease obligations related to vacated space that are expected to be paid through fiscal 2023. The remaining accrued severance and related costs and the other exit-related costs are expected to be paid in fiscal 2021.</w:t>
      </w:r>
    </w:p>
    <w:p>
      <w:pPr>
        <w:spacing w:after="0" w:line="200" w:lineRule="exact"/>
        <w:rPr>
          <w:sz w:val="20"/>
          <w:szCs w:val="20"/>
          <w:color w:val="auto"/>
        </w:rPr>
      </w:pPr>
    </w:p>
    <w:p>
      <w:pPr>
        <w:spacing w:after="0" w:line="3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Leases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Effect of the Adoption of the New Lease Standard</w:t>
      </w:r>
    </w:p>
    <w:p>
      <w:pPr>
        <w:spacing w:after="0" w:line="117" w:lineRule="exact"/>
        <w:rPr>
          <w:sz w:val="20"/>
          <w:szCs w:val="20"/>
          <w:color w:val="auto"/>
        </w:rPr>
      </w:pPr>
    </w:p>
    <w:p>
      <w:pPr>
        <w:ind w:right="20" w:firstLine="405"/>
        <w:spacing w:after="0" w:line="272" w:lineRule="auto"/>
        <w:rPr>
          <w:sz w:val="20"/>
          <w:szCs w:val="20"/>
          <w:color w:val="auto"/>
        </w:rPr>
      </w:pPr>
      <w:r>
        <w:rPr>
          <w:rFonts w:ascii="Arial" w:cs="Arial" w:eastAsia="Arial" w:hAnsi="Arial"/>
          <w:sz w:val="17"/>
          <w:szCs w:val="17"/>
          <w:color w:val="auto"/>
        </w:rPr>
        <w:t>Effective February 3, 2019, the Company adopted the new lease accounting standard using the modified retrospective approach. The Company elected the package of practical expedients permitted under the transition guidance within the new standard, which among other things, allows the Company to carry forward the historical lease classification. The Company elected to apply the short-term lease measurement and recognition exemption in which ROU assets and lease liabilities are not recognized for short-term leases. Adoption of this standard resulted in the recording of net operating lease ROU assets and corresponding operating lease liabilities of $125 million and $149 million, respectively. The net ROU asset includes the effect of reclassifying a portion of facilities-related restructuring reserves as an offset in accordance with the transition guidance. The standard did not materially affect the condensed consolidated statements of operations and had no impact on cash flows.</w:t>
      </w:r>
    </w:p>
    <w:p>
      <w:pPr>
        <w:spacing w:after="0" w:line="3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2" w:name="page73"/>
    <w:bookmarkEnd w:id="7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180" w:firstLine="405"/>
        <w:spacing w:after="0" w:line="277" w:lineRule="auto"/>
        <w:rPr>
          <w:sz w:val="20"/>
          <w:szCs w:val="20"/>
          <w:color w:val="auto"/>
        </w:rPr>
      </w:pPr>
      <w:r>
        <w:rPr>
          <w:rFonts w:ascii="Arial" w:cs="Arial" w:eastAsia="Arial" w:hAnsi="Arial"/>
          <w:sz w:val="18"/>
          <w:szCs w:val="18"/>
          <w:color w:val="auto"/>
        </w:rPr>
        <w:t>The Company's leases include facility leases and data center leases, which are all classified as operating leases. For data center leases, the Company elected the practical expedient to account for the lease and non-lease component as a single lease component.</w:t>
      </w:r>
    </w:p>
    <w:p>
      <w:pPr>
        <w:spacing w:after="0" w:line="19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Lease expense and supplemental cash flow information are as follows (in thousands):</w:t>
      </w:r>
    </w:p>
    <w:p>
      <w:pPr>
        <w:spacing w:after="0" w:line="29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740" w:type="dxa"/>
            <w:vAlign w:val="bottom"/>
            <w:tcBorders>
              <w:bottom w:val="single" w:sz="8" w:color="CCEEFF"/>
            </w:tcBorders>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3000" w:type="dxa"/>
            <w:vAlign w:val="bottom"/>
            <w:tcBorders>
              <w:bottom w:val="single" w:sz="8" w:color="auto"/>
            </w:tcBorders>
          </w:tcPr>
          <w:p>
            <w:pPr>
              <w:jc w:val="right"/>
              <w:ind w:right="735"/>
              <w:spacing w:after="0"/>
              <w:rPr>
                <w:sz w:val="20"/>
                <w:szCs w:val="20"/>
                <w:color w:val="auto"/>
              </w:rPr>
            </w:pPr>
            <w:r>
              <w:rPr>
                <w:rFonts w:ascii="Arial" w:cs="Arial" w:eastAsia="Arial" w:hAnsi="Arial"/>
                <w:sz w:val="14"/>
                <w:szCs w:val="14"/>
                <w:b w:val="1"/>
                <w:bCs w:val="1"/>
                <w:color w:val="auto"/>
              </w:rPr>
              <w:t>Year Ended February 1, 2020</w:t>
            </w:r>
          </w:p>
        </w:tc>
      </w:tr>
      <w:tr>
        <w:trPr>
          <w:trHeight w:val="249"/>
        </w:trPr>
        <w:tc>
          <w:tcPr>
            <w:tcW w:w="7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Operating lease expense</w:t>
            </w:r>
          </w:p>
        </w:tc>
        <w:tc>
          <w:tcPr>
            <w:tcW w:w="460" w:type="dxa"/>
            <w:vAlign w:val="bottom"/>
            <w:tcBorders>
              <w:bottom w:val="single" w:sz="8" w:color="CCEEFF"/>
            </w:tcBorders>
            <w:shd w:val="clear" w:color="auto" w:fill="CCEEFF"/>
          </w:tcPr>
          <w:p>
            <w:pPr>
              <w:jc w:val="right"/>
              <w:ind w:right="250"/>
              <w:spacing w:after="0"/>
              <w:rPr>
                <w:sz w:val="20"/>
                <w:szCs w:val="20"/>
                <w:color w:val="auto"/>
              </w:rPr>
            </w:pPr>
            <w:r>
              <w:rPr>
                <w:rFonts w:ascii="Arial" w:cs="Arial" w:eastAsia="Arial" w:hAnsi="Arial"/>
                <w:sz w:val="18"/>
                <w:szCs w:val="18"/>
                <w:color w:val="auto"/>
                <w:w w:val="99"/>
              </w:rPr>
              <w:t>$</w:t>
            </w:r>
          </w:p>
        </w:tc>
        <w:tc>
          <w:tcPr>
            <w:tcW w:w="30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49,679</w:t>
            </w:r>
          </w:p>
        </w:tc>
      </w:tr>
      <w:tr>
        <w:trPr>
          <w:trHeight w:val="243"/>
        </w:trPr>
        <w:tc>
          <w:tcPr>
            <w:tcW w:w="7740" w:type="dxa"/>
            <w:vAlign w:val="bottom"/>
          </w:tcPr>
          <w:p>
            <w:pPr>
              <w:ind w:left="20"/>
              <w:spacing w:after="0"/>
              <w:rPr>
                <w:sz w:val="20"/>
                <w:szCs w:val="20"/>
                <w:color w:val="auto"/>
              </w:rPr>
            </w:pPr>
            <w:r>
              <w:rPr>
                <w:rFonts w:ascii="Arial" w:cs="Arial" w:eastAsia="Arial" w:hAnsi="Arial"/>
                <w:sz w:val="18"/>
                <w:szCs w:val="18"/>
                <w:color w:val="auto"/>
              </w:rPr>
              <w:t>Cash paid for amounts included in the measurement of operating lease liabilities</w:t>
            </w:r>
          </w:p>
        </w:tc>
        <w:tc>
          <w:tcPr>
            <w:tcW w:w="46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3000" w:type="dxa"/>
            <w:vAlign w:val="bottom"/>
          </w:tcPr>
          <w:p>
            <w:pPr>
              <w:jc w:val="right"/>
              <w:ind w:right="75"/>
              <w:spacing w:after="0"/>
              <w:rPr>
                <w:sz w:val="20"/>
                <w:szCs w:val="20"/>
                <w:color w:val="auto"/>
              </w:rPr>
            </w:pPr>
            <w:r>
              <w:rPr>
                <w:rFonts w:ascii="Arial" w:cs="Arial" w:eastAsia="Arial" w:hAnsi="Arial"/>
                <w:sz w:val="18"/>
                <w:szCs w:val="18"/>
                <w:color w:val="auto"/>
              </w:rPr>
              <w:t>33,161</w:t>
            </w:r>
          </w:p>
        </w:tc>
      </w:tr>
      <w:tr>
        <w:trPr>
          <w:trHeight w:val="27"/>
        </w:trPr>
        <w:tc>
          <w:tcPr>
            <w:tcW w:w="7740" w:type="dxa"/>
            <w:vAlign w:val="bottom"/>
          </w:tcPr>
          <w:p>
            <w:pPr>
              <w:spacing w:after="0"/>
              <w:rPr>
                <w:sz w:val="2"/>
                <w:szCs w:val="2"/>
                <w:color w:val="auto"/>
              </w:rPr>
            </w:pPr>
          </w:p>
        </w:tc>
        <w:tc>
          <w:tcPr>
            <w:tcW w:w="460" w:type="dxa"/>
            <w:vAlign w:val="bottom"/>
          </w:tcPr>
          <w:p>
            <w:pPr>
              <w:spacing w:after="0"/>
              <w:rPr>
                <w:sz w:val="2"/>
                <w:szCs w:val="2"/>
                <w:color w:val="auto"/>
              </w:rPr>
            </w:pPr>
          </w:p>
        </w:tc>
        <w:tc>
          <w:tcPr>
            <w:tcW w:w="3000" w:type="dxa"/>
            <w:vAlign w:val="bottom"/>
          </w:tcPr>
          <w:p>
            <w:pPr>
              <w:spacing w:after="0"/>
              <w:rPr>
                <w:sz w:val="2"/>
                <w:szCs w:val="2"/>
                <w:color w:val="auto"/>
              </w:rPr>
            </w:pPr>
          </w:p>
        </w:tc>
      </w:tr>
      <w:tr>
        <w:trPr>
          <w:trHeight w:val="243"/>
        </w:trPr>
        <w:tc>
          <w:tcPr>
            <w:tcW w:w="7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Right-of-use assets obtained in exchange for lease obligation</w:t>
            </w:r>
          </w:p>
        </w:tc>
        <w:tc>
          <w:tcPr>
            <w:tcW w:w="460" w:type="dxa"/>
            <w:vAlign w:val="bottom"/>
            <w:shd w:val="clear" w:color="auto" w:fill="CCEEFF"/>
          </w:tcPr>
          <w:p>
            <w:pPr>
              <w:jc w:val="right"/>
              <w:ind w:right="250"/>
              <w:spacing w:after="0"/>
              <w:rPr>
                <w:sz w:val="20"/>
                <w:szCs w:val="20"/>
                <w:color w:val="auto"/>
              </w:rPr>
            </w:pPr>
            <w:r>
              <w:rPr>
                <w:rFonts w:ascii="Arial" w:cs="Arial" w:eastAsia="Arial" w:hAnsi="Arial"/>
                <w:sz w:val="18"/>
                <w:szCs w:val="18"/>
                <w:color w:val="auto"/>
                <w:w w:val="99"/>
              </w:rPr>
              <w:t>$</w:t>
            </w:r>
          </w:p>
        </w:tc>
        <w:tc>
          <w:tcPr>
            <w:tcW w:w="3000" w:type="dxa"/>
            <w:vAlign w:val="bottom"/>
            <w:shd w:val="clear" w:color="auto" w:fill="CCEEFF"/>
          </w:tcPr>
          <w:p>
            <w:pPr>
              <w:jc w:val="right"/>
              <w:ind w:right="75"/>
              <w:spacing w:after="0"/>
              <w:rPr>
                <w:sz w:val="20"/>
                <w:szCs w:val="20"/>
                <w:color w:val="auto"/>
              </w:rPr>
            </w:pPr>
            <w:r>
              <w:rPr>
                <w:rFonts w:ascii="Arial" w:cs="Arial" w:eastAsia="Arial" w:hAnsi="Arial"/>
                <w:sz w:val="18"/>
                <w:szCs w:val="18"/>
                <w:color w:val="auto"/>
              </w:rPr>
              <w:t>28,928</w:t>
            </w:r>
          </w:p>
        </w:tc>
      </w:tr>
      <w:tr>
        <w:trPr>
          <w:trHeight w:val="27"/>
        </w:trPr>
        <w:tc>
          <w:tcPr>
            <w:tcW w:w="7740" w:type="dxa"/>
            <w:vAlign w:val="bottom"/>
            <w:shd w:val="clear" w:color="auto" w:fill="CCEEFF"/>
          </w:tcPr>
          <w:p>
            <w:pPr>
              <w:spacing w:after="0"/>
              <w:rPr>
                <w:sz w:val="2"/>
                <w:szCs w:val="2"/>
                <w:color w:val="auto"/>
              </w:rPr>
            </w:pPr>
          </w:p>
        </w:tc>
        <w:tc>
          <w:tcPr>
            <w:tcW w:w="460" w:type="dxa"/>
            <w:vAlign w:val="bottom"/>
            <w:shd w:val="clear" w:color="auto" w:fill="CCEEFF"/>
          </w:tcPr>
          <w:p>
            <w:pPr>
              <w:spacing w:after="0"/>
              <w:rPr>
                <w:sz w:val="2"/>
                <w:szCs w:val="2"/>
                <w:color w:val="auto"/>
              </w:rPr>
            </w:pPr>
          </w:p>
        </w:tc>
        <w:tc>
          <w:tcPr>
            <w:tcW w:w="3000" w:type="dxa"/>
            <w:vAlign w:val="bottom"/>
            <w:shd w:val="clear" w:color="auto" w:fill="CCEEFF"/>
          </w:tcPr>
          <w:p>
            <w:pPr>
              <w:spacing w:after="0"/>
              <w:rPr>
                <w:sz w:val="2"/>
                <w:szCs w:val="2"/>
                <w:color w:val="auto"/>
              </w:rPr>
            </w:pPr>
          </w:p>
        </w:tc>
      </w:tr>
    </w:tbl>
    <w:p>
      <w:pPr>
        <w:spacing w:after="0" w:line="337" w:lineRule="exact"/>
        <w:rPr>
          <w:sz w:val="20"/>
          <w:szCs w:val="20"/>
          <w:color w:val="auto"/>
        </w:rPr>
      </w:pPr>
    </w:p>
    <w:p>
      <w:pPr>
        <w:ind w:right="640" w:firstLine="405"/>
        <w:spacing w:after="0" w:line="277" w:lineRule="auto"/>
        <w:rPr>
          <w:sz w:val="20"/>
          <w:szCs w:val="20"/>
          <w:color w:val="auto"/>
        </w:rPr>
      </w:pPr>
      <w:r>
        <w:rPr>
          <w:rFonts w:ascii="Arial" w:cs="Arial" w:eastAsia="Arial" w:hAnsi="Arial"/>
          <w:sz w:val="18"/>
          <w:szCs w:val="18"/>
          <w:color w:val="auto"/>
        </w:rPr>
        <w:t>The effect of operating lease right-of-use asset amortization of $20.4 million is included in changes in Other expense(income), net in the cash provided by operating activities section on the Statement of Cash Flows for the fiscal year ended February 1, 2020.</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Supplemental balance sheet information related to leases are as follows (in thousands):</w:t>
      </w:r>
    </w:p>
    <w:p>
      <w:pPr>
        <w:spacing w:after="0" w:line="302"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4280" w:type="dxa"/>
            <w:vAlign w:val="bottom"/>
          </w:tcPr>
          <w:p>
            <w:pPr>
              <w:spacing w:after="0"/>
              <w:rPr>
                <w:sz w:val="18"/>
                <w:szCs w:val="18"/>
                <w:color w:val="auto"/>
              </w:rPr>
            </w:pPr>
          </w:p>
        </w:tc>
        <w:tc>
          <w:tcPr>
            <w:tcW w:w="3520" w:type="dxa"/>
            <w:vAlign w:val="bottom"/>
            <w:gridSpan w:val="2"/>
          </w:tcPr>
          <w:p>
            <w:pPr>
              <w:jc w:val="center"/>
              <w:ind w:right="100"/>
              <w:spacing w:after="0"/>
              <w:rPr>
                <w:sz w:val="20"/>
                <w:szCs w:val="20"/>
                <w:color w:val="auto"/>
              </w:rPr>
            </w:pPr>
            <w:r>
              <w:rPr>
                <w:rFonts w:ascii="Arial" w:cs="Arial" w:eastAsia="Arial" w:hAnsi="Arial"/>
                <w:sz w:val="18"/>
                <w:szCs w:val="18"/>
                <w:b w:val="1"/>
                <w:bCs w:val="1"/>
                <w:color w:val="auto"/>
                <w:w w:val="88"/>
              </w:rPr>
              <w:t>Classification on the Condensed</w:t>
            </w:r>
          </w:p>
        </w:tc>
        <w:tc>
          <w:tcPr>
            <w:tcW w:w="580" w:type="dxa"/>
            <w:vAlign w:val="bottom"/>
          </w:tcPr>
          <w:p>
            <w:pPr>
              <w:spacing w:after="0"/>
              <w:rPr>
                <w:sz w:val="18"/>
                <w:szCs w:val="18"/>
                <w:color w:val="auto"/>
              </w:rPr>
            </w:pPr>
          </w:p>
        </w:tc>
        <w:tc>
          <w:tcPr>
            <w:tcW w:w="2860" w:type="dxa"/>
            <w:vAlign w:val="bottom"/>
          </w:tcPr>
          <w:p>
            <w:pPr>
              <w:spacing w:after="0"/>
              <w:rPr>
                <w:sz w:val="18"/>
                <w:szCs w:val="18"/>
                <w:color w:val="auto"/>
              </w:rPr>
            </w:pPr>
          </w:p>
        </w:tc>
      </w:tr>
      <w:tr>
        <w:trPr>
          <w:trHeight w:val="234"/>
        </w:trPr>
        <w:tc>
          <w:tcPr>
            <w:tcW w:w="4280" w:type="dxa"/>
            <w:vAlign w:val="bottom"/>
          </w:tcPr>
          <w:p>
            <w:pPr>
              <w:spacing w:after="0"/>
              <w:rPr>
                <w:sz w:val="20"/>
                <w:szCs w:val="20"/>
                <w:color w:val="auto"/>
              </w:rPr>
            </w:pPr>
          </w:p>
        </w:tc>
        <w:tc>
          <w:tcPr>
            <w:tcW w:w="3520" w:type="dxa"/>
            <w:vAlign w:val="bottom"/>
            <w:gridSpan w:val="2"/>
          </w:tcPr>
          <w:p>
            <w:pPr>
              <w:jc w:val="center"/>
              <w:ind w:right="100"/>
              <w:spacing w:after="0"/>
              <w:rPr>
                <w:sz w:val="20"/>
                <w:szCs w:val="20"/>
                <w:color w:val="auto"/>
              </w:rPr>
            </w:pPr>
            <w:r>
              <w:rPr>
                <w:rFonts w:ascii="Arial" w:cs="Arial" w:eastAsia="Arial" w:hAnsi="Arial"/>
                <w:sz w:val="18"/>
                <w:szCs w:val="18"/>
                <w:b w:val="1"/>
                <w:bCs w:val="1"/>
                <w:color w:val="auto"/>
                <w:w w:val="88"/>
              </w:rPr>
              <w:t>Consolidated Balance Sheet</w:t>
            </w:r>
          </w:p>
        </w:tc>
        <w:tc>
          <w:tcPr>
            <w:tcW w:w="580" w:type="dxa"/>
            <w:vAlign w:val="bottom"/>
          </w:tcPr>
          <w:p>
            <w:pPr>
              <w:spacing w:after="0"/>
              <w:rPr>
                <w:sz w:val="20"/>
                <w:szCs w:val="20"/>
                <w:color w:val="auto"/>
              </w:rPr>
            </w:pPr>
          </w:p>
        </w:tc>
        <w:tc>
          <w:tcPr>
            <w:tcW w:w="2860" w:type="dxa"/>
            <w:vAlign w:val="bottom"/>
          </w:tcPr>
          <w:p>
            <w:pPr>
              <w:jc w:val="right"/>
              <w:ind w:right="970"/>
              <w:spacing w:after="0"/>
              <w:rPr>
                <w:sz w:val="20"/>
                <w:szCs w:val="20"/>
                <w:color w:val="auto"/>
              </w:rPr>
            </w:pPr>
            <w:r>
              <w:rPr>
                <w:rFonts w:ascii="Arial" w:cs="Arial" w:eastAsia="Arial" w:hAnsi="Arial"/>
                <w:sz w:val="18"/>
                <w:szCs w:val="18"/>
                <w:b w:val="1"/>
                <w:bCs w:val="1"/>
                <w:color w:val="auto"/>
              </w:rPr>
              <w:t>February 1, 2020</w:t>
            </w:r>
          </w:p>
        </w:tc>
      </w:tr>
      <w:tr>
        <w:trPr>
          <w:trHeight w:val="27"/>
        </w:trPr>
        <w:tc>
          <w:tcPr>
            <w:tcW w:w="4280" w:type="dxa"/>
            <w:vAlign w:val="bottom"/>
            <w:tcBorders>
              <w:bottom w:val="single" w:sz="8" w:color="CCEEFF"/>
            </w:tcBorders>
          </w:tcPr>
          <w:p>
            <w:pPr>
              <w:spacing w:after="0"/>
              <w:rPr>
                <w:sz w:val="2"/>
                <w:szCs w:val="2"/>
                <w:color w:val="auto"/>
              </w:rPr>
            </w:pPr>
          </w:p>
        </w:tc>
        <w:tc>
          <w:tcPr>
            <w:tcW w:w="34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2860" w:type="dxa"/>
            <w:vAlign w:val="bottom"/>
            <w:tcBorders>
              <w:bottom w:val="single" w:sz="8" w:color="auto"/>
            </w:tcBorders>
          </w:tcPr>
          <w:p>
            <w:pPr>
              <w:spacing w:after="0"/>
              <w:rPr>
                <w:sz w:val="2"/>
                <w:szCs w:val="2"/>
                <w:color w:val="auto"/>
              </w:rPr>
            </w:pPr>
          </w:p>
        </w:tc>
      </w:tr>
      <w:tr>
        <w:trPr>
          <w:trHeight w:val="243"/>
        </w:trPr>
        <w:tc>
          <w:tcPr>
            <w:tcW w:w="42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Right-of-use assets</w:t>
            </w:r>
          </w:p>
        </w:tc>
        <w:tc>
          <w:tcPr>
            <w:tcW w:w="352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580" w:type="dxa"/>
            <w:vAlign w:val="bottom"/>
            <w:tcBorders>
              <w:bottom w:val="single" w:sz="8" w:color="CCEEFF"/>
            </w:tcBorders>
            <w:shd w:val="clear" w:color="auto" w:fill="CCEEFF"/>
          </w:tcPr>
          <w:p>
            <w:pPr>
              <w:jc w:val="right"/>
              <w:ind w:right="390"/>
              <w:spacing w:after="0"/>
              <w:rPr>
                <w:sz w:val="20"/>
                <w:szCs w:val="20"/>
                <w:color w:val="auto"/>
              </w:rPr>
            </w:pPr>
            <w:r>
              <w:rPr>
                <w:rFonts w:ascii="Arial" w:cs="Arial" w:eastAsia="Arial" w:hAnsi="Arial"/>
                <w:sz w:val="18"/>
                <w:szCs w:val="18"/>
                <w:color w:val="auto"/>
                <w:w w:val="79"/>
              </w:rPr>
              <w:t>$</w:t>
            </w:r>
          </w:p>
        </w:tc>
        <w:tc>
          <w:tcPr>
            <w:tcW w:w="28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110,907</w:t>
            </w:r>
          </w:p>
        </w:tc>
      </w:tr>
      <w:tr>
        <w:trPr>
          <w:trHeight w:val="270"/>
        </w:trPr>
        <w:tc>
          <w:tcPr>
            <w:tcW w:w="4280" w:type="dxa"/>
            <w:vAlign w:val="bottom"/>
          </w:tcPr>
          <w:p>
            <w:pPr>
              <w:spacing w:after="0"/>
              <w:rPr>
                <w:sz w:val="23"/>
                <w:szCs w:val="23"/>
                <w:color w:val="auto"/>
              </w:rPr>
            </w:pPr>
          </w:p>
        </w:tc>
        <w:tc>
          <w:tcPr>
            <w:tcW w:w="34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2860" w:type="dxa"/>
            <w:vAlign w:val="bottom"/>
          </w:tcPr>
          <w:p>
            <w:pPr>
              <w:spacing w:after="0"/>
              <w:rPr>
                <w:sz w:val="23"/>
                <w:szCs w:val="23"/>
                <w:color w:val="auto"/>
              </w:rPr>
            </w:pPr>
          </w:p>
        </w:tc>
      </w:tr>
      <w:tr>
        <w:trPr>
          <w:trHeight w:val="250"/>
        </w:trPr>
        <w:tc>
          <w:tcPr>
            <w:tcW w:w="4280" w:type="dxa"/>
            <w:vAlign w:val="bottom"/>
            <w:tcBorders>
              <w:bottom w:val="single" w:sz="8" w:color="CCEEFF"/>
            </w:tcBorders>
            <w:shd w:val="clear" w:color="auto" w:fill="CCEEFF"/>
          </w:tcPr>
          <w:p>
            <w:pPr>
              <w:ind w:left="440"/>
              <w:spacing w:after="0"/>
              <w:rPr>
                <w:sz w:val="20"/>
                <w:szCs w:val="20"/>
                <w:color w:val="auto"/>
              </w:rPr>
            </w:pPr>
            <w:r>
              <w:rPr>
                <w:rFonts w:ascii="Arial" w:cs="Arial" w:eastAsia="Arial" w:hAnsi="Arial"/>
                <w:sz w:val="18"/>
                <w:szCs w:val="18"/>
                <w:color w:val="auto"/>
              </w:rPr>
              <w:t>Current portion of lease liabilities</w:t>
            </w:r>
          </w:p>
        </w:tc>
        <w:tc>
          <w:tcPr>
            <w:tcW w:w="352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Accrued liabilities</w:t>
            </w:r>
          </w:p>
        </w:tc>
        <w:tc>
          <w:tcPr>
            <w:tcW w:w="580" w:type="dxa"/>
            <w:vAlign w:val="bottom"/>
            <w:tcBorders>
              <w:bottom w:val="single" w:sz="8" w:color="CCEEFF"/>
            </w:tcBorders>
            <w:shd w:val="clear" w:color="auto" w:fill="CCEEFF"/>
          </w:tcPr>
          <w:p>
            <w:pPr>
              <w:spacing w:after="0"/>
              <w:rPr>
                <w:sz w:val="21"/>
                <w:szCs w:val="21"/>
                <w:color w:val="auto"/>
              </w:rPr>
            </w:pPr>
          </w:p>
        </w:tc>
        <w:tc>
          <w:tcPr>
            <w:tcW w:w="28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28,662</w:t>
            </w:r>
          </w:p>
        </w:tc>
      </w:tr>
      <w:tr>
        <w:trPr>
          <w:trHeight w:val="243"/>
        </w:trPr>
        <w:tc>
          <w:tcPr>
            <w:tcW w:w="4280" w:type="dxa"/>
            <w:vAlign w:val="bottom"/>
          </w:tcPr>
          <w:p>
            <w:pPr>
              <w:ind w:left="440"/>
              <w:spacing w:after="0"/>
              <w:rPr>
                <w:sz w:val="20"/>
                <w:szCs w:val="20"/>
                <w:color w:val="auto"/>
              </w:rPr>
            </w:pPr>
            <w:r>
              <w:rPr>
                <w:rFonts w:ascii="Arial" w:cs="Arial" w:eastAsia="Arial" w:hAnsi="Arial"/>
                <w:sz w:val="18"/>
                <w:szCs w:val="18"/>
                <w:color w:val="auto"/>
              </w:rPr>
              <w:t>Non-current portion of lease liabilities</w:t>
            </w:r>
          </w:p>
        </w:tc>
        <w:tc>
          <w:tcPr>
            <w:tcW w:w="3520" w:type="dxa"/>
            <w:vAlign w:val="bottom"/>
            <w:gridSpan w:val="2"/>
          </w:tcPr>
          <w:p>
            <w:pPr>
              <w:ind w:left="20"/>
              <w:spacing w:after="0"/>
              <w:rPr>
                <w:sz w:val="20"/>
                <w:szCs w:val="20"/>
                <w:color w:val="auto"/>
              </w:rPr>
            </w:pPr>
            <w:r>
              <w:rPr>
                <w:rFonts w:ascii="Arial" w:cs="Arial" w:eastAsia="Arial" w:hAnsi="Arial"/>
                <w:sz w:val="18"/>
                <w:szCs w:val="18"/>
                <w:color w:val="auto"/>
              </w:rPr>
              <w:t>Other non-current liabilities</w:t>
            </w:r>
          </w:p>
        </w:tc>
        <w:tc>
          <w:tcPr>
            <w:tcW w:w="580" w:type="dxa"/>
            <w:vAlign w:val="bottom"/>
          </w:tcPr>
          <w:p>
            <w:pPr>
              <w:spacing w:after="0"/>
              <w:rPr>
                <w:sz w:val="21"/>
                <w:szCs w:val="21"/>
                <w:color w:val="auto"/>
              </w:rPr>
            </w:pPr>
          </w:p>
        </w:tc>
        <w:tc>
          <w:tcPr>
            <w:tcW w:w="2860" w:type="dxa"/>
            <w:vAlign w:val="bottom"/>
          </w:tcPr>
          <w:p>
            <w:pPr>
              <w:jc w:val="right"/>
              <w:ind w:right="70"/>
              <w:spacing w:after="0"/>
              <w:rPr>
                <w:sz w:val="20"/>
                <w:szCs w:val="20"/>
                <w:color w:val="auto"/>
              </w:rPr>
            </w:pPr>
            <w:r>
              <w:rPr>
                <w:rFonts w:ascii="Arial" w:cs="Arial" w:eastAsia="Arial" w:hAnsi="Arial"/>
                <w:sz w:val="18"/>
                <w:szCs w:val="18"/>
                <w:color w:val="auto"/>
              </w:rPr>
              <w:t>115,778</w:t>
            </w:r>
          </w:p>
        </w:tc>
      </w:tr>
      <w:tr>
        <w:trPr>
          <w:trHeight w:val="27"/>
        </w:trPr>
        <w:tc>
          <w:tcPr>
            <w:tcW w:w="4280" w:type="dxa"/>
            <w:vAlign w:val="bottom"/>
            <w:tcBorders>
              <w:bottom w:val="single" w:sz="8" w:color="CCEEFF"/>
            </w:tcBorders>
          </w:tcPr>
          <w:p>
            <w:pPr>
              <w:spacing w:after="0"/>
              <w:rPr>
                <w:sz w:val="2"/>
                <w:szCs w:val="2"/>
                <w:color w:val="auto"/>
              </w:rPr>
            </w:pPr>
          </w:p>
        </w:tc>
        <w:tc>
          <w:tcPr>
            <w:tcW w:w="342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2860" w:type="dxa"/>
            <w:vAlign w:val="bottom"/>
            <w:tcBorders>
              <w:bottom w:val="single" w:sz="8" w:color="auto"/>
            </w:tcBorders>
          </w:tcPr>
          <w:p>
            <w:pPr>
              <w:spacing w:after="0"/>
              <w:rPr>
                <w:sz w:val="2"/>
                <w:szCs w:val="2"/>
                <w:color w:val="auto"/>
              </w:rPr>
            </w:pPr>
          </w:p>
        </w:tc>
      </w:tr>
      <w:tr>
        <w:trPr>
          <w:trHeight w:val="288"/>
        </w:trPr>
        <w:tc>
          <w:tcPr>
            <w:tcW w:w="42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lease liabilities</w:t>
            </w:r>
          </w:p>
        </w:tc>
        <w:tc>
          <w:tcPr>
            <w:tcW w:w="3420" w:type="dxa"/>
            <w:vAlign w:val="bottom"/>
            <w:tcBorders>
              <w:bottom w:val="single" w:sz="8" w:color="CCEEFF"/>
            </w:tcBorders>
            <w:shd w:val="clear" w:color="auto" w:fill="CCEEFF"/>
          </w:tcPr>
          <w:p>
            <w:pPr>
              <w:spacing w:after="0"/>
              <w:rPr>
                <w:sz w:val="24"/>
                <w:szCs w:val="24"/>
                <w:color w:val="auto"/>
              </w:rPr>
            </w:pPr>
          </w:p>
        </w:tc>
        <w:tc>
          <w:tcPr>
            <w:tcW w:w="100" w:type="dxa"/>
            <w:vAlign w:val="bottom"/>
            <w:tcBorders>
              <w:bottom w:val="single" w:sz="8" w:color="CCEEFF"/>
            </w:tcBorders>
            <w:shd w:val="clear" w:color="auto" w:fill="CCEEFF"/>
          </w:tcPr>
          <w:p>
            <w:pPr>
              <w:spacing w:after="0"/>
              <w:rPr>
                <w:sz w:val="24"/>
                <w:szCs w:val="24"/>
                <w:color w:val="auto"/>
              </w:rPr>
            </w:pPr>
          </w:p>
        </w:tc>
        <w:tc>
          <w:tcPr>
            <w:tcW w:w="580" w:type="dxa"/>
            <w:vAlign w:val="bottom"/>
            <w:tcBorders>
              <w:bottom w:val="single" w:sz="8" w:color="auto"/>
            </w:tcBorders>
            <w:shd w:val="clear" w:color="auto" w:fill="CCEEFF"/>
          </w:tcPr>
          <w:p>
            <w:pPr>
              <w:jc w:val="right"/>
              <w:ind w:right="390"/>
              <w:spacing w:after="0"/>
              <w:rPr>
                <w:sz w:val="20"/>
                <w:szCs w:val="20"/>
                <w:color w:val="auto"/>
              </w:rPr>
            </w:pPr>
            <w:r>
              <w:rPr>
                <w:rFonts w:ascii="Arial" w:cs="Arial" w:eastAsia="Arial" w:hAnsi="Arial"/>
                <w:sz w:val="18"/>
                <w:szCs w:val="18"/>
                <w:color w:val="auto"/>
                <w:w w:val="79"/>
              </w:rPr>
              <w:t>$</w:t>
            </w:r>
          </w:p>
        </w:tc>
        <w:tc>
          <w:tcPr>
            <w:tcW w:w="28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rPr>
              <w:t>144,440</w:t>
            </w:r>
          </w:p>
        </w:tc>
      </w:tr>
      <w:tr>
        <w:trPr>
          <w:trHeight w:val="20"/>
        </w:trPr>
        <w:tc>
          <w:tcPr>
            <w:tcW w:w="4280" w:type="dxa"/>
            <w:vAlign w:val="bottom"/>
            <w:tcBorders>
              <w:top w:val="single" w:sz="8" w:color="CCEEFF"/>
            </w:tcBorders>
          </w:tcPr>
          <w:p>
            <w:pPr>
              <w:spacing w:after="0" w:line="20" w:lineRule="exact"/>
              <w:rPr>
                <w:sz w:val="1"/>
                <w:szCs w:val="1"/>
                <w:color w:val="auto"/>
              </w:rPr>
            </w:pPr>
          </w:p>
        </w:tc>
        <w:tc>
          <w:tcPr>
            <w:tcW w:w="34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CCEEFF"/>
              <w:bottom w:val="single" w:sz="8" w:color="auto"/>
            </w:tcBorders>
          </w:tcPr>
          <w:p>
            <w:pPr>
              <w:spacing w:after="0" w:line="20" w:lineRule="exact"/>
              <w:rPr>
                <w:sz w:val="1"/>
                <w:szCs w:val="1"/>
                <w:color w:val="auto"/>
              </w:rPr>
            </w:pPr>
          </w:p>
        </w:tc>
        <w:tc>
          <w:tcPr>
            <w:tcW w:w="2860" w:type="dxa"/>
            <w:vAlign w:val="bottom"/>
            <w:tcBorders>
              <w:top w:val="single" w:sz="8" w:color="CCEEFF"/>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aggregate future lease payments for operating leases as of February 1, 2020 are as follows (in thousands):</w:t>
      </w:r>
    </w:p>
    <w:p>
      <w:pPr>
        <w:spacing w:after="0" w:line="302"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4320" w:type="dxa"/>
            <w:vAlign w:val="bottom"/>
            <w:gridSpan w:val="2"/>
          </w:tcPr>
          <w:p>
            <w:pPr>
              <w:ind w:left="20"/>
              <w:spacing w:after="0"/>
              <w:rPr>
                <w:sz w:val="20"/>
                <w:szCs w:val="20"/>
                <w:color w:val="auto"/>
              </w:rPr>
            </w:pPr>
            <w:r>
              <w:rPr>
                <w:rFonts w:ascii="Arial" w:cs="Arial" w:eastAsia="Arial" w:hAnsi="Arial"/>
                <w:sz w:val="18"/>
                <w:szCs w:val="18"/>
                <w:b w:val="1"/>
                <w:bCs w:val="1"/>
                <w:color w:val="auto"/>
              </w:rPr>
              <w:t>Fiscal Year</w:t>
            </w:r>
          </w:p>
        </w:tc>
        <w:tc>
          <w:tcPr>
            <w:tcW w:w="560" w:type="dxa"/>
            <w:vAlign w:val="bottom"/>
          </w:tcPr>
          <w:p>
            <w:pPr>
              <w:spacing w:after="0"/>
              <w:rPr>
                <w:sz w:val="20"/>
                <w:szCs w:val="20"/>
                <w:color w:val="auto"/>
              </w:rPr>
            </w:pPr>
          </w:p>
        </w:tc>
        <w:tc>
          <w:tcPr>
            <w:tcW w:w="2840" w:type="dxa"/>
            <w:vAlign w:val="bottom"/>
          </w:tcPr>
          <w:p>
            <w:pPr>
              <w:jc w:val="right"/>
              <w:ind w:right="930"/>
              <w:spacing w:after="0"/>
              <w:rPr>
                <w:sz w:val="20"/>
                <w:szCs w:val="20"/>
                <w:color w:val="auto"/>
              </w:rPr>
            </w:pPr>
            <w:r>
              <w:rPr>
                <w:rFonts w:ascii="Arial" w:cs="Arial" w:eastAsia="Arial" w:hAnsi="Arial"/>
                <w:sz w:val="18"/>
                <w:szCs w:val="18"/>
                <w:b w:val="1"/>
                <w:bCs w:val="1"/>
                <w:color w:val="auto"/>
              </w:rPr>
              <w:t>Operating Leases</w:t>
            </w:r>
          </w:p>
        </w:tc>
        <w:tc>
          <w:tcPr>
            <w:tcW w:w="1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820" w:type="dxa"/>
            <w:vAlign w:val="bottom"/>
          </w:tcPr>
          <w:p>
            <w:pPr>
              <w:jc w:val="right"/>
              <w:ind w:right="970"/>
              <w:spacing w:after="0"/>
              <w:rPr>
                <w:sz w:val="20"/>
                <w:szCs w:val="20"/>
                <w:color w:val="auto"/>
              </w:rPr>
            </w:pPr>
            <w:r>
              <w:rPr>
                <w:rFonts w:ascii="Arial" w:cs="Arial" w:eastAsia="Arial" w:hAnsi="Arial"/>
                <w:sz w:val="18"/>
                <w:szCs w:val="18"/>
                <w:b w:val="1"/>
                <w:bCs w:val="1"/>
                <w:color w:val="auto"/>
              </w:rPr>
              <w:t>Sublease Income</w:t>
            </w:r>
          </w:p>
        </w:tc>
      </w:tr>
      <w:tr>
        <w:trPr>
          <w:trHeight w:val="27"/>
        </w:trPr>
        <w:tc>
          <w:tcPr>
            <w:tcW w:w="4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28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820" w:type="dxa"/>
            <w:vAlign w:val="bottom"/>
            <w:tcBorders>
              <w:bottom w:val="single" w:sz="8" w:color="auto"/>
            </w:tcBorders>
          </w:tcPr>
          <w:p>
            <w:pPr>
              <w:spacing w:after="0"/>
              <w:rPr>
                <w:sz w:val="2"/>
                <w:szCs w:val="2"/>
                <w:color w:val="auto"/>
              </w:rPr>
            </w:pPr>
          </w:p>
        </w:tc>
      </w:tr>
      <w:tr>
        <w:trPr>
          <w:trHeight w:val="243"/>
        </w:trPr>
        <w:tc>
          <w:tcPr>
            <w:tcW w:w="42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2021</w:t>
            </w:r>
          </w:p>
        </w:tc>
        <w:tc>
          <w:tcPr>
            <w:tcW w:w="10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jc w:val="right"/>
              <w:ind w:right="370"/>
              <w:spacing w:after="0"/>
              <w:rPr>
                <w:sz w:val="20"/>
                <w:szCs w:val="20"/>
                <w:color w:val="auto"/>
              </w:rPr>
            </w:pPr>
            <w:r>
              <w:rPr>
                <w:rFonts w:ascii="Arial" w:cs="Arial" w:eastAsia="Arial" w:hAnsi="Arial"/>
                <w:sz w:val="18"/>
                <w:szCs w:val="18"/>
                <w:color w:val="auto"/>
                <w:w w:val="79"/>
              </w:rPr>
              <w:t>$</w:t>
            </w:r>
          </w:p>
        </w:tc>
        <w:tc>
          <w:tcPr>
            <w:tcW w:w="28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35,272</w:t>
            </w:r>
          </w:p>
        </w:tc>
        <w:tc>
          <w:tcPr>
            <w:tcW w:w="700" w:type="dxa"/>
            <w:vAlign w:val="bottom"/>
            <w:tcBorders>
              <w:bottom w:val="single" w:sz="8" w:color="CCEEFF"/>
            </w:tcBorders>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28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(3,420)</w:t>
            </w:r>
          </w:p>
        </w:tc>
      </w:tr>
      <w:tr>
        <w:trPr>
          <w:trHeight w:val="243"/>
        </w:trPr>
        <w:tc>
          <w:tcPr>
            <w:tcW w:w="4220" w:type="dxa"/>
            <w:vAlign w:val="bottom"/>
          </w:tcPr>
          <w:p>
            <w:pPr>
              <w:ind w:left="20"/>
              <w:spacing w:after="0"/>
              <w:rPr>
                <w:sz w:val="20"/>
                <w:szCs w:val="20"/>
                <w:color w:val="auto"/>
              </w:rPr>
            </w:pPr>
            <w:r>
              <w:rPr>
                <w:rFonts w:ascii="Arial" w:cs="Arial" w:eastAsia="Arial" w:hAnsi="Arial"/>
                <w:sz w:val="18"/>
                <w:szCs w:val="18"/>
                <w:color w:val="auto"/>
              </w:rPr>
              <w:t>2022</w:t>
            </w:r>
          </w:p>
        </w:tc>
        <w:tc>
          <w:tcPr>
            <w:tcW w:w="10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2840" w:type="dxa"/>
            <w:vAlign w:val="bottom"/>
          </w:tcPr>
          <w:p>
            <w:pPr>
              <w:jc w:val="right"/>
              <w:ind w:right="50"/>
              <w:spacing w:after="0"/>
              <w:rPr>
                <w:sz w:val="20"/>
                <w:szCs w:val="20"/>
                <w:color w:val="auto"/>
              </w:rPr>
            </w:pPr>
            <w:r>
              <w:rPr>
                <w:rFonts w:ascii="Arial" w:cs="Arial" w:eastAsia="Arial" w:hAnsi="Arial"/>
                <w:sz w:val="18"/>
                <w:szCs w:val="18"/>
                <w:color w:val="auto"/>
              </w:rPr>
              <w:t>35,753</w:t>
            </w:r>
          </w:p>
        </w:tc>
        <w:tc>
          <w:tcPr>
            <w:tcW w:w="10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2820" w:type="dxa"/>
            <w:vAlign w:val="bottom"/>
          </w:tcPr>
          <w:p>
            <w:pPr>
              <w:jc w:val="right"/>
              <w:ind w:right="10"/>
              <w:spacing w:after="0"/>
              <w:rPr>
                <w:sz w:val="20"/>
                <w:szCs w:val="20"/>
                <w:color w:val="auto"/>
              </w:rPr>
            </w:pPr>
            <w:r>
              <w:rPr>
                <w:rFonts w:ascii="Arial" w:cs="Arial" w:eastAsia="Arial" w:hAnsi="Arial"/>
                <w:sz w:val="18"/>
                <w:szCs w:val="18"/>
                <w:color w:val="auto"/>
              </w:rPr>
              <w:t>(3,253)</w:t>
            </w:r>
          </w:p>
        </w:tc>
      </w:tr>
      <w:tr>
        <w:trPr>
          <w:trHeight w:val="27"/>
        </w:trPr>
        <w:tc>
          <w:tcPr>
            <w:tcW w:w="4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0" w:type="dxa"/>
            <w:vAlign w:val="bottom"/>
          </w:tcPr>
          <w:p>
            <w:pPr>
              <w:spacing w:after="0"/>
              <w:rPr>
                <w:sz w:val="2"/>
                <w:szCs w:val="2"/>
                <w:color w:val="auto"/>
              </w:rPr>
            </w:pPr>
          </w:p>
        </w:tc>
        <w:tc>
          <w:tcPr>
            <w:tcW w:w="28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820" w:type="dxa"/>
            <w:vAlign w:val="bottom"/>
          </w:tcPr>
          <w:p>
            <w:pPr>
              <w:spacing w:after="0"/>
              <w:rPr>
                <w:sz w:val="2"/>
                <w:szCs w:val="2"/>
                <w:color w:val="auto"/>
              </w:rPr>
            </w:pPr>
          </w:p>
        </w:tc>
      </w:tr>
      <w:tr>
        <w:trPr>
          <w:trHeight w:val="250"/>
        </w:trPr>
        <w:tc>
          <w:tcPr>
            <w:tcW w:w="42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2023</w:t>
            </w:r>
          </w:p>
        </w:tc>
        <w:tc>
          <w:tcPr>
            <w:tcW w:w="10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28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28,932</w:t>
            </w:r>
          </w:p>
        </w:tc>
        <w:tc>
          <w:tcPr>
            <w:tcW w:w="100" w:type="dxa"/>
            <w:vAlign w:val="bottom"/>
            <w:tcBorders>
              <w:bottom w:val="single" w:sz="8" w:color="CCEEFF"/>
            </w:tcBorders>
            <w:shd w:val="clear" w:color="auto" w:fill="CCEEFF"/>
          </w:tcPr>
          <w:p>
            <w:pPr>
              <w:spacing w:after="0"/>
              <w:rPr>
                <w:sz w:val="21"/>
                <w:szCs w:val="21"/>
                <w:color w:val="auto"/>
              </w:rPr>
            </w:pPr>
          </w:p>
        </w:tc>
        <w:tc>
          <w:tcPr>
            <w:tcW w:w="600" w:type="dxa"/>
            <w:vAlign w:val="bottom"/>
            <w:tcBorders>
              <w:bottom w:val="single" w:sz="8" w:color="CCEEFF"/>
            </w:tcBorders>
            <w:shd w:val="clear" w:color="auto" w:fill="CCEEFF"/>
          </w:tcPr>
          <w:p>
            <w:pPr>
              <w:spacing w:after="0"/>
              <w:rPr>
                <w:sz w:val="21"/>
                <w:szCs w:val="21"/>
                <w:color w:val="auto"/>
              </w:rPr>
            </w:pPr>
          </w:p>
        </w:tc>
        <w:tc>
          <w:tcPr>
            <w:tcW w:w="28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(3,350)</w:t>
            </w:r>
          </w:p>
        </w:tc>
      </w:tr>
      <w:tr>
        <w:trPr>
          <w:trHeight w:val="243"/>
        </w:trPr>
        <w:tc>
          <w:tcPr>
            <w:tcW w:w="4220" w:type="dxa"/>
            <w:vAlign w:val="bottom"/>
          </w:tcPr>
          <w:p>
            <w:pPr>
              <w:ind w:left="20"/>
              <w:spacing w:after="0"/>
              <w:rPr>
                <w:sz w:val="20"/>
                <w:szCs w:val="20"/>
                <w:color w:val="auto"/>
              </w:rPr>
            </w:pPr>
            <w:r>
              <w:rPr>
                <w:rFonts w:ascii="Arial" w:cs="Arial" w:eastAsia="Arial" w:hAnsi="Arial"/>
                <w:sz w:val="18"/>
                <w:szCs w:val="18"/>
                <w:color w:val="auto"/>
              </w:rPr>
              <w:t>2024</w:t>
            </w:r>
          </w:p>
        </w:tc>
        <w:tc>
          <w:tcPr>
            <w:tcW w:w="10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2840" w:type="dxa"/>
            <w:vAlign w:val="bottom"/>
          </w:tcPr>
          <w:p>
            <w:pPr>
              <w:jc w:val="right"/>
              <w:ind w:right="50"/>
              <w:spacing w:after="0"/>
              <w:rPr>
                <w:sz w:val="20"/>
                <w:szCs w:val="20"/>
                <w:color w:val="auto"/>
              </w:rPr>
            </w:pPr>
            <w:r>
              <w:rPr>
                <w:rFonts w:ascii="Arial" w:cs="Arial" w:eastAsia="Arial" w:hAnsi="Arial"/>
                <w:sz w:val="18"/>
                <w:szCs w:val="18"/>
                <w:color w:val="auto"/>
              </w:rPr>
              <w:t>19,575</w:t>
            </w:r>
          </w:p>
        </w:tc>
        <w:tc>
          <w:tcPr>
            <w:tcW w:w="10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2820" w:type="dxa"/>
            <w:vAlign w:val="bottom"/>
          </w:tcPr>
          <w:p>
            <w:pPr>
              <w:jc w:val="right"/>
              <w:ind w:right="10"/>
              <w:spacing w:after="0"/>
              <w:rPr>
                <w:sz w:val="20"/>
                <w:szCs w:val="20"/>
                <w:color w:val="auto"/>
              </w:rPr>
            </w:pPr>
            <w:r>
              <w:rPr>
                <w:rFonts w:ascii="Arial" w:cs="Arial" w:eastAsia="Arial" w:hAnsi="Arial"/>
                <w:sz w:val="18"/>
                <w:szCs w:val="18"/>
                <w:color w:val="auto"/>
              </w:rPr>
              <w:t>(3,451)</w:t>
            </w:r>
          </w:p>
        </w:tc>
      </w:tr>
      <w:tr>
        <w:trPr>
          <w:trHeight w:val="27"/>
        </w:trPr>
        <w:tc>
          <w:tcPr>
            <w:tcW w:w="4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0" w:type="dxa"/>
            <w:vAlign w:val="bottom"/>
          </w:tcPr>
          <w:p>
            <w:pPr>
              <w:spacing w:after="0"/>
              <w:rPr>
                <w:sz w:val="2"/>
                <w:szCs w:val="2"/>
                <w:color w:val="auto"/>
              </w:rPr>
            </w:pPr>
          </w:p>
        </w:tc>
        <w:tc>
          <w:tcPr>
            <w:tcW w:w="28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820" w:type="dxa"/>
            <w:vAlign w:val="bottom"/>
          </w:tcPr>
          <w:p>
            <w:pPr>
              <w:spacing w:after="0"/>
              <w:rPr>
                <w:sz w:val="2"/>
                <w:szCs w:val="2"/>
                <w:color w:val="auto"/>
              </w:rPr>
            </w:pPr>
          </w:p>
        </w:tc>
      </w:tr>
      <w:tr>
        <w:trPr>
          <w:trHeight w:val="250"/>
        </w:trPr>
        <w:tc>
          <w:tcPr>
            <w:tcW w:w="42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2025</w:t>
            </w:r>
          </w:p>
        </w:tc>
        <w:tc>
          <w:tcPr>
            <w:tcW w:w="10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28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12,791</w:t>
            </w:r>
          </w:p>
        </w:tc>
        <w:tc>
          <w:tcPr>
            <w:tcW w:w="100" w:type="dxa"/>
            <w:vAlign w:val="bottom"/>
            <w:tcBorders>
              <w:bottom w:val="single" w:sz="8" w:color="CCEEFF"/>
            </w:tcBorders>
            <w:shd w:val="clear" w:color="auto" w:fill="CCEEFF"/>
          </w:tcPr>
          <w:p>
            <w:pPr>
              <w:spacing w:after="0"/>
              <w:rPr>
                <w:sz w:val="21"/>
                <w:szCs w:val="21"/>
                <w:color w:val="auto"/>
              </w:rPr>
            </w:pPr>
          </w:p>
        </w:tc>
        <w:tc>
          <w:tcPr>
            <w:tcW w:w="600" w:type="dxa"/>
            <w:vAlign w:val="bottom"/>
            <w:tcBorders>
              <w:bottom w:val="single" w:sz="8" w:color="CCEEFF"/>
            </w:tcBorders>
            <w:shd w:val="clear" w:color="auto" w:fill="CCEEFF"/>
          </w:tcPr>
          <w:p>
            <w:pPr>
              <w:spacing w:after="0"/>
              <w:rPr>
                <w:sz w:val="21"/>
                <w:szCs w:val="21"/>
                <w:color w:val="auto"/>
              </w:rPr>
            </w:pPr>
          </w:p>
        </w:tc>
        <w:tc>
          <w:tcPr>
            <w:tcW w:w="28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(3,554)</w:t>
            </w:r>
          </w:p>
        </w:tc>
      </w:tr>
      <w:tr>
        <w:trPr>
          <w:trHeight w:val="243"/>
        </w:trPr>
        <w:tc>
          <w:tcPr>
            <w:tcW w:w="432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560" w:type="dxa"/>
            <w:vAlign w:val="bottom"/>
          </w:tcPr>
          <w:p>
            <w:pPr>
              <w:spacing w:after="0"/>
              <w:rPr>
                <w:sz w:val="21"/>
                <w:szCs w:val="21"/>
                <w:color w:val="auto"/>
              </w:rPr>
            </w:pPr>
          </w:p>
        </w:tc>
        <w:tc>
          <w:tcPr>
            <w:tcW w:w="2840" w:type="dxa"/>
            <w:vAlign w:val="bottom"/>
          </w:tcPr>
          <w:p>
            <w:pPr>
              <w:jc w:val="right"/>
              <w:ind w:right="50"/>
              <w:spacing w:after="0"/>
              <w:rPr>
                <w:sz w:val="20"/>
                <w:szCs w:val="20"/>
                <w:color w:val="auto"/>
              </w:rPr>
            </w:pPr>
            <w:r>
              <w:rPr>
                <w:rFonts w:ascii="Arial" w:cs="Arial" w:eastAsia="Arial" w:hAnsi="Arial"/>
                <w:sz w:val="18"/>
                <w:szCs w:val="18"/>
                <w:color w:val="auto"/>
              </w:rPr>
              <w:t>34,015</w:t>
            </w:r>
          </w:p>
        </w:tc>
        <w:tc>
          <w:tcPr>
            <w:tcW w:w="10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2820" w:type="dxa"/>
            <w:vAlign w:val="bottom"/>
          </w:tcPr>
          <w:p>
            <w:pPr>
              <w:jc w:val="right"/>
              <w:ind w:right="10"/>
              <w:spacing w:after="0"/>
              <w:rPr>
                <w:sz w:val="20"/>
                <w:szCs w:val="20"/>
                <w:color w:val="auto"/>
              </w:rPr>
            </w:pPr>
            <w:r>
              <w:rPr>
                <w:rFonts w:ascii="Arial" w:cs="Arial" w:eastAsia="Arial" w:hAnsi="Arial"/>
                <w:sz w:val="18"/>
                <w:szCs w:val="18"/>
                <w:color w:val="auto"/>
              </w:rPr>
              <w:t>(9,364)</w:t>
            </w:r>
          </w:p>
        </w:tc>
      </w:tr>
      <w:tr>
        <w:trPr>
          <w:trHeight w:val="27"/>
        </w:trPr>
        <w:tc>
          <w:tcPr>
            <w:tcW w:w="422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28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2820" w:type="dxa"/>
            <w:vAlign w:val="bottom"/>
            <w:tcBorders>
              <w:bottom w:val="single" w:sz="8" w:color="auto"/>
            </w:tcBorders>
          </w:tcPr>
          <w:p>
            <w:pPr>
              <w:spacing w:after="0"/>
              <w:rPr>
                <w:sz w:val="2"/>
                <w:szCs w:val="2"/>
                <w:color w:val="auto"/>
              </w:rPr>
            </w:pPr>
          </w:p>
        </w:tc>
      </w:tr>
      <w:tr>
        <w:trPr>
          <w:trHeight w:val="263"/>
        </w:trPr>
        <w:tc>
          <w:tcPr>
            <w:tcW w:w="432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 lease payments</w:t>
            </w:r>
          </w:p>
        </w:tc>
        <w:tc>
          <w:tcPr>
            <w:tcW w:w="560" w:type="dxa"/>
            <w:vAlign w:val="bottom"/>
            <w:tcBorders>
              <w:bottom w:val="single" w:sz="8" w:color="CCEEFF"/>
            </w:tcBorders>
            <w:shd w:val="clear" w:color="auto" w:fill="CCEEFF"/>
          </w:tcPr>
          <w:p>
            <w:pPr>
              <w:spacing w:after="0"/>
              <w:rPr>
                <w:sz w:val="22"/>
                <w:szCs w:val="22"/>
                <w:color w:val="auto"/>
              </w:rPr>
            </w:pPr>
          </w:p>
        </w:tc>
        <w:tc>
          <w:tcPr>
            <w:tcW w:w="28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166,338</w:t>
            </w:r>
          </w:p>
        </w:tc>
        <w:tc>
          <w:tcPr>
            <w:tcW w:w="100" w:type="dxa"/>
            <w:vAlign w:val="bottom"/>
            <w:tcBorders>
              <w:bottom w:val="single" w:sz="8" w:color="CCEEFF"/>
            </w:tcBorders>
            <w:shd w:val="clear" w:color="auto" w:fill="CCEEFF"/>
          </w:tcPr>
          <w:p>
            <w:pPr>
              <w:spacing w:after="0"/>
              <w:rPr>
                <w:sz w:val="22"/>
                <w:szCs w:val="22"/>
                <w:color w:val="auto"/>
              </w:rPr>
            </w:pPr>
          </w:p>
        </w:tc>
        <w:tc>
          <w:tcPr>
            <w:tcW w:w="600" w:type="dxa"/>
            <w:vAlign w:val="bottom"/>
            <w:tcBorders>
              <w:bottom w:val="single" w:sz="8" w:color="CCEEFF"/>
            </w:tcBorders>
            <w:shd w:val="clear" w:color="auto" w:fill="CCEEFF"/>
          </w:tcPr>
          <w:p>
            <w:pPr>
              <w:spacing w:after="0"/>
              <w:rPr>
                <w:sz w:val="22"/>
                <w:szCs w:val="22"/>
                <w:color w:val="auto"/>
              </w:rPr>
            </w:pPr>
          </w:p>
        </w:tc>
        <w:tc>
          <w:tcPr>
            <w:tcW w:w="28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(26,392)</w:t>
            </w:r>
          </w:p>
        </w:tc>
      </w:tr>
      <w:tr>
        <w:trPr>
          <w:trHeight w:val="237"/>
        </w:trPr>
        <w:tc>
          <w:tcPr>
            <w:tcW w:w="4320" w:type="dxa"/>
            <w:vAlign w:val="bottom"/>
            <w:gridSpan w:val="2"/>
          </w:tcPr>
          <w:p>
            <w:pPr>
              <w:ind w:left="440"/>
              <w:spacing w:after="0"/>
              <w:rPr>
                <w:sz w:val="20"/>
                <w:szCs w:val="20"/>
                <w:color w:val="auto"/>
              </w:rPr>
            </w:pPr>
            <w:r>
              <w:rPr>
                <w:rFonts w:ascii="Arial" w:cs="Arial" w:eastAsia="Arial" w:hAnsi="Arial"/>
                <w:sz w:val="18"/>
                <w:szCs w:val="18"/>
                <w:color w:val="auto"/>
              </w:rPr>
              <w:t>Less: imputed interest</w:t>
            </w:r>
          </w:p>
        </w:tc>
        <w:tc>
          <w:tcPr>
            <w:tcW w:w="560" w:type="dxa"/>
            <w:vAlign w:val="bottom"/>
            <w:tcBorders>
              <w:top w:val="single" w:sz="8" w:color="auto"/>
            </w:tcBorders>
          </w:tcPr>
          <w:p>
            <w:pPr>
              <w:spacing w:after="0"/>
              <w:rPr>
                <w:sz w:val="20"/>
                <w:szCs w:val="20"/>
                <w:color w:val="auto"/>
              </w:rPr>
            </w:pPr>
          </w:p>
        </w:tc>
        <w:tc>
          <w:tcPr>
            <w:tcW w:w="284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rPr>
              <w:t>21,898</w:t>
            </w:r>
          </w:p>
        </w:tc>
        <w:tc>
          <w:tcPr>
            <w:tcW w:w="100" w:type="dxa"/>
            <w:vAlign w:val="bottom"/>
          </w:tcPr>
          <w:p>
            <w:pPr>
              <w:spacing w:after="0"/>
              <w:rPr>
                <w:sz w:val="20"/>
                <w:szCs w:val="20"/>
                <w:color w:val="auto"/>
              </w:rPr>
            </w:pPr>
          </w:p>
        </w:tc>
        <w:tc>
          <w:tcPr>
            <w:tcW w:w="600" w:type="dxa"/>
            <w:vAlign w:val="bottom"/>
            <w:tcBorders>
              <w:top w:val="single" w:sz="8" w:color="auto"/>
            </w:tcBorders>
          </w:tcPr>
          <w:p>
            <w:pPr>
              <w:spacing w:after="0"/>
              <w:rPr>
                <w:sz w:val="20"/>
                <w:szCs w:val="20"/>
                <w:color w:val="auto"/>
              </w:rPr>
            </w:pPr>
          </w:p>
        </w:tc>
        <w:tc>
          <w:tcPr>
            <w:tcW w:w="2820" w:type="dxa"/>
            <w:vAlign w:val="bottom"/>
            <w:tcBorders>
              <w:top w:val="single" w:sz="8" w:color="auto"/>
            </w:tcBorders>
          </w:tcPr>
          <w:p>
            <w:pPr>
              <w:spacing w:after="0"/>
              <w:rPr>
                <w:sz w:val="20"/>
                <w:szCs w:val="20"/>
                <w:color w:val="auto"/>
              </w:rPr>
            </w:pPr>
          </w:p>
        </w:tc>
      </w:tr>
      <w:tr>
        <w:trPr>
          <w:trHeight w:val="27"/>
        </w:trPr>
        <w:tc>
          <w:tcPr>
            <w:tcW w:w="422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28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600" w:type="dxa"/>
            <w:vAlign w:val="bottom"/>
            <w:tcBorders>
              <w:bottom w:val="single" w:sz="8" w:color="CCEEFF"/>
            </w:tcBorders>
          </w:tcPr>
          <w:p>
            <w:pPr>
              <w:spacing w:after="0"/>
              <w:rPr>
                <w:sz w:val="2"/>
                <w:szCs w:val="2"/>
                <w:color w:val="auto"/>
              </w:rPr>
            </w:pPr>
          </w:p>
        </w:tc>
        <w:tc>
          <w:tcPr>
            <w:tcW w:w="2820" w:type="dxa"/>
            <w:vAlign w:val="bottom"/>
            <w:tcBorders>
              <w:bottom w:val="single" w:sz="8" w:color="CCEEFF"/>
            </w:tcBorders>
          </w:tcPr>
          <w:p>
            <w:pPr>
              <w:spacing w:after="0"/>
              <w:rPr>
                <w:sz w:val="2"/>
                <w:szCs w:val="2"/>
                <w:color w:val="auto"/>
              </w:rPr>
            </w:pPr>
          </w:p>
        </w:tc>
      </w:tr>
      <w:tr>
        <w:trPr>
          <w:trHeight w:val="288"/>
        </w:trPr>
        <w:tc>
          <w:tcPr>
            <w:tcW w:w="432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Present value of lease liabilities</w:t>
            </w:r>
          </w:p>
        </w:tc>
        <w:tc>
          <w:tcPr>
            <w:tcW w:w="560" w:type="dxa"/>
            <w:vAlign w:val="bottom"/>
            <w:tcBorders>
              <w:bottom w:val="single" w:sz="8" w:color="auto"/>
            </w:tcBorders>
            <w:shd w:val="clear" w:color="auto" w:fill="CCEEFF"/>
          </w:tcPr>
          <w:p>
            <w:pPr>
              <w:jc w:val="right"/>
              <w:ind w:right="370"/>
              <w:spacing w:after="0"/>
              <w:rPr>
                <w:sz w:val="20"/>
                <w:szCs w:val="20"/>
                <w:color w:val="auto"/>
              </w:rPr>
            </w:pPr>
            <w:r>
              <w:rPr>
                <w:rFonts w:ascii="Arial" w:cs="Arial" w:eastAsia="Arial" w:hAnsi="Arial"/>
                <w:sz w:val="18"/>
                <w:szCs w:val="18"/>
                <w:color w:val="auto"/>
                <w:w w:val="79"/>
              </w:rPr>
              <w:t>$</w:t>
            </w:r>
          </w:p>
        </w:tc>
        <w:tc>
          <w:tcPr>
            <w:tcW w:w="28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rPr>
              <w:t>144,440</w:t>
            </w:r>
          </w:p>
        </w:tc>
        <w:tc>
          <w:tcPr>
            <w:tcW w:w="100" w:type="dxa"/>
            <w:vAlign w:val="bottom"/>
            <w:tcBorders>
              <w:bottom w:val="single" w:sz="8" w:color="CCEEFF"/>
            </w:tcBorders>
            <w:shd w:val="clear" w:color="auto" w:fill="CCEEFF"/>
          </w:tcPr>
          <w:p>
            <w:pPr>
              <w:spacing w:after="0"/>
              <w:rPr>
                <w:sz w:val="24"/>
                <w:szCs w:val="24"/>
                <w:color w:val="auto"/>
              </w:rPr>
            </w:pPr>
          </w:p>
        </w:tc>
        <w:tc>
          <w:tcPr>
            <w:tcW w:w="600" w:type="dxa"/>
            <w:vAlign w:val="bottom"/>
            <w:tcBorders>
              <w:bottom w:val="single" w:sz="8" w:color="CCEEFF"/>
            </w:tcBorders>
            <w:shd w:val="clear" w:color="auto" w:fill="CCEEFF"/>
          </w:tcPr>
          <w:p>
            <w:pPr>
              <w:spacing w:after="0"/>
              <w:rPr>
                <w:sz w:val="24"/>
                <w:szCs w:val="24"/>
                <w:color w:val="auto"/>
              </w:rPr>
            </w:pPr>
          </w:p>
        </w:tc>
        <w:tc>
          <w:tcPr>
            <w:tcW w:w="2820" w:type="dxa"/>
            <w:vAlign w:val="bottom"/>
            <w:tcBorders>
              <w:bottom w:val="single" w:sz="8" w:color="CCEEFF"/>
            </w:tcBorders>
            <w:shd w:val="clear" w:color="auto" w:fill="CCEEFF"/>
          </w:tcPr>
          <w:p>
            <w:pPr>
              <w:spacing w:after="0"/>
              <w:rPr>
                <w:sz w:val="24"/>
                <w:szCs w:val="24"/>
                <w:color w:val="auto"/>
              </w:rPr>
            </w:pPr>
          </w:p>
        </w:tc>
      </w:tr>
      <w:tr>
        <w:trPr>
          <w:trHeight w:val="20"/>
        </w:trPr>
        <w:tc>
          <w:tcPr>
            <w:tcW w:w="42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28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600" w:type="dxa"/>
            <w:vAlign w:val="bottom"/>
            <w:tcBorders>
              <w:top w:val="single" w:sz="8" w:color="CCEEFF"/>
            </w:tcBorders>
          </w:tcPr>
          <w:p>
            <w:pPr>
              <w:spacing w:after="0" w:line="20" w:lineRule="exact"/>
              <w:rPr>
                <w:sz w:val="1"/>
                <w:szCs w:val="1"/>
                <w:color w:val="auto"/>
              </w:rPr>
            </w:pPr>
          </w:p>
        </w:tc>
        <w:tc>
          <w:tcPr>
            <w:tcW w:w="2820" w:type="dxa"/>
            <w:vAlign w:val="bottom"/>
            <w:tcBorders>
              <w:top w:val="single" w:sz="8" w:color="CCEEFF"/>
            </w:tcBorders>
          </w:tcPr>
          <w:p>
            <w:pPr>
              <w:spacing w:after="0" w:line="20" w:lineRule="exact"/>
              <w:rPr>
                <w:sz w:val="1"/>
                <w:szCs w:val="1"/>
                <w:color w:val="auto"/>
              </w:rPr>
            </w:pPr>
          </w:p>
        </w:tc>
      </w:tr>
      <w:tr>
        <w:trPr>
          <w:trHeight w:val="892"/>
        </w:trPr>
        <w:tc>
          <w:tcPr>
            <w:tcW w:w="4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840" w:type="dxa"/>
            <w:vAlign w:val="bottom"/>
          </w:tcPr>
          <w:p>
            <w:pPr>
              <w:jc w:val="right"/>
              <w:ind w:right="1910"/>
              <w:spacing w:after="0"/>
              <w:rPr>
                <w:sz w:val="20"/>
                <w:szCs w:val="20"/>
                <w:color w:val="auto"/>
              </w:rPr>
            </w:pPr>
            <w:r>
              <w:rPr>
                <w:rFonts w:ascii="Arial" w:cs="Arial" w:eastAsia="Arial" w:hAnsi="Arial"/>
                <w:sz w:val="18"/>
                <w:szCs w:val="18"/>
                <w:color w:val="auto"/>
              </w:rPr>
              <w:t>70</w:t>
            </w: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820" w:type="dxa"/>
            <w:vAlign w:val="bottom"/>
          </w:tcPr>
          <w:p>
            <w:pPr>
              <w:spacing w:after="0"/>
              <w:rPr>
                <w:sz w:val="24"/>
                <w:szCs w:val="24"/>
                <w:color w:val="auto"/>
              </w:rPr>
            </w:pPr>
          </w:p>
        </w:tc>
      </w:tr>
      <w:tr>
        <w:trPr>
          <w:trHeight w:val="358"/>
        </w:trPr>
        <w:tc>
          <w:tcPr>
            <w:tcW w:w="422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560" w:type="dxa"/>
            <w:vAlign w:val="bottom"/>
            <w:tcBorders>
              <w:bottom w:val="single" w:sz="8" w:color="9A9A9A"/>
            </w:tcBorders>
          </w:tcPr>
          <w:p>
            <w:pPr>
              <w:spacing w:after="0"/>
              <w:rPr>
                <w:sz w:val="24"/>
                <w:szCs w:val="24"/>
                <w:color w:val="auto"/>
              </w:rPr>
            </w:pPr>
          </w:p>
        </w:tc>
        <w:tc>
          <w:tcPr>
            <w:tcW w:w="284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600" w:type="dxa"/>
            <w:vAlign w:val="bottom"/>
            <w:tcBorders>
              <w:bottom w:val="single" w:sz="8" w:color="9A9A9A"/>
            </w:tcBorders>
          </w:tcPr>
          <w:p>
            <w:pPr>
              <w:spacing w:after="0"/>
              <w:rPr>
                <w:sz w:val="24"/>
                <w:szCs w:val="24"/>
                <w:color w:val="auto"/>
              </w:rPr>
            </w:pPr>
          </w:p>
        </w:tc>
        <w:tc>
          <w:tcPr>
            <w:tcW w:w="2820" w:type="dxa"/>
            <w:vAlign w:val="bottom"/>
            <w:tcBorders>
              <w:bottom w:val="single" w:sz="8" w:color="9A9A9A"/>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7128510</wp:posOffset>
            </wp:positionH>
            <wp:positionV relativeFrom="paragraph">
              <wp:posOffset>-8255</wp:posOffset>
            </wp:positionV>
            <wp:extent cx="8255"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825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8890" cy="171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889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3" w:name="page74"/>
    <w:bookmarkEnd w:id="7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83" w:lineRule="exact"/>
        <w:rPr>
          <w:sz w:val="20"/>
          <w:szCs w:val="20"/>
          <w:color w:val="auto"/>
        </w:rPr>
      </w:pPr>
    </w:p>
    <w:p>
      <w:pPr>
        <w:ind w:right="200" w:firstLine="405"/>
        <w:spacing w:after="0" w:line="342" w:lineRule="auto"/>
        <w:rPr>
          <w:sz w:val="20"/>
          <w:szCs w:val="20"/>
          <w:color w:val="auto"/>
        </w:rPr>
      </w:pPr>
      <w:r>
        <w:rPr>
          <w:rFonts w:ascii="Arial" w:cs="Arial" w:eastAsia="Arial" w:hAnsi="Arial"/>
          <w:sz w:val="16"/>
          <w:szCs w:val="16"/>
          <w:color w:val="auto"/>
        </w:rPr>
        <w:t>As previously disclosed in our Annual Report on Form 10-K for the year ended February 2, 2019 and under the previous lease accounting standard, the aggregate future non-cancelable minimum rental payments of our operating leases, as of February 2, 2019, are as follows (in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7780" w:type="dxa"/>
            <w:vAlign w:val="bottom"/>
            <w:gridSpan w:val="3"/>
          </w:tcPr>
          <w:p>
            <w:pPr>
              <w:ind w:left="20"/>
              <w:spacing w:after="0"/>
              <w:rPr>
                <w:sz w:val="20"/>
                <w:szCs w:val="20"/>
                <w:color w:val="auto"/>
              </w:rPr>
            </w:pPr>
            <w:r>
              <w:rPr>
                <w:rFonts w:ascii="Arial" w:cs="Arial" w:eastAsia="Arial" w:hAnsi="Arial"/>
                <w:sz w:val="18"/>
                <w:szCs w:val="18"/>
                <w:b w:val="1"/>
                <w:bCs w:val="1"/>
                <w:color w:val="auto"/>
              </w:rPr>
              <w:t>Fiscal Year</w:t>
            </w:r>
          </w:p>
        </w:tc>
        <w:tc>
          <w:tcPr>
            <w:tcW w:w="340" w:type="dxa"/>
            <w:vAlign w:val="bottom"/>
          </w:tcPr>
          <w:p>
            <w:pPr>
              <w:spacing w:after="0"/>
              <w:rPr>
                <w:sz w:val="20"/>
                <w:szCs w:val="20"/>
                <w:color w:val="auto"/>
              </w:rPr>
            </w:pPr>
          </w:p>
        </w:tc>
        <w:tc>
          <w:tcPr>
            <w:tcW w:w="3120" w:type="dxa"/>
            <w:vAlign w:val="bottom"/>
            <w:gridSpan w:val="2"/>
          </w:tcPr>
          <w:p>
            <w:pPr>
              <w:ind w:left="720"/>
              <w:spacing w:after="0"/>
              <w:rPr>
                <w:sz w:val="20"/>
                <w:szCs w:val="20"/>
                <w:color w:val="auto"/>
              </w:rPr>
            </w:pPr>
            <w:r>
              <w:rPr>
                <w:rFonts w:ascii="Arial" w:cs="Arial" w:eastAsia="Arial" w:hAnsi="Arial"/>
                <w:sz w:val="18"/>
                <w:szCs w:val="18"/>
                <w:b w:val="1"/>
                <w:bCs w:val="1"/>
                <w:color w:val="auto"/>
              </w:rPr>
              <w:t>Operating Leases</w:t>
            </w:r>
          </w:p>
        </w:tc>
        <w:tc>
          <w:tcPr>
            <w:tcW w:w="0" w:type="dxa"/>
            <w:vAlign w:val="bottom"/>
          </w:tcPr>
          <w:p>
            <w:pPr>
              <w:spacing w:after="0"/>
              <w:rPr>
                <w:sz w:val="1"/>
                <w:szCs w:val="1"/>
                <w:color w:val="auto"/>
              </w:rPr>
            </w:pPr>
          </w:p>
        </w:tc>
      </w:tr>
      <w:tr>
        <w:trPr>
          <w:trHeight w:val="27"/>
        </w:trPr>
        <w:tc>
          <w:tcPr>
            <w:tcW w:w="7680" w:type="dxa"/>
            <w:vAlign w:val="bottom"/>
            <w:tcBorders>
              <w:bottom w:val="single" w:sz="8" w:color="auto"/>
            </w:tcBorders>
          </w:tcPr>
          <w:p>
            <w:pPr>
              <w:spacing w:after="0"/>
              <w:rPr>
                <w:sz w:val="2"/>
                <w:szCs w:val="2"/>
                <w:color w:val="auto"/>
              </w:rPr>
            </w:pPr>
          </w:p>
        </w:tc>
        <w:tc>
          <w:tcPr>
            <w:tcW w:w="80" w:type="dxa"/>
            <w:vAlign w:val="bottom"/>
            <w:tcBorders>
              <w:bottom w:val="single" w:sz="8" w:color="CCEEFF"/>
            </w:tcBorders>
          </w:tcPr>
          <w:p>
            <w:pPr>
              <w:spacing w:after="0"/>
              <w:rPr>
                <w:sz w:val="2"/>
                <w:szCs w:val="2"/>
                <w:color w:val="auto"/>
              </w:rPr>
            </w:pPr>
          </w:p>
        </w:tc>
        <w:tc>
          <w:tcPr>
            <w:tcW w:w="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308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76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2020</w:t>
            </w:r>
          </w:p>
        </w:tc>
        <w:tc>
          <w:tcPr>
            <w:tcW w:w="8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30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43,286</w:t>
            </w:r>
          </w:p>
        </w:tc>
        <w:tc>
          <w:tcPr>
            <w:tcW w:w="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7680" w:type="dxa"/>
            <w:vAlign w:val="bottom"/>
          </w:tcPr>
          <w:p>
            <w:pPr>
              <w:ind w:left="20"/>
              <w:spacing w:after="0"/>
              <w:rPr>
                <w:sz w:val="20"/>
                <w:szCs w:val="20"/>
                <w:color w:val="auto"/>
              </w:rPr>
            </w:pPr>
            <w:r>
              <w:rPr>
                <w:rFonts w:ascii="Arial" w:cs="Arial" w:eastAsia="Arial" w:hAnsi="Arial"/>
                <w:sz w:val="18"/>
                <w:szCs w:val="18"/>
                <w:color w:val="auto"/>
              </w:rPr>
              <w:t>2021</w:t>
            </w: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3080" w:type="dxa"/>
            <w:vAlign w:val="bottom"/>
          </w:tcPr>
          <w:p>
            <w:pPr>
              <w:jc w:val="right"/>
              <w:ind w:right="30"/>
              <w:spacing w:after="0"/>
              <w:rPr>
                <w:sz w:val="20"/>
                <w:szCs w:val="20"/>
                <w:color w:val="auto"/>
              </w:rPr>
            </w:pPr>
            <w:r>
              <w:rPr>
                <w:rFonts w:ascii="Arial" w:cs="Arial" w:eastAsia="Arial" w:hAnsi="Arial"/>
                <w:sz w:val="18"/>
                <w:szCs w:val="18"/>
                <w:color w:val="auto"/>
              </w:rPr>
              <w:t>29,866</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768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340" w:type="dxa"/>
            <w:vAlign w:val="bottom"/>
          </w:tcPr>
          <w:p>
            <w:pPr>
              <w:spacing w:after="0"/>
              <w:rPr>
                <w:sz w:val="2"/>
                <w:szCs w:val="2"/>
                <w:color w:val="auto"/>
              </w:rPr>
            </w:pPr>
          </w:p>
        </w:tc>
        <w:tc>
          <w:tcPr>
            <w:tcW w:w="3080" w:type="dxa"/>
            <w:vAlign w:val="bottom"/>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6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2022</w:t>
            </w:r>
          </w:p>
        </w:tc>
        <w:tc>
          <w:tcPr>
            <w:tcW w:w="8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30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26,612</w:t>
            </w:r>
          </w:p>
        </w:tc>
        <w:tc>
          <w:tcPr>
            <w:tcW w:w="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7680" w:type="dxa"/>
            <w:vAlign w:val="bottom"/>
          </w:tcPr>
          <w:p>
            <w:pPr>
              <w:ind w:left="20"/>
              <w:spacing w:after="0"/>
              <w:rPr>
                <w:sz w:val="20"/>
                <w:szCs w:val="20"/>
                <w:color w:val="auto"/>
              </w:rPr>
            </w:pPr>
            <w:r>
              <w:rPr>
                <w:rFonts w:ascii="Arial" w:cs="Arial" w:eastAsia="Arial" w:hAnsi="Arial"/>
                <w:sz w:val="18"/>
                <w:szCs w:val="18"/>
                <w:color w:val="auto"/>
              </w:rPr>
              <w:t>2023</w:t>
            </w: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3080" w:type="dxa"/>
            <w:vAlign w:val="bottom"/>
          </w:tcPr>
          <w:p>
            <w:pPr>
              <w:jc w:val="right"/>
              <w:ind w:right="30"/>
              <w:spacing w:after="0"/>
              <w:rPr>
                <w:sz w:val="20"/>
                <w:szCs w:val="20"/>
                <w:color w:val="auto"/>
              </w:rPr>
            </w:pPr>
            <w:r>
              <w:rPr>
                <w:rFonts w:ascii="Arial" w:cs="Arial" w:eastAsia="Arial" w:hAnsi="Arial"/>
                <w:sz w:val="18"/>
                <w:szCs w:val="18"/>
                <w:color w:val="auto"/>
              </w:rPr>
              <w:t>21,272</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768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340" w:type="dxa"/>
            <w:vAlign w:val="bottom"/>
          </w:tcPr>
          <w:p>
            <w:pPr>
              <w:spacing w:after="0"/>
              <w:rPr>
                <w:sz w:val="2"/>
                <w:szCs w:val="2"/>
                <w:color w:val="auto"/>
              </w:rPr>
            </w:pPr>
          </w:p>
        </w:tc>
        <w:tc>
          <w:tcPr>
            <w:tcW w:w="3080" w:type="dxa"/>
            <w:vAlign w:val="bottom"/>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6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8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30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13,690</w:t>
            </w:r>
          </w:p>
        </w:tc>
        <w:tc>
          <w:tcPr>
            <w:tcW w:w="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7780" w:type="dxa"/>
            <w:vAlign w:val="bottom"/>
            <w:gridSpan w:val="3"/>
          </w:tcPr>
          <w:p>
            <w:pPr>
              <w:ind w:left="20"/>
              <w:spacing w:after="0"/>
              <w:rPr>
                <w:sz w:val="20"/>
                <w:szCs w:val="20"/>
                <w:color w:val="auto"/>
              </w:rPr>
            </w:pPr>
            <w:r>
              <w:rPr>
                <w:rFonts w:ascii="Arial" w:cs="Arial" w:eastAsia="Arial" w:hAnsi="Arial"/>
                <w:sz w:val="18"/>
                <w:szCs w:val="18"/>
                <w:color w:val="auto"/>
              </w:rPr>
              <w:t>Thereafter</w:t>
            </w:r>
          </w:p>
        </w:tc>
        <w:tc>
          <w:tcPr>
            <w:tcW w:w="340" w:type="dxa"/>
            <w:vAlign w:val="bottom"/>
          </w:tcPr>
          <w:p>
            <w:pPr>
              <w:spacing w:after="0"/>
              <w:rPr>
                <w:sz w:val="21"/>
                <w:szCs w:val="21"/>
                <w:color w:val="auto"/>
              </w:rPr>
            </w:pPr>
          </w:p>
        </w:tc>
        <w:tc>
          <w:tcPr>
            <w:tcW w:w="3080" w:type="dxa"/>
            <w:vAlign w:val="bottom"/>
          </w:tcPr>
          <w:p>
            <w:pPr>
              <w:jc w:val="right"/>
              <w:ind w:right="30"/>
              <w:spacing w:after="0"/>
              <w:rPr>
                <w:sz w:val="20"/>
                <w:szCs w:val="20"/>
                <w:color w:val="auto"/>
              </w:rPr>
            </w:pPr>
            <w:r>
              <w:rPr>
                <w:rFonts w:ascii="Arial" w:cs="Arial" w:eastAsia="Arial" w:hAnsi="Arial"/>
                <w:sz w:val="18"/>
                <w:szCs w:val="18"/>
                <w:color w:val="auto"/>
              </w:rPr>
              <w:t>40,100</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7680" w:type="dxa"/>
            <w:vAlign w:val="bottom"/>
            <w:tcBorders>
              <w:bottom w:val="single" w:sz="8" w:color="CCEEFF"/>
            </w:tcBorders>
          </w:tcPr>
          <w:p>
            <w:pPr>
              <w:spacing w:after="0"/>
              <w:rPr>
                <w:sz w:val="2"/>
                <w:szCs w:val="2"/>
                <w:color w:val="auto"/>
              </w:rPr>
            </w:pPr>
          </w:p>
        </w:tc>
        <w:tc>
          <w:tcPr>
            <w:tcW w:w="80" w:type="dxa"/>
            <w:vAlign w:val="bottom"/>
            <w:tcBorders>
              <w:bottom w:val="single" w:sz="8" w:color="CCEEFF"/>
            </w:tcBorders>
          </w:tcPr>
          <w:p>
            <w:pPr>
              <w:spacing w:after="0"/>
              <w:rPr>
                <w:sz w:val="2"/>
                <w:szCs w:val="2"/>
                <w:color w:val="auto"/>
              </w:rPr>
            </w:pPr>
          </w:p>
        </w:tc>
        <w:tc>
          <w:tcPr>
            <w:tcW w:w="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308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7780" w:type="dxa"/>
            <w:vAlign w:val="bottom"/>
            <w:tcBorders>
              <w:bottom w:val="single" w:sz="8" w:color="CCEEFF"/>
            </w:tcBorders>
            <w:gridSpan w:val="3"/>
            <w:shd w:val="clear" w:color="auto" w:fill="CCEEFF"/>
          </w:tcPr>
          <w:p>
            <w:pPr>
              <w:ind w:left="20"/>
              <w:spacing w:after="0"/>
              <w:rPr>
                <w:sz w:val="20"/>
                <w:szCs w:val="20"/>
                <w:color w:val="auto"/>
              </w:rPr>
            </w:pPr>
            <w:r>
              <w:rPr>
                <w:rFonts w:ascii="Arial" w:cs="Arial" w:eastAsia="Arial" w:hAnsi="Arial"/>
                <w:sz w:val="18"/>
                <w:szCs w:val="18"/>
                <w:color w:val="auto"/>
              </w:rPr>
              <w:t>Total</w:t>
            </w:r>
          </w:p>
        </w:tc>
        <w:tc>
          <w:tcPr>
            <w:tcW w:w="340" w:type="dxa"/>
            <w:vAlign w:val="bottom"/>
            <w:tcBorders>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308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rPr>
              <w:t>174,826</w:t>
            </w:r>
          </w:p>
        </w:tc>
        <w:tc>
          <w:tcPr>
            <w:tcW w:w="40" w:type="dxa"/>
            <w:vAlign w:val="bottom"/>
            <w:tcBorders>
              <w:bottom w:val="single" w:sz="8" w:color="auto"/>
            </w:tcBorders>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7780" w:type="dxa"/>
            <w:vAlign w:val="bottom"/>
            <w:tcBorders>
              <w:top w:val="single" w:sz="8" w:color="CCEEFF"/>
              <w:bottom w:val="single" w:sz="8" w:color="CCEEFF"/>
            </w:tcBorders>
            <w:gridSpan w:val="3"/>
            <w:vMerge w:val="restart"/>
          </w:tcPr>
          <w:p>
            <w:pPr>
              <w:ind w:left="420"/>
              <w:spacing w:after="0"/>
              <w:rPr>
                <w:sz w:val="20"/>
                <w:szCs w:val="20"/>
                <w:color w:val="auto"/>
              </w:rPr>
            </w:pPr>
            <w:r>
              <w:rPr>
                <w:rFonts w:ascii="Arial" w:cs="Arial" w:eastAsia="Arial" w:hAnsi="Arial"/>
                <w:sz w:val="18"/>
                <w:szCs w:val="18"/>
                <w:color w:val="auto"/>
              </w:rPr>
              <w:t>Average lease terms and discount rates were as follows:</w:t>
            </w: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3080" w:type="dxa"/>
            <w:vAlign w:val="bottom"/>
            <w:tcBorders>
              <w:top w:val="single" w:sz="8" w:color="CCEEFF"/>
              <w:bottom w:val="single" w:sz="8" w:color="auto"/>
            </w:tcBorders>
          </w:tcPr>
          <w:p>
            <w:pPr>
              <w:spacing w:after="0" w:line="20" w:lineRule="exact"/>
              <w:rPr>
                <w:sz w:val="1"/>
                <w:szCs w:val="1"/>
                <w:color w:val="auto"/>
              </w:rPr>
            </w:pPr>
          </w:p>
        </w:tc>
        <w:tc>
          <w:tcPr>
            <w:tcW w:w="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41"/>
        </w:trPr>
        <w:tc>
          <w:tcPr>
            <w:tcW w:w="7780" w:type="dxa"/>
            <w:vAlign w:val="bottom"/>
            <w:gridSpan w:val="3"/>
            <w:vMerge w:val="continue"/>
          </w:tcPr>
          <w:p>
            <w:pPr>
              <w:spacing w:after="0"/>
              <w:rPr>
                <w:sz w:val="24"/>
                <w:szCs w:val="24"/>
                <w:color w:val="auto"/>
              </w:rPr>
            </w:pPr>
          </w:p>
        </w:tc>
        <w:tc>
          <w:tcPr>
            <w:tcW w:w="340" w:type="dxa"/>
            <w:vAlign w:val="bottom"/>
          </w:tcPr>
          <w:p>
            <w:pPr>
              <w:spacing w:after="0"/>
              <w:rPr>
                <w:sz w:val="24"/>
                <w:szCs w:val="24"/>
                <w:color w:val="auto"/>
              </w:rPr>
            </w:pPr>
          </w:p>
        </w:tc>
        <w:tc>
          <w:tcPr>
            <w:tcW w:w="30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13"/>
        </w:trPr>
        <w:tc>
          <w:tcPr>
            <w:tcW w:w="7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120" w:type="dxa"/>
            <w:vAlign w:val="bottom"/>
            <w:gridSpan w:val="2"/>
          </w:tcPr>
          <w:p>
            <w:pPr>
              <w:ind w:left="220"/>
              <w:spacing w:after="0"/>
              <w:rPr>
                <w:sz w:val="20"/>
                <w:szCs w:val="20"/>
                <w:color w:val="auto"/>
              </w:rPr>
            </w:pPr>
            <w:r>
              <w:rPr>
                <w:rFonts w:ascii="Arial" w:cs="Arial" w:eastAsia="Arial" w:hAnsi="Arial"/>
                <w:sz w:val="18"/>
                <w:szCs w:val="18"/>
                <w:b w:val="1"/>
                <w:bCs w:val="1"/>
                <w:color w:val="auto"/>
              </w:rPr>
              <w:t>Year Ended February 1, 2020</w:t>
            </w:r>
          </w:p>
        </w:tc>
        <w:tc>
          <w:tcPr>
            <w:tcW w:w="0" w:type="dxa"/>
            <w:vAlign w:val="bottom"/>
          </w:tcPr>
          <w:p>
            <w:pPr>
              <w:spacing w:after="0"/>
              <w:rPr>
                <w:sz w:val="1"/>
                <w:szCs w:val="1"/>
                <w:color w:val="auto"/>
              </w:rPr>
            </w:pPr>
          </w:p>
        </w:tc>
      </w:tr>
      <w:tr>
        <w:trPr>
          <w:trHeight w:val="27"/>
        </w:trPr>
        <w:tc>
          <w:tcPr>
            <w:tcW w:w="7760" w:type="dxa"/>
            <w:vAlign w:val="bottom"/>
            <w:tcBorders>
              <w:bottom w:val="single" w:sz="8" w:color="CCEEFF"/>
            </w:tcBorders>
            <w:gridSpan w:val="2"/>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3080" w:type="dxa"/>
            <w:vAlign w:val="bottom"/>
            <w:tcBorders>
              <w:bottom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7780" w:type="dxa"/>
            <w:vAlign w:val="bottom"/>
            <w:tcBorders>
              <w:bottom w:val="single" w:sz="8" w:color="CCEEFF"/>
            </w:tcBorders>
            <w:gridSpan w:val="3"/>
            <w:shd w:val="clear" w:color="auto" w:fill="CCEEFF"/>
          </w:tcPr>
          <w:p>
            <w:pPr>
              <w:ind w:left="20"/>
              <w:spacing w:after="0"/>
              <w:rPr>
                <w:sz w:val="20"/>
                <w:szCs w:val="20"/>
                <w:color w:val="auto"/>
              </w:rPr>
            </w:pPr>
            <w:r>
              <w:rPr>
                <w:rFonts w:ascii="Arial" w:cs="Arial" w:eastAsia="Arial" w:hAnsi="Arial"/>
                <w:sz w:val="18"/>
                <w:szCs w:val="18"/>
                <w:color w:val="auto"/>
              </w:rPr>
              <w:t>Weighted-average remaining lease term (years)</w:t>
            </w:r>
          </w:p>
        </w:tc>
        <w:tc>
          <w:tcPr>
            <w:tcW w:w="340" w:type="dxa"/>
            <w:vAlign w:val="bottom"/>
            <w:tcBorders>
              <w:bottom w:val="single" w:sz="8" w:color="CCEEFF"/>
            </w:tcBorders>
            <w:shd w:val="clear" w:color="auto" w:fill="CCEEFF"/>
          </w:tcPr>
          <w:p>
            <w:pPr>
              <w:spacing w:after="0"/>
              <w:rPr>
                <w:sz w:val="21"/>
                <w:szCs w:val="21"/>
                <w:color w:val="auto"/>
              </w:rPr>
            </w:pPr>
          </w:p>
        </w:tc>
        <w:tc>
          <w:tcPr>
            <w:tcW w:w="3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5.52</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7780" w:type="dxa"/>
            <w:vAlign w:val="bottom"/>
            <w:gridSpan w:val="3"/>
          </w:tcPr>
          <w:p>
            <w:pPr>
              <w:ind w:left="20"/>
              <w:spacing w:after="0"/>
              <w:rPr>
                <w:sz w:val="20"/>
                <w:szCs w:val="20"/>
                <w:color w:val="auto"/>
              </w:rPr>
            </w:pPr>
            <w:r>
              <w:rPr>
                <w:rFonts w:ascii="Arial" w:cs="Arial" w:eastAsia="Arial" w:hAnsi="Arial"/>
                <w:sz w:val="18"/>
                <w:szCs w:val="18"/>
                <w:color w:val="auto"/>
              </w:rPr>
              <w:t>Weighted-average discount rate</w:t>
            </w:r>
          </w:p>
        </w:tc>
        <w:tc>
          <w:tcPr>
            <w:tcW w:w="340" w:type="dxa"/>
            <w:vAlign w:val="bottom"/>
          </w:tcPr>
          <w:p>
            <w:pPr>
              <w:spacing w:after="0"/>
              <w:rPr>
                <w:sz w:val="21"/>
                <w:szCs w:val="21"/>
                <w:color w:val="auto"/>
              </w:rPr>
            </w:pPr>
          </w:p>
        </w:tc>
        <w:tc>
          <w:tcPr>
            <w:tcW w:w="3080" w:type="dxa"/>
            <w:vAlign w:val="bottom"/>
          </w:tcPr>
          <w:p>
            <w:pPr>
              <w:jc w:val="right"/>
              <w:spacing w:after="0"/>
              <w:rPr>
                <w:sz w:val="20"/>
                <w:szCs w:val="20"/>
                <w:color w:val="auto"/>
              </w:rPr>
            </w:pPr>
            <w:r>
              <w:rPr>
                <w:rFonts w:ascii="Arial" w:cs="Arial" w:eastAsia="Arial" w:hAnsi="Arial"/>
                <w:sz w:val="18"/>
                <w:szCs w:val="18"/>
                <w:color w:val="auto"/>
              </w:rPr>
              <w:t>3.85%</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 Revenue</w:t>
      </w:r>
    </w:p>
    <w:p>
      <w:pPr>
        <w:spacing w:after="0" w:line="20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Disaggregation of Revenue</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majority of the Company's revenue is generated from sales of the Company’s products.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product group (in thousands, except percentages):</w:t>
      </w:r>
    </w:p>
    <w:p>
      <w:pPr>
        <w:spacing w:after="0" w:line="2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20" w:type="dxa"/>
            <w:vAlign w:val="bottom"/>
          </w:tcPr>
          <w:p>
            <w:pPr>
              <w:jc w:val="right"/>
              <w:ind w:right="296"/>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1060" w:type="dxa"/>
            <w:vAlign w:val="bottom"/>
            <w:gridSpan w:val="3"/>
            <w:vMerge w:val="restart"/>
          </w:tcPr>
          <w:p>
            <w:pPr>
              <w:ind w:left="60"/>
              <w:spacing w:after="0"/>
              <w:rPr>
                <w:sz w:val="20"/>
                <w:szCs w:val="20"/>
                <w:color w:val="auto"/>
              </w:rPr>
            </w:pPr>
            <w:r>
              <w:rPr>
                <w:rFonts w:ascii="Arial" w:cs="Arial" w:eastAsia="Arial" w:hAnsi="Arial"/>
                <w:sz w:val="14"/>
                <w:szCs w:val="14"/>
                <w:b w:val="1"/>
                <w:bCs w:val="1"/>
                <w:color w:val="auto"/>
              </w:rPr>
              <w:t>% of Total</w:t>
            </w:r>
          </w:p>
        </w:tc>
        <w:tc>
          <w:tcPr>
            <w:tcW w:w="160" w:type="dxa"/>
            <w:vAlign w:val="bottom"/>
          </w:tcPr>
          <w:p>
            <w:pPr>
              <w:spacing w:after="0"/>
              <w:rPr>
                <w:sz w:val="14"/>
                <w:szCs w:val="14"/>
                <w:color w:val="auto"/>
              </w:rPr>
            </w:pPr>
          </w:p>
        </w:tc>
        <w:tc>
          <w:tcPr>
            <w:tcW w:w="1340" w:type="dxa"/>
            <w:vAlign w:val="bottom"/>
          </w:tcPr>
          <w:p>
            <w:pPr>
              <w:jc w:val="right"/>
              <w:ind w:right="296"/>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1060" w:type="dxa"/>
            <w:vAlign w:val="bottom"/>
            <w:gridSpan w:val="3"/>
            <w:vMerge w:val="restart"/>
          </w:tcPr>
          <w:p>
            <w:pPr>
              <w:ind w:left="60"/>
              <w:spacing w:after="0"/>
              <w:rPr>
                <w:sz w:val="20"/>
                <w:szCs w:val="20"/>
                <w:color w:val="auto"/>
              </w:rPr>
            </w:pPr>
            <w:r>
              <w:rPr>
                <w:rFonts w:ascii="Arial" w:cs="Arial" w:eastAsia="Arial" w:hAnsi="Arial"/>
                <w:sz w:val="14"/>
                <w:szCs w:val="14"/>
                <w:b w:val="1"/>
                <w:bCs w:val="1"/>
                <w:color w:val="auto"/>
              </w:rPr>
              <w:t>% of Total</w:t>
            </w:r>
          </w:p>
        </w:tc>
        <w:tc>
          <w:tcPr>
            <w:tcW w:w="160" w:type="dxa"/>
            <w:vAlign w:val="bottom"/>
          </w:tcPr>
          <w:p>
            <w:pPr>
              <w:spacing w:after="0"/>
              <w:rPr>
                <w:sz w:val="14"/>
                <w:szCs w:val="14"/>
                <w:color w:val="auto"/>
              </w:rPr>
            </w:pPr>
          </w:p>
        </w:tc>
        <w:tc>
          <w:tcPr>
            <w:tcW w:w="1340" w:type="dxa"/>
            <w:vAlign w:val="bottom"/>
          </w:tcPr>
          <w:p>
            <w:pPr>
              <w:jc w:val="right"/>
              <w:ind w:right="296"/>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860" w:type="dxa"/>
            <w:vAlign w:val="bottom"/>
            <w:gridSpan w:val="2"/>
            <w:vMerge w:val="restart"/>
          </w:tcPr>
          <w:p>
            <w:pPr>
              <w:jc w:val="right"/>
              <w:ind w:right="10"/>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31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320" w:type="dxa"/>
            <w:vAlign w:val="bottom"/>
          </w:tcPr>
          <w:p>
            <w:pPr>
              <w:jc w:val="right"/>
              <w:ind w:right="136"/>
              <w:spacing w:after="0"/>
              <w:rPr>
                <w:sz w:val="20"/>
                <w:szCs w:val="20"/>
                <w:color w:val="auto"/>
              </w:rPr>
            </w:pPr>
            <w:r>
              <w:rPr>
                <w:rFonts w:ascii="Arial" w:cs="Arial" w:eastAsia="Arial" w:hAnsi="Arial"/>
                <w:sz w:val="14"/>
                <w:szCs w:val="14"/>
                <w:b w:val="1"/>
                <w:bCs w:val="1"/>
                <w:color w:val="auto"/>
                <w:w w:val="97"/>
              </w:rPr>
              <w:t>February 1, 2020</w:t>
            </w:r>
          </w:p>
        </w:tc>
        <w:tc>
          <w:tcPr>
            <w:tcW w:w="200" w:type="dxa"/>
            <w:vAlign w:val="bottom"/>
          </w:tcPr>
          <w:p>
            <w:pPr>
              <w:spacing w:after="0"/>
              <w:rPr>
                <w:sz w:val="16"/>
                <w:szCs w:val="16"/>
                <w:color w:val="auto"/>
              </w:rPr>
            </w:pPr>
          </w:p>
        </w:tc>
        <w:tc>
          <w:tcPr>
            <w:tcW w:w="1060" w:type="dxa"/>
            <w:vAlign w:val="bottom"/>
            <w:gridSpan w:val="3"/>
            <w:vMerge w:val="continue"/>
          </w:tcPr>
          <w:p>
            <w:pPr>
              <w:spacing w:after="0"/>
              <w:rPr>
                <w:sz w:val="16"/>
                <w:szCs w:val="16"/>
                <w:color w:val="auto"/>
              </w:rPr>
            </w:pPr>
          </w:p>
        </w:tc>
        <w:tc>
          <w:tcPr>
            <w:tcW w:w="160" w:type="dxa"/>
            <w:vAlign w:val="bottom"/>
          </w:tcPr>
          <w:p>
            <w:pPr>
              <w:spacing w:after="0"/>
              <w:rPr>
                <w:sz w:val="16"/>
                <w:szCs w:val="16"/>
                <w:color w:val="auto"/>
              </w:rPr>
            </w:pPr>
          </w:p>
        </w:tc>
        <w:tc>
          <w:tcPr>
            <w:tcW w:w="1340" w:type="dxa"/>
            <w:vAlign w:val="bottom"/>
          </w:tcPr>
          <w:p>
            <w:pPr>
              <w:jc w:val="right"/>
              <w:ind w:right="136"/>
              <w:spacing w:after="0"/>
              <w:rPr>
                <w:sz w:val="20"/>
                <w:szCs w:val="20"/>
                <w:color w:val="auto"/>
              </w:rPr>
            </w:pPr>
            <w:r>
              <w:rPr>
                <w:rFonts w:ascii="Arial" w:cs="Arial" w:eastAsia="Arial" w:hAnsi="Arial"/>
                <w:sz w:val="14"/>
                <w:szCs w:val="14"/>
                <w:b w:val="1"/>
                <w:bCs w:val="1"/>
                <w:color w:val="auto"/>
                <w:w w:val="99"/>
              </w:rPr>
              <w:t>February 2, 2019</w:t>
            </w:r>
          </w:p>
        </w:tc>
        <w:tc>
          <w:tcPr>
            <w:tcW w:w="200" w:type="dxa"/>
            <w:vAlign w:val="bottom"/>
          </w:tcPr>
          <w:p>
            <w:pPr>
              <w:spacing w:after="0"/>
              <w:rPr>
                <w:sz w:val="16"/>
                <w:szCs w:val="16"/>
                <w:color w:val="auto"/>
              </w:rPr>
            </w:pPr>
          </w:p>
        </w:tc>
        <w:tc>
          <w:tcPr>
            <w:tcW w:w="1060" w:type="dxa"/>
            <w:vAlign w:val="bottom"/>
            <w:gridSpan w:val="3"/>
            <w:vMerge w:val="continue"/>
          </w:tcPr>
          <w:p>
            <w:pPr>
              <w:spacing w:after="0"/>
              <w:rPr>
                <w:sz w:val="16"/>
                <w:szCs w:val="16"/>
                <w:color w:val="auto"/>
              </w:rPr>
            </w:pPr>
          </w:p>
        </w:tc>
        <w:tc>
          <w:tcPr>
            <w:tcW w:w="160" w:type="dxa"/>
            <w:vAlign w:val="bottom"/>
          </w:tcPr>
          <w:p>
            <w:pPr>
              <w:spacing w:after="0"/>
              <w:rPr>
                <w:sz w:val="16"/>
                <w:szCs w:val="16"/>
                <w:color w:val="auto"/>
              </w:rPr>
            </w:pPr>
          </w:p>
        </w:tc>
        <w:tc>
          <w:tcPr>
            <w:tcW w:w="1340" w:type="dxa"/>
            <w:vAlign w:val="bottom"/>
          </w:tcPr>
          <w:p>
            <w:pPr>
              <w:jc w:val="right"/>
              <w:ind w:right="136"/>
              <w:spacing w:after="0"/>
              <w:rPr>
                <w:sz w:val="20"/>
                <w:szCs w:val="20"/>
                <w:color w:val="auto"/>
              </w:rPr>
            </w:pPr>
            <w:r>
              <w:rPr>
                <w:rFonts w:ascii="Arial" w:cs="Arial" w:eastAsia="Arial" w:hAnsi="Arial"/>
                <w:sz w:val="14"/>
                <w:szCs w:val="14"/>
                <w:b w:val="1"/>
                <w:bCs w:val="1"/>
                <w:color w:val="auto"/>
                <w:w w:val="99"/>
              </w:rPr>
              <w:t>February 3, 2018</w:t>
            </w:r>
          </w:p>
        </w:tc>
        <w:tc>
          <w:tcPr>
            <w:tcW w:w="200" w:type="dxa"/>
            <w:vAlign w:val="bottom"/>
          </w:tcPr>
          <w:p>
            <w:pPr>
              <w:spacing w:after="0"/>
              <w:rPr>
                <w:sz w:val="16"/>
                <w:szCs w:val="16"/>
                <w:color w:val="auto"/>
              </w:rPr>
            </w:pPr>
          </w:p>
        </w:tc>
        <w:tc>
          <w:tcPr>
            <w:tcW w:w="860" w:type="dxa"/>
            <w:vAlign w:val="bottom"/>
            <w:gridSpan w:val="2"/>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36"/>
        </w:trPr>
        <w:tc>
          <w:tcPr>
            <w:tcW w:w="3160" w:type="dxa"/>
            <w:vAlign w:val="bottom"/>
            <w:tcBorders>
              <w:top w:val="single" w:sz="8" w:color="CCEEFF"/>
              <w:bottom w:val="single" w:sz="8" w:color="CCEEFF"/>
            </w:tcBorders>
            <w:shd w:val="clear" w:color="auto" w:fill="CCEEFF"/>
          </w:tcPr>
          <w:p>
            <w:pPr>
              <w:ind w:left="120"/>
              <w:spacing w:after="0"/>
              <w:rPr>
                <w:sz w:val="20"/>
                <w:szCs w:val="20"/>
                <w:color w:val="auto"/>
              </w:rPr>
            </w:pPr>
            <w:r>
              <w:rPr>
                <w:rFonts w:ascii="Arial" w:cs="Arial" w:eastAsia="Arial" w:hAnsi="Arial"/>
                <w:sz w:val="18"/>
                <w:szCs w:val="18"/>
                <w:b w:val="1"/>
                <w:bCs w:val="1"/>
                <w:color w:val="auto"/>
              </w:rPr>
              <w:t>Net revenue by product group:</w:t>
            </w:r>
          </w:p>
        </w:tc>
        <w:tc>
          <w:tcPr>
            <w:tcW w:w="180" w:type="dxa"/>
            <w:vAlign w:val="bottom"/>
            <w:tcBorders>
              <w:top w:val="single" w:sz="8" w:color="auto"/>
              <w:bottom w:val="single" w:sz="8" w:color="CCEEFF"/>
            </w:tcBorders>
            <w:shd w:val="clear" w:color="auto" w:fill="CCEEFF"/>
          </w:tcPr>
          <w:p>
            <w:pPr>
              <w:spacing w:after="0"/>
              <w:rPr>
                <w:sz w:val="20"/>
                <w:szCs w:val="20"/>
                <w:color w:val="auto"/>
              </w:rPr>
            </w:pPr>
          </w:p>
        </w:tc>
        <w:tc>
          <w:tcPr>
            <w:tcW w:w="132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CCEEFF"/>
              <w:bottom w:val="single" w:sz="8" w:color="CCEEFF"/>
            </w:tcBorders>
            <w:shd w:val="clear" w:color="auto" w:fill="CCEEFF"/>
          </w:tcPr>
          <w:p>
            <w:pPr>
              <w:spacing w:after="0"/>
              <w:rPr>
                <w:sz w:val="20"/>
                <w:szCs w:val="20"/>
                <w:color w:val="auto"/>
              </w:rPr>
            </w:pPr>
          </w:p>
        </w:tc>
        <w:tc>
          <w:tcPr>
            <w:tcW w:w="58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280" w:type="dxa"/>
            <w:vAlign w:val="bottom"/>
            <w:tcBorders>
              <w:top w:val="single" w:sz="8" w:color="CCEEFF"/>
              <w:bottom w:val="single" w:sz="8" w:color="CCEEFF"/>
            </w:tcBorders>
            <w:shd w:val="clear" w:color="auto" w:fill="CCEEFF"/>
          </w:tcPr>
          <w:p>
            <w:pPr>
              <w:spacing w:after="0"/>
              <w:rPr>
                <w:sz w:val="20"/>
                <w:szCs w:val="20"/>
                <w:color w:val="auto"/>
              </w:rPr>
            </w:pPr>
          </w:p>
        </w:tc>
        <w:tc>
          <w:tcPr>
            <w:tcW w:w="160" w:type="dxa"/>
            <w:vAlign w:val="bottom"/>
            <w:tcBorders>
              <w:top w:val="single" w:sz="8" w:color="auto"/>
              <w:bottom w:val="single" w:sz="8" w:color="CCEEFF"/>
            </w:tcBorders>
            <w:shd w:val="clear" w:color="auto" w:fill="CCEEFF"/>
          </w:tcPr>
          <w:p>
            <w:pPr>
              <w:spacing w:after="0"/>
              <w:rPr>
                <w:sz w:val="20"/>
                <w:szCs w:val="20"/>
                <w:color w:val="auto"/>
              </w:rPr>
            </w:pPr>
          </w:p>
        </w:tc>
        <w:tc>
          <w:tcPr>
            <w:tcW w:w="134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CCEEFF"/>
              <w:bottom w:val="single" w:sz="8" w:color="CCEEFF"/>
            </w:tcBorders>
            <w:shd w:val="clear" w:color="auto" w:fill="CCEEFF"/>
          </w:tcPr>
          <w:p>
            <w:pPr>
              <w:spacing w:after="0"/>
              <w:rPr>
                <w:sz w:val="20"/>
                <w:szCs w:val="20"/>
                <w:color w:val="auto"/>
              </w:rPr>
            </w:pPr>
          </w:p>
        </w:tc>
        <w:tc>
          <w:tcPr>
            <w:tcW w:w="58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280" w:type="dxa"/>
            <w:vAlign w:val="bottom"/>
            <w:tcBorders>
              <w:top w:val="single" w:sz="8" w:color="CCEEFF"/>
              <w:bottom w:val="single" w:sz="8" w:color="CCEEFF"/>
            </w:tcBorders>
            <w:shd w:val="clear" w:color="auto" w:fill="CCEEFF"/>
          </w:tcPr>
          <w:p>
            <w:pPr>
              <w:spacing w:after="0"/>
              <w:rPr>
                <w:sz w:val="20"/>
                <w:szCs w:val="20"/>
                <w:color w:val="auto"/>
              </w:rPr>
            </w:pPr>
          </w:p>
        </w:tc>
        <w:tc>
          <w:tcPr>
            <w:tcW w:w="160" w:type="dxa"/>
            <w:vAlign w:val="bottom"/>
            <w:tcBorders>
              <w:top w:val="single" w:sz="8" w:color="auto"/>
              <w:bottom w:val="single" w:sz="8" w:color="CCEEFF"/>
            </w:tcBorders>
            <w:shd w:val="clear" w:color="auto" w:fill="CCEEFF"/>
          </w:tcPr>
          <w:p>
            <w:pPr>
              <w:spacing w:after="0"/>
              <w:rPr>
                <w:sz w:val="20"/>
                <w:szCs w:val="20"/>
                <w:color w:val="auto"/>
              </w:rPr>
            </w:pPr>
          </w:p>
        </w:tc>
        <w:tc>
          <w:tcPr>
            <w:tcW w:w="134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CCEEFF"/>
              <w:bottom w:val="single" w:sz="8" w:color="CCEEFF"/>
            </w:tcBorders>
            <w:shd w:val="clear" w:color="auto" w:fill="CCEEFF"/>
          </w:tcPr>
          <w:p>
            <w:pPr>
              <w:spacing w:after="0"/>
              <w:rPr>
                <w:sz w:val="20"/>
                <w:szCs w:val="20"/>
                <w:color w:val="auto"/>
              </w:rPr>
            </w:pPr>
          </w:p>
        </w:tc>
        <w:tc>
          <w:tcPr>
            <w:tcW w:w="66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3160" w:type="dxa"/>
            <w:vAlign w:val="bottom"/>
          </w:tcPr>
          <w:p>
            <w:pPr>
              <w:ind w:left="340"/>
              <w:spacing w:after="0"/>
              <w:rPr>
                <w:sz w:val="20"/>
                <w:szCs w:val="20"/>
                <w:color w:val="auto"/>
              </w:rPr>
            </w:pPr>
            <w:r>
              <w:rPr>
                <w:rFonts w:ascii="Arial" w:cs="Arial" w:eastAsia="Arial" w:hAnsi="Arial"/>
                <w:sz w:val="18"/>
                <w:szCs w:val="18"/>
                <w:color w:val="auto"/>
              </w:rPr>
              <w:t>Networking (1)</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320" w:type="dxa"/>
            <w:vAlign w:val="bottom"/>
          </w:tcPr>
          <w:p>
            <w:pPr>
              <w:jc w:val="right"/>
              <w:ind w:right="56"/>
              <w:spacing w:after="0"/>
              <w:rPr>
                <w:sz w:val="20"/>
                <w:szCs w:val="20"/>
                <w:color w:val="auto"/>
              </w:rPr>
            </w:pPr>
            <w:r>
              <w:rPr>
                <w:rFonts w:ascii="Arial" w:cs="Arial" w:eastAsia="Arial" w:hAnsi="Arial"/>
                <w:sz w:val="18"/>
                <w:szCs w:val="18"/>
                <w:color w:val="auto"/>
              </w:rPr>
              <w:t>1,377,635</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51</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28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340" w:type="dxa"/>
            <w:vAlign w:val="bottom"/>
          </w:tcPr>
          <w:p>
            <w:pPr>
              <w:jc w:val="right"/>
              <w:ind w:right="76"/>
              <w:spacing w:after="0"/>
              <w:rPr>
                <w:sz w:val="20"/>
                <w:szCs w:val="20"/>
                <w:color w:val="auto"/>
              </w:rPr>
            </w:pPr>
            <w:r>
              <w:rPr>
                <w:rFonts w:ascii="Arial" w:cs="Arial" w:eastAsia="Arial" w:hAnsi="Arial"/>
                <w:sz w:val="18"/>
                <w:szCs w:val="18"/>
                <w:color w:val="auto"/>
              </w:rPr>
              <w:t>1,313,439</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46</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28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340" w:type="dxa"/>
            <w:vAlign w:val="bottom"/>
          </w:tcPr>
          <w:p>
            <w:pPr>
              <w:jc w:val="right"/>
              <w:ind w:right="56"/>
              <w:spacing w:after="0"/>
              <w:rPr>
                <w:sz w:val="20"/>
                <w:szCs w:val="20"/>
                <w:color w:val="auto"/>
              </w:rPr>
            </w:pPr>
            <w:r>
              <w:rPr>
                <w:rFonts w:ascii="Arial" w:cs="Arial" w:eastAsia="Arial" w:hAnsi="Arial"/>
                <w:sz w:val="18"/>
                <w:szCs w:val="18"/>
                <w:color w:val="auto"/>
              </w:rPr>
              <w:t>961,497</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40</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0" w:type="dxa"/>
            <w:vAlign w:val="bottom"/>
          </w:tcPr>
          <w:p>
            <w:pPr>
              <w:spacing w:after="0"/>
              <w:rPr>
                <w:sz w:val="1"/>
                <w:szCs w:val="1"/>
                <w:color w:val="auto"/>
              </w:rPr>
            </w:pPr>
          </w:p>
        </w:tc>
      </w:tr>
      <w:tr>
        <w:trPr>
          <w:trHeight w:val="27"/>
        </w:trPr>
        <w:tc>
          <w:tcPr>
            <w:tcW w:w="3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20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1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Storage (2)</w:t>
            </w:r>
          </w:p>
        </w:tc>
        <w:tc>
          <w:tcPr>
            <w:tcW w:w="1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1,137,766</w:t>
            </w:r>
          </w:p>
        </w:tc>
        <w:tc>
          <w:tcPr>
            <w:tcW w:w="7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42</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2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1,376,697</w:t>
            </w:r>
          </w:p>
        </w:tc>
        <w:tc>
          <w:tcPr>
            <w:tcW w:w="7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48</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2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1,254,365</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52</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0" w:type="dxa"/>
            <w:vAlign w:val="bottom"/>
          </w:tcPr>
          <w:p>
            <w:pPr>
              <w:spacing w:after="0"/>
              <w:rPr>
                <w:sz w:val="1"/>
                <w:szCs w:val="1"/>
                <w:color w:val="auto"/>
              </w:rPr>
            </w:pPr>
          </w:p>
        </w:tc>
      </w:tr>
      <w:tr>
        <w:trPr>
          <w:trHeight w:val="243"/>
        </w:trPr>
        <w:tc>
          <w:tcPr>
            <w:tcW w:w="3160" w:type="dxa"/>
            <w:vAlign w:val="bottom"/>
          </w:tcPr>
          <w:p>
            <w:pPr>
              <w:ind w:left="340"/>
              <w:spacing w:after="0"/>
              <w:rPr>
                <w:sz w:val="20"/>
                <w:szCs w:val="20"/>
                <w:color w:val="auto"/>
              </w:rPr>
            </w:pPr>
            <w:r>
              <w:rPr>
                <w:rFonts w:ascii="Arial" w:cs="Arial" w:eastAsia="Arial" w:hAnsi="Arial"/>
                <w:sz w:val="18"/>
                <w:szCs w:val="18"/>
                <w:color w:val="auto"/>
              </w:rPr>
              <w:t>Other (3)</w:t>
            </w:r>
          </w:p>
        </w:tc>
        <w:tc>
          <w:tcPr>
            <w:tcW w:w="180" w:type="dxa"/>
            <w:vAlign w:val="bottom"/>
          </w:tcPr>
          <w:p>
            <w:pPr>
              <w:spacing w:after="0"/>
              <w:rPr>
                <w:sz w:val="21"/>
                <w:szCs w:val="21"/>
                <w:color w:val="auto"/>
              </w:rPr>
            </w:pPr>
          </w:p>
        </w:tc>
        <w:tc>
          <w:tcPr>
            <w:tcW w:w="1320" w:type="dxa"/>
            <w:vAlign w:val="bottom"/>
          </w:tcPr>
          <w:p>
            <w:pPr>
              <w:jc w:val="right"/>
              <w:ind w:right="56"/>
              <w:spacing w:after="0"/>
              <w:rPr>
                <w:sz w:val="20"/>
                <w:szCs w:val="20"/>
                <w:color w:val="auto"/>
              </w:rPr>
            </w:pPr>
            <w:r>
              <w:rPr>
                <w:rFonts w:ascii="Arial" w:cs="Arial" w:eastAsia="Arial" w:hAnsi="Arial"/>
                <w:sz w:val="18"/>
                <w:szCs w:val="18"/>
                <w:color w:val="auto"/>
              </w:rPr>
              <w:t>183,760</w:t>
            </w: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7 %</w:t>
            </w:r>
          </w:p>
        </w:tc>
        <w:tc>
          <w:tcPr>
            <w:tcW w:w="2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40" w:type="dxa"/>
            <w:vAlign w:val="bottom"/>
          </w:tcPr>
          <w:p>
            <w:pPr>
              <w:jc w:val="right"/>
              <w:ind w:right="76"/>
              <w:spacing w:after="0"/>
              <w:rPr>
                <w:sz w:val="20"/>
                <w:szCs w:val="20"/>
                <w:color w:val="auto"/>
              </w:rPr>
            </w:pPr>
            <w:r>
              <w:rPr>
                <w:rFonts w:ascii="Arial" w:cs="Arial" w:eastAsia="Arial" w:hAnsi="Arial"/>
                <w:sz w:val="18"/>
                <w:szCs w:val="18"/>
                <w:color w:val="auto"/>
              </w:rPr>
              <w:t>175,655</w:t>
            </w: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6 %</w:t>
            </w:r>
          </w:p>
        </w:tc>
        <w:tc>
          <w:tcPr>
            <w:tcW w:w="2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40" w:type="dxa"/>
            <w:vAlign w:val="bottom"/>
          </w:tcPr>
          <w:p>
            <w:pPr>
              <w:jc w:val="right"/>
              <w:ind w:right="56"/>
              <w:spacing w:after="0"/>
              <w:rPr>
                <w:sz w:val="20"/>
                <w:szCs w:val="20"/>
                <w:color w:val="auto"/>
              </w:rPr>
            </w:pPr>
            <w:r>
              <w:rPr>
                <w:rFonts w:ascii="Arial" w:cs="Arial" w:eastAsia="Arial" w:hAnsi="Arial"/>
                <w:sz w:val="18"/>
                <w:szCs w:val="18"/>
                <w:color w:val="auto"/>
              </w:rPr>
              <w:t>193,308</w:t>
            </w: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8 %</w:t>
            </w:r>
          </w:p>
        </w:tc>
        <w:tc>
          <w:tcPr>
            <w:tcW w:w="0" w:type="dxa"/>
            <w:vAlign w:val="bottom"/>
          </w:tcPr>
          <w:p>
            <w:pPr>
              <w:spacing w:after="0"/>
              <w:rPr>
                <w:sz w:val="1"/>
                <w:szCs w:val="1"/>
                <w:color w:val="auto"/>
              </w:rPr>
            </w:pPr>
          </w:p>
        </w:tc>
      </w:tr>
      <w:tr>
        <w:trPr>
          <w:trHeight w:val="27"/>
        </w:trPr>
        <w:tc>
          <w:tcPr>
            <w:tcW w:w="316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58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58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66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89"/>
        </w:trPr>
        <w:tc>
          <w:tcPr>
            <w:tcW w:w="3160" w:type="dxa"/>
            <w:vAlign w:val="bottom"/>
            <w:tcBorders>
              <w:bottom w:val="single" w:sz="8" w:color="CCEEFF"/>
            </w:tcBorders>
            <w:shd w:val="clear" w:color="auto" w:fill="CCEEFF"/>
          </w:tcPr>
          <w:p>
            <w:pPr>
              <w:spacing w:after="0"/>
              <w:rPr>
                <w:sz w:val="24"/>
                <w:szCs w:val="24"/>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2,699,161</w:t>
            </w:r>
          </w:p>
        </w:tc>
        <w:tc>
          <w:tcPr>
            <w:tcW w:w="200" w:type="dxa"/>
            <w:vAlign w:val="bottom"/>
            <w:tcBorders>
              <w:bottom w:val="single" w:sz="8" w:color="CCEEFF"/>
            </w:tcBorders>
            <w:shd w:val="clear" w:color="auto" w:fill="CCEEFF"/>
          </w:tcPr>
          <w:p>
            <w:pPr>
              <w:spacing w:after="0"/>
              <w:rPr>
                <w:sz w:val="24"/>
                <w:szCs w:val="24"/>
                <w:color w:val="auto"/>
              </w:rPr>
            </w:pPr>
          </w:p>
        </w:tc>
        <w:tc>
          <w:tcPr>
            <w:tcW w:w="58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spacing w:after="0"/>
              <w:rPr>
                <w:sz w:val="24"/>
                <w:szCs w:val="24"/>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4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2,865,791</w:t>
            </w:r>
          </w:p>
        </w:tc>
        <w:tc>
          <w:tcPr>
            <w:tcW w:w="200" w:type="dxa"/>
            <w:vAlign w:val="bottom"/>
            <w:tcBorders>
              <w:bottom w:val="single" w:sz="8" w:color="CCEEFF"/>
            </w:tcBorders>
            <w:shd w:val="clear" w:color="auto" w:fill="CCEEFF"/>
          </w:tcPr>
          <w:p>
            <w:pPr>
              <w:spacing w:after="0"/>
              <w:rPr>
                <w:sz w:val="24"/>
                <w:szCs w:val="24"/>
                <w:color w:val="auto"/>
              </w:rPr>
            </w:pPr>
          </w:p>
        </w:tc>
        <w:tc>
          <w:tcPr>
            <w:tcW w:w="58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spacing w:after="0"/>
              <w:rPr>
                <w:sz w:val="24"/>
                <w:szCs w:val="24"/>
                <w:color w:val="auto"/>
              </w:rPr>
            </w:pPr>
          </w:p>
        </w:tc>
        <w:tc>
          <w:tcPr>
            <w:tcW w:w="280" w:type="dxa"/>
            <w:vAlign w:val="bottom"/>
            <w:tcBorders>
              <w:bottom w:val="single" w:sz="8" w:color="CCEEFF"/>
            </w:tcBorders>
            <w:shd w:val="clear" w:color="auto" w:fill="CCEEFF"/>
          </w:tcPr>
          <w:p>
            <w:pPr>
              <w:spacing w:after="0"/>
              <w:rPr>
                <w:sz w:val="24"/>
                <w:szCs w:val="24"/>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4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2,409,170</w:t>
            </w:r>
          </w:p>
        </w:tc>
        <w:tc>
          <w:tcPr>
            <w:tcW w:w="200" w:type="dxa"/>
            <w:vAlign w:val="bottom"/>
            <w:tcBorders>
              <w:bottom w:val="single" w:sz="8" w:color="CCEEFF"/>
            </w:tcBorders>
            <w:shd w:val="clear" w:color="auto" w:fill="CCEEFF"/>
          </w:tcPr>
          <w:p>
            <w:pPr>
              <w:spacing w:after="0"/>
              <w:rPr>
                <w:sz w:val="24"/>
                <w:szCs w:val="24"/>
                <w:color w:val="auto"/>
              </w:rPr>
            </w:pPr>
          </w:p>
        </w:tc>
        <w:tc>
          <w:tcPr>
            <w:tcW w:w="66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31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3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3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3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6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85" w:lineRule="exact"/>
        <w:rPr>
          <w:sz w:val="20"/>
          <w:szCs w:val="20"/>
          <w:color w:val="auto"/>
        </w:rPr>
      </w:pPr>
    </w:p>
    <w:p>
      <w:pPr>
        <w:ind w:left="1120" w:hanging="302"/>
        <w:spacing w:after="0"/>
        <w:tabs>
          <w:tab w:leader="none" w:pos="1120" w:val="left"/>
        </w:tabs>
        <w:numPr>
          <w:ilvl w:val="0"/>
          <w:numId w:val="31"/>
        </w:numPr>
        <w:rPr>
          <w:rFonts w:ascii="Arial" w:cs="Arial" w:eastAsia="Arial" w:hAnsi="Arial"/>
          <w:sz w:val="18"/>
          <w:szCs w:val="18"/>
          <w:color w:val="auto"/>
        </w:rPr>
      </w:pPr>
      <w:r>
        <w:rPr>
          <w:rFonts w:ascii="Arial" w:cs="Arial" w:eastAsia="Arial" w:hAnsi="Arial"/>
          <w:sz w:val="18"/>
          <w:szCs w:val="18"/>
          <w:color w:val="auto"/>
        </w:rPr>
        <w:t>Networking products are comprised primarily of Ethernet Solutions, Embedded Processors and Custom ASICs.</w:t>
      </w:r>
    </w:p>
    <w:p>
      <w:pPr>
        <w:spacing w:after="0" w:line="23" w:lineRule="exact"/>
        <w:rPr>
          <w:rFonts w:ascii="Arial" w:cs="Arial" w:eastAsia="Arial" w:hAnsi="Arial"/>
          <w:sz w:val="18"/>
          <w:szCs w:val="18"/>
          <w:color w:val="auto"/>
        </w:rPr>
      </w:pPr>
    </w:p>
    <w:p>
      <w:pPr>
        <w:ind w:left="1120" w:hanging="302"/>
        <w:spacing w:after="0"/>
        <w:tabs>
          <w:tab w:leader="none" w:pos="1120" w:val="left"/>
        </w:tabs>
        <w:numPr>
          <w:ilvl w:val="0"/>
          <w:numId w:val="31"/>
        </w:numPr>
        <w:rPr>
          <w:rFonts w:ascii="Arial" w:cs="Arial" w:eastAsia="Arial" w:hAnsi="Arial"/>
          <w:sz w:val="18"/>
          <w:szCs w:val="18"/>
          <w:color w:val="auto"/>
        </w:rPr>
      </w:pPr>
      <w:r>
        <w:rPr>
          <w:rFonts w:ascii="Arial" w:cs="Arial" w:eastAsia="Arial" w:hAnsi="Arial"/>
          <w:sz w:val="18"/>
          <w:szCs w:val="18"/>
          <w:color w:val="auto"/>
        </w:rPr>
        <w:t>Storage products are comprised primarily of Storage Controllers and Fibre Channel Adapters.</w:t>
      </w:r>
    </w:p>
    <w:p>
      <w:pPr>
        <w:spacing w:after="0" w:line="9" w:lineRule="exact"/>
        <w:rPr>
          <w:rFonts w:ascii="Arial" w:cs="Arial" w:eastAsia="Arial" w:hAnsi="Arial"/>
          <w:sz w:val="18"/>
          <w:szCs w:val="18"/>
          <w:color w:val="auto"/>
        </w:rPr>
      </w:pPr>
    </w:p>
    <w:p>
      <w:pPr>
        <w:ind w:left="1120" w:hanging="302"/>
        <w:spacing w:after="0"/>
        <w:tabs>
          <w:tab w:leader="none" w:pos="1120" w:val="left"/>
        </w:tabs>
        <w:numPr>
          <w:ilvl w:val="0"/>
          <w:numId w:val="31"/>
        </w:numPr>
        <w:rPr>
          <w:rFonts w:ascii="Arial" w:cs="Arial" w:eastAsia="Arial" w:hAnsi="Arial"/>
          <w:sz w:val="18"/>
          <w:szCs w:val="18"/>
          <w:color w:val="auto"/>
        </w:rPr>
      </w:pPr>
      <w:r>
        <w:rPr>
          <w:rFonts w:ascii="Arial" w:cs="Arial" w:eastAsia="Arial" w:hAnsi="Arial"/>
          <w:sz w:val="18"/>
          <w:szCs w:val="18"/>
          <w:color w:val="auto"/>
        </w:rPr>
        <w:t>Other products are comprised primarily of Printer Solutions, Application Processors and others.</w:t>
      </w:r>
    </w:p>
    <w:p>
      <w:pPr>
        <w:spacing w:after="0" w:line="200" w:lineRule="exact"/>
        <w:rPr>
          <w:sz w:val="20"/>
          <w:szCs w:val="20"/>
          <w:color w:val="auto"/>
        </w:rPr>
      </w:pPr>
    </w:p>
    <w:p>
      <w:pPr>
        <w:spacing w:after="0" w:line="3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4" w:name="page75"/>
    <w:bookmarkEnd w:id="7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83" w:lineRule="exact"/>
        <w:rPr>
          <w:sz w:val="20"/>
          <w:szCs w:val="20"/>
          <w:color w:val="auto"/>
        </w:rPr>
      </w:pPr>
    </w:p>
    <w:p>
      <w:pPr>
        <w:ind w:right="280" w:firstLine="364"/>
        <w:spacing w:after="0" w:line="277" w:lineRule="auto"/>
        <w:rPr>
          <w:sz w:val="20"/>
          <w:szCs w:val="20"/>
          <w:color w:val="auto"/>
        </w:rPr>
      </w:pPr>
      <w:r>
        <w:rPr>
          <w:rFonts w:ascii="Arial" w:cs="Arial" w:eastAsia="Arial" w:hAnsi="Arial"/>
          <w:sz w:val="18"/>
          <w:szCs w:val="18"/>
          <w:color w:val="auto"/>
        </w:rPr>
        <w:t>The following table summarizes net revenue disaggregated by primary geographical market based on destination of shipment (in thousands, except percentages):</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80" w:type="dxa"/>
            <w:vAlign w:val="bottom"/>
          </w:tcPr>
          <w:p>
            <w:pPr>
              <w:jc w:val="right"/>
              <w:ind w:right="194"/>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1200" w:type="dxa"/>
            <w:vAlign w:val="bottom"/>
            <w:gridSpan w:val="3"/>
            <w:vMerge w:val="restart"/>
          </w:tcPr>
          <w:p>
            <w:pPr>
              <w:ind w:left="120"/>
              <w:spacing w:after="0"/>
              <w:rPr>
                <w:sz w:val="20"/>
                <w:szCs w:val="20"/>
                <w:color w:val="auto"/>
              </w:rPr>
            </w:pPr>
            <w:r>
              <w:rPr>
                <w:rFonts w:ascii="Arial" w:cs="Arial" w:eastAsia="Arial" w:hAnsi="Arial"/>
                <w:sz w:val="14"/>
                <w:szCs w:val="14"/>
                <w:b w:val="1"/>
                <w:bCs w:val="1"/>
                <w:color w:val="auto"/>
              </w:rPr>
              <w:t>% of Total</w:t>
            </w:r>
          </w:p>
        </w:tc>
        <w:tc>
          <w:tcPr>
            <w:tcW w:w="100" w:type="dxa"/>
            <w:vAlign w:val="bottom"/>
          </w:tcPr>
          <w:p>
            <w:pPr>
              <w:spacing w:after="0"/>
              <w:rPr>
                <w:sz w:val="14"/>
                <w:szCs w:val="14"/>
                <w:color w:val="auto"/>
              </w:rPr>
            </w:pPr>
          </w:p>
        </w:tc>
        <w:tc>
          <w:tcPr>
            <w:tcW w:w="1180" w:type="dxa"/>
            <w:vAlign w:val="bottom"/>
          </w:tcPr>
          <w:p>
            <w:pPr>
              <w:jc w:val="right"/>
              <w:ind w:right="194"/>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1200" w:type="dxa"/>
            <w:vAlign w:val="bottom"/>
            <w:gridSpan w:val="3"/>
            <w:vMerge w:val="restart"/>
          </w:tcPr>
          <w:p>
            <w:pPr>
              <w:ind w:left="140"/>
              <w:spacing w:after="0"/>
              <w:rPr>
                <w:sz w:val="20"/>
                <w:szCs w:val="20"/>
                <w:color w:val="auto"/>
              </w:rPr>
            </w:pPr>
            <w:r>
              <w:rPr>
                <w:rFonts w:ascii="Arial" w:cs="Arial" w:eastAsia="Arial" w:hAnsi="Arial"/>
                <w:sz w:val="14"/>
                <w:szCs w:val="14"/>
                <w:b w:val="1"/>
                <w:bCs w:val="1"/>
                <w:color w:val="auto"/>
              </w:rPr>
              <w:t>% of Total</w:t>
            </w:r>
          </w:p>
        </w:tc>
        <w:tc>
          <w:tcPr>
            <w:tcW w:w="100" w:type="dxa"/>
            <w:vAlign w:val="bottom"/>
          </w:tcPr>
          <w:p>
            <w:pPr>
              <w:spacing w:after="0"/>
              <w:rPr>
                <w:sz w:val="14"/>
                <w:szCs w:val="14"/>
                <w:color w:val="auto"/>
              </w:rPr>
            </w:pPr>
          </w:p>
        </w:tc>
        <w:tc>
          <w:tcPr>
            <w:tcW w:w="1180" w:type="dxa"/>
            <w:vAlign w:val="bottom"/>
          </w:tcPr>
          <w:p>
            <w:pPr>
              <w:jc w:val="right"/>
              <w:ind w:right="194"/>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920" w:type="dxa"/>
            <w:vAlign w:val="bottom"/>
            <w:gridSpan w:val="2"/>
            <w:vMerge w:val="restart"/>
          </w:tcPr>
          <w:p>
            <w:pPr>
              <w:jc w:val="right"/>
              <w:ind w:right="50"/>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34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80" w:type="dxa"/>
            <w:vAlign w:val="bottom"/>
          </w:tcPr>
          <w:p>
            <w:pPr>
              <w:jc w:val="right"/>
              <w:ind w:right="34"/>
              <w:spacing w:after="0"/>
              <w:rPr>
                <w:sz w:val="20"/>
                <w:szCs w:val="20"/>
                <w:color w:val="auto"/>
              </w:rPr>
            </w:pPr>
            <w:r>
              <w:rPr>
                <w:rFonts w:ascii="Arial" w:cs="Arial" w:eastAsia="Arial" w:hAnsi="Arial"/>
                <w:sz w:val="14"/>
                <w:szCs w:val="14"/>
                <w:b w:val="1"/>
                <w:bCs w:val="1"/>
                <w:color w:val="auto"/>
                <w:w w:val="94"/>
              </w:rPr>
              <w:t>February 1, 2020</w:t>
            </w:r>
          </w:p>
        </w:tc>
        <w:tc>
          <w:tcPr>
            <w:tcW w:w="200" w:type="dxa"/>
            <w:vAlign w:val="bottom"/>
          </w:tcPr>
          <w:p>
            <w:pPr>
              <w:spacing w:after="0"/>
              <w:rPr>
                <w:sz w:val="16"/>
                <w:szCs w:val="16"/>
                <w:color w:val="auto"/>
              </w:rPr>
            </w:pPr>
          </w:p>
        </w:tc>
        <w:tc>
          <w:tcPr>
            <w:tcW w:w="1200" w:type="dxa"/>
            <w:vAlign w:val="bottom"/>
            <w:gridSpan w:val="3"/>
            <w:vMerge w:val="continue"/>
          </w:tcPr>
          <w:p>
            <w:pPr>
              <w:spacing w:after="0"/>
              <w:rPr>
                <w:sz w:val="16"/>
                <w:szCs w:val="16"/>
                <w:color w:val="auto"/>
              </w:rPr>
            </w:pPr>
          </w:p>
        </w:tc>
        <w:tc>
          <w:tcPr>
            <w:tcW w:w="100" w:type="dxa"/>
            <w:vAlign w:val="bottom"/>
          </w:tcPr>
          <w:p>
            <w:pPr>
              <w:spacing w:after="0"/>
              <w:rPr>
                <w:sz w:val="16"/>
                <w:szCs w:val="16"/>
                <w:color w:val="auto"/>
              </w:rPr>
            </w:pPr>
          </w:p>
        </w:tc>
        <w:tc>
          <w:tcPr>
            <w:tcW w:w="1180" w:type="dxa"/>
            <w:vAlign w:val="bottom"/>
          </w:tcPr>
          <w:p>
            <w:pPr>
              <w:jc w:val="right"/>
              <w:ind w:right="34"/>
              <w:spacing w:after="0"/>
              <w:rPr>
                <w:sz w:val="20"/>
                <w:szCs w:val="20"/>
                <w:color w:val="auto"/>
              </w:rPr>
            </w:pPr>
            <w:r>
              <w:rPr>
                <w:rFonts w:ascii="Arial" w:cs="Arial" w:eastAsia="Arial" w:hAnsi="Arial"/>
                <w:sz w:val="14"/>
                <w:szCs w:val="14"/>
                <w:b w:val="1"/>
                <w:bCs w:val="1"/>
                <w:color w:val="auto"/>
                <w:w w:val="94"/>
              </w:rPr>
              <w:t>February 2, 2019</w:t>
            </w:r>
          </w:p>
        </w:tc>
        <w:tc>
          <w:tcPr>
            <w:tcW w:w="200" w:type="dxa"/>
            <w:vAlign w:val="bottom"/>
          </w:tcPr>
          <w:p>
            <w:pPr>
              <w:spacing w:after="0"/>
              <w:rPr>
                <w:sz w:val="16"/>
                <w:szCs w:val="16"/>
                <w:color w:val="auto"/>
              </w:rPr>
            </w:pPr>
          </w:p>
        </w:tc>
        <w:tc>
          <w:tcPr>
            <w:tcW w:w="1200" w:type="dxa"/>
            <w:vAlign w:val="bottom"/>
            <w:gridSpan w:val="3"/>
            <w:vMerge w:val="continue"/>
          </w:tcPr>
          <w:p>
            <w:pPr>
              <w:spacing w:after="0"/>
              <w:rPr>
                <w:sz w:val="16"/>
                <w:szCs w:val="16"/>
                <w:color w:val="auto"/>
              </w:rPr>
            </w:pPr>
          </w:p>
        </w:tc>
        <w:tc>
          <w:tcPr>
            <w:tcW w:w="100" w:type="dxa"/>
            <w:vAlign w:val="bottom"/>
          </w:tcPr>
          <w:p>
            <w:pPr>
              <w:spacing w:after="0"/>
              <w:rPr>
                <w:sz w:val="16"/>
                <w:szCs w:val="16"/>
                <w:color w:val="auto"/>
              </w:rPr>
            </w:pPr>
          </w:p>
        </w:tc>
        <w:tc>
          <w:tcPr>
            <w:tcW w:w="1180" w:type="dxa"/>
            <w:vAlign w:val="bottom"/>
          </w:tcPr>
          <w:p>
            <w:pPr>
              <w:jc w:val="right"/>
              <w:ind w:right="34"/>
              <w:spacing w:after="0"/>
              <w:rPr>
                <w:sz w:val="20"/>
                <w:szCs w:val="20"/>
                <w:color w:val="auto"/>
              </w:rPr>
            </w:pPr>
            <w:r>
              <w:rPr>
                <w:rFonts w:ascii="Arial" w:cs="Arial" w:eastAsia="Arial" w:hAnsi="Arial"/>
                <w:sz w:val="14"/>
                <w:szCs w:val="14"/>
                <w:b w:val="1"/>
                <w:bCs w:val="1"/>
                <w:color w:val="auto"/>
                <w:w w:val="94"/>
              </w:rPr>
              <w:t>February 3, 2018</w:t>
            </w:r>
          </w:p>
        </w:tc>
        <w:tc>
          <w:tcPr>
            <w:tcW w:w="200" w:type="dxa"/>
            <w:vAlign w:val="bottom"/>
          </w:tcPr>
          <w:p>
            <w:pPr>
              <w:spacing w:after="0"/>
              <w:rPr>
                <w:sz w:val="16"/>
                <w:szCs w:val="16"/>
                <w:color w:val="auto"/>
              </w:rPr>
            </w:pPr>
          </w:p>
        </w:tc>
        <w:tc>
          <w:tcPr>
            <w:tcW w:w="920" w:type="dxa"/>
            <w:vAlign w:val="bottom"/>
            <w:gridSpan w:val="2"/>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3460" w:type="dxa"/>
            <w:vAlign w:val="bottom"/>
            <w:tcBorders>
              <w:top w:val="single" w:sz="8" w:color="CCEEFF"/>
            </w:tcBorders>
            <w:shd w:val="clear" w:color="auto" w:fill="CCEEFF"/>
          </w:tcPr>
          <w:p>
            <w:pPr>
              <w:ind w:left="120"/>
              <w:spacing w:after="0"/>
              <w:rPr>
                <w:sz w:val="20"/>
                <w:szCs w:val="20"/>
                <w:color w:val="auto"/>
              </w:rPr>
            </w:pPr>
            <w:r>
              <w:rPr>
                <w:rFonts w:ascii="Arial" w:cs="Arial" w:eastAsia="Arial" w:hAnsi="Arial"/>
                <w:sz w:val="18"/>
                <w:szCs w:val="18"/>
                <w:b w:val="1"/>
                <w:bCs w:val="1"/>
                <w:color w:val="auto"/>
              </w:rPr>
              <w:t>Net revenue based on destination of</w:t>
            </w:r>
          </w:p>
        </w:tc>
        <w:tc>
          <w:tcPr>
            <w:tcW w:w="12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41"/>
        </w:trPr>
        <w:tc>
          <w:tcPr>
            <w:tcW w:w="346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b w:val="1"/>
                <w:bCs w:val="1"/>
                <w:color w:val="auto"/>
              </w:rPr>
              <w:t>shipment:</w:t>
            </w:r>
          </w:p>
        </w:tc>
        <w:tc>
          <w:tcPr>
            <w:tcW w:w="12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70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7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7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3460" w:type="dxa"/>
            <w:vAlign w:val="bottom"/>
          </w:tcPr>
          <w:p>
            <w:pPr>
              <w:ind w:left="340"/>
              <w:spacing w:after="0"/>
              <w:rPr>
                <w:sz w:val="20"/>
                <w:szCs w:val="20"/>
                <w:color w:val="auto"/>
              </w:rPr>
            </w:pPr>
            <w:r>
              <w:rPr>
                <w:rFonts w:ascii="Arial" w:cs="Arial" w:eastAsia="Arial" w:hAnsi="Arial"/>
                <w:sz w:val="18"/>
                <w:szCs w:val="18"/>
                <w:color w:val="auto"/>
              </w:rPr>
              <w:t>China</w:t>
            </w: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74"/>
              <w:spacing w:after="0"/>
              <w:rPr>
                <w:sz w:val="20"/>
                <w:szCs w:val="20"/>
                <w:color w:val="auto"/>
              </w:rPr>
            </w:pPr>
            <w:r>
              <w:rPr>
                <w:rFonts w:ascii="Arial" w:cs="Arial" w:eastAsia="Arial" w:hAnsi="Arial"/>
                <w:sz w:val="18"/>
                <w:szCs w:val="18"/>
                <w:color w:val="auto"/>
              </w:rPr>
              <w:t>1,071,028</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40</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300" w:type="dxa"/>
            <w:vAlign w:val="bottom"/>
          </w:tcPr>
          <w:p>
            <w:pPr>
              <w:spacing w:after="0"/>
              <w:rPr>
                <w:sz w:val="21"/>
                <w:szCs w:val="21"/>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ind w:right="54"/>
              <w:spacing w:after="0"/>
              <w:rPr>
                <w:sz w:val="20"/>
                <w:szCs w:val="20"/>
                <w:color w:val="auto"/>
              </w:rPr>
            </w:pPr>
            <w:r>
              <w:rPr>
                <w:rFonts w:ascii="Arial" w:cs="Arial" w:eastAsia="Arial" w:hAnsi="Arial"/>
                <w:sz w:val="18"/>
                <w:szCs w:val="18"/>
                <w:color w:val="auto"/>
              </w:rPr>
              <w:t>1,189,928</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42</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280" w:type="dxa"/>
            <w:vAlign w:val="bottom"/>
          </w:tcPr>
          <w:p>
            <w:pPr>
              <w:spacing w:after="0"/>
              <w:rPr>
                <w:sz w:val="21"/>
                <w:szCs w:val="21"/>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ind w:right="74"/>
              <w:spacing w:after="0"/>
              <w:rPr>
                <w:sz w:val="20"/>
                <w:szCs w:val="20"/>
                <w:color w:val="auto"/>
              </w:rPr>
            </w:pPr>
            <w:r>
              <w:rPr>
                <w:rFonts w:ascii="Arial" w:cs="Arial" w:eastAsia="Arial" w:hAnsi="Arial"/>
                <w:sz w:val="18"/>
                <w:szCs w:val="18"/>
                <w:color w:val="auto"/>
              </w:rPr>
              <w:t>1,205,202</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0" w:type="dxa"/>
            <w:vAlign w:val="bottom"/>
          </w:tcPr>
          <w:p>
            <w:pPr>
              <w:spacing w:after="0"/>
              <w:rPr>
                <w:sz w:val="1"/>
                <w:szCs w:val="1"/>
                <w:color w:val="auto"/>
              </w:rPr>
            </w:pPr>
          </w:p>
        </w:tc>
      </w:tr>
      <w:tr>
        <w:trPr>
          <w:trHeight w:val="27"/>
        </w:trPr>
        <w:tc>
          <w:tcPr>
            <w:tcW w:w="3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4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United States</w:t>
            </w: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258,827</w:t>
            </w:r>
          </w:p>
        </w:tc>
        <w:tc>
          <w:tcPr>
            <w:tcW w:w="9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3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251,905</w:t>
            </w:r>
          </w:p>
        </w:tc>
        <w:tc>
          <w:tcPr>
            <w:tcW w:w="9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9</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42,560</w:t>
            </w:r>
          </w:p>
        </w:tc>
        <w:tc>
          <w:tcPr>
            <w:tcW w:w="9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0" w:type="dxa"/>
            <w:vAlign w:val="bottom"/>
          </w:tcPr>
          <w:p>
            <w:pPr>
              <w:spacing w:after="0"/>
              <w:rPr>
                <w:sz w:val="1"/>
                <w:szCs w:val="1"/>
                <w:color w:val="auto"/>
              </w:rPr>
            </w:pPr>
          </w:p>
        </w:tc>
      </w:tr>
      <w:tr>
        <w:trPr>
          <w:trHeight w:val="243"/>
        </w:trPr>
        <w:tc>
          <w:tcPr>
            <w:tcW w:w="3460" w:type="dxa"/>
            <w:vAlign w:val="bottom"/>
          </w:tcPr>
          <w:p>
            <w:pPr>
              <w:ind w:left="340"/>
              <w:spacing w:after="0"/>
              <w:rPr>
                <w:sz w:val="20"/>
                <w:szCs w:val="20"/>
                <w:color w:val="auto"/>
              </w:rPr>
            </w:pPr>
            <w:r>
              <w:rPr>
                <w:rFonts w:ascii="Arial" w:cs="Arial" w:eastAsia="Arial" w:hAnsi="Arial"/>
                <w:sz w:val="18"/>
                <w:szCs w:val="18"/>
                <w:color w:val="auto"/>
              </w:rPr>
              <w:t>Thailand</w:t>
            </w:r>
          </w:p>
        </w:tc>
        <w:tc>
          <w:tcPr>
            <w:tcW w:w="120" w:type="dxa"/>
            <w:vAlign w:val="bottom"/>
          </w:tcPr>
          <w:p>
            <w:pPr>
              <w:spacing w:after="0"/>
              <w:rPr>
                <w:sz w:val="21"/>
                <w:szCs w:val="21"/>
                <w:color w:val="auto"/>
              </w:rPr>
            </w:pPr>
          </w:p>
        </w:tc>
        <w:tc>
          <w:tcPr>
            <w:tcW w:w="1180" w:type="dxa"/>
            <w:vAlign w:val="bottom"/>
          </w:tcPr>
          <w:p>
            <w:pPr>
              <w:jc w:val="right"/>
              <w:ind w:right="74"/>
              <w:spacing w:after="0"/>
              <w:rPr>
                <w:sz w:val="20"/>
                <w:szCs w:val="20"/>
                <w:color w:val="auto"/>
              </w:rPr>
            </w:pPr>
            <w:r>
              <w:rPr>
                <w:rFonts w:ascii="Arial" w:cs="Arial" w:eastAsia="Arial" w:hAnsi="Arial"/>
                <w:sz w:val="18"/>
                <w:szCs w:val="18"/>
                <w:color w:val="auto"/>
              </w:rPr>
              <w:t>230,218</w:t>
            </w:r>
          </w:p>
        </w:tc>
        <w:tc>
          <w:tcPr>
            <w:tcW w:w="1100" w:type="dxa"/>
            <w:vAlign w:val="bottom"/>
            <w:gridSpan w:val="3"/>
          </w:tcPr>
          <w:p>
            <w:pPr>
              <w:jc w:val="right"/>
              <w:spacing w:after="0"/>
              <w:rPr>
                <w:sz w:val="20"/>
                <w:szCs w:val="20"/>
                <w:color w:val="auto"/>
              </w:rPr>
            </w:pPr>
            <w:r>
              <w:rPr>
                <w:rFonts w:ascii="Arial" w:cs="Arial" w:eastAsia="Arial" w:hAnsi="Arial"/>
                <w:sz w:val="18"/>
                <w:szCs w:val="18"/>
                <w:color w:val="auto"/>
              </w:rPr>
              <w:t>9 %</w:t>
            </w:r>
          </w:p>
        </w:tc>
        <w:tc>
          <w:tcPr>
            <w:tcW w:w="3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180" w:type="dxa"/>
            <w:vAlign w:val="bottom"/>
          </w:tcPr>
          <w:p>
            <w:pPr>
              <w:jc w:val="right"/>
              <w:ind w:right="54"/>
              <w:spacing w:after="0"/>
              <w:rPr>
                <w:sz w:val="20"/>
                <w:szCs w:val="20"/>
                <w:color w:val="auto"/>
              </w:rPr>
            </w:pPr>
            <w:r>
              <w:rPr>
                <w:rFonts w:ascii="Arial" w:cs="Arial" w:eastAsia="Arial" w:hAnsi="Arial"/>
                <w:sz w:val="18"/>
                <w:szCs w:val="18"/>
                <w:color w:val="auto"/>
              </w:rPr>
              <w:t>165,923</w:t>
            </w: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6 %</w:t>
            </w:r>
          </w:p>
        </w:tc>
        <w:tc>
          <w:tcPr>
            <w:tcW w:w="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180" w:type="dxa"/>
            <w:vAlign w:val="bottom"/>
          </w:tcPr>
          <w:p>
            <w:pPr>
              <w:jc w:val="right"/>
              <w:ind w:right="74"/>
              <w:spacing w:after="0"/>
              <w:rPr>
                <w:sz w:val="20"/>
                <w:szCs w:val="20"/>
                <w:color w:val="auto"/>
              </w:rPr>
            </w:pPr>
            <w:r>
              <w:rPr>
                <w:rFonts w:ascii="Arial" w:cs="Arial" w:eastAsia="Arial" w:hAnsi="Arial"/>
                <w:sz w:val="18"/>
                <w:szCs w:val="18"/>
                <w:color w:val="auto"/>
              </w:rPr>
              <w:t>137,662</w:t>
            </w: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7"/>
        </w:trPr>
        <w:tc>
          <w:tcPr>
            <w:tcW w:w="3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900" w:type="dxa"/>
            <w:vAlign w:val="bottom"/>
            <w:gridSpan w:val="2"/>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920" w:type="dxa"/>
            <w:vAlign w:val="bottom"/>
            <w:gridSpan w:val="2"/>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920" w:type="dxa"/>
            <w:vAlign w:val="bottom"/>
            <w:gridSpan w:val="2"/>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4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Malaysia</w:t>
            </w: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226,358</w:t>
            </w:r>
          </w:p>
        </w:tc>
        <w:tc>
          <w:tcPr>
            <w:tcW w:w="110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8 %</w:t>
            </w:r>
          </w:p>
        </w:tc>
        <w:tc>
          <w:tcPr>
            <w:tcW w:w="3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372,817</w:t>
            </w:r>
          </w:p>
        </w:tc>
        <w:tc>
          <w:tcPr>
            <w:tcW w:w="112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13 %</w:t>
            </w:r>
          </w:p>
        </w:tc>
        <w:tc>
          <w:tcPr>
            <w:tcW w:w="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388,469</w:t>
            </w:r>
          </w:p>
        </w:tc>
        <w:tc>
          <w:tcPr>
            <w:tcW w:w="112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16 %</w:t>
            </w:r>
          </w:p>
        </w:tc>
        <w:tc>
          <w:tcPr>
            <w:tcW w:w="0" w:type="dxa"/>
            <w:vAlign w:val="bottom"/>
          </w:tcPr>
          <w:p>
            <w:pPr>
              <w:spacing w:after="0"/>
              <w:rPr>
                <w:sz w:val="1"/>
                <w:szCs w:val="1"/>
                <w:color w:val="auto"/>
              </w:rPr>
            </w:pPr>
          </w:p>
        </w:tc>
      </w:tr>
      <w:tr>
        <w:trPr>
          <w:trHeight w:val="243"/>
        </w:trPr>
        <w:tc>
          <w:tcPr>
            <w:tcW w:w="3460" w:type="dxa"/>
            <w:vAlign w:val="bottom"/>
          </w:tcPr>
          <w:p>
            <w:pPr>
              <w:ind w:left="340"/>
              <w:spacing w:after="0"/>
              <w:rPr>
                <w:sz w:val="20"/>
                <w:szCs w:val="20"/>
                <w:color w:val="auto"/>
              </w:rPr>
            </w:pPr>
            <w:r>
              <w:rPr>
                <w:rFonts w:ascii="Arial" w:cs="Arial" w:eastAsia="Arial" w:hAnsi="Arial"/>
                <w:sz w:val="18"/>
                <w:szCs w:val="18"/>
                <w:color w:val="auto"/>
              </w:rPr>
              <w:t>Philippines</w:t>
            </w:r>
          </w:p>
        </w:tc>
        <w:tc>
          <w:tcPr>
            <w:tcW w:w="120" w:type="dxa"/>
            <w:vAlign w:val="bottom"/>
          </w:tcPr>
          <w:p>
            <w:pPr>
              <w:spacing w:after="0"/>
              <w:rPr>
                <w:sz w:val="21"/>
                <w:szCs w:val="21"/>
                <w:color w:val="auto"/>
              </w:rPr>
            </w:pPr>
          </w:p>
        </w:tc>
        <w:tc>
          <w:tcPr>
            <w:tcW w:w="1180" w:type="dxa"/>
            <w:vAlign w:val="bottom"/>
          </w:tcPr>
          <w:p>
            <w:pPr>
              <w:jc w:val="right"/>
              <w:ind w:right="74"/>
              <w:spacing w:after="0"/>
              <w:rPr>
                <w:sz w:val="20"/>
                <w:szCs w:val="20"/>
                <w:color w:val="auto"/>
              </w:rPr>
            </w:pPr>
            <w:r>
              <w:rPr>
                <w:rFonts w:ascii="Arial" w:cs="Arial" w:eastAsia="Arial" w:hAnsi="Arial"/>
                <w:sz w:val="18"/>
                <w:szCs w:val="18"/>
                <w:color w:val="auto"/>
              </w:rPr>
              <w:t>221,566</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8</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3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180" w:type="dxa"/>
            <w:vAlign w:val="bottom"/>
          </w:tcPr>
          <w:p>
            <w:pPr>
              <w:jc w:val="right"/>
              <w:ind w:right="54"/>
              <w:spacing w:after="0"/>
              <w:rPr>
                <w:sz w:val="20"/>
                <w:szCs w:val="20"/>
                <w:color w:val="auto"/>
              </w:rPr>
            </w:pPr>
            <w:r>
              <w:rPr>
                <w:rFonts w:ascii="Arial" w:cs="Arial" w:eastAsia="Arial" w:hAnsi="Arial"/>
                <w:sz w:val="18"/>
                <w:szCs w:val="18"/>
                <w:color w:val="auto"/>
              </w:rPr>
              <w:t>235,921</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8</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180" w:type="dxa"/>
            <w:vAlign w:val="bottom"/>
          </w:tcPr>
          <w:p>
            <w:pPr>
              <w:jc w:val="right"/>
              <w:ind w:right="74"/>
              <w:spacing w:after="0"/>
              <w:rPr>
                <w:sz w:val="20"/>
                <w:szCs w:val="20"/>
                <w:color w:val="auto"/>
              </w:rPr>
            </w:pPr>
            <w:r>
              <w:rPr>
                <w:rFonts w:ascii="Arial" w:cs="Arial" w:eastAsia="Arial" w:hAnsi="Arial"/>
                <w:sz w:val="18"/>
                <w:szCs w:val="18"/>
                <w:color w:val="auto"/>
              </w:rPr>
              <w:t>270,101</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11</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0" w:type="dxa"/>
            <w:vAlign w:val="bottom"/>
          </w:tcPr>
          <w:p>
            <w:pPr>
              <w:spacing w:after="0"/>
              <w:rPr>
                <w:sz w:val="1"/>
                <w:szCs w:val="1"/>
                <w:color w:val="auto"/>
              </w:rPr>
            </w:pPr>
          </w:p>
        </w:tc>
      </w:tr>
      <w:tr>
        <w:trPr>
          <w:trHeight w:val="27"/>
        </w:trPr>
        <w:tc>
          <w:tcPr>
            <w:tcW w:w="3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900" w:type="dxa"/>
            <w:vAlign w:val="bottom"/>
            <w:gridSpan w:val="2"/>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920" w:type="dxa"/>
            <w:vAlign w:val="bottom"/>
            <w:gridSpan w:val="2"/>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920" w:type="dxa"/>
            <w:vAlign w:val="bottom"/>
            <w:gridSpan w:val="2"/>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4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Others</w:t>
            </w:r>
          </w:p>
        </w:tc>
        <w:tc>
          <w:tcPr>
            <w:tcW w:w="1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691,164</w:t>
            </w:r>
          </w:p>
        </w:tc>
        <w:tc>
          <w:tcPr>
            <w:tcW w:w="110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25 %</w:t>
            </w:r>
          </w:p>
        </w:tc>
        <w:tc>
          <w:tcPr>
            <w:tcW w:w="30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649,297</w:t>
            </w:r>
          </w:p>
        </w:tc>
        <w:tc>
          <w:tcPr>
            <w:tcW w:w="112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22 %</w:t>
            </w:r>
          </w:p>
        </w:tc>
        <w:tc>
          <w:tcPr>
            <w:tcW w:w="28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365,176</w:t>
            </w:r>
          </w:p>
        </w:tc>
        <w:tc>
          <w:tcPr>
            <w:tcW w:w="112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15 %</w:t>
            </w:r>
          </w:p>
        </w:tc>
        <w:tc>
          <w:tcPr>
            <w:tcW w:w="0" w:type="dxa"/>
            <w:vAlign w:val="bottom"/>
          </w:tcPr>
          <w:p>
            <w:pPr>
              <w:spacing w:after="0"/>
              <w:rPr>
                <w:sz w:val="1"/>
                <w:szCs w:val="1"/>
                <w:color w:val="auto"/>
              </w:rPr>
            </w:pPr>
          </w:p>
        </w:tc>
      </w:tr>
      <w:tr>
        <w:trPr>
          <w:trHeight w:val="237"/>
        </w:trPr>
        <w:tc>
          <w:tcPr>
            <w:tcW w:w="346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74"/>
              <w:spacing w:after="0"/>
              <w:rPr>
                <w:sz w:val="20"/>
                <w:szCs w:val="20"/>
                <w:color w:val="auto"/>
              </w:rPr>
            </w:pPr>
            <w:r>
              <w:rPr>
                <w:rFonts w:ascii="Arial" w:cs="Arial" w:eastAsia="Arial" w:hAnsi="Arial"/>
                <w:sz w:val="18"/>
                <w:szCs w:val="18"/>
                <w:color w:val="auto"/>
              </w:rPr>
              <w:t>2,699,161</w:t>
            </w:r>
          </w:p>
        </w:tc>
        <w:tc>
          <w:tcPr>
            <w:tcW w:w="20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tcBorders>
          </w:tcPr>
          <w:p>
            <w:pPr>
              <w:jc w:val="right"/>
              <w:ind w:right="54"/>
              <w:spacing w:after="0"/>
              <w:rPr>
                <w:sz w:val="20"/>
                <w:szCs w:val="20"/>
                <w:color w:val="auto"/>
              </w:rPr>
            </w:pPr>
            <w:r>
              <w:rPr>
                <w:rFonts w:ascii="Arial" w:cs="Arial" w:eastAsia="Arial" w:hAnsi="Arial"/>
                <w:sz w:val="18"/>
                <w:szCs w:val="18"/>
                <w:color w:val="auto"/>
              </w:rPr>
              <w:t>2,865,791</w:t>
            </w:r>
          </w:p>
        </w:tc>
        <w:tc>
          <w:tcPr>
            <w:tcW w:w="2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tcBorders>
          </w:tcPr>
          <w:p>
            <w:pPr>
              <w:jc w:val="right"/>
              <w:ind w:right="74"/>
              <w:spacing w:after="0"/>
              <w:rPr>
                <w:sz w:val="20"/>
                <w:szCs w:val="20"/>
                <w:color w:val="auto"/>
              </w:rPr>
            </w:pPr>
            <w:r>
              <w:rPr>
                <w:rFonts w:ascii="Arial" w:cs="Arial" w:eastAsia="Arial" w:hAnsi="Arial"/>
                <w:sz w:val="18"/>
                <w:szCs w:val="18"/>
                <w:color w:val="auto"/>
              </w:rPr>
              <w:t>2,409,170</w:t>
            </w:r>
          </w:p>
        </w:tc>
        <w:tc>
          <w:tcPr>
            <w:tcW w:w="2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346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1"/>
        </w:trPr>
        <w:tc>
          <w:tcPr>
            <w:tcW w:w="34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37" w:lineRule="exact"/>
        <w:rPr>
          <w:sz w:val="20"/>
          <w:szCs w:val="20"/>
          <w:color w:val="auto"/>
        </w:rPr>
      </w:pPr>
    </w:p>
    <w:p>
      <w:pPr>
        <w:ind w:right="200" w:firstLine="364"/>
        <w:spacing w:after="0" w:line="277" w:lineRule="auto"/>
        <w:rPr>
          <w:sz w:val="20"/>
          <w:szCs w:val="20"/>
          <w:color w:val="auto"/>
        </w:rPr>
      </w:pPr>
      <w:r>
        <w:rPr>
          <w:rFonts w:ascii="Arial" w:cs="Arial" w:eastAsia="Arial" w:hAnsi="Arial"/>
          <w:sz w:val="18"/>
          <w:szCs w:val="18"/>
          <w:color w:val="auto"/>
        </w:rPr>
        <w:t>These destinations of shipment are not necessarily indicative of the geographic location of the Company's end customers or the country in which the Company's end customers sell devices containing the Company's products.</w:t>
      </w:r>
    </w:p>
    <w:p>
      <w:pPr>
        <w:spacing w:after="0" w:line="62"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following table summarizes net revenue disaggregated by customer type (in thousands, except percentages):</w:t>
      </w:r>
    </w:p>
    <w:p>
      <w:pPr>
        <w:spacing w:after="0" w:line="2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80" w:type="dxa"/>
            <w:vAlign w:val="bottom"/>
          </w:tcPr>
          <w:p>
            <w:pPr>
              <w:jc w:val="right"/>
              <w:ind w:right="197"/>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1200" w:type="dxa"/>
            <w:vAlign w:val="bottom"/>
            <w:gridSpan w:val="3"/>
            <w:vMerge w:val="restart"/>
          </w:tcPr>
          <w:p>
            <w:pPr>
              <w:ind w:left="120"/>
              <w:spacing w:after="0"/>
              <w:rPr>
                <w:sz w:val="20"/>
                <w:szCs w:val="20"/>
                <w:color w:val="auto"/>
              </w:rPr>
            </w:pPr>
            <w:r>
              <w:rPr>
                <w:rFonts w:ascii="Arial" w:cs="Arial" w:eastAsia="Arial" w:hAnsi="Arial"/>
                <w:sz w:val="14"/>
                <w:szCs w:val="14"/>
                <w:b w:val="1"/>
                <w:bCs w:val="1"/>
                <w:color w:val="auto"/>
              </w:rPr>
              <w:t>% of Total</w:t>
            </w:r>
          </w:p>
        </w:tc>
        <w:tc>
          <w:tcPr>
            <w:tcW w:w="100" w:type="dxa"/>
            <w:vAlign w:val="bottom"/>
          </w:tcPr>
          <w:p>
            <w:pPr>
              <w:spacing w:after="0"/>
              <w:rPr>
                <w:sz w:val="14"/>
                <w:szCs w:val="14"/>
                <w:color w:val="auto"/>
              </w:rPr>
            </w:pPr>
          </w:p>
        </w:tc>
        <w:tc>
          <w:tcPr>
            <w:tcW w:w="1180" w:type="dxa"/>
            <w:vAlign w:val="bottom"/>
          </w:tcPr>
          <w:p>
            <w:pPr>
              <w:jc w:val="right"/>
              <w:ind w:right="197"/>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1200" w:type="dxa"/>
            <w:vAlign w:val="bottom"/>
            <w:gridSpan w:val="3"/>
            <w:vMerge w:val="restart"/>
          </w:tcPr>
          <w:p>
            <w:pPr>
              <w:ind w:left="140"/>
              <w:spacing w:after="0"/>
              <w:rPr>
                <w:sz w:val="20"/>
                <w:szCs w:val="20"/>
                <w:color w:val="auto"/>
              </w:rPr>
            </w:pPr>
            <w:r>
              <w:rPr>
                <w:rFonts w:ascii="Arial" w:cs="Arial" w:eastAsia="Arial" w:hAnsi="Arial"/>
                <w:sz w:val="14"/>
                <w:szCs w:val="14"/>
                <w:b w:val="1"/>
                <w:bCs w:val="1"/>
                <w:color w:val="auto"/>
              </w:rPr>
              <w:t>% of Total</w:t>
            </w:r>
          </w:p>
        </w:tc>
        <w:tc>
          <w:tcPr>
            <w:tcW w:w="120" w:type="dxa"/>
            <w:vAlign w:val="bottom"/>
          </w:tcPr>
          <w:p>
            <w:pPr>
              <w:spacing w:after="0"/>
              <w:rPr>
                <w:sz w:val="14"/>
                <w:szCs w:val="14"/>
                <w:color w:val="auto"/>
              </w:rPr>
            </w:pPr>
          </w:p>
        </w:tc>
        <w:tc>
          <w:tcPr>
            <w:tcW w:w="1180" w:type="dxa"/>
            <w:vAlign w:val="bottom"/>
          </w:tcPr>
          <w:p>
            <w:pPr>
              <w:jc w:val="right"/>
              <w:ind w:right="217"/>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900" w:type="dxa"/>
            <w:vAlign w:val="bottom"/>
            <w:gridSpan w:val="2"/>
            <w:vMerge w:val="restart"/>
          </w:tcPr>
          <w:p>
            <w:pPr>
              <w:jc w:val="right"/>
              <w:ind w:right="30"/>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34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80" w:type="dxa"/>
            <w:vAlign w:val="bottom"/>
          </w:tcPr>
          <w:p>
            <w:pPr>
              <w:jc w:val="right"/>
              <w:ind w:right="37"/>
              <w:spacing w:after="0"/>
              <w:rPr>
                <w:sz w:val="20"/>
                <w:szCs w:val="20"/>
                <w:color w:val="auto"/>
              </w:rPr>
            </w:pPr>
            <w:r>
              <w:rPr>
                <w:rFonts w:ascii="Arial" w:cs="Arial" w:eastAsia="Arial" w:hAnsi="Arial"/>
                <w:sz w:val="14"/>
                <w:szCs w:val="14"/>
                <w:b w:val="1"/>
                <w:bCs w:val="1"/>
                <w:color w:val="auto"/>
                <w:w w:val="94"/>
              </w:rPr>
              <w:t>February 1, 2020</w:t>
            </w:r>
          </w:p>
        </w:tc>
        <w:tc>
          <w:tcPr>
            <w:tcW w:w="200" w:type="dxa"/>
            <w:vAlign w:val="bottom"/>
          </w:tcPr>
          <w:p>
            <w:pPr>
              <w:spacing w:after="0"/>
              <w:rPr>
                <w:sz w:val="16"/>
                <w:szCs w:val="16"/>
                <w:color w:val="auto"/>
              </w:rPr>
            </w:pPr>
          </w:p>
        </w:tc>
        <w:tc>
          <w:tcPr>
            <w:tcW w:w="1200" w:type="dxa"/>
            <w:vAlign w:val="bottom"/>
            <w:gridSpan w:val="3"/>
            <w:vMerge w:val="continue"/>
          </w:tcPr>
          <w:p>
            <w:pPr>
              <w:spacing w:after="0"/>
              <w:rPr>
                <w:sz w:val="16"/>
                <w:szCs w:val="16"/>
                <w:color w:val="auto"/>
              </w:rPr>
            </w:pPr>
          </w:p>
        </w:tc>
        <w:tc>
          <w:tcPr>
            <w:tcW w:w="100" w:type="dxa"/>
            <w:vAlign w:val="bottom"/>
          </w:tcPr>
          <w:p>
            <w:pPr>
              <w:spacing w:after="0"/>
              <w:rPr>
                <w:sz w:val="16"/>
                <w:szCs w:val="16"/>
                <w:color w:val="auto"/>
              </w:rPr>
            </w:pPr>
          </w:p>
        </w:tc>
        <w:tc>
          <w:tcPr>
            <w:tcW w:w="1180" w:type="dxa"/>
            <w:vAlign w:val="bottom"/>
          </w:tcPr>
          <w:p>
            <w:pPr>
              <w:jc w:val="right"/>
              <w:ind w:right="37"/>
              <w:spacing w:after="0"/>
              <w:rPr>
                <w:sz w:val="20"/>
                <w:szCs w:val="20"/>
                <w:color w:val="auto"/>
              </w:rPr>
            </w:pPr>
            <w:r>
              <w:rPr>
                <w:rFonts w:ascii="Arial" w:cs="Arial" w:eastAsia="Arial" w:hAnsi="Arial"/>
                <w:sz w:val="14"/>
                <w:szCs w:val="14"/>
                <w:b w:val="1"/>
                <w:bCs w:val="1"/>
                <w:color w:val="auto"/>
                <w:w w:val="94"/>
              </w:rPr>
              <w:t>February 2, 2019</w:t>
            </w:r>
          </w:p>
        </w:tc>
        <w:tc>
          <w:tcPr>
            <w:tcW w:w="200" w:type="dxa"/>
            <w:vAlign w:val="bottom"/>
          </w:tcPr>
          <w:p>
            <w:pPr>
              <w:spacing w:after="0"/>
              <w:rPr>
                <w:sz w:val="16"/>
                <w:szCs w:val="16"/>
                <w:color w:val="auto"/>
              </w:rPr>
            </w:pPr>
          </w:p>
        </w:tc>
        <w:tc>
          <w:tcPr>
            <w:tcW w:w="1200" w:type="dxa"/>
            <w:vAlign w:val="bottom"/>
            <w:gridSpan w:val="3"/>
            <w:vMerge w:val="continue"/>
          </w:tcPr>
          <w:p>
            <w:pPr>
              <w:spacing w:after="0"/>
              <w:rPr>
                <w:sz w:val="16"/>
                <w:szCs w:val="16"/>
                <w:color w:val="auto"/>
              </w:rPr>
            </w:pPr>
          </w:p>
        </w:tc>
        <w:tc>
          <w:tcPr>
            <w:tcW w:w="120" w:type="dxa"/>
            <w:vAlign w:val="bottom"/>
          </w:tcPr>
          <w:p>
            <w:pPr>
              <w:spacing w:after="0"/>
              <w:rPr>
                <w:sz w:val="16"/>
                <w:szCs w:val="16"/>
                <w:color w:val="auto"/>
              </w:rPr>
            </w:pPr>
          </w:p>
        </w:tc>
        <w:tc>
          <w:tcPr>
            <w:tcW w:w="1180" w:type="dxa"/>
            <w:vAlign w:val="bottom"/>
          </w:tcPr>
          <w:p>
            <w:pPr>
              <w:jc w:val="right"/>
              <w:ind w:right="37"/>
              <w:spacing w:after="0"/>
              <w:rPr>
                <w:sz w:val="20"/>
                <w:szCs w:val="20"/>
                <w:color w:val="auto"/>
              </w:rPr>
            </w:pPr>
            <w:r>
              <w:rPr>
                <w:rFonts w:ascii="Arial" w:cs="Arial" w:eastAsia="Arial" w:hAnsi="Arial"/>
                <w:sz w:val="14"/>
                <w:szCs w:val="14"/>
                <w:b w:val="1"/>
                <w:bCs w:val="1"/>
                <w:color w:val="auto"/>
                <w:w w:val="94"/>
              </w:rPr>
              <w:t>February 3, 2018</w:t>
            </w:r>
          </w:p>
        </w:tc>
        <w:tc>
          <w:tcPr>
            <w:tcW w:w="200" w:type="dxa"/>
            <w:vAlign w:val="bottom"/>
          </w:tcPr>
          <w:p>
            <w:pPr>
              <w:spacing w:after="0"/>
              <w:rPr>
                <w:sz w:val="16"/>
                <w:szCs w:val="16"/>
                <w:color w:val="auto"/>
              </w:rPr>
            </w:pPr>
          </w:p>
        </w:tc>
        <w:tc>
          <w:tcPr>
            <w:tcW w:w="900" w:type="dxa"/>
            <w:vAlign w:val="bottom"/>
            <w:gridSpan w:val="2"/>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36"/>
        </w:trPr>
        <w:tc>
          <w:tcPr>
            <w:tcW w:w="3460" w:type="dxa"/>
            <w:vAlign w:val="bottom"/>
            <w:tcBorders>
              <w:top w:val="single" w:sz="8" w:color="CCEEFF"/>
              <w:bottom w:val="single" w:sz="8" w:color="CCEEFF"/>
            </w:tcBorders>
            <w:shd w:val="clear" w:color="auto" w:fill="CCEEFF"/>
          </w:tcPr>
          <w:p>
            <w:pPr>
              <w:ind w:left="120"/>
              <w:spacing w:after="0"/>
              <w:rPr>
                <w:sz w:val="20"/>
                <w:szCs w:val="20"/>
                <w:color w:val="auto"/>
              </w:rPr>
            </w:pPr>
            <w:r>
              <w:rPr>
                <w:rFonts w:ascii="Arial" w:cs="Arial" w:eastAsia="Arial" w:hAnsi="Arial"/>
                <w:sz w:val="18"/>
                <w:szCs w:val="18"/>
                <w:b w:val="1"/>
                <w:bCs w:val="1"/>
                <w:color w:val="auto"/>
              </w:rPr>
              <w:t>Net revenue by customer type:</w:t>
            </w:r>
          </w:p>
        </w:tc>
        <w:tc>
          <w:tcPr>
            <w:tcW w:w="120" w:type="dxa"/>
            <w:vAlign w:val="bottom"/>
            <w:tcBorders>
              <w:top w:val="single" w:sz="8" w:color="auto"/>
              <w:bottom w:val="single" w:sz="8" w:color="CCEEFF"/>
            </w:tcBorders>
            <w:shd w:val="clear" w:color="auto" w:fill="CCEEFF"/>
          </w:tcPr>
          <w:p>
            <w:pPr>
              <w:spacing w:after="0"/>
              <w:rPr>
                <w:sz w:val="20"/>
                <w:szCs w:val="20"/>
                <w:color w:val="auto"/>
              </w:rPr>
            </w:pPr>
          </w:p>
        </w:tc>
        <w:tc>
          <w:tcPr>
            <w:tcW w:w="118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CCEEFF"/>
              <w:bottom w:val="single" w:sz="8" w:color="CCEEFF"/>
            </w:tcBorders>
            <w:shd w:val="clear" w:color="auto" w:fill="CCEEFF"/>
          </w:tcPr>
          <w:p>
            <w:pPr>
              <w:spacing w:after="0"/>
              <w:rPr>
                <w:sz w:val="20"/>
                <w:szCs w:val="20"/>
                <w:color w:val="auto"/>
              </w:rPr>
            </w:pPr>
          </w:p>
        </w:tc>
        <w:tc>
          <w:tcPr>
            <w:tcW w:w="70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300" w:type="dxa"/>
            <w:vAlign w:val="bottom"/>
            <w:tcBorders>
              <w:top w:val="single" w:sz="8" w:color="CCEEFF"/>
              <w:bottom w:val="single" w:sz="8" w:color="CCEEFF"/>
            </w:tcBorders>
            <w:shd w:val="clear" w:color="auto" w:fill="CCEEFF"/>
          </w:tcPr>
          <w:p>
            <w:pPr>
              <w:spacing w:after="0"/>
              <w:rPr>
                <w:sz w:val="20"/>
                <w:szCs w:val="20"/>
                <w:color w:val="auto"/>
              </w:rPr>
            </w:pPr>
          </w:p>
        </w:tc>
        <w:tc>
          <w:tcPr>
            <w:tcW w:w="100" w:type="dxa"/>
            <w:vAlign w:val="bottom"/>
            <w:tcBorders>
              <w:top w:val="single" w:sz="8" w:color="auto"/>
              <w:bottom w:val="single" w:sz="8" w:color="CCEEFF"/>
            </w:tcBorders>
            <w:shd w:val="clear" w:color="auto" w:fill="CCEEFF"/>
          </w:tcPr>
          <w:p>
            <w:pPr>
              <w:spacing w:after="0"/>
              <w:rPr>
                <w:sz w:val="20"/>
                <w:szCs w:val="20"/>
                <w:color w:val="auto"/>
              </w:rPr>
            </w:pPr>
          </w:p>
        </w:tc>
        <w:tc>
          <w:tcPr>
            <w:tcW w:w="118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CCEEFF"/>
              <w:bottom w:val="single" w:sz="8" w:color="CCEEFF"/>
            </w:tcBorders>
            <w:shd w:val="clear" w:color="auto" w:fill="CCEEFF"/>
          </w:tcPr>
          <w:p>
            <w:pPr>
              <w:spacing w:after="0"/>
              <w:rPr>
                <w:sz w:val="20"/>
                <w:szCs w:val="20"/>
                <w:color w:val="auto"/>
              </w:rPr>
            </w:pPr>
          </w:p>
        </w:tc>
        <w:tc>
          <w:tcPr>
            <w:tcW w:w="72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280" w:type="dxa"/>
            <w:vAlign w:val="bottom"/>
            <w:tcBorders>
              <w:top w:val="single" w:sz="8" w:color="CCEEFF"/>
              <w:bottom w:val="single" w:sz="8" w:color="CCEEFF"/>
            </w:tcBorders>
            <w:shd w:val="clear" w:color="auto" w:fill="CCEEFF"/>
          </w:tcPr>
          <w:p>
            <w:pPr>
              <w:spacing w:after="0"/>
              <w:rPr>
                <w:sz w:val="20"/>
                <w:szCs w:val="20"/>
                <w:color w:val="auto"/>
              </w:rPr>
            </w:pPr>
          </w:p>
        </w:tc>
        <w:tc>
          <w:tcPr>
            <w:tcW w:w="120" w:type="dxa"/>
            <w:vAlign w:val="bottom"/>
            <w:tcBorders>
              <w:top w:val="single" w:sz="8" w:color="auto"/>
              <w:bottom w:val="single" w:sz="8" w:color="CCEEFF"/>
            </w:tcBorders>
            <w:shd w:val="clear" w:color="auto" w:fill="CCEEFF"/>
          </w:tcPr>
          <w:p>
            <w:pPr>
              <w:spacing w:after="0"/>
              <w:rPr>
                <w:sz w:val="20"/>
                <w:szCs w:val="20"/>
                <w:color w:val="auto"/>
              </w:rPr>
            </w:pPr>
          </w:p>
        </w:tc>
        <w:tc>
          <w:tcPr>
            <w:tcW w:w="118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CCEEFF"/>
              <w:bottom w:val="single" w:sz="8" w:color="CCEEFF"/>
            </w:tcBorders>
            <w:shd w:val="clear" w:color="auto" w:fill="CCEEFF"/>
          </w:tcPr>
          <w:p>
            <w:pPr>
              <w:spacing w:after="0"/>
              <w:rPr>
                <w:sz w:val="20"/>
                <w:szCs w:val="20"/>
                <w:color w:val="auto"/>
              </w:rPr>
            </w:pPr>
          </w:p>
        </w:tc>
        <w:tc>
          <w:tcPr>
            <w:tcW w:w="700" w:type="dxa"/>
            <w:vAlign w:val="bottom"/>
            <w:tcBorders>
              <w:top w:val="single" w:sz="8" w:color="auto"/>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3460" w:type="dxa"/>
            <w:vAlign w:val="bottom"/>
          </w:tcPr>
          <w:p>
            <w:pPr>
              <w:ind w:left="340"/>
              <w:spacing w:after="0"/>
              <w:rPr>
                <w:sz w:val="20"/>
                <w:szCs w:val="20"/>
                <w:color w:val="auto"/>
              </w:rPr>
            </w:pPr>
            <w:r>
              <w:rPr>
                <w:rFonts w:ascii="Arial" w:cs="Arial" w:eastAsia="Arial" w:hAnsi="Arial"/>
                <w:sz w:val="18"/>
                <w:szCs w:val="18"/>
                <w:color w:val="auto"/>
              </w:rPr>
              <w:t>Direct customers</w:t>
            </w: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77"/>
              <w:spacing w:after="0"/>
              <w:rPr>
                <w:sz w:val="20"/>
                <w:szCs w:val="20"/>
                <w:color w:val="auto"/>
              </w:rPr>
            </w:pPr>
            <w:r>
              <w:rPr>
                <w:rFonts w:ascii="Arial" w:cs="Arial" w:eastAsia="Arial" w:hAnsi="Arial"/>
                <w:sz w:val="18"/>
                <w:szCs w:val="18"/>
                <w:color w:val="auto"/>
              </w:rPr>
              <w:t>2,041,089</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76</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300" w:type="dxa"/>
            <w:vAlign w:val="bottom"/>
          </w:tcPr>
          <w:p>
            <w:pPr>
              <w:spacing w:after="0"/>
              <w:rPr>
                <w:sz w:val="21"/>
                <w:szCs w:val="21"/>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ind w:right="57"/>
              <w:spacing w:after="0"/>
              <w:rPr>
                <w:sz w:val="20"/>
                <w:szCs w:val="20"/>
                <w:color w:val="auto"/>
              </w:rPr>
            </w:pPr>
            <w:r>
              <w:rPr>
                <w:rFonts w:ascii="Arial" w:cs="Arial" w:eastAsia="Arial" w:hAnsi="Arial"/>
                <w:sz w:val="18"/>
                <w:szCs w:val="18"/>
                <w:color w:val="auto"/>
              </w:rPr>
              <w:t>2,197,209</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77</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280" w:type="dxa"/>
            <w:vAlign w:val="bottom"/>
          </w:tcPr>
          <w:p>
            <w:pPr>
              <w:spacing w:after="0"/>
              <w:rPr>
                <w:sz w:val="21"/>
                <w:szCs w:val="21"/>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ind w:right="77"/>
              <w:spacing w:after="0"/>
              <w:rPr>
                <w:sz w:val="20"/>
                <w:szCs w:val="20"/>
                <w:color w:val="auto"/>
              </w:rPr>
            </w:pPr>
            <w:r>
              <w:rPr>
                <w:rFonts w:ascii="Arial" w:cs="Arial" w:eastAsia="Arial" w:hAnsi="Arial"/>
                <w:sz w:val="18"/>
                <w:szCs w:val="18"/>
                <w:color w:val="auto"/>
              </w:rPr>
              <w:t>1,888,108</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78</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0" w:type="dxa"/>
            <w:vAlign w:val="bottom"/>
          </w:tcPr>
          <w:p>
            <w:pPr>
              <w:spacing w:after="0"/>
              <w:rPr>
                <w:sz w:val="1"/>
                <w:szCs w:val="1"/>
                <w:color w:val="auto"/>
              </w:rPr>
            </w:pPr>
          </w:p>
        </w:tc>
      </w:tr>
      <w:tr>
        <w:trPr>
          <w:trHeight w:val="27"/>
        </w:trPr>
        <w:tc>
          <w:tcPr>
            <w:tcW w:w="3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4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Distributors</w:t>
            </w:r>
          </w:p>
        </w:tc>
        <w:tc>
          <w:tcPr>
            <w:tcW w:w="1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658,072</w:t>
            </w:r>
          </w:p>
        </w:tc>
        <w:tc>
          <w:tcPr>
            <w:tcW w:w="9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30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57"/>
              <w:spacing w:after="0"/>
              <w:rPr>
                <w:sz w:val="20"/>
                <w:szCs w:val="20"/>
                <w:color w:val="auto"/>
              </w:rPr>
            </w:pPr>
            <w:r>
              <w:rPr>
                <w:rFonts w:ascii="Arial" w:cs="Arial" w:eastAsia="Arial" w:hAnsi="Arial"/>
                <w:sz w:val="18"/>
                <w:szCs w:val="18"/>
                <w:color w:val="auto"/>
              </w:rPr>
              <w:t>668,582</w:t>
            </w:r>
          </w:p>
        </w:tc>
        <w:tc>
          <w:tcPr>
            <w:tcW w:w="9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28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521,062</w:t>
            </w:r>
          </w:p>
        </w:tc>
        <w:tc>
          <w:tcPr>
            <w:tcW w:w="9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0" w:type="dxa"/>
            <w:vAlign w:val="bottom"/>
          </w:tcPr>
          <w:p>
            <w:pPr>
              <w:spacing w:after="0"/>
              <w:rPr>
                <w:sz w:val="1"/>
                <w:szCs w:val="1"/>
                <w:color w:val="auto"/>
              </w:rPr>
            </w:pPr>
          </w:p>
        </w:tc>
      </w:tr>
      <w:tr>
        <w:trPr>
          <w:trHeight w:val="237"/>
        </w:trPr>
        <w:tc>
          <w:tcPr>
            <w:tcW w:w="346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77"/>
              <w:spacing w:after="0"/>
              <w:rPr>
                <w:sz w:val="20"/>
                <w:szCs w:val="20"/>
                <w:color w:val="auto"/>
              </w:rPr>
            </w:pPr>
            <w:r>
              <w:rPr>
                <w:rFonts w:ascii="Arial" w:cs="Arial" w:eastAsia="Arial" w:hAnsi="Arial"/>
                <w:sz w:val="18"/>
                <w:szCs w:val="18"/>
                <w:color w:val="auto"/>
              </w:rPr>
              <w:t>2,699,161</w:t>
            </w:r>
          </w:p>
        </w:tc>
        <w:tc>
          <w:tcPr>
            <w:tcW w:w="20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tcBorders>
          </w:tcPr>
          <w:p>
            <w:pPr>
              <w:jc w:val="right"/>
              <w:ind w:right="57"/>
              <w:spacing w:after="0"/>
              <w:rPr>
                <w:sz w:val="20"/>
                <w:szCs w:val="20"/>
                <w:color w:val="auto"/>
              </w:rPr>
            </w:pPr>
            <w:r>
              <w:rPr>
                <w:rFonts w:ascii="Arial" w:cs="Arial" w:eastAsia="Arial" w:hAnsi="Arial"/>
                <w:sz w:val="18"/>
                <w:szCs w:val="18"/>
                <w:color w:val="auto"/>
              </w:rPr>
              <w:t>2,865,791</w:t>
            </w:r>
          </w:p>
        </w:tc>
        <w:tc>
          <w:tcPr>
            <w:tcW w:w="2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tcBorders>
          </w:tcPr>
          <w:p>
            <w:pPr>
              <w:jc w:val="right"/>
              <w:ind w:right="77"/>
              <w:spacing w:after="0"/>
              <w:rPr>
                <w:sz w:val="20"/>
                <w:szCs w:val="20"/>
                <w:color w:val="auto"/>
              </w:rPr>
            </w:pPr>
            <w:r>
              <w:rPr>
                <w:rFonts w:ascii="Arial" w:cs="Arial" w:eastAsia="Arial" w:hAnsi="Arial"/>
                <w:sz w:val="18"/>
                <w:szCs w:val="18"/>
                <w:color w:val="auto"/>
              </w:rPr>
              <w:t>2,409,170</w:t>
            </w:r>
          </w:p>
        </w:tc>
        <w:tc>
          <w:tcPr>
            <w:tcW w:w="20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346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4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117" w:lineRule="exact"/>
        <w:rPr>
          <w:sz w:val="20"/>
          <w:szCs w:val="20"/>
          <w:color w:val="auto"/>
        </w:rPr>
      </w:pPr>
    </w:p>
    <w:p>
      <w:pPr>
        <w:ind w:right="40" w:firstLine="405"/>
        <w:spacing w:after="0" w:line="291" w:lineRule="auto"/>
        <w:rPr>
          <w:sz w:val="20"/>
          <w:szCs w:val="20"/>
          <w:color w:val="auto"/>
        </w:rPr>
      </w:pPr>
      <w:r>
        <w:rPr>
          <w:rFonts w:ascii="Arial" w:cs="Arial" w:eastAsia="Arial" w:hAnsi="Arial"/>
          <w:sz w:val="16"/>
          <w:szCs w:val="16"/>
          <w:color w:val="auto"/>
        </w:rPr>
        <w:t>Contract liabilities consist of the Company’s obligation to transfer goods or services to a customer for which the Company has received consideration or the amount is due from the customer. As of February 1, 2020, contract liability balances are comprised of variable consideration estimated based on a portfolio basis using the expected value methodology based on analysis of historical data, current economic conditions, and contractual terms. Variable consideration estimates consist of the estimated returns, price discounts, price protection, rebates, and stock rotation programs. 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 Contract liabilities are included in accrued liabilities in the consolidated balance sheets.</w:t>
      </w:r>
    </w:p>
    <w:p>
      <w:pPr>
        <w:spacing w:after="0" w:line="58" w:lineRule="exact"/>
        <w:rPr>
          <w:sz w:val="20"/>
          <w:szCs w:val="20"/>
          <w:color w:val="auto"/>
        </w:rPr>
      </w:pPr>
    </w:p>
    <w:p>
      <w:pPr>
        <w:ind w:right="120" w:firstLine="405"/>
        <w:spacing w:after="0" w:line="301" w:lineRule="auto"/>
        <w:rPr>
          <w:sz w:val="20"/>
          <w:szCs w:val="20"/>
          <w:color w:val="auto"/>
        </w:rPr>
      </w:pPr>
      <w:r>
        <w:rPr>
          <w:rFonts w:ascii="Arial" w:cs="Arial" w:eastAsia="Arial" w:hAnsi="Arial"/>
          <w:sz w:val="16"/>
          <w:szCs w:val="16"/>
          <w:color w:val="auto"/>
        </w:rPr>
        <w:t>The opening balance of contract liabilities at the beginning of fiscal year 2020 was $142.4 million. During the year ended February 1, 2020, contract liabilities increased by $666.5 million associated with variable consideration estimates, offset by $697.4 million decrease in such reserves primarily due to credit memos issued to customers. The ending balance of contract liabilities at the end of fiscal year 2020 was $111.5 million. The amount of revenue recognized during the year ended February 1, 2020 that was included in the contract liabilities balance at February 2, 2019 was not material.</w:t>
      </w:r>
    </w:p>
    <w:p>
      <w:pPr>
        <w:spacing w:after="0" w:line="4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117" w:lineRule="exact"/>
        <w:rPr>
          <w:sz w:val="20"/>
          <w:szCs w:val="20"/>
          <w:color w:val="auto"/>
        </w:rPr>
      </w:pPr>
    </w:p>
    <w:p>
      <w:pPr>
        <w:ind w:right="180" w:firstLine="405"/>
        <w:spacing w:after="0" w:line="308" w:lineRule="auto"/>
        <w:rPr>
          <w:sz w:val="20"/>
          <w:szCs w:val="20"/>
          <w:color w:val="auto"/>
        </w:rPr>
      </w:pPr>
      <w:r>
        <w:rPr>
          <w:rFonts w:ascii="Arial" w:cs="Arial" w:eastAsia="Arial" w:hAnsi="Arial"/>
          <w:sz w:val="17"/>
          <w:szCs w:val="17"/>
          <w:color w:val="auto"/>
        </w:rPr>
        <w:t>The Company has elected to apply the practical expedient to expense commissions when incurred as the amortization period is typically one year or less. These costs are recorded in selling, general and administrative expenses in the consolidated statements of operations.</w:t>
      </w:r>
    </w:p>
    <w:p>
      <w:pPr>
        <w:spacing w:after="0" w:line="200" w:lineRule="exact"/>
        <w:rPr>
          <w:sz w:val="20"/>
          <w:szCs w:val="20"/>
          <w:color w:val="auto"/>
        </w:rPr>
      </w:pPr>
    </w:p>
    <w:p>
      <w:pPr>
        <w:spacing w:after="0" w:line="200" w:lineRule="exact"/>
        <w:rPr>
          <w:sz w:val="20"/>
          <w:szCs w:val="20"/>
          <w:color w:val="auto"/>
        </w:rPr>
      </w:pPr>
    </w:p>
    <w:p>
      <w:pPr>
        <w:spacing w:after="0" w:line="3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5" w:name="page76"/>
    <w:bookmarkEnd w:id="7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Supplemental Financial Information (in thousands)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Consolidated Balance Sheets</w:t>
      </w:r>
    </w:p>
    <w:p>
      <w:pPr>
        <w:spacing w:after="0" w:line="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1,</w:t>
            </w:r>
          </w:p>
        </w:tc>
        <w:tc>
          <w:tcPr>
            <w:tcW w:w="240" w:type="dxa"/>
            <w:vAlign w:val="bottom"/>
          </w:tcPr>
          <w:p>
            <w:pPr>
              <w:spacing w:after="0"/>
              <w:rPr>
                <w:sz w:val="14"/>
                <w:szCs w:val="14"/>
                <w:color w:val="auto"/>
              </w:rPr>
            </w:pPr>
          </w:p>
        </w:tc>
        <w:tc>
          <w:tcPr>
            <w:tcW w:w="1200" w:type="dxa"/>
            <w:vAlign w:val="bottom"/>
          </w:tcPr>
          <w:p>
            <w:pPr>
              <w:jc w:val="right"/>
              <w:ind w:right="276"/>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2019</w:t>
            </w:r>
          </w:p>
        </w:tc>
      </w:tr>
      <w:tr>
        <w:trPr>
          <w:trHeight w:val="236"/>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Cash and cash equivalents:</w:t>
            </w: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r>
      <w:tr>
        <w:trPr>
          <w:trHeight w:val="243"/>
        </w:trPr>
        <w:tc>
          <w:tcPr>
            <w:tcW w:w="8260" w:type="dxa"/>
            <w:vAlign w:val="bottom"/>
          </w:tcPr>
          <w:p>
            <w:pPr>
              <w:ind w:left="340"/>
              <w:spacing w:after="0"/>
              <w:rPr>
                <w:sz w:val="20"/>
                <w:szCs w:val="20"/>
                <w:color w:val="auto"/>
              </w:rPr>
            </w:pPr>
            <w:r>
              <w:rPr>
                <w:rFonts w:ascii="Arial" w:cs="Arial" w:eastAsia="Arial" w:hAnsi="Arial"/>
                <w:sz w:val="18"/>
                <w:szCs w:val="18"/>
                <w:color w:val="auto"/>
              </w:rPr>
              <w:t>Cash</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6"/>
              <w:spacing w:after="0"/>
              <w:rPr>
                <w:sz w:val="20"/>
                <w:szCs w:val="20"/>
                <w:color w:val="auto"/>
              </w:rPr>
            </w:pPr>
            <w:r>
              <w:rPr>
                <w:rFonts w:ascii="Arial" w:cs="Arial" w:eastAsia="Arial" w:hAnsi="Arial"/>
                <w:sz w:val="18"/>
                <w:szCs w:val="18"/>
                <w:color w:val="auto"/>
              </w:rPr>
              <w:t>513,072</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6"/>
              <w:spacing w:after="0"/>
              <w:rPr>
                <w:sz w:val="20"/>
                <w:szCs w:val="20"/>
                <w:color w:val="auto"/>
              </w:rPr>
            </w:pPr>
            <w:r>
              <w:rPr>
                <w:rFonts w:ascii="Arial" w:cs="Arial" w:eastAsia="Arial" w:hAnsi="Arial"/>
                <w:sz w:val="18"/>
                <w:szCs w:val="18"/>
                <w:color w:val="auto"/>
              </w:rPr>
              <w:t>491,646</w:t>
            </w:r>
          </w:p>
        </w:tc>
      </w:tr>
      <w:tr>
        <w:trPr>
          <w:trHeight w:val="27"/>
        </w:trPr>
        <w:tc>
          <w:tcPr>
            <w:tcW w:w="8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Cash equivalents:</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8260" w:type="dxa"/>
            <w:vAlign w:val="bottom"/>
          </w:tcPr>
          <w:p>
            <w:pPr>
              <w:ind w:left="660"/>
              <w:spacing w:after="0"/>
              <w:rPr>
                <w:sz w:val="20"/>
                <w:szCs w:val="20"/>
                <w:color w:val="auto"/>
              </w:rPr>
            </w:pPr>
            <w:r>
              <w:rPr>
                <w:rFonts w:ascii="Arial" w:cs="Arial" w:eastAsia="Arial" w:hAnsi="Arial"/>
                <w:sz w:val="18"/>
                <w:szCs w:val="18"/>
                <w:color w:val="auto"/>
              </w:rPr>
              <w:t>Money market funds</w:t>
            </w:r>
          </w:p>
        </w:tc>
        <w:tc>
          <w:tcPr>
            <w:tcW w:w="240" w:type="dxa"/>
            <w:vAlign w:val="bottom"/>
          </w:tcPr>
          <w:p>
            <w:pPr>
              <w:spacing w:after="0"/>
              <w:rPr>
                <w:sz w:val="21"/>
                <w:szCs w:val="21"/>
                <w:color w:val="auto"/>
              </w:rPr>
            </w:pPr>
          </w:p>
        </w:tc>
        <w:tc>
          <w:tcPr>
            <w:tcW w:w="1200" w:type="dxa"/>
            <w:vAlign w:val="bottom"/>
          </w:tcPr>
          <w:p>
            <w:pPr>
              <w:jc w:val="right"/>
              <w:ind w:right="76"/>
              <w:spacing w:after="0"/>
              <w:rPr>
                <w:sz w:val="20"/>
                <w:szCs w:val="20"/>
                <w:color w:val="auto"/>
              </w:rPr>
            </w:pPr>
            <w:r>
              <w:rPr>
                <w:rFonts w:ascii="Arial" w:cs="Arial" w:eastAsia="Arial" w:hAnsi="Arial"/>
                <w:sz w:val="18"/>
                <w:szCs w:val="18"/>
                <w:color w:val="auto"/>
              </w:rPr>
              <w:t>46,355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6"/>
              <w:spacing w:after="0"/>
              <w:rPr>
                <w:sz w:val="20"/>
                <w:szCs w:val="20"/>
                <w:color w:val="auto"/>
              </w:rPr>
            </w:pPr>
            <w:r>
              <w:rPr>
                <w:rFonts w:ascii="Arial" w:cs="Arial" w:eastAsia="Arial" w:hAnsi="Arial"/>
                <w:sz w:val="18"/>
                <w:szCs w:val="18"/>
                <w:color w:val="auto"/>
              </w:rPr>
              <w:t>16,829</w:t>
            </w:r>
          </w:p>
        </w:tc>
      </w:tr>
      <w:tr>
        <w:trPr>
          <w:trHeight w:val="27"/>
        </w:trPr>
        <w:tc>
          <w:tcPr>
            <w:tcW w:w="8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260" w:type="dxa"/>
            <w:vAlign w:val="bottom"/>
            <w:tcBorders>
              <w:bottom w:val="single" w:sz="8" w:color="CCEEFF"/>
            </w:tcBorders>
            <w:shd w:val="clear" w:color="auto" w:fill="CCEEFF"/>
          </w:tcPr>
          <w:p>
            <w:pPr>
              <w:ind w:left="660"/>
              <w:spacing w:after="0"/>
              <w:rPr>
                <w:sz w:val="20"/>
                <w:szCs w:val="20"/>
                <w:color w:val="auto"/>
              </w:rPr>
            </w:pPr>
            <w:r>
              <w:rPr>
                <w:rFonts w:ascii="Arial" w:cs="Arial" w:eastAsia="Arial" w:hAnsi="Arial"/>
                <w:sz w:val="18"/>
                <w:szCs w:val="18"/>
                <w:color w:val="auto"/>
              </w:rPr>
              <w:t>Time deposits</w:t>
            </w: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88,177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73,935</w:t>
            </w:r>
          </w:p>
        </w:tc>
      </w:tr>
      <w:tr>
        <w:trPr>
          <w:trHeight w:val="237"/>
        </w:trPr>
        <w:tc>
          <w:tcPr>
            <w:tcW w:w="8260" w:type="dxa"/>
            <w:vAlign w:val="bottom"/>
          </w:tcPr>
          <w:p>
            <w:pPr>
              <w:ind w:left="1140"/>
              <w:spacing w:after="0"/>
              <w:rPr>
                <w:sz w:val="20"/>
                <w:szCs w:val="20"/>
                <w:color w:val="auto"/>
              </w:rPr>
            </w:pPr>
            <w:r>
              <w:rPr>
                <w:rFonts w:ascii="Arial" w:cs="Arial" w:eastAsia="Arial" w:hAnsi="Arial"/>
                <w:sz w:val="18"/>
                <w:szCs w:val="18"/>
                <w:color w:val="auto"/>
              </w:rPr>
              <w:t>Cash and cash equivalents</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647,604</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582,410</w:t>
            </w:r>
          </w:p>
        </w:tc>
      </w:tr>
      <w:tr>
        <w:trPr>
          <w:trHeight w:val="27"/>
        </w:trPr>
        <w:tc>
          <w:tcPr>
            <w:tcW w:w="826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0"/>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40"/>
          </w:cols>
          <w:pgMar w:left="320" w:top="472" w:right="339" w:bottom="1440" w:gutter="0" w:footer="0" w:header="0"/>
        </w:sectPr>
      </w:pPr>
    </w:p>
    <w:p>
      <w:pPr>
        <w:spacing w:after="0" w:line="182" w:lineRule="exact"/>
        <w:rPr>
          <w:sz w:val="20"/>
          <w:szCs w:val="20"/>
          <w:color w:val="auto"/>
        </w:rPr>
      </w:pPr>
    </w:p>
    <w:p>
      <w:pPr>
        <w:jc w:val="center"/>
        <w:ind w:left="8520"/>
        <w:spacing w:after="0"/>
        <w:rPr>
          <w:sz w:val="20"/>
          <w:szCs w:val="20"/>
          <w:color w:val="auto"/>
        </w:rPr>
      </w:pPr>
      <w:r>
        <w:rPr>
          <w:rFonts w:ascii="Arial" w:cs="Arial" w:eastAsia="Arial" w:hAnsi="Arial"/>
          <w:sz w:val="13"/>
          <w:szCs w:val="13"/>
          <w:b w:val="1"/>
          <w:bCs w:val="1"/>
          <w:color w:val="auto"/>
        </w:rPr>
        <w:t>February 1,</w:t>
      </w:r>
    </w:p>
    <w:p>
      <w:pPr>
        <w:spacing w:after="0" w:line="15" w:lineRule="exact"/>
        <w:rPr>
          <w:sz w:val="20"/>
          <w:szCs w:val="20"/>
          <w:color w:val="auto"/>
        </w:rPr>
      </w:pPr>
    </w:p>
    <w:p>
      <w:pPr>
        <w:jc w:val="center"/>
        <w:ind w:left="8520"/>
        <w:spacing w:after="0"/>
        <w:rPr>
          <w:sz w:val="20"/>
          <w:szCs w:val="20"/>
          <w:color w:val="auto"/>
        </w:rPr>
      </w:pPr>
      <w:r>
        <w:rPr>
          <w:rFonts w:ascii="Arial" w:cs="Arial" w:eastAsia="Arial" w:hAnsi="Arial"/>
          <w:sz w:val="14"/>
          <w:szCs w:val="14"/>
          <w:b w:val="1"/>
          <w:bCs w:val="1"/>
          <w:color w:val="auto"/>
        </w:rPr>
        <w:t>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132320" cy="17145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62" w:lineRule="exact"/>
        <w:rPr>
          <w:sz w:val="20"/>
          <w:szCs w:val="20"/>
          <w:color w:val="auto"/>
        </w:rPr>
      </w:pPr>
    </w:p>
    <w:p>
      <w:pPr>
        <w:jc w:val="center"/>
        <w:ind w:right="360"/>
        <w:spacing w:after="0"/>
        <w:rPr>
          <w:sz w:val="20"/>
          <w:szCs w:val="20"/>
          <w:color w:val="auto"/>
        </w:rPr>
      </w:pPr>
      <w:r>
        <w:rPr>
          <w:rFonts w:ascii="Arial" w:cs="Arial" w:eastAsia="Arial" w:hAnsi="Arial"/>
          <w:sz w:val="13"/>
          <w:szCs w:val="13"/>
          <w:b w:val="1"/>
          <w:bCs w:val="1"/>
          <w:color w:val="auto"/>
        </w:rPr>
        <w:t>February 2,</w:t>
      </w:r>
    </w:p>
    <w:p>
      <w:pPr>
        <w:spacing w:after="0" w:line="15" w:lineRule="exact"/>
        <w:rPr>
          <w:sz w:val="20"/>
          <w:szCs w:val="20"/>
          <w:color w:val="auto"/>
        </w:rPr>
      </w:pPr>
    </w:p>
    <w:p>
      <w:pPr>
        <w:jc w:val="center"/>
        <w:ind w:right="360"/>
        <w:spacing w:after="0"/>
        <w:rPr>
          <w:sz w:val="20"/>
          <w:szCs w:val="20"/>
          <w:color w:val="auto"/>
        </w:rPr>
      </w:pPr>
      <w:r>
        <w:rPr>
          <w:rFonts w:ascii="Arial" w:cs="Arial" w:eastAsia="Arial" w:hAnsi="Arial"/>
          <w:sz w:val="14"/>
          <w:szCs w:val="14"/>
          <w:b w:val="1"/>
          <w:bCs w:val="1"/>
          <w:color w:val="auto"/>
        </w:rPr>
        <w:t>2019</w:t>
      </w:r>
    </w:p>
    <w:p>
      <w:pPr>
        <w:spacing w:after="0" w:line="30" w:lineRule="exact"/>
        <w:rPr>
          <w:sz w:val="20"/>
          <w:szCs w:val="20"/>
          <w:color w:val="auto"/>
        </w:rPr>
      </w:pPr>
    </w:p>
    <w:p>
      <w:pPr>
        <w:sectPr>
          <w:pgSz w:w="11900" w:h="16838" w:orient="portrait"/>
          <w:cols w:equalWidth="0" w:num="2">
            <w:col w:w="9440" w:space="720"/>
            <w:col w:w="1080"/>
          </w:cols>
          <w:pgMar w:left="320" w:top="472" w:right="339" w:bottom="1440" w:gutter="0" w:footer="0" w:header="0"/>
          <w:type w:val="continuous"/>
        </w:sectPr>
      </w:pPr>
    </w:p>
    <w:p>
      <w:pPr>
        <w:ind w:left="20"/>
        <w:spacing w:after="0"/>
        <w:rPr>
          <w:sz w:val="20"/>
          <w:szCs w:val="20"/>
          <w:color w:val="auto"/>
        </w:rPr>
      </w:pPr>
      <w:r>
        <w:rPr>
          <w:rFonts w:ascii="Arial" w:cs="Arial" w:eastAsia="Arial" w:hAnsi="Arial"/>
          <w:sz w:val="18"/>
          <w:szCs w:val="18"/>
          <w:b w:val="1"/>
          <w:bCs w:val="1"/>
          <w:color w:val="auto"/>
        </w:rPr>
        <w:t>Accounts receivable, net:</w:t>
      </w:r>
    </w:p>
    <w:p>
      <w:pPr>
        <w:spacing w:after="0" w:line="67" w:lineRule="exact"/>
        <w:rPr>
          <w:sz w:val="20"/>
          <w:szCs w:val="20"/>
          <w:color w:val="auto"/>
        </w:rPr>
      </w:pPr>
    </w:p>
    <w:p>
      <w:pPr>
        <w:ind w:left="440"/>
        <w:spacing w:after="0"/>
        <w:tabs>
          <w:tab w:leader="none" w:pos="8260" w:val="left"/>
          <w:tab w:leader="none" w:pos="9120" w:val="left"/>
          <w:tab w:leader="none" w:pos="9800" w:val="left"/>
          <w:tab w:leader="none" w:pos="10660" w:val="left"/>
        </w:tabs>
        <w:rPr>
          <w:sz w:val="20"/>
          <w:szCs w:val="20"/>
          <w:color w:val="auto"/>
        </w:rPr>
      </w:pPr>
      <w:r>
        <w:rPr>
          <w:rFonts w:ascii="Arial" w:cs="Arial" w:eastAsia="Arial" w:hAnsi="Arial"/>
          <w:sz w:val="18"/>
          <w:szCs w:val="18"/>
          <w:color w:val="auto"/>
        </w:rPr>
        <w:t>Doubtful accounts</w:t>
      </w:r>
      <w:r>
        <w:rPr>
          <w:sz w:val="20"/>
          <w:szCs w:val="20"/>
          <w:color w:val="auto"/>
        </w:rPr>
        <w:tab/>
      </w: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2,126</w:t>
      </w:r>
      <w:r>
        <w:rPr>
          <w:sz w:val="20"/>
          <w:szCs w:val="20"/>
          <w:color w:val="auto"/>
        </w:rPr>
        <w:tab/>
      </w:r>
      <w:r>
        <w:rPr>
          <w:rFonts w:ascii="Arial" w:cs="Arial" w:eastAsia="Arial" w:hAnsi="Arial"/>
          <w:sz w:val="18"/>
          <w:szCs w:val="18"/>
          <w:color w:val="auto"/>
        </w:rPr>
        <w:t>$</w:t>
      </w:r>
      <w:r>
        <w:rPr>
          <w:sz w:val="20"/>
          <w:szCs w:val="20"/>
          <w:color w:val="auto"/>
        </w:rPr>
        <w:tab/>
      </w:r>
      <w:r>
        <w:rPr>
          <w:rFonts w:ascii="Arial" w:cs="Arial" w:eastAsia="Arial" w:hAnsi="Arial"/>
          <w:sz w:val="15"/>
          <w:szCs w:val="15"/>
          <w:color w:val="auto"/>
        </w:rPr>
        <w:t>2,637</w:t>
      </w:r>
    </w:p>
    <w:p>
      <w:pPr>
        <w:spacing w:after="0" w:line="144"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allowance for doubtful accounts continues to be included within the accounts receivable, net balance on the consolidated balance sheets.</w:t>
      </w: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1,</w:t>
            </w:r>
          </w:p>
        </w:tc>
        <w:tc>
          <w:tcPr>
            <w:tcW w:w="240" w:type="dxa"/>
            <w:vAlign w:val="bottom"/>
          </w:tcPr>
          <w:p>
            <w:pPr>
              <w:spacing w:after="0"/>
              <w:rPr>
                <w:sz w:val="14"/>
                <w:szCs w:val="14"/>
                <w:color w:val="auto"/>
              </w:rPr>
            </w:pPr>
          </w:p>
        </w:tc>
        <w:tc>
          <w:tcPr>
            <w:tcW w:w="1200" w:type="dxa"/>
            <w:vAlign w:val="bottom"/>
          </w:tcPr>
          <w:p>
            <w:pPr>
              <w:jc w:val="right"/>
              <w:ind w:right="277"/>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2019</w:t>
            </w:r>
          </w:p>
        </w:tc>
      </w:tr>
      <w:tr>
        <w:trPr>
          <w:trHeight w:val="236"/>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Inventories:</w:t>
            </w: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r>
      <w:tr>
        <w:trPr>
          <w:trHeight w:val="243"/>
        </w:trPr>
        <w:tc>
          <w:tcPr>
            <w:tcW w:w="8260" w:type="dxa"/>
            <w:vAlign w:val="bottom"/>
          </w:tcPr>
          <w:p>
            <w:pPr>
              <w:jc w:val="center"/>
              <w:ind w:right="6130"/>
              <w:spacing w:after="0"/>
              <w:rPr>
                <w:sz w:val="20"/>
                <w:szCs w:val="20"/>
                <w:color w:val="auto"/>
              </w:rPr>
            </w:pPr>
            <w:r>
              <w:rPr>
                <w:rFonts w:ascii="Arial" w:cs="Arial" w:eastAsia="Arial" w:hAnsi="Arial"/>
                <w:sz w:val="18"/>
                <w:szCs w:val="18"/>
                <w:color w:val="auto"/>
                <w:w w:val="91"/>
              </w:rPr>
              <w:t>Work-in-process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7"/>
              <w:spacing w:after="0"/>
              <w:rPr>
                <w:sz w:val="20"/>
                <w:szCs w:val="20"/>
                <w:color w:val="auto"/>
              </w:rPr>
            </w:pPr>
            <w:r>
              <w:rPr>
                <w:rFonts w:ascii="Arial" w:cs="Arial" w:eastAsia="Arial" w:hAnsi="Arial"/>
                <w:sz w:val="18"/>
                <w:szCs w:val="18"/>
                <w:color w:val="auto"/>
              </w:rPr>
              <w:t>216,496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7"/>
              <w:spacing w:after="0"/>
              <w:rPr>
                <w:sz w:val="20"/>
                <w:szCs w:val="20"/>
                <w:color w:val="auto"/>
              </w:rPr>
            </w:pPr>
            <w:r>
              <w:rPr>
                <w:rFonts w:ascii="Arial" w:cs="Arial" w:eastAsia="Arial" w:hAnsi="Arial"/>
                <w:sz w:val="18"/>
                <w:szCs w:val="18"/>
                <w:color w:val="auto"/>
              </w:rPr>
              <w:t>162,384</w:t>
            </w:r>
          </w:p>
        </w:tc>
      </w:tr>
      <w:tr>
        <w:trPr>
          <w:trHeight w:val="27"/>
        </w:trPr>
        <w:tc>
          <w:tcPr>
            <w:tcW w:w="8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260" w:type="dxa"/>
            <w:vAlign w:val="bottom"/>
            <w:tcBorders>
              <w:bottom w:val="single" w:sz="8" w:color="CCEEFF"/>
            </w:tcBorders>
            <w:shd w:val="clear" w:color="auto" w:fill="CCEEFF"/>
          </w:tcPr>
          <w:p>
            <w:pPr>
              <w:jc w:val="center"/>
              <w:ind w:right="6110"/>
              <w:spacing w:after="0"/>
              <w:rPr>
                <w:sz w:val="20"/>
                <w:szCs w:val="20"/>
                <w:color w:val="auto"/>
              </w:rPr>
            </w:pPr>
            <w:r>
              <w:rPr>
                <w:rFonts w:ascii="Arial" w:cs="Arial" w:eastAsia="Arial" w:hAnsi="Arial"/>
                <w:sz w:val="18"/>
                <w:szCs w:val="18"/>
                <w:color w:val="auto"/>
                <w:w w:val="90"/>
              </w:rPr>
              <w:t>Finished goods</w:t>
            </w: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106,484</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113,621</w:t>
            </w:r>
          </w:p>
        </w:tc>
      </w:tr>
      <w:tr>
        <w:trPr>
          <w:trHeight w:val="237"/>
        </w:trPr>
        <w:tc>
          <w:tcPr>
            <w:tcW w:w="8260" w:type="dxa"/>
            <w:vAlign w:val="bottom"/>
          </w:tcPr>
          <w:p>
            <w:pPr>
              <w:ind w:left="1160"/>
              <w:spacing w:after="0"/>
              <w:rPr>
                <w:sz w:val="20"/>
                <w:szCs w:val="20"/>
                <w:color w:val="auto"/>
              </w:rPr>
            </w:pPr>
            <w:r>
              <w:rPr>
                <w:rFonts w:ascii="Arial" w:cs="Arial" w:eastAsia="Arial" w:hAnsi="Arial"/>
                <w:sz w:val="18"/>
                <w:szCs w:val="18"/>
                <w:color w:val="auto"/>
              </w:rPr>
              <w:t>Inventories</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7"/>
              <w:spacing w:after="0"/>
              <w:rPr>
                <w:sz w:val="20"/>
                <w:szCs w:val="20"/>
                <w:color w:val="auto"/>
              </w:rPr>
            </w:pPr>
            <w:r>
              <w:rPr>
                <w:rFonts w:ascii="Arial" w:cs="Arial" w:eastAsia="Arial" w:hAnsi="Arial"/>
                <w:sz w:val="18"/>
                <w:szCs w:val="18"/>
                <w:color w:val="auto"/>
              </w:rPr>
              <w:t>322,980</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7"/>
              <w:spacing w:after="0"/>
              <w:rPr>
                <w:sz w:val="20"/>
                <w:szCs w:val="20"/>
                <w:color w:val="auto"/>
              </w:rPr>
            </w:pPr>
            <w:r>
              <w:rPr>
                <w:rFonts w:ascii="Arial" w:cs="Arial" w:eastAsia="Arial" w:hAnsi="Arial"/>
                <w:sz w:val="18"/>
                <w:szCs w:val="18"/>
                <w:color w:val="auto"/>
              </w:rPr>
              <w:t>276,005</w:t>
            </w:r>
          </w:p>
        </w:tc>
      </w:tr>
      <w:tr>
        <w:trPr>
          <w:trHeight w:val="27"/>
        </w:trPr>
        <w:tc>
          <w:tcPr>
            <w:tcW w:w="826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0"/>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40"/>
          </w:cols>
          <w:pgMar w:left="320" w:top="472" w:right="339" w:bottom="1440" w:gutter="0" w:footer="0" w:header="0"/>
          <w:type w:val="continuous"/>
        </w:sectPr>
      </w:pPr>
    </w:p>
    <w:p>
      <w:pPr>
        <w:spacing w:after="0" w:line="200" w:lineRule="exact"/>
        <w:rPr>
          <w:sz w:val="20"/>
          <w:szCs w:val="20"/>
          <w:color w:val="auto"/>
        </w:rPr>
      </w:pPr>
    </w:p>
    <w:p>
      <w:pPr>
        <w:spacing w:after="0" w:line="225" w:lineRule="exact"/>
        <w:rPr>
          <w:sz w:val="20"/>
          <w:szCs w:val="20"/>
          <w:color w:val="auto"/>
        </w:rPr>
      </w:pPr>
    </w:p>
    <w:p>
      <w:pPr>
        <w:jc w:val="center"/>
        <w:ind w:left="8520"/>
        <w:spacing w:after="0"/>
        <w:rPr>
          <w:sz w:val="20"/>
          <w:szCs w:val="20"/>
          <w:color w:val="auto"/>
        </w:rPr>
      </w:pPr>
      <w:r>
        <w:rPr>
          <w:rFonts w:ascii="Arial" w:cs="Arial" w:eastAsia="Arial" w:hAnsi="Arial"/>
          <w:sz w:val="13"/>
          <w:szCs w:val="13"/>
          <w:b w:val="1"/>
          <w:bCs w:val="1"/>
          <w:color w:val="auto"/>
        </w:rPr>
        <w:t>February 1,</w:t>
      </w:r>
    </w:p>
    <w:p>
      <w:pPr>
        <w:spacing w:after="0" w:line="15" w:lineRule="exact"/>
        <w:rPr>
          <w:sz w:val="20"/>
          <w:szCs w:val="20"/>
          <w:color w:val="auto"/>
        </w:rPr>
      </w:pPr>
    </w:p>
    <w:p>
      <w:pPr>
        <w:jc w:val="center"/>
        <w:ind w:left="8520"/>
        <w:spacing w:after="0"/>
        <w:rPr>
          <w:sz w:val="20"/>
          <w:szCs w:val="20"/>
          <w:color w:val="auto"/>
        </w:rPr>
      </w:pPr>
      <w:r>
        <w:rPr>
          <w:rFonts w:ascii="Arial" w:cs="Arial" w:eastAsia="Arial" w:hAnsi="Arial"/>
          <w:sz w:val="14"/>
          <w:szCs w:val="14"/>
          <w:b w:val="1"/>
          <w:bCs w:val="1"/>
          <w:color w:val="auto"/>
        </w:rPr>
        <w:t>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132320" cy="17145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5" w:lineRule="exact"/>
        <w:rPr>
          <w:sz w:val="20"/>
          <w:szCs w:val="20"/>
          <w:color w:val="auto"/>
        </w:rPr>
      </w:pPr>
    </w:p>
    <w:p>
      <w:pPr>
        <w:jc w:val="center"/>
        <w:ind w:right="360"/>
        <w:spacing w:after="0"/>
        <w:rPr>
          <w:sz w:val="20"/>
          <w:szCs w:val="20"/>
          <w:color w:val="auto"/>
        </w:rPr>
      </w:pPr>
      <w:r>
        <w:rPr>
          <w:rFonts w:ascii="Arial" w:cs="Arial" w:eastAsia="Arial" w:hAnsi="Arial"/>
          <w:sz w:val="13"/>
          <w:szCs w:val="13"/>
          <w:b w:val="1"/>
          <w:bCs w:val="1"/>
          <w:color w:val="auto"/>
        </w:rPr>
        <w:t>February 2,</w:t>
      </w:r>
    </w:p>
    <w:p>
      <w:pPr>
        <w:spacing w:after="0" w:line="15" w:lineRule="exact"/>
        <w:rPr>
          <w:sz w:val="20"/>
          <w:szCs w:val="20"/>
          <w:color w:val="auto"/>
        </w:rPr>
      </w:pPr>
    </w:p>
    <w:p>
      <w:pPr>
        <w:jc w:val="center"/>
        <w:ind w:right="360"/>
        <w:spacing w:after="0"/>
        <w:rPr>
          <w:sz w:val="20"/>
          <w:szCs w:val="20"/>
          <w:color w:val="auto"/>
        </w:rPr>
      </w:pPr>
      <w:r>
        <w:rPr>
          <w:rFonts w:ascii="Arial" w:cs="Arial" w:eastAsia="Arial" w:hAnsi="Arial"/>
          <w:sz w:val="14"/>
          <w:szCs w:val="14"/>
          <w:b w:val="1"/>
          <w:bCs w:val="1"/>
          <w:color w:val="auto"/>
        </w:rPr>
        <w:t>2019</w:t>
      </w:r>
    </w:p>
    <w:p>
      <w:pPr>
        <w:spacing w:after="0" w:line="30" w:lineRule="exact"/>
        <w:rPr>
          <w:sz w:val="20"/>
          <w:szCs w:val="20"/>
          <w:color w:val="auto"/>
        </w:rPr>
      </w:pPr>
    </w:p>
    <w:p>
      <w:pPr>
        <w:sectPr>
          <w:pgSz w:w="11900" w:h="16838" w:orient="portrait"/>
          <w:cols w:equalWidth="0" w:num="2">
            <w:col w:w="9440" w:space="720"/>
            <w:col w:w="1080"/>
          </w:cols>
          <w:pgMar w:left="320" w:top="472" w:right="339" w:bottom="1440" w:gutter="0" w:footer="0" w:header="0"/>
          <w:type w:val="continuous"/>
        </w:sectPr>
      </w:pPr>
    </w:p>
    <w:p>
      <w:pPr>
        <w:ind w:left="20"/>
        <w:spacing w:after="0"/>
        <w:rPr>
          <w:sz w:val="20"/>
          <w:szCs w:val="20"/>
          <w:color w:val="auto"/>
        </w:rPr>
      </w:pPr>
      <w:r>
        <w:rPr>
          <w:rFonts w:ascii="Arial" w:cs="Arial" w:eastAsia="Arial" w:hAnsi="Arial"/>
          <w:sz w:val="18"/>
          <w:szCs w:val="18"/>
          <w:b w:val="1"/>
          <w:bCs w:val="1"/>
          <w:color w:val="auto"/>
        </w:rPr>
        <w:t>Property and equipment, net:</w:t>
      </w:r>
    </w:p>
    <w:p>
      <w:pPr>
        <w:spacing w:after="0" w:line="6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260" w:type="dxa"/>
            <w:vAlign w:val="bottom"/>
          </w:tcPr>
          <w:p>
            <w:pPr>
              <w:ind w:left="440"/>
              <w:spacing w:after="0"/>
              <w:rPr>
                <w:sz w:val="20"/>
                <w:szCs w:val="20"/>
                <w:color w:val="auto"/>
              </w:rPr>
            </w:pPr>
            <w:r>
              <w:rPr>
                <w:rFonts w:ascii="Arial" w:cs="Arial" w:eastAsia="Arial" w:hAnsi="Arial"/>
                <w:sz w:val="18"/>
                <w:szCs w:val="18"/>
                <w:color w:val="auto"/>
              </w:rPr>
              <w:t>Machinery and equipment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70"/>
              <w:spacing w:after="0"/>
              <w:rPr>
                <w:sz w:val="20"/>
                <w:szCs w:val="20"/>
                <w:color w:val="auto"/>
              </w:rPr>
            </w:pPr>
            <w:r>
              <w:rPr>
                <w:rFonts w:ascii="Arial" w:cs="Arial" w:eastAsia="Arial" w:hAnsi="Arial"/>
                <w:sz w:val="18"/>
                <w:szCs w:val="18"/>
                <w:color w:val="auto"/>
              </w:rPr>
              <w:t>686,351</w:t>
            </w:r>
          </w:p>
        </w:tc>
        <w:tc>
          <w:tcPr>
            <w:tcW w:w="100" w:type="dxa"/>
            <w:vAlign w:val="bottom"/>
          </w:tcPr>
          <w:p>
            <w:pPr>
              <w:spacing w:after="0"/>
              <w:rPr>
                <w:sz w:val="20"/>
                <w:szCs w:val="20"/>
                <w:color w:val="auto"/>
              </w:rPr>
            </w:pP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70"/>
              <w:spacing w:after="0"/>
              <w:rPr>
                <w:sz w:val="20"/>
                <w:szCs w:val="20"/>
                <w:color w:val="auto"/>
              </w:rPr>
            </w:pPr>
            <w:r>
              <w:rPr>
                <w:rFonts w:ascii="Arial" w:cs="Arial" w:eastAsia="Arial" w:hAnsi="Arial"/>
                <w:sz w:val="18"/>
                <w:szCs w:val="18"/>
                <w:color w:val="auto"/>
              </w:rPr>
              <w:t>615,329</w:t>
            </w:r>
          </w:p>
        </w:tc>
      </w:tr>
      <w:tr>
        <w:trPr>
          <w:trHeight w:val="27"/>
        </w:trPr>
        <w:tc>
          <w:tcPr>
            <w:tcW w:w="82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440"/>
              <w:spacing w:after="0"/>
              <w:rPr>
                <w:sz w:val="20"/>
                <w:szCs w:val="20"/>
                <w:color w:val="auto"/>
              </w:rPr>
            </w:pPr>
            <w:r>
              <w:rPr>
                <w:rFonts w:ascii="Arial" w:cs="Arial" w:eastAsia="Arial" w:hAnsi="Arial"/>
                <w:sz w:val="18"/>
                <w:szCs w:val="18"/>
                <w:color w:val="auto"/>
              </w:rPr>
              <w:t>Land, buildings, and leasehold improvements</w:t>
            </w:r>
          </w:p>
        </w:tc>
        <w:tc>
          <w:tcPr>
            <w:tcW w:w="3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285,084</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287,047</w:t>
            </w:r>
          </w:p>
        </w:tc>
      </w:tr>
      <w:tr>
        <w:trPr>
          <w:trHeight w:val="243"/>
        </w:trPr>
        <w:tc>
          <w:tcPr>
            <w:tcW w:w="8260" w:type="dxa"/>
            <w:vAlign w:val="bottom"/>
          </w:tcPr>
          <w:p>
            <w:pPr>
              <w:ind w:left="440"/>
              <w:spacing w:after="0"/>
              <w:rPr>
                <w:sz w:val="20"/>
                <w:szCs w:val="20"/>
                <w:color w:val="auto"/>
              </w:rPr>
            </w:pPr>
            <w:r>
              <w:rPr>
                <w:rFonts w:ascii="Arial" w:cs="Arial" w:eastAsia="Arial" w:hAnsi="Arial"/>
                <w:sz w:val="18"/>
                <w:szCs w:val="18"/>
                <w:color w:val="auto"/>
              </w:rPr>
              <w:t>Computer software</w:t>
            </w:r>
          </w:p>
        </w:tc>
        <w:tc>
          <w:tcPr>
            <w:tcW w:w="340" w:type="dxa"/>
            <w:vAlign w:val="bottom"/>
          </w:tcPr>
          <w:p>
            <w:pPr>
              <w:spacing w:after="0"/>
              <w:rPr>
                <w:sz w:val="21"/>
                <w:szCs w:val="21"/>
                <w:color w:val="auto"/>
              </w:rPr>
            </w:pPr>
          </w:p>
        </w:tc>
        <w:tc>
          <w:tcPr>
            <w:tcW w:w="1100" w:type="dxa"/>
            <w:vAlign w:val="bottom"/>
          </w:tcPr>
          <w:p>
            <w:pPr>
              <w:jc w:val="right"/>
              <w:ind w:right="70"/>
              <w:spacing w:after="0"/>
              <w:rPr>
                <w:sz w:val="20"/>
                <w:szCs w:val="20"/>
                <w:color w:val="auto"/>
              </w:rPr>
            </w:pPr>
            <w:r>
              <w:rPr>
                <w:rFonts w:ascii="Arial" w:cs="Arial" w:eastAsia="Arial" w:hAnsi="Arial"/>
                <w:sz w:val="18"/>
                <w:szCs w:val="18"/>
                <w:color w:val="auto"/>
              </w:rPr>
              <w:t>100,613</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00" w:type="dxa"/>
            <w:vAlign w:val="bottom"/>
          </w:tcPr>
          <w:p>
            <w:pPr>
              <w:jc w:val="right"/>
              <w:ind w:right="70"/>
              <w:spacing w:after="0"/>
              <w:rPr>
                <w:sz w:val="20"/>
                <w:szCs w:val="20"/>
                <w:color w:val="auto"/>
              </w:rPr>
            </w:pPr>
            <w:r>
              <w:rPr>
                <w:rFonts w:ascii="Arial" w:cs="Arial" w:eastAsia="Arial" w:hAnsi="Arial"/>
                <w:sz w:val="18"/>
                <w:szCs w:val="18"/>
                <w:color w:val="auto"/>
              </w:rPr>
              <w:t>105,539</w:t>
            </w:r>
          </w:p>
        </w:tc>
      </w:tr>
      <w:tr>
        <w:trPr>
          <w:trHeight w:val="27"/>
        </w:trPr>
        <w:tc>
          <w:tcPr>
            <w:tcW w:w="82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8260" w:type="dxa"/>
            <w:vAlign w:val="bottom"/>
            <w:tcBorders>
              <w:bottom w:val="single" w:sz="8" w:color="CCEEFF"/>
            </w:tcBorders>
            <w:shd w:val="clear" w:color="auto" w:fill="CCEEFF"/>
          </w:tcPr>
          <w:p>
            <w:pPr>
              <w:ind w:left="440"/>
              <w:spacing w:after="0"/>
              <w:rPr>
                <w:sz w:val="20"/>
                <w:szCs w:val="20"/>
                <w:color w:val="auto"/>
              </w:rPr>
            </w:pPr>
            <w:r>
              <w:rPr>
                <w:rFonts w:ascii="Arial" w:cs="Arial" w:eastAsia="Arial" w:hAnsi="Arial"/>
                <w:sz w:val="18"/>
                <w:szCs w:val="18"/>
                <w:color w:val="auto"/>
              </w:rPr>
              <w:t>Furniture and fixtures</w:t>
            </w: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24,582</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23,924</w:t>
            </w:r>
          </w:p>
        </w:tc>
      </w:tr>
      <w:tr>
        <w:trPr>
          <w:trHeight w:val="237"/>
        </w:trPr>
        <w:tc>
          <w:tcPr>
            <w:tcW w:w="826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1,096,630</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1,031,839</w:t>
            </w:r>
          </w:p>
        </w:tc>
      </w:tr>
      <w:tr>
        <w:trPr>
          <w:trHeight w:val="27"/>
        </w:trPr>
        <w:tc>
          <w:tcPr>
            <w:tcW w:w="82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8260" w:type="dxa"/>
            <w:vAlign w:val="bottom"/>
            <w:tcBorders>
              <w:bottom w:val="single" w:sz="8" w:color="CCEEFF"/>
            </w:tcBorders>
            <w:shd w:val="clear" w:color="auto" w:fill="CCEEFF"/>
          </w:tcPr>
          <w:p>
            <w:pPr>
              <w:ind w:left="440"/>
              <w:spacing w:after="0"/>
              <w:rPr>
                <w:sz w:val="20"/>
                <w:szCs w:val="20"/>
                <w:color w:val="auto"/>
              </w:rPr>
            </w:pPr>
            <w:r>
              <w:rPr>
                <w:rFonts w:ascii="Arial" w:cs="Arial" w:eastAsia="Arial" w:hAnsi="Arial"/>
                <w:sz w:val="18"/>
                <w:szCs w:val="18"/>
                <w:color w:val="auto"/>
              </w:rPr>
              <w:t>Less: Accumulated depreciation</w:t>
            </w: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(739,538)</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(712,861)</w:t>
            </w:r>
          </w:p>
        </w:tc>
      </w:tr>
      <w:tr>
        <w:trPr>
          <w:trHeight w:val="237"/>
        </w:trPr>
        <w:tc>
          <w:tcPr>
            <w:tcW w:w="8260" w:type="dxa"/>
            <w:vAlign w:val="bottom"/>
          </w:tcPr>
          <w:p>
            <w:pPr>
              <w:ind w:left="1100"/>
              <w:spacing w:after="0"/>
              <w:rPr>
                <w:sz w:val="20"/>
                <w:szCs w:val="20"/>
                <w:color w:val="auto"/>
              </w:rPr>
            </w:pPr>
            <w:r>
              <w:rPr>
                <w:rFonts w:ascii="Arial" w:cs="Arial" w:eastAsia="Arial" w:hAnsi="Arial"/>
                <w:sz w:val="18"/>
                <w:szCs w:val="18"/>
                <w:color w:val="auto"/>
              </w:rPr>
              <w:t>Property and equipment, net</w:t>
            </w: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357,092</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318,978</w:t>
            </w:r>
          </w:p>
        </w:tc>
      </w:tr>
      <w:tr>
        <w:trPr>
          <w:trHeight w:val="27"/>
        </w:trPr>
        <w:tc>
          <w:tcPr>
            <w:tcW w:w="826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0"/>
        </w:trPr>
        <w:tc>
          <w:tcPr>
            <w:tcW w:w="826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left="460"/>
        <w:spacing w:after="0"/>
        <w:rPr>
          <w:sz w:val="20"/>
          <w:szCs w:val="20"/>
          <w:color w:val="auto"/>
        </w:rPr>
      </w:pPr>
      <w:r>
        <w:rPr>
          <w:rFonts w:ascii="Arial" w:cs="Arial" w:eastAsia="Arial" w:hAnsi="Arial"/>
          <w:sz w:val="17"/>
          <w:szCs w:val="17"/>
          <w:color w:val="auto"/>
        </w:rPr>
        <w:t>The Company recorded depreciation expense of $83.4 million, $64.5 million and $49.2 million for fiscal 2020, 2019 and 2018, respectively.</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1,</w:t>
            </w:r>
          </w:p>
        </w:tc>
        <w:tc>
          <w:tcPr>
            <w:tcW w:w="240" w:type="dxa"/>
            <w:vAlign w:val="bottom"/>
          </w:tcPr>
          <w:p>
            <w:pPr>
              <w:spacing w:after="0"/>
              <w:rPr>
                <w:sz w:val="14"/>
                <w:szCs w:val="14"/>
                <w:color w:val="auto"/>
              </w:rPr>
            </w:pPr>
          </w:p>
        </w:tc>
        <w:tc>
          <w:tcPr>
            <w:tcW w:w="1200" w:type="dxa"/>
            <w:vAlign w:val="bottom"/>
          </w:tcPr>
          <w:p>
            <w:pPr>
              <w:jc w:val="right"/>
              <w:ind w:right="275"/>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2019</w:t>
            </w:r>
          </w:p>
        </w:tc>
      </w:tr>
      <w:tr>
        <w:trPr>
          <w:trHeight w:val="236"/>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assets:</w:t>
            </w: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r>
      <w:tr>
        <w:trPr>
          <w:trHeight w:val="243"/>
        </w:trPr>
        <w:tc>
          <w:tcPr>
            <w:tcW w:w="8260" w:type="dxa"/>
            <w:vAlign w:val="bottom"/>
          </w:tcPr>
          <w:p>
            <w:pPr>
              <w:ind w:left="380"/>
              <w:spacing w:after="0"/>
              <w:rPr>
                <w:sz w:val="20"/>
                <w:szCs w:val="20"/>
                <w:color w:val="auto"/>
              </w:rPr>
            </w:pPr>
            <w:r>
              <w:rPr>
                <w:rFonts w:ascii="Arial" w:cs="Arial" w:eastAsia="Arial" w:hAnsi="Arial"/>
                <w:sz w:val="18"/>
                <w:szCs w:val="18"/>
                <w:color w:val="auto"/>
              </w:rPr>
              <w:t>Technology and other licenses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277,634</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125,278</w:t>
            </w:r>
          </w:p>
        </w:tc>
      </w:tr>
      <w:tr>
        <w:trPr>
          <w:trHeight w:val="27"/>
        </w:trPr>
        <w:tc>
          <w:tcPr>
            <w:tcW w:w="8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Operating right-of-use assets</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110,907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w:t>
            </w:r>
          </w:p>
        </w:tc>
      </w:tr>
      <w:tr>
        <w:trPr>
          <w:trHeight w:val="243"/>
        </w:trPr>
        <w:tc>
          <w:tcPr>
            <w:tcW w:w="8260" w:type="dxa"/>
            <w:vAlign w:val="bottom"/>
          </w:tcPr>
          <w:p>
            <w:pPr>
              <w:ind w:left="380"/>
              <w:spacing w:after="0"/>
              <w:rPr>
                <w:sz w:val="20"/>
                <w:szCs w:val="20"/>
                <w:color w:val="auto"/>
              </w:rPr>
            </w:pPr>
            <w:r>
              <w:rPr>
                <w:rFonts w:ascii="Arial" w:cs="Arial" w:eastAsia="Arial" w:hAnsi="Arial"/>
                <w:sz w:val="18"/>
                <w:szCs w:val="18"/>
                <w:color w:val="auto"/>
              </w:rPr>
              <w:t>Prepaid ship and debit (1)</w:t>
            </w:r>
          </w:p>
        </w:tc>
        <w:tc>
          <w:tcPr>
            <w:tcW w:w="240" w:type="dxa"/>
            <w:vAlign w:val="bottom"/>
          </w:tcPr>
          <w:p>
            <w:pPr>
              <w:spacing w:after="0"/>
              <w:rPr>
                <w:sz w:val="21"/>
                <w:szCs w:val="21"/>
                <w:color w:val="auto"/>
              </w:rPr>
            </w:pP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75,362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75,079</w:t>
            </w:r>
          </w:p>
        </w:tc>
      </w:tr>
      <w:tr>
        <w:trPr>
          <w:trHeight w:val="27"/>
        </w:trPr>
        <w:tc>
          <w:tcPr>
            <w:tcW w:w="8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2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32,947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34,512</w:t>
            </w:r>
          </w:p>
        </w:tc>
      </w:tr>
      <w:tr>
        <w:trPr>
          <w:trHeight w:val="236"/>
        </w:trPr>
        <w:tc>
          <w:tcPr>
            <w:tcW w:w="8260" w:type="dxa"/>
            <w:vAlign w:val="bottom"/>
          </w:tcPr>
          <w:p>
            <w:pPr>
              <w:ind w:left="1100"/>
              <w:spacing w:after="0"/>
              <w:rPr>
                <w:sz w:val="20"/>
                <w:szCs w:val="20"/>
                <w:color w:val="auto"/>
              </w:rPr>
            </w:pPr>
            <w:r>
              <w:rPr>
                <w:rFonts w:ascii="Arial" w:cs="Arial" w:eastAsia="Arial" w:hAnsi="Arial"/>
                <w:sz w:val="18"/>
                <w:szCs w:val="18"/>
                <w:color w:val="auto"/>
              </w:rPr>
              <w:t>Other non-current assets</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5"/>
              <w:spacing w:after="0"/>
              <w:rPr>
                <w:sz w:val="20"/>
                <w:szCs w:val="20"/>
                <w:color w:val="auto"/>
              </w:rPr>
            </w:pPr>
            <w:r>
              <w:rPr>
                <w:rFonts w:ascii="Arial" w:cs="Arial" w:eastAsia="Arial" w:hAnsi="Arial"/>
                <w:sz w:val="18"/>
                <w:szCs w:val="18"/>
                <w:color w:val="auto"/>
              </w:rPr>
              <w:t>496,850</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5"/>
              <w:spacing w:after="0"/>
              <w:rPr>
                <w:sz w:val="20"/>
                <w:szCs w:val="20"/>
                <w:color w:val="auto"/>
              </w:rPr>
            </w:pPr>
            <w:r>
              <w:rPr>
                <w:rFonts w:ascii="Arial" w:cs="Arial" w:eastAsia="Arial" w:hAnsi="Arial"/>
                <w:sz w:val="18"/>
                <w:szCs w:val="18"/>
                <w:color w:val="auto"/>
              </w:rPr>
              <w:t>234,869</w:t>
            </w:r>
          </w:p>
        </w:tc>
      </w:tr>
      <w:tr>
        <w:trPr>
          <w:trHeight w:val="27"/>
        </w:trPr>
        <w:tc>
          <w:tcPr>
            <w:tcW w:w="826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0"/>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60" w:firstLine="8"/>
        <w:spacing w:after="0" w:line="263" w:lineRule="auto"/>
        <w:tabs>
          <w:tab w:leader="none" w:pos="255" w:val="left"/>
        </w:tabs>
        <w:numPr>
          <w:ilvl w:val="0"/>
          <w:numId w:val="32"/>
        </w:numPr>
        <w:rPr>
          <w:rFonts w:ascii="Arial" w:cs="Arial" w:eastAsia="Arial" w:hAnsi="Arial"/>
          <w:sz w:val="18"/>
          <w:szCs w:val="18"/>
          <w:color w:val="auto"/>
        </w:rPr>
      </w:pPr>
      <w:r>
        <w:rPr>
          <w:rFonts w:ascii="Arial" w:cs="Arial" w:eastAsia="Arial" w:hAnsi="Arial"/>
          <w:sz w:val="18"/>
          <w:szCs w:val="18"/>
          <w:color w:val="auto"/>
        </w:rPr>
        <w:t>Prepaid ship and debit of $75.4 million and $75.1 million as of February 1, 2020 and February 2, 2019, respectively, relate to certain prepaid distributor arrangements for ship and debit claims. Amortization of technology and other licenses was $70.4 million, $57.0 million and $34.3 million in fiscal 2020, 2019 and 2018, respectively.</w:t>
      </w:r>
    </w:p>
    <w:p>
      <w:pPr>
        <w:sectPr>
          <w:pgSz w:w="11900" w:h="16838" w:orient="portrait"/>
          <w:cols w:equalWidth="0" w:num="1">
            <w:col w:w="11240"/>
          </w:cols>
          <w:pgMar w:left="320" w:top="472" w:right="339" w:bottom="1440" w:gutter="0" w:footer="0" w:header="0"/>
          <w:type w:val="continuous"/>
        </w:sectPr>
      </w:pPr>
    </w:p>
    <w:p>
      <w:pPr>
        <w:spacing w:after="0" w:line="200" w:lineRule="exact"/>
        <w:rPr>
          <w:sz w:val="20"/>
          <w:szCs w:val="20"/>
          <w:color w:val="auto"/>
        </w:rPr>
      </w:pP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73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76" w:name="page77"/>
    <w:bookmarkEnd w:id="76"/>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1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1,</w:t>
            </w:r>
          </w:p>
        </w:tc>
        <w:tc>
          <w:tcPr>
            <w:tcW w:w="240" w:type="dxa"/>
            <w:vAlign w:val="bottom"/>
          </w:tcPr>
          <w:p>
            <w:pPr>
              <w:spacing w:after="0"/>
              <w:rPr>
                <w:sz w:val="14"/>
                <w:szCs w:val="14"/>
                <w:color w:val="auto"/>
              </w:rPr>
            </w:pPr>
          </w:p>
        </w:tc>
        <w:tc>
          <w:tcPr>
            <w:tcW w:w="1200" w:type="dxa"/>
            <w:vAlign w:val="bottom"/>
          </w:tcPr>
          <w:p>
            <w:pPr>
              <w:jc w:val="right"/>
              <w:ind w:right="273"/>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2019</w:t>
            </w:r>
          </w:p>
        </w:tc>
      </w:tr>
      <w:tr>
        <w:trPr>
          <w:trHeight w:val="236"/>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r>
      <w:tr>
        <w:trPr>
          <w:trHeight w:val="243"/>
        </w:trPr>
        <w:tc>
          <w:tcPr>
            <w:tcW w:w="8260" w:type="dxa"/>
            <w:vAlign w:val="bottom"/>
          </w:tcPr>
          <w:p>
            <w:pPr>
              <w:ind w:left="440"/>
              <w:spacing w:after="0"/>
              <w:rPr>
                <w:sz w:val="20"/>
                <w:szCs w:val="20"/>
                <w:color w:val="auto"/>
              </w:rPr>
            </w:pPr>
            <w:r>
              <w:rPr>
                <w:rFonts w:ascii="Arial" w:cs="Arial" w:eastAsia="Arial" w:hAnsi="Arial"/>
                <w:sz w:val="18"/>
                <w:szCs w:val="18"/>
                <w:color w:val="auto"/>
              </w:rPr>
              <w:t>Contract liabilities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3"/>
              <w:spacing w:after="0"/>
              <w:rPr>
                <w:sz w:val="20"/>
                <w:szCs w:val="20"/>
                <w:color w:val="auto"/>
              </w:rPr>
            </w:pPr>
            <w:r>
              <w:rPr>
                <w:rFonts w:ascii="Arial" w:cs="Arial" w:eastAsia="Arial" w:hAnsi="Arial"/>
                <w:sz w:val="18"/>
                <w:szCs w:val="18"/>
                <w:color w:val="auto"/>
              </w:rPr>
              <w:t>111,486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3"/>
              <w:spacing w:after="0"/>
              <w:rPr>
                <w:sz w:val="20"/>
                <w:szCs w:val="20"/>
                <w:color w:val="auto"/>
              </w:rPr>
            </w:pPr>
            <w:r>
              <w:rPr>
                <w:rFonts w:ascii="Arial" w:cs="Arial" w:eastAsia="Arial" w:hAnsi="Arial"/>
                <w:sz w:val="18"/>
                <w:szCs w:val="18"/>
                <w:color w:val="auto"/>
              </w:rPr>
              <w:t>142,378</w:t>
            </w:r>
          </w:p>
        </w:tc>
      </w:tr>
      <w:tr>
        <w:trPr>
          <w:trHeight w:val="27"/>
        </w:trPr>
        <w:tc>
          <w:tcPr>
            <w:tcW w:w="8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420"/>
              <w:spacing w:after="0"/>
              <w:rPr>
                <w:sz w:val="20"/>
                <w:szCs w:val="20"/>
                <w:color w:val="auto"/>
              </w:rPr>
            </w:pPr>
            <w:r>
              <w:rPr>
                <w:rFonts w:ascii="Arial" w:cs="Arial" w:eastAsia="Arial" w:hAnsi="Arial"/>
                <w:sz w:val="18"/>
                <w:szCs w:val="18"/>
                <w:color w:val="auto"/>
              </w:rPr>
              <w:t>Technology license obligations</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71,623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48,018</w:t>
            </w:r>
          </w:p>
        </w:tc>
      </w:tr>
      <w:tr>
        <w:trPr>
          <w:trHeight w:val="243"/>
        </w:trPr>
        <w:tc>
          <w:tcPr>
            <w:tcW w:w="8260" w:type="dxa"/>
            <w:vAlign w:val="bottom"/>
          </w:tcPr>
          <w:p>
            <w:pPr>
              <w:ind w:left="440"/>
              <w:spacing w:after="0"/>
              <w:rPr>
                <w:sz w:val="20"/>
                <w:szCs w:val="20"/>
                <w:color w:val="auto"/>
              </w:rPr>
            </w:pPr>
            <w:r>
              <w:rPr>
                <w:rFonts w:ascii="Arial" w:cs="Arial" w:eastAsia="Arial" w:hAnsi="Arial"/>
                <w:sz w:val="18"/>
                <w:szCs w:val="18"/>
                <w:color w:val="auto"/>
              </w:rPr>
              <w:t>Deferred non-recurring engineering credits</w:t>
            </w:r>
          </w:p>
        </w:tc>
        <w:tc>
          <w:tcPr>
            <w:tcW w:w="240" w:type="dxa"/>
            <w:vAlign w:val="bottom"/>
          </w:tcPr>
          <w:p>
            <w:pPr>
              <w:spacing w:after="0"/>
              <w:rPr>
                <w:sz w:val="21"/>
                <w:szCs w:val="21"/>
                <w:color w:val="auto"/>
              </w:rPr>
            </w:pPr>
          </w:p>
        </w:tc>
        <w:tc>
          <w:tcPr>
            <w:tcW w:w="1200" w:type="dxa"/>
            <w:vAlign w:val="bottom"/>
          </w:tcPr>
          <w:p>
            <w:pPr>
              <w:jc w:val="right"/>
              <w:ind w:right="73"/>
              <w:spacing w:after="0"/>
              <w:rPr>
                <w:sz w:val="20"/>
                <w:szCs w:val="20"/>
                <w:color w:val="auto"/>
              </w:rPr>
            </w:pPr>
            <w:r>
              <w:rPr>
                <w:rFonts w:ascii="Arial" w:cs="Arial" w:eastAsia="Arial" w:hAnsi="Arial"/>
                <w:sz w:val="18"/>
                <w:szCs w:val="18"/>
                <w:color w:val="auto"/>
              </w:rPr>
              <w:t>51,109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3"/>
              <w:spacing w:after="0"/>
              <w:rPr>
                <w:sz w:val="20"/>
                <w:szCs w:val="20"/>
                <w:color w:val="auto"/>
              </w:rPr>
            </w:pPr>
            <w:r>
              <w:rPr>
                <w:rFonts w:ascii="Arial" w:cs="Arial" w:eastAsia="Arial" w:hAnsi="Arial"/>
                <w:sz w:val="18"/>
                <w:szCs w:val="18"/>
                <w:color w:val="auto"/>
              </w:rPr>
              <w:t>13,440</w:t>
            </w:r>
          </w:p>
        </w:tc>
      </w:tr>
      <w:tr>
        <w:trPr>
          <w:trHeight w:val="27"/>
        </w:trPr>
        <w:tc>
          <w:tcPr>
            <w:tcW w:w="8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440"/>
              <w:spacing w:after="0"/>
              <w:rPr>
                <w:sz w:val="20"/>
                <w:szCs w:val="20"/>
                <w:color w:val="auto"/>
              </w:rPr>
            </w:pPr>
            <w:r>
              <w:rPr>
                <w:rFonts w:ascii="Arial" w:cs="Arial" w:eastAsia="Arial" w:hAnsi="Arial"/>
                <w:sz w:val="18"/>
                <w:szCs w:val="18"/>
                <w:color w:val="auto"/>
              </w:rPr>
              <w:t>Lease liabilities - current</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28,662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w:t>
            </w:r>
          </w:p>
        </w:tc>
      </w:tr>
      <w:tr>
        <w:trPr>
          <w:trHeight w:val="243"/>
        </w:trPr>
        <w:tc>
          <w:tcPr>
            <w:tcW w:w="8260" w:type="dxa"/>
            <w:vAlign w:val="bottom"/>
          </w:tcPr>
          <w:p>
            <w:pPr>
              <w:ind w:left="420"/>
              <w:spacing w:after="0"/>
              <w:rPr>
                <w:sz w:val="20"/>
                <w:szCs w:val="20"/>
                <w:color w:val="auto"/>
              </w:rPr>
            </w:pPr>
            <w:r>
              <w:rPr>
                <w:rFonts w:ascii="Arial" w:cs="Arial" w:eastAsia="Arial" w:hAnsi="Arial"/>
                <w:sz w:val="18"/>
                <w:szCs w:val="18"/>
                <w:color w:val="auto"/>
              </w:rPr>
              <w:t>Accrued restructuring</w:t>
            </w:r>
          </w:p>
        </w:tc>
        <w:tc>
          <w:tcPr>
            <w:tcW w:w="240" w:type="dxa"/>
            <w:vAlign w:val="bottom"/>
          </w:tcPr>
          <w:p>
            <w:pPr>
              <w:spacing w:after="0"/>
              <w:rPr>
                <w:sz w:val="21"/>
                <w:szCs w:val="21"/>
                <w:color w:val="auto"/>
              </w:rPr>
            </w:pPr>
          </w:p>
        </w:tc>
        <w:tc>
          <w:tcPr>
            <w:tcW w:w="1200" w:type="dxa"/>
            <w:vAlign w:val="bottom"/>
          </w:tcPr>
          <w:p>
            <w:pPr>
              <w:jc w:val="right"/>
              <w:ind w:right="73"/>
              <w:spacing w:after="0"/>
              <w:rPr>
                <w:sz w:val="20"/>
                <w:szCs w:val="20"/>
                <w:color w:val="auto"/>
              </w:rPr>
            </w:pPr>
            <w:r>
              <w:rPr>
                <w:rFonts w:ascii="Arial" w:cs="Arial" w:eastAsia="Arial" w:hAnsi="Arial"/>
                <w:sz w:val="18"/>
                <w:szCs w:val="18"/>
                <w:color w:val="auto"/>
              </w:rPr>
              <w:t>14,302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3"/>
              <w:spacing w:after="0"/>
              <w:rPr>
                <w:sz w:val="20"/>
                <w:szCs w:val="20"/>
                <w:color w:val="auto"/>
              </w:rPr>
            </w:pPr>
            <w:r>
              <w:rPr>
                <w:rFonts w:ascii="Arial" w:cs="Arial" w:eastAsia="Arial" w:hAnsi="Arial"/>
                <w:sz w:val="18"/>
                <w:szCs w:val="18"/>
                <w:color w:val="auto"/>
              </w:rPr>
              <w:t>26,702</w:t>
            </w:r>
          </w:p>
        </w:tc>
      </w:tr>
      <w:tr>
        <w:trPr>
          <w:trHeight w:val="27"/>
        </w:trPr>
        <w:tc>
          <w:tcPr>
            <w:tcW w:w="8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420"/>
              <w:spacing w:after="0"/>
              <w:rPr>
                <w:sz w:val="20"/>
                <w:szCs w:val="20"/>
                <w:color w:val="auto"/>
              </w:rPr>
            </w:pPr>
            <w:r>
              <w:rPr>
                <w:rFonts w:ascii="Arial" w:cs="Arial" w:eastAsia="Arial" w:hAnsi="Arial"/>
                <w:sz w:val="18"/>
                <w:szCs w:val="18"/>
                <w:color w:val="auto"/>
              </w:rPr>
              <w:t>Accrued royalty</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10,927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11,438</w:t>
            </w:r>
          </w:p>
        </w:tc>
      </w:tr>
      <w:tr>
        <w:trPr>
          <w:trHeight w:val="243"/>
        </w:trPr>
        <w:tc>
          <w:tcPr>
            <w:tcW w:w="8260" w:type="dxa"/>
            <w:vAlign w:val="bottom"/>
          </w:tcPr>
          <w:p>
            <w:pPr>
              <w:ind w:left="420"/>
              <w:spacing w:after="0"/>
              <w:rPr>
                <w:sz w:val="20"/>
                <w:szCs w:val="20"/>
                <w:color w:val="auto"/>
              </w:rPr>
            </w:pPr>
            <w:r>
              <w:rPr>
                <w:rFonts w:ascii="Arial" w:cs="Arial" w:eastAsia="Arial" w:hAnsi="Arial"/>
                <w:sz w:val="18"/>
                <w:szCs w:val="18"/>
                <w:color w:val="auto"/>
              </w:rPr>
              <w:t>Accrued income tax payable</w:t>
            </w:r>
          </w:p>
        </w:tc>
        <w:tc>
          <w:tcPr>
            <w:tcW w:w="240" w:type="dxa"/>
            <w:vAlign w:val="bottom"/>
          </w:tcPr>
          <w:p>
            <w:pPr>
              <w:spacing w:after="0"/>
              <w:rPr>
                <w:sz w:val="21"/>
                <w:szCs w:val="21"/>
                <w:color w:val="auto"/>
              </w:rPr>
            </w:pPr>
          </w:p>
        </w:tc>
        <w:tc>
          <w:tcPr>
            <w:tcW w:w="1200" w:type="dxa"/>
            <w:vAlign w:val="bottom"/>
          </w:tcPr>
          <w:p>
            <w:pPr>
              <w:jc w:val="right"/>
              <w:ind w:right="73"/>
              <w:spacing w:after="0"/>
              <w:rPr>
                <w:sz w:val="20"/>
                <w:szCs w:val="20"/>
                <w:color w:val="auto"/>
              </w:rPr>
            </w:pPr>
            <w:r>
              <w:rPr>
                <w:rFonts w:ascii="Arial" w:cs="Arial" w:eastAsia="Arial" w:hAnsi="Arial"/>
                <w:sz w:val="18"/>
                <w:szCs w:val="18"/>
                <w:color w:val="auto"/>
              </w:rPr>
              <w:t>6,133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3"/>
              <w:spacing w:after="0"/>
              <w:rPr>
                <w:sz w:val="20"/>
                <w:szCs w:val="20"/>
                <w:color w:val="auto"/>
              </w:rPr>
            </w:pPr>
            <w:r>
              <w:rPr>
                <w:rFonts w:ascii="Arial" w:cs="Arial" w:eastAsia="Arial" w:hAnsi="Arial"/>
                <w:sz w:val="18"/>
                <w:szCs w:val="18"/>
                <w:color w:val="auto"/>
              </w:rPr>
              <w:t>47,079</w:t>
            </w:r>
          </w:p>
        </w:tc>
      </w:tr>
      <w:tr>
        <w:trPr>
          <w:trHeight w:val="27"/>
        </w:trPr>
        <w:tc>
          <w:tcPr>
            <w:tcW w:w="8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260" w:type="dxa"/>
            <w:vAlign w:val="bottom"/>
            <w:tcBorders>
              <w:bottom w:val="single" w:sz="8" w:color="CCEEFF"/>
            </w:tcBorders>
            <w:shd w:val="clear" w:color="auto" w:fill="CCEEFF"/>
          </w:tcPr>
          <w:p>
            <w:pPr>
              <w:ind w:left="44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52,397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46,454</w:t>
            </w:r>
          </w:p>
        </w:tc>
      </w:tr>
      <w:tr>
        <w:trPr>
          <w:trHeight w:val="237"/>
        </w:trPr>
        <w:tc>
          <w:tcPr>
            <w:tcW w:w="8260" w:type="dxa"/>
            <w:vAlign w:val="bottom"/>
          </w:tcPr>
          <w:p>
            <w:pPr>
              <w:ind w:left="1060"/>
              <w:spacing w:after="0"/>
              <w:rPr>
                <w:sz w:val="20"/>
                <w:szCs w:val="20"/>
                <w:color w:val="auto"/>
              </w:rPr>
            </w:pPr>
            <w:r>
              <w:rPr>
                <w:rFonts w:ascii="Arial" w:cs="Arial" w:eastAsia="Arial" w:hAnsi="Arial"/>
                <w:sz w:val="18"/>
                <w:szCs w:val="18"/>
                <w:color w:val="auto"/>
              </w:rPr>
              <w:t>Accrued liabilities</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346,639</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335,509</w:t>
            </w:r>
          </w:p>
        </w:tc>
      </w:tr>
      <w:tr>
        <w:trPr>
          <w:trHeight w:val="27"/>
        </w:trPr>
        <w:tc>
          <w:tcPr>
            <w:tcW w:w="826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1"/>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40"/>
          </w:cols>
          <w:pgMar w:left="320" w:top="472" w:right="339" w:bottom="1440" w:gutter="0" w:footer="0" w:header="0"/>
        </w:sectPr>
      </w:pPr>
    </w:p>
    <w:p>
      <w:pPr>
        <w:spacing w:after="0" w:line="182" w:lineRule="exact"/>
        <w:rPr>
          <w:sz w:val="20"/>
          <w:szCs w:val="20"/>
          <w:color w:val="auto"/>
        </w:rPr>
      </w:pPr>
    </w:p>
    <w:p>
      <w:pPr>
        <w:jc w:val="center"/>
        <w:ind w:left="8500"/>
        <w:spacing w:after="0"/>
        <w:rPr>
          <w:sz w:val="20"/>
          <w:szCs w:val="20"/>
          <w:color w:val="auto"/>
        </w:rPr>
      </w:pPr>
      <w:r>
        <w:rPr>
          <w:rFonts w:ascii="Arial" w:cs="Arial" w:eastAsia="Arial" w:hAnsi="Arial"/>
          <w:sz w:val="13"/>
          <w:szCs w:val="13"/>
          <w:b w:val="1"/>
          <w:bCs w:val="1"/>
          <w:color w:val="auto"/>
        </w:rPr>
        <w:t>February 1,</w:t>
      </w:r>
    </w:p>
    <w:p>
      <w:pPr>
        <w:spacing w:after="0" w:line="15" w:lineRule="exact"/>
        <w:rPr>
          <w:sz w:val="20"/>
          <w:szCs w:val="20"/>
          <w:color w:val="auto"/>
        </w:rPr>
      </w:pPr>
    </w:p>
    <w:p>
      <w:pPr>
        <w:jc w:val="center"/>
        <w:ind w:left="8500"/>
        <w:spacing w:after="0"/>
        <w:rPr>
          <w:sz w:val="20"/>
          <w:szCs w:val="20"/>
          <w:color w:val="auto"/>
        </w:rPr>
      </w:pPr>
      <w:r>
        <w:rPr>
          <w:rFonts w:ascii="Arial" w:cs="Arial" w:eastAsia="Arial" w:hAnsi="Arial"/>
          <w:sz w:val="14"/>
          <w:szCs w:val="14"/>
          <w:b w:val="1"/>
          <w:bCs w:val="1"/>
          <w:color w:val="auto"/>
        </w:rPr>
        <w:t>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132320" cy="17145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62" w:lineRule="exact"/>
        <w:rPr>
          <w:sz w:val="20"/>
          <w:szCs w:val="20"/>
          <w:color w:val="auto"/>
        </w:rPr>
      </w:pPr>
    </w:p>
    <w:p>
      <w:pPr>
        <w:jc w:val="center"/>
        <w:ind w:right="360"/>
        <w:spacing w:after="0"/>
        <w:rPr>
          <w:sz w:val="20"/>
          <w:szCs w:val="20"/>
          <w:color w:val="auto"/>
        </w:rPr>
      </w:pPr>
      <w:r>
        <w:rPr>
          <w:rFonts w:ascii="Arial" w:cs="Arial" w:eastAsia="Arial" w:hAnsi="Arial"/>
          <w:sz w:val="13"/>
          <w:szCs w:val="13"/>
          <w:b w:val="1"/>
          <w:bCs w:val="1"/>
          <w:color w:val="auto"/>
        </w:rPr>
        <w:t>February 2,</w:t>
      </w:r>
    </w:p>
    <w:p>
      <w:pPr>
        <w:spacing w:after="0" w:line="15" w:lineRule="exact"/>
        <w:rPr>
          <w:sz w:val="20"/>
          <w:szCs w:val="20"/>
          <w:color w:val="auto"/>
        </w:rPr>
      </w:pPr>
    </w:p>
    <w:p>
      <w:pPr>
        <w:jc w:val="center"/>
        <w:ind w:right="360"/>
        <w:spacing w:after="0"/>
        <w:rPr>
          <w:sz w:val="20"/>
          <w:szCs w:val="20"/>
          <w:color w:val="auto"/>
        </w:rPr>
      </w:pPr>
      <w:r>
        <w:rPr>
          <w:rFonts w:ascii="Arial" w:cs="Arial" w:eastAsia="Arial" w:hAnsi="Arial"/>
          <w:sz w:val="14"/>
          <w:szCs w:val="14"/>
          <w:b w:val="1"/>
          <w:bCs w:val="1"/>
          <w:color w:val="auto"/>
        </w:rPr>
        <w:t>2019</w:t>
      </w:r>
    </w:p>
    <w:p>
      <w:pPr>
        <w:spacing w:after="0" w:line="30" w:lineRule="exact"/>
        <w:rPr>
          <w:sz w:val="20"/>
          <w:szCs w:val="20"/>
          <w:color w:val="auto"/>
        </w:rPr>
      </w:pPr>
    </w:p>
    <w:p>
      <w:pPr>
        <w:sectPr>
          <w:pgSz w:w="11900" w:h="16838" w:orient="portrait"/>
          <w:cols w:equalWidth="0" w:num="2">
            <w:col w:w="9440" w:space="720"/>
            <w:col w:w="1080"/>
          </w:cols>
          <w:pgMar w:left="320" w:top="472" w:right="339" w:bottom="1440" w:gutter="0" w:footer="0" w:header="0"/>
          <w:type w:val="continuous"/>
        </w:sectPr>
      </w:pPr>
    </w:p>
    <w:p>
      <w:pPr>
        <w:ind w:left="20"/>
        <w:spacing w:after="0"/>
        <w:rPr>
          <w:sz w:val="20"/>
          <w:szCs w:val="20"/>
          <w:color w:val="auto"/>
        </w:rPr>
      </w:pPr>
      <w:r>
        <w:rPr>
          <w:rFonts w:ascii="Arial" w:cs="Arial" w:eastAsia="Arial" w:hAnsi="Arial"/>
          <w:sz w:val="18"/>
          <w:szCs w:val="18"/>
          <w:b w:val="1"/>
          <w:bCs w:val="1"/>
          <w:color w:val="auto"/>
        </w:rPr>
        <w:t>Other non-current liabilities:</w:t>
      </w:r>
    </w:p>
    <w:p>
      <w:pPr>
        <w:spacing w:after="0" w:line="6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260" w:type="dxa"/>
            <w:vAlign w:val="bottom"/>
          </w:tcPr>
          <w:p>
            <w:pPr>
              <w:ind w:left="440"/>
              <w:spacing w:after="0"/>
              <w:rPr>
                <w:sz w:val="20"/>
                <w:szCs w:val="20"/>
                <w:color w:val="auto"/>
              </w:rPr>
            </w:pPr>
            <w:r>
              <w:rPr>
                <w:rFonts w:ascii="Arial" w:cs="Arial" w:eastAsia="Arial" w:hAnsi="Arial"/>
                <w:sz w:val="18"/>
                <w:szCs w:val="18"/>
                <w:color w:val="auto"/>
              </w:rPr>
              <w:t>Lease liabilities - non current</w:t>
            </w:r>
          </w:p>
        </w:tc>
        <w:tc>
          <w:tcPr>
            <w:tcW w:w="400" w:type="dxa"/>
            <w:vAlign w:val="bottom"/>
          </w:tcPr>
          <w:p>
            <w:pPr>
              <w:jc w:val="right"/>
              <w:ind w:right="210"/>
              <w:spacing w:after="0"/>
              <w:rPr>
                <w:sz w:val="20"/>
                <w:szCs w:val="20"/>
                <w:color w:val="auto"/>
              </w:rPr>
            </w:pPr>
            <w:r>
              <w:rPr>
                <w:rFonts w:ascii="Arial" w:cs="Arial" w:eastAsia="Arial" w:hAnsi="Arial"/>
                <w:sz w:val="18"/>
                <w:szCs w:val="18"/>
                <w:color w:val="auto"/>
                <w:w w:val="79"/>
              </w:rPr>
              <w:t>$</w:t>
            </w:r>
          </w:p>
        </w:tc>
        <w:tc>
          <w:tcPr>
            <w:tcW w:w="1020" w:type="dxa"/>
            <w:vAlign w:val="bottom"/>
          </w:tcPr>
          <w:p>
            <w:pPr>
              <w:jc w:val="right"/>
              <w:ind w:right="50"/>
              <w:spacing w:after="0"/>
              <w:rPr>
                <w:sz w:val="20"/>
                <w:szCs w:val="20"/>
                <w:color w:val="auto"/>
              </w:rPr>
            </w:pPr>
            <w:r>
              <w:rPr>
                <w:rFonts w:ascii="Arial" w:cs="Arial" w:eastAsia="Arial" w:hAnsi="Arial"/>
                <w:sz w:val="18"/>
                <w:szCs w:val="18"/>
                <w:color w:val="auto"/>
              </w:rPr>
              <w:t>115,778</w:t>
            </w:r>
          </w:p>
        </w:tc>
        <w:tc>
          <w:tcPr>
            <w:tcW w:w="120" w:type="dxa"/>
            <w:vAlign w:val="bottom"/>
          </w:tcPr>
          <w:p>
            <w:pPr>
              <w:spacing w:after="0"/>
              <w:rPr>
                <w:sz w:val="20"/>
                <w:szCs w:val="20"/>
                <w:color w:val="auto"/>
              </w:rPr>
            </w:pPr>
          </w:p>
        </w:tc>
        <w:tc>
          <w:tcPr>
            <w:tcW w:w="46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70"/>
              <w:spacing w:after="0"/>
              <w:rPr>
                <w:sz w:val="20"/>
                <w:szCs w:val="20"/>
                <w:color w:val="auto"/>
              </w:rPr>
            </w:pPr>
            <w:r>
              <w:rPr>
                <w:rFonts w:ascii="Arial" w:cs="Arial" w:eastAsia="Arial" w:hAnsi="Arial"/>
                <w:sz w:val="18"/>
                <w:szCs w:val="18"/>
                <w:color w:val="auto"/>
              </w:rPr>
              <w:t>—</w:t>
            </w:r>
          </w:p>
        </w:tc>
      </w:tr>
      <w:tr>
        <w:trPr>
          <w:trHeight w:val="27"/>
        </w:trPr>
        <w:tc>
          <w:tcPr>
            <w:tcW w:w="826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6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420"/>
              <w:spacing w:after="0"/>
              <w:rPr>
                <w:sz w:val="20"/>
                <w:szCs w:val="20"/>
                <w:color w:val="auto"/>
              </w:rPr>
            </w:pPr>
            <w:r>
              <w:rPr>
                <w:rFonts w:ascii="Arial" w:cs="Arial" w:eastAsia="Arial" w:hAnsi="Arial"/>
                <w:sz w:val="18"/>
                <w:szCs w:val="18"/>
                <w:color w:val="auto"/>
              </w:rPr>
              <w:t>Technology license obligations</w:t>
            </w:r>
          </w:p>
        </w:tc>
        <w:tc>
          <w:tcPr>
            <w:tcW w:w="4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107,893</w:t>
            </w:r>
          </w:p>
        </w:tc>
        <w:tc>
          <w:tcPr>
            <w:tcW w:w="120" w:type="dxa"/>
            <w:vAlign w:val="bottom"/>
            <w:tcBorders>
              <w:bottom w:val="single" w:sz="8" w:color="CCEEFF"/>
            </w:tcBorders>
            <w:shd w:val="clear" w:color="auto" w:fill="CCEEFF"/>
          </w:tcPr>
          <w:p>
            <w:pPr>
              <w:spacing w:after="0"/>
              <w:rPr>
                <w:sz w:val="21"/>
                <w:szCs w:val="21"/>
                <w:color w:val="auto"/>
              </w:rPr>
            </w:pPr>
          </w:p>
        </w:tc>
        <w:tc>
          <w:tcPr>
            <w:tcW w:w="4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6,716</w:t>
            </w:r>
          </w:p>
        </w:tc>
      </w:tr>
      <w:tr>
        <w:trPr>
          <w:trHeight w:val="243"/>
        </w:trPr>
        <w:tc>
          <w:tcPr>
            <w:tcW w:w="8260" w:type="dxa"/>
            <w:vAlign w:val="bottom"/>
          </w:tcPr>
          <w:p>
            <w:pPr>
              <w:ind w:left="440"/>
              <w:spacing w:after="0"/>
              <w:rPr>
                <w:sz w:val="20"/>
                <w:szCs w:val="20"/>
                <w:color w:val="auto"/>
              </w:rPr>
            </w:pPr>
            <w:r>
              <w:rPr>
                <w:rFonts w:ascii="Arial" w:cs="Arial" w:eastAsia="Arial" w:hAnsi="Arial"/>
                <w:sz w:val="18"/>
                <w:szCs w:val="18"/>
                <w:color w:val="auto"/>
              </w:rPr>
              <w:t>Non-current income taxes payable</w:t>
            </w:r>
          </w:p>
        </w:tc>
        <w:tc>
          <w:tcPr>
            <w:tcW w:w="400" w:type="dxa"/>
            <w:vAlign w:val="bottom"/>
          </w:tcPr>
          <w:p>
            <w:pPr>
              <w:spacing w:after="0"/>
              <w:rPr>
                <w:sz w:val="21"/>
                <w:szCs w:val="21"/>
                <w:color w:val="auto"/>
              </w:rPr>
            </w:pPr>
          </w:p>
        </w:tc>
        <w:tc>
          <w:tcPr>
            <w:tcW w:w="1020" w:type="dxa"/>
            <w:vAlign w:val="bottom"/>
          </w:tcPr>
          <w:p>
            <w:pPr>
              <w:jc w:val="right"/>
              <w:ind w:right="50"/>
              <w:spacing w:after="0"/>
              <w:rPr>
                <w:sz w:val="20"/>
                <w:szCs w:val="20"/>
                <w:color w:val="auto"/>
              </w:rPr>
            </w:pPr>
            <w:r>
              <w:rPr>
                <w:rFonts w:ascii="Arial" w:cs="Arial" w:eastAsia="Arial" w:hAnsi="Arial"/>
                <w:sz w:val="18"/>
                <w:szCs w:val="18"/>
                <w:color w:val="auto"/>
              </w:rPr>
              <w:t>37,983</w:t>
            </w:r>
          </w:p>
        </w:tc>
        <w:tc>
          <w:tcPr>
            <w:tcW w:w="12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980" w:type="dxa"/>
            <w:vAlign w:val="bottom"/>
          </w:tcPr>
          <w:p>
            <w:pPr>
              <w:jc w:val="right"/>
              <w:ind w:right="70"/>
              <w:spacing w:after="0"/>
              <w:rPr>
                <w:sz w:val="20"/>
                <w:szCs w:val="20"/>
                <w:color w:val="auto"/>
              </w:rPr>
            </w:pPr>
            <w:r>
              <w:rPr>
                <w:rFonts w:ascii="Arial" w:cs="Arial" w:eastAsia="Arial" w:hAnsi="Arial"/>
                <w:sz w:val="18"/>
                <w:szCs w:val="18"/>
                <w:color w:val="auto"/>
              </w:rPr>
              <w:t>59,221</w:t>
            </w:r>
          </w:p>
        </w:tc>
      </w:tr>
      <w:tr>
        <w:trPr>
          <w:trHeight w:val="27"/>
        </w:trPr>
        <w:tc>
          <w:tcPr>
            <w:tcW w:w="826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6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440"/>
              <w:spacing w:after="0"/>
              <w:rPr>
                <w:sz w:val="20"/>
                <w:szCs w:val="20"/>
                <w:color w:val="auto"/>
              </w:rPr>
            </w:pPr>
            <w:r>
              <w:rPr>
                <w:rFonts w:ascii="Arial" w:cs="Arial" w:eastAsia="Arial" w:hAnsi="Arial"/>
                <w:sz w:val="18"/>
                <w:szCs w:val="18"/>
                <w:color w:val="auto"/>
              </w:rPr>
              <w:t>Long-term restructuring liabilities</w:t>
            </w:r>
          </w:p>
        </w:tc>
        <w:tc>
          <w:tcPr>
            <w:tcW w:w="4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126</w:t>
            </w:r>
          </w:p>
        </w:tc>
        <w:tc>
          <w:tcPr>
            <w:tcW w:w="120" w:type="dxa"/>
            <w:vAlign w:val="bottom"/>
            <w:tcBorders>
              <w:bottom w:val="single" w:sz="8" w:color="CCEEFF"/>
            </w:tcBorders>
            <w:shd w:val="clear" w:color="auto" w:fill="CCEEFF"/>
          </w:tcPr>
          <w:p>
            <w:pPr>
              <w:spacing w:after="0"/>
              <w:rPr>
                <w:sz w:val="21"/>
                <w:szCs w:val="21"/>
                <w:color w:val="auto"/>
              </w:rPr>
            </w:pPr>
          </w:p>
        </w:tc>
        <w:tc>
          <w:tcPr>
            <w:tcW w:w="4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13,654</w:t>
            </w:r>
          </w:p>
        </w:tc>
      </w:tr>
      <w:tr>
        <w:trPr>
          <w:trHeight w:val="243"/>
        </w:trPr>
        <w:tc>
          <w:tcPr>
            <w:tcW w:w="8260" w:type="dxa"/>
            <w:vAlign w:val="bottom"/>
          </w:tcPr>
          <w:p>
            <w:pPr>
              <w:ind w:left="440"/>
              <w:spacing w:after="0"/>
              <w:rPr>
                <w:sz w:val="20"/>
                <w:szCs w:val="20"/>
                <w:color w:val="auto"/>
              </w:rPr>
            </w:pPr>
            <w:r>
              <w:rPr>
                <w:rFonts w:ascii="Arial" w:cs="Arial" w:eastAsia="Arial" w:hAnsi="Arial"/>
                <w:sz w:val="18"/>
                <w:szCs w:val="18"/>
                <w:color w:val="auto"/>
              </w:rPr>
              <w:t>Other</w:t>
            </w:r>
          </w:p>
        </w:tc>
        <w:tc>
          <w:tcPr>
            <w:tcW w:w="400" w:type="dxa"/>
            <w:vAlign w:val="bottom"/>
          </w:tcPr>
          <w:p>
            <w:pPr>
              <w:spacing w:after="0"/>
              <w:rPr>
                <w:sz w:val="21"/>
                <w:szCs w:val="21"/>
                <w:color w:val="auto"/>
              </w:rPr>
            </w:pPr>
          </w:p>
        </w:tc>
        <w:tc>
          <w:tcPr>
            <w:tcW w:w="1020" w:type="dxa"/>
            <w:vAlign w:val="bottom"/>
          </w:tcPr>
          <w:p>
            <w:pPr>
              <w:jc w:val="right"/>
              <w:ind w:right="50"/>
              <w:spacing w:after="0"/>
              <w:rPr>
                <w:sz w:val="20"/>
                <w:szCs w:val="20"/>
                <w:color w:val="auto"/>
              </w:rPr>
            </w:pPr>
            <w:r>
              <w:rPr>
                <w:rFonts w:ascii="Arial" w:cs="Arial" w:eastAsia="Arial" w:hAnsi="Arial"/>
                <w:sz w:val="18"/>
                <w:szCs w:val="18"/>
                <w:color w:val="auto"/>
              </w:rPr>
              <w:t>12,452</w:t>
            </w:r>
          </w:p>
        </w:tc>
        <w:tc>
          <w:tcPr>
            <w:tcW w:w="12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980" w:type="dxa"/>
            <w:vAlign w:val="bottom"/>
          </w:tcPr>
          <w:p>
            <w:pPr>
              <w:jc w:val="right"/>
              <w:ind w:right="70"/>
              <w:spacing w:after="0"/>
              <w:rPr>
                <w:sz w:val="20"/>
                <w:szCs w:val="20"/>
                <w:color w:val="auto"/>
              </w:rPr>
            </w:pPr>
            <w:r>
              <w:rPr>
                <w:rFonts w:ascii="Arial" w:cs="Arial" w:eastAsia="Arial" w:hAnsi="Arial"/>
                <w:sz w:val="18"/>
                <w:szCs w:val="18"/>
                <w:color w:val="auto"/>
              </w:rPr>
              <w:t>15,004</w:t>
            </w:r>
          </w:p>
        </w:tc>
      </w:tr>
      <w:tr>
        <w:trPr>
          <w:trHeight w:val="27"/>
        </w:trPr>
        <w:tc>
          <w:tcPr>
            <w:tcW w:w="826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r>
      <w:tr>
        <w:trPr>
          <w:trHeight w:val="288"/>
        </w:trPr>
        <w:tc>
          <w:tcPr>
            <w:tcW w:w="8260" w:type="dxa"/>
            <w:vAlign w:val="bottom"/>
            <w:tcBorders>
              <w:bottom w:val="single" w:sz="8" w:color="CCEEFF"/>
            </w:tcBorders>
            <w:shd w:val="clear" w:color="auto" w:fill="CCEEFF"/>
          </w:tcPr>
          <w:p>
            <w:pPr>
              <w:ind w:left="980"/>
              <w:spacing w:after="0"/>
              <w:rPr>
                <w:sz w:val="20"/>
                <w:szCs w:val="20"/>
                <w:color w:val="auto"/>
              </w:rPr>
            </w:pPr>
            <w:r>
              <w:rPr>
                <w:rFonts w:ascii="Arial" w:cs="Arial" w:eastAsia="Arial" w:hAnsi="Arial"/>
                <w:sz w:val="18"/>
                <w:szCs w:val="18"/>
                <w:color w:val="auto"/>
              </w:rPr>
              <w:t>Other non-current liabilities</w:t>
            </w:r>
          </w:p>
        </w:tc>
        <w:tc>
          <w:tcPr>
            <w:tcW w:w="400" w:type="dxa"/>
            <w:vAlign w:val="bottom"/>
            <w:tcBorders>
              <w:bottom w:val="single" w:sz="8" w:color="CCEEFF"/>
            </w:tcBorders>
            <w:shd w:val="clear" w:color="auto" w:fill="CCEEFF"/>
          </w:tcPr>
          <w:p>
            <w:pPr>
              <w:jc w:val="right"/>
              <w:ind w:right="210"/>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274,232</w:t>
            </w:r>
          </w:p>
        </w:tc>
        <w:tc>
          <w:tcPr>
            <w:tcW w:w="120" w:type="dxa"/>
            <w:vAlign w:val="bottom"/>
            <w:tcBorders>
              <w:bottom w:val="single" w:sz="8" w:color="CCEEFF"/>
            </w:tcBorders>
            <w:shd w:val="clear" w:color="auto" w:fill="CCEEFF"/>
          </w:tcPr>
          <w:p>
            <w:pPr>
              <w:spacing w:after="0"/>
              <w:rPr>
                <w:sz w:val="24"/>
                <w:szCs w:val="24"/>
                <w:color w:val="auto"/>
              </w:rPr>
            </w:pPr>
          </w:p>
        </w:tc>
        <w:tc>
          <w:tcPr>
            <w:tcW w:w="460" w:type="dxa"/>
            <w:vAlign w:val="bottom"/>
            <w:tcBorders>
              <w:bottom w:val="single" w:sz="8" w:color="CCEEFF"/>
            </w:tcBorders>
            <w:shd w:val="clear" w:color="auto" w:fill="CCEEFF"/>
          </w:tcPr>
          <w:p>
            <w:pPr>
              <w:jc w:val="right"/>
              <w:ind w:right="25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94,595</w:t>
            </w:r>
          </w:p>
        </w:tc>
      </w:tr>
      <w:tr>
        <w:trPr>
          <w:trHeight w:val="20"/>
        </w:trPr>
        <w:tc>
          <w:tcPr>
            <w:tcW w:w="826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r>
    </w:tbl>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changes in accumulated other comprehensive income (loss) by components are presented in the following tables (in thousands):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7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3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3"/>
              </w:rPr>
              <w:t>Unrealized</w:t>
            </w:r>
          </w:p>
        </w:tc>
        <w:tc>
          <w:tcPr>
            <w:tcW w:w="260" w:type="dxa"/>
            <w:vAlign w:val="bottom"/>
          </w:tcPr>
          <w:p>
            <w:pPr>
              <w:spacing w:after="0"/>
              <w:rPr>
                <w:sz w:val="14"/>
                <w:szCs w:val="14"/>
                <w:color w:val="auto"/>
              </w:rPr>
            </w:pPr>
          </w:p>
        </w:tc>
        <w:tc>
          <w:tcPr>
            <w:tcW w:w="128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Unrealized</w:t>
            </w:r>
          </w:p>
        </w:tc>
        <w:tc>
          <w:tcPr>
            <w:tcW w:w="34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67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3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6"/>
              </w:rPr>
              <w:t>Gain</w:t>
            </w:r>
          </w:p>
        </w:tc>
        <w:tc>
          <w:tcPr>
            <w:tcW w:w="260" w:type="dxa"/>
            <w:vAlign w:val="bottom"/>
          </w:tcPr>
          <w:p>
            <w:pPr>
              <w:spacing w:after="0"/>
              <w:rPr>
                <w:sz w:val="12"/>
                <w:szCs w:val="12"/>
                <w:color w:val="auto"/>
              </w:rPr>
            </w:pPr>
          </w:p>
        </w:tc>
        <w:tc>
          <w:tcPr>
            <w:tcW w:w="12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6"/>
              </w:rPr>
              <w:t>Gain</w:t>
            </w:r>
          </w:p>
        </w:tc>
        <w:tc>
          <w:tcPr>
            <w:tcW w:w="34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67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3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(Loss) on</w:t>
            </w:r>
          </w:p>
        </w:tc>
        <w:tc>
          <w:tcPr>
            <w:tcW w:w="260" w:type="dxa"/>
            <w:vAlign w:val="bottom"/>
          </w:tcPr>
          <w:p>
            <w:pPr>
              <w:spacing w:after="0"/>
              <w:rPr>
                <w:sz w:val="12"/>
                <w:szCs w:val="12"/>
                <w:color w:val="auto"/>
              </w:rPr>
            </w:pPr>
          </w:p>
        </w:tc>
        <w:tc>
          <w:tcPr>
            <w:tcW w:w="12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(Loss) on</w:t>
            </w:r>
          </w:p>
        </w:tc>
        <w:tc>
          <w:tcPr>
            <w:tcW w:w="34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7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3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8"/>
              </w:rPr>
              <w:t>Marketable</w:t>
            </w:r>
          </w:p>
        </w:tc>
        <w:tc>
          <w:tcPr>
            <w:tcW w:w="260" w:type="dxa"/>
            <w:vAlign w:val="bottom"/>
          </w:tcPr>
          <w:p>
            <w:pPr>
              <w:spacing w:after="0"/>
              <w:rPr>
                <w:sz w:val="12"/>
                <w:szCs w:val="12"/>
                <w:color w:val="auto"/>
              </w:rPr>
            </w:pPr>
          </w:p>
        </w:tc>
        <w:tc>
          <w:tcPr>
            <w:tcW w:w="12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4"/>
              </w:rPr>
              <w:t>Cash Flow</w:t>
            </w:r>
          </w:p>
        </w:tc>
        <w:tc>
          <w:tcPr>
            <w:tcW w:w="340" w:type="dxa"/>
            <w:vAlign w:val="bottom"/>
          </w:tcPr>
          <w:p>
            <w:pPr>
              <w:spacing w:after="0"/>
              <w:rPr>
                <w:sz w:val="12"/>
                <w:szCs w:val="12"/>
                <w:color w:val="auto"/>
              </w:rPr>
            </w:pPr>
          </w:p>
        </w:tc>
        <w:tc>
          <w:tcPr>
            <w:tcW w:w="1100" w:type="dxa"/>
            <w:vAlign w:val="bottom"/>
            <w:vMerge w:val="restart"/>
          </w:tcPr>
          <w:p>
            <w:pPr>
              <w:jc w:val="right"/>
              <w:ind w:right="47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136"/>
              <w:spacing w:after="0"/>
              <w:rPr>
                <w:sz w:val="20"/>
                <w:szCs w:val="20"/>
                <w:color w:val="auto"/>
              </w:rPr>
            </w:pPr>
            <w:r>
              <w:rPr>
                <w:rFonts w:ascii="Arial" w:cs="Arial" w:eastAsia="Arial" w:hAnsi="Arial"/>
                <w:sz w:val="14"/>
                <w:szCs w:val="14"/>
                <w:b w:val="1"/>
                <w:bCs w:val="1"/>
                <w:color w:val="auto"/>
                <w:w w:val="90"/>
              </w:rPr>
              <w:t>Securities (1)</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156"/>
              <w:spacing w:after="0"/>
              <w:rPr>
                <w:sz w:val="20"/>
                <w:szCs w:val="20"/>
                <w:color w:val="auto"/>
              </w:rPr>
            </w:pPr>
            <w:r>
              <w:rPr>
                <w:rFonts w:ascii="Arial" w:cs="Arial" w:eastAsia="Arial" w:hAnsi="Arial"/>
                <w:sz w:val="14"/>
                <w:szCs w:val="14"/>
                <w:b w:val="1"/>
                <w:bCs w:val="1"/>
                <w:color w:val="auto"/>
                <w:w w:val="92"/>
              </w:rPr>
              <w:t>Hedges (2)</w:t>
            </w:r>
          </w:p>
        </w:tc>
        <w:tc>
          <w:tcPr>
            <w:tcW w:w="100" w:type="dxa"/>
            <w:vAlign w:val="bottom"/>
            <w:tcBorders>
              <w:bottom w:val="single" w:sz="8" w:color="CCEEFF"/>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3, 2018</w:t>
            </w: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(2,322)</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gridSpan w:val="2"/>
            <w:shd w:val="clear" w:color="auto" w:fill="CCEEFF"/>
          </w:tcPr>
          <w:p>
            <w:pPr>
              <w:jc w:val="center"/>
              <w:ind w:left="496"/>
              <w:spacing w:after="0"/>
              <w:rPr>
                <w:sz w:val="20"/>
                <w:szCs w:val="20"/>
                <w:color w:val="auto"/>
              </w:rPr>
            </w:pPr>
            <w:r>
              <w:rPr>
                <w:rFonts w:ascii="Arial" w:cs="Arial" w:eastAsia="Arial" w:hAnsi="Arial"/>
                <w:sz w:val="18"/>
                <w:szCs w:val="18"/>
                <w:color w:val="auto"/>
                <w:w w:val="99"/>
              </w:rPr>
              <w:t>—</w:t>
            </w: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(2,322)</w:t>
            </w:r>
          </w:p>
        </w:tc>
        <w:tc>
          <w:tcPr>
            <w:tcW w:w="0" w:type="dxa"/>
            <w:vAlign w:val="bottom"/>
          </w:tcPr>
          <w:p>
            <w:pPr>
              <w:spacing w:after="0"/>
              <w:rPr>
                <w:sz w:val="1"/>
                <w:szCs w:val="1"/>
                <w:color w:val="auto"/>
              </w:rPr>
            </w:pPr>
          </w:p>
        </w:tc>
      </w:tr>
      <w:tr>
        <w:trPr>
          <w:trHeight w:val="243"/>
        </w:trPr>
        <w:tc>
          <w:tcPr>
            <w:tcW w:w="6740" w:type="dxa"/>
            <w:vAlign w:val="bottom"/>
          </w:tcPr>
          <w:p>
            <w:pPr>
              <w:ind w:left="360"/>
              <w:spacing w:after="0"/>
              <w:rPr>
                <w:sz w:val="20"/>
                <w:szCs w:val="20"/>
                <w:color w:val="auto"/>
              </w:rPr>
            </w:pPr>
            <w:r>
              <w:rPr>
                <w:rFonts w:ascii="Arial" w:cs="Arial" w:eastAsia="Arial" w:hAnsi="Arial"/>
                <w:sz w:val="18"/>
                <w:szCs w:val="18"/>
                <w:color w:val="auto"/>
              </w:rPr>
              <w:t>Other comprehensive income (loss) before reclassifications</w:t>
            </w:r>
          </w:p>
        </w:tc>
        <w:tc>
          <w:tcPr>
            <w:tcW w:w="200" w:type="dxa"/>
            <w:vAlign w:val="bottom"/>
          </w:tcPr>
          <w:p>
            <w:pPr>
              <w:spacing w:after="0"/>
              <w:rPr>
                <w:sz w:val="21"/>
                <w:szCs w:val="21"/>
                <w:color w:val="auto"/>
              </w:rPr>
            </w:pPr>
          </w:p>
        </w:tc>
        <w:tc>
          <w:tcPr>
            <w:tcW w:w="1220" w:type="dxa"/>
            <w:vAlign w:val="bottom"/>
          </w:tcPr>
          <w:p>
            <w:pPr>
              <w:jc w:val="right"/>
              <w:ind w:right="16"/>
              <w:spacing w:after="0"/>
              <w:rPr>
                <w:sz w:val="20"/>
                <w:szCs w:val="20"/>
                <w:color w:val="auto"/>
              </w:rPr>
            </w:pPr>
            <w:r>
              <w:rPr>
                <w:rFonts w:ascii="Arial" w:cs="Arial" w:eastAsia="Arial" w:hAnsi="Arial"/>
                <w:sz w:val="18"/>
                <w:szCs w:val="18"/>
                <w:color w:val="auto"/>
              </w:rPr>
              <w:t>(733)</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80" w:type="dxa"/>
            <w:vAlign w:val="bottom"/>
            <w:gridSpan w:val="2"/>
          </w:tcPr>
          <w:p>
            <w:pPr>
              <w:jc w:val="center"/>
              <w:ind w:left="496"/>
              <w:spacing w:after="0"/>
              <w:rPr>
                <w:sz w:val="20"/>
                <w:szCs w:val="20"/>
                <w:color w:val="auto"/>
              </w:rPr>
            </w:pPr>
            <w:r>
              <w:rPr>
                <w:rFonts w:ascii="Arial" w:cs="Arial" w:eastAsia="Arial" w:hAnsi="Arial"/>
                <w:sz w:val="18"/>
                <w:szCs w:val="18"/>
                <w:color w:val="auto"/>
                <w:w w:val="99"/>
              </w:rPr>
              <w:t>—</w:t>
            </w:r>
          </w:p>
        </w:tc>
        <w:tc>
          <w:tcPr>
            <w:tcW w:w="340" w:type="dxa"/>
            <w:vAlign w:val="bottom"/>
          </w:tcPr>
          <w:p>
            <w:pPr>
              <w:spacing w:after="0"/>
              <w:rPr>
                <w:sz w:val="21"/>
                <w:szCs w:val="21"/>
                <w:color w:val="auto"/>
              </w:rPr>
            </w:pPr>
          </w:p>
        </w:tc>
        <w:tc>
          <w:tcPr>
            <w:tcW w:w="1100" w:type="dxa"/>
            <w:vAlign w:val="bottom"/>
          </w:tcPr>
          <w:p>
            <w:pPr>
              <w:jc w:val="right"/>
              <w:ind w:right="12"/>
              <w:spacing w:after="0"/>
              <w:rPr>
                <w:sz w:val="20"/>
                <w:szCs w:val="20"/>
                <w:color w:val="auto"/>
              </w:rPr>
            </w:pPr>
            <w:r>
              <w:rPr>
                <w:rFonts w:ascii="Arial" w:cs="Arial" w:eastAsia="Arial" w:hAnsi="Arial"/>
                <w:sz w:val="18"/>
                <w:szCs w:val="18"/>
                <w:color w:val="auto"/>
              </w:rPr>
              <w:t>(733)</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Amounts reclassified from accumulated other comprehensive income (loss)</w:t>
            </w:r>
          </w:p>
        </w:tc>
        <w:tc>
          <w:tcPr>
            <w:tcW w:w="20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3,055</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jc w:val="center"/>
              <w:ind w:left="496"/>
              <w:spacing w:after="0"/>
              <w:rPr>
                <w:sz w:val="20"/>
                <w:szCs w:val="20"/>
                <w:color w:val="auto"/>
              </w:rPr>
            </w:pPr>
            <w:r>
              <w:rPr>
                <w:rFonts w:ascii="Arial" w:cs="Arial" w:eastAsia="Arial" w:hAnsi="Arial"/>
                <w:sz w:val="18"/>
                <w:szCs w:val="18"/>
                <w:color w:val="auto"/>
                <w:w w:val="99"/>
              </w:rPr>
              <w:t>—</w:t>
            </w: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3,055</w:t>
            </w:r>
          </w:p>
        </w:tc>
        <w:tc>
          <w:tcPr>
            <w:tcW w:w="0" w:type="dxa"/>
            <w:vAlign w:val="bottom"/>
          </w:tcPr>
          <w:p>
            <w:pPr>
              <w:spacing w:after="0"/>
              <w:rPr>
                <w:sz w:val="1"/>
                <w:szCs w:val="1"/>
                <w:color w:val="auto"/>
              </w:rPr>
            </w:pPr>
          </w:p>
        </w:tc>
      </w:tr>
      <w:tr>
        <w:trPr>
          <w:trHeight w:val="237"/>
        </w:trPr>
        <w:tc>
          <w:tcPr>
            <w:tcW w:w="6740" w:type="dxa"/>
            <w:vAlign w:val="bottom"/>
          </w:tcPr>
          <w:p>
            <w:pPr>
              <w:ind w:left="360"/>
              <w:spacing w:after="0"/>
              <w:rPr>
                <w:sz w:val="20"/>
                <w:szCs w:val="20"/>
                <w:color w:val="auto"/>
              </w:rPr>
            </w:pPr>
            <w:r>
              <w:rPr>
                <w:rFonts w:ascii="Arial" w:cs="Arial" w:eastAsia="Arial" w:hAnsi="Arial"/>
                <w:sz w:val="18"/>
                <w:szCs w:val="18"/>
                <w:color w:val="auto"/>
              </w:rPr>
              <w:t>Net current-period other comprehensive loss, net of tax</w:t>
            </w:r>
          </w:p>
        </w:tc>
        <w:tc>
          <w:tcPr>
            <w:tcW w:w="20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2,322</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center"/>
              <w:ind w:left="596"/>
              <w:spacing w:after="0"/>
              <w:rPr>
                <w:sz w:val="20"/>
                <w:szCs w:val="20"/>
                <w:color w:val="auto"/>
              </w:rPr>
            </w:pPr>
            <w:r>
              <w:rPr>
                <w:rFonts w:ascii="Arial" w:cs="Arial" w:eastAsia="Arial" w:hAnsi="Arial"/>
                <w:sz w:val="18"/>
                <w:szCs w:val="18"/>
                <w:color w:val="auto"/>
                <w:w w:val="99"/>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2,322</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2, 2019</w:t>
            </w:r>
          </w:p>
        </w:tc>
        <w:tc>
          <w:tcPr>
            <w:tcW w:w="20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gridSpan w:val="2"/>
            <w:shd w:val="clear" w:color="auto" w:fill="CCEEFF"/>
          </w:tcPr>
          <w:p>
            <w:pPr>
              <w:jc w:val="center"/>
              <w:ind w:left="496"/>
              <w:spacing w:after="0"/>
              <w:rPr>
                <w:sz w:val="20"/>
                <w:szCs w:val="20"/>
                <w:color w:val="auto"/>
              </w:rPr>
            </w:pPr>
            <w:r>
              <w:rPr>
                <w:rFonts w:ascii="Arial" w:cs="Arial" w:eastAsia="Arial" w:hAnsi="Arial"/>
                <w:sz w:val="18"/>
                <w:szCs w:val="18"/>
                <w:color w:val="auto"/>
                <w:w w:val="99"/>
              </w:rPr>
              <w:t>—</w:t>
            </w:r>
          </w:p>
        </w:tc>
        <w:tc>
          <w:tcPr>
            <w:tcW w:w="3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6740" w:type="dxa"/>
            <w:vAlign w:val="bottom"/>
          </w:tcPr>
          <w:p>
            <w:pPr>
              <w:ind w:left="360"/>
              <w:spacing w:after="0"/>
              <w:rPr>
                <w:sz w:val="20"/>
                <w:szCs w:val="20"/>
                <w:color w:val="auto"/>
              </w:rPr>
            </w:pPr>
            <w:r>
              <w:rPr>
                <w:rFonts w:ascii="Arial" w:cs="Arial" w:eastAsia="Arial" w:hAnsi="Arial"/>
                <w:sz w:val="18"/>
                <w:szCs w:val="18"/>
                <w:color w:val="auto"/>
              </w:rPr>
              <w:t>Other comprehensive loss before reclassifications</w:t>
            </w:r>
          </w:p>
        </w:tc>
        <w:tc>
          <w:tcPr>
            <w:tcW w:w="200" w:type="dxa"/>
            <w:vAlign w:val="bottom"/>
          </w:tcPr>
          <w:p>
            <w:pPr>
              <w:spacing w:after="0"/>
              <w:rPr>
                <w:sz w:val="21"/>
                <w:szCs w:val="21"/>
                <w:color w:val="auto"/>
              </w:rPr>
            </w:pPr>
          </w:p>
        </w:tc>
        <w:tc>
          <w:tcPr>
            <w:tcW w:w="13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80" w:type="dxa"/>
            <w:vAlign w:val="bottom"/>
          </w:tcPr>
          <w:p>
            <w:pPr>
              <w:jc w:val="center"/>
              <w:ind w:left="596"/>
              <w:spacing w:after="0"/>
              <w:rPr>
                <w:sz w:val="20"/>
                <w:szCs w:val="20"/>
                <w:color w:val="auto"/>
              </w:rPr>
            </w:pPr>
            <w:r>
              <w:rPr>
                <w:rFonts w:ascii="Arial" w:cs="Arial" w:eastAsia="Arial" w:hAnsi="Arial"/>
                <w:sz w:val="18"/>
                <w:szCs w:val="18"/>
                <w:color w:val="auto"/>
                <w:w w:val="93"/>
              </w:rPr>
              <w:t>(37)</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00" w:type="dxa"/>
            <w:vAlign w:val="bottom"/>
          </w:tcPr>
          <w:p>
            <w:pPr>
              <w:jc w:val="right"/>
              <w:ind w:right="12"/>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Amounts reclassified from accumulated other comprehensive income (loss)</w:t>
            </w:r>
          </w:p>
        </w:tc>
        <w:tc>
          <w:tcPr>
            <w:tcW w:w="20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center"/>
              <w:ind w:left="596"/>
              <w:spacing w:after="0"/>
              <w:rPr>
                <w:sz w:val="20"/>
                <w:szCs w:val="20"/>
                <w:color w:val="auto"/>
              </w:rPr>
            </w:pPr>
            <w:r>
              <w:rPr>
                <w:rFonts w:ascii="Arial" w:cs="Arial" w:eastAsia="Arial" w:hAnsi="Arial"/>
                <w:sz w:val="18"/>
                <w:szCs w:val="18"/>
                <w:color w:val="auto"/>
                <w:w w:val="89"/>
              </w:rPr>
              <w:t>37</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37"/>
        </w:trPr>
        <w:tc>
          <w:tcPr>
            <w:tcW w:w="6740" w:type="dxa"/>
            <w:vAlign w:val="bottom"/>
          </w:tcPr>
          <w:p>
            <w:pPr>
              <w:ind w:left="360"/>
              <w:spacing w:after="0"/>
              <w:rPr>
                <w:sz w:val="20"/>
                <w:szCs w:val="20"/>
                <w:color w:val="auto"/>
              </w:rPr>
            </w:pPr>
            <w:r>
              <w:rPr>
                <w:rFonts w:ascii="Arial" w:cs="Arial" w:eastAsia="Arial" w:hAnsi="Arial"/>
                <w:sz w:val="18"/>
                <w:szCs w:val="18"/>
                <w:color w:val="auto"/>
              </w:rPr>
              <w:t>Net current-period other comprehensive income, net of tax</w:t>
            </w:r>
          </w:p>
        </w:tc>
        <w:tc>
          <w:tcPr>
            <w:tcW w:w="20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center"/>
              <w:ind w:left="596"/>
              <w:spacing w:after="0"/>
              <w:rPr>
                <w:sz w:val="20"/>
                <w:szCs w:val="20"/>
                <w:color w:val="auto"/>
              </w:rPr>
            </w:pPr>
            <w:r>
              <w:rPr>
                <w:rFonts w:ascii="Arial" w:cs="Arial" w:eastAsia="Arial" w:hAnsi="Arial"/>
                <w:sz w:val="18"/>
                <w:szCs w:val="18"/>
                <w:color w:val="auto"/>
                <w:w w:val="99"/>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9"/>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1, 2020</w:t>
            </w: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gridSpan w:val="2"/>
            <w:shd w:val="clear" w:color="auto" w:fill="CCEEFF"/>
          </w:tcPr>
          <w:p>
            <w:pPr>
              <w:jc w:val="center"/>
              <w:ind w:left="496"/>
              <w:spacing w:after="0"/>
              <w:rPr>
                <w:sz w:val="20"/>
                <w:szCs w:val="20"/>
                <w:color w:val="auto"/>
              </w:rPr>
            </w:pPr>
            <w:r>
              <w:rPr>
                <w:rFonts w:ascii="Arial" w:cs="Arial" w:eastAsia="Arial" w:hAnsi="Arial"/>
                <w:sz w:val="18"/>
                <w:szCs w:val="18"/>
                <w:color w:val="auto"/>
                <w:w w:val="99"/>
              </w:rPr>
              <w:t>—</w:t>
            </w: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right="220" w:firstLine="8"/>
        <w:spacing w:after="0" w:line="277" w:lineRule="auto"/>
        <w:tabs>
          <w:tab w:leader="none" w:pos="255"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amounts of gains (losses) associated with the Company's marketable securities reclassified from accumulated other comprehensive income (loss) are recorded in other income, net in the consolidated statements of operations.</w:t>
      </w:r>
    </w:p>
    <w:p>
      <w:pPr>
        <w:spacing w:after="0" w:line="8" w:lineRule="exact"/>
        <w:rPr>
          <w:rFonts w:ascii="Arial" w:cs="Arial" w:eastAsia="Arial" w:hAnsi="Arial"/>
          <w:sz w:val="18"/>
          <w:szCs w:val="18"/>
          <w:color w:val="auto"/>
        </w:rPr>
      </w:pPr>
    </w:p>
    <w:p>
      <w:pPr>
        <w:ind w:right="480" w:firstLine="8"/>
        <w:spacing w:after="0" w:line="277" w:lineRule="auto"/>
        <w:tabs>
          <w:tab w:leader="none" w:pos="255"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amounts of gains (losses) associated with the Company's derivative financial instruments reclassified from accumulated other comprehensive income (loss) are recorded in operating expenses in the consolidated statements of operations.</w:t>
      </w: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77" w:name="page78"/>
    <w:bookmarkEnd w:id="7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340"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Consolidated Statements of Operations</w:t>
      </w:r>
    </w:p>
    <w:p>
      <w:pPr>
        <w:spacing w:after="0" w:line="29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r>
      <w:tr>
        <w:trPr>
          <w:trHeight w:val="152"/>
        </w:trPr>
        <w:tc>
          <w:tcPr>
            <w:tcW w:w="65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6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February 1,</w:t>
            </w:r>
          </w:p>
        </w:tc>
        <w:tc>
          <w:tcPr>
            <w:tcW w:w="260" w:type="dxa"/>
            <w:vAlign w:val="bottom"/>
          </w:tcPr>
          <w:p>
            <w:pPr>
              <w:spacing w:after="0"/>
              <w:rPr>
                <w:sz w:val="13"/>
                <w:szCs w:val="13"/>
                <w:color w:val="auto"/>
              </w:rPr>
            </w:pPr>
          </w:p>
        </w:tc>
        <w:tc>
          <w:tcPr>
            <w:tcW w:w="1340" w:type="dxa"/>
            <w:vAlign w:val="bottom"/>
            <w:gridSpan w:val="2"/>
          </w:tcPr>
          <w:p>
            <w:pPr>
              <w:jc w:val="center"/>
              <w:ind w:right="340"/>
              <w:spacing w:after="0" w:line="153" w:lineRule="exact"/>
              <w:rPr>
                <w:sz w:val="20"/>
                <w:szCs w:val="20"/>
                <w:color w:val="auto"/>
              </w:rPr>
            </w:pPr>
            <w:r>
              <w:rPr>
                <w:rFonts w:ascii="Arial" w:cs="Arial" w:eastAsia="Arial" w:hAnsi="Arial"/>
                <w:sz w:val="14"/>
                <w:szCs w:val="14"/>
                <w:b w:val="1"/>
                <w:bCs w:val="1"/>
                <w:color w:val="auto"/>
                <w:w w:val="95"/>
              </w:rPr>
              <w:t>February 2,</w:t>
            </w:r>
          </w:p>
        </w:tc>
        <w:tc>
          <w:tcPr>
            <w:tcW w:w="260" w:type="dxa"/>
            <w:vAlign w:val="bottom"/>
          </w:tcPr>
          <w:p>
            <w:pPr>
              <w:spacing w:after="0"/>
              <w:rPr>
                <w:sz w:val="13"/>
                <w:szCs w:val="13"/>
                <w:color w:val="auto"/>
              </w:rPr>
            </w:pPr>
          </w:p>
        </w:tc>
        <w:tc>
          <w:tcPr>
            <w:tcW w:w="1260" w:type="dxa"/>
            <w:vAlign w:val="bottom"/>
          </w:tcPr>
          <w:p>
            <w:pPr>
              <w:jc w:val="right"/>
              <w:ind w:right="315"/>
              <w:spacing w:after="0" w:line="153" w:lineRule="exact"/>
              <w:rPr>
                <w:sz w:val="20"/>
                <w:szCs w:val="20"/>
                <w:color w:val="auto"/>
              </w:rPr>
            </w:pPr>
            <w:r>
              <w:rPr>
                <w:rFonts w:ascii="Arial" w:cs="Arial" w:eastAsia="Arial" w:hAnsi="Arial"/>
                <w:sz w:val="14"/>
                <w:szCs w:val="14"/>
                <w:b w:val="1"/>
                <w:bCs w:val="1"/>
                <w:color w:val="auto"/>
              </w:rPr>
              <w:t>February 3,</w:t>
            </w:r>
          </w:p>
        </w:tc>
      </w:tr>
      <w:tr>
        <w:trPr>
          <w:trHeight w:val="192"/>
        </w:trPr>
        <w:tc>
          <w:tcPr>
            <w:tcW w:w="65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177"/>
              <w:spacing w:after="0"/>
              <w:rPr>
                <w:sz w:val="20"/>
                <w:szCs w:val="20"/>
                <w:color w:val="auto"/>
              </w:rPr>
            </w:pPr>
            <w:r>
              <w:rPr>
                <w:rFonts w:ascii="Arial" w:cs="Arial" w:eastAsia="Arial" w:hAnsi="Arial"/>
                <w:sz w:val="14"/>
                <w:szCs w:val="14"/>
                <w:b w:val="1"/>
                <w:bCs w:val="1"/>
                <w:color w:val="auto"/>
                <w:w w:val="89"/>
              </w:rPr>
              <w:t>2019</w:t>
            </w:r>
          </w:p>
        </w:tc>
        <w:tc>
          <w:tcPr>
            <w:tcW w:w="8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5"/>
              <w:spacing w:after="0"/>
              <w:rPr>
                <w:sz w:val="20"/>
                <w:szCs w:val="20"/>
                <w:color w:val="auto"/>
              </w:rPr>
            </w:pPr>
            <w:r>
              <w:rPr>
                <w:rFonts w:ascii="Arial" w:cs="Arial" w:eastAsia="Arial" w:hAnsi="Arial"/>
                <w:sz w:val="14"/>
                <w:szCs w:val="14"/>
                <w:b w:val="1"/>
                <w:bCs w:val="1"/>
                <w:color w:val="auto"/>
              </w:rPr>
              <w:t>2018</w:t>
            </w:r>
          </w:p>
        </w:tc>
      </w:tr>
      <w:tr>
        <w:trPr>
          <w:trHeight w:val="236"/>
        </w:trPr>
        <w:tc>
          <w:tcPr>
            <w:tcW w:w="65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Other income, net:</w:t>
            </w:r>
          </w:p>
        </w:tc>
        <w:tc>
          <w:tcPr>
            <w:tcW w:w="24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spacing w:after="0"/>
              <w:rPr>
                <w:sz w:val="20"/>
                <w:szCs w:val="20"/>
                <w:color w:val="auto"/>
              </w:rPr>
            </w:pPr>
          </w:p>
        </w:tc>
        <w:tc>
          <w:tcPr>
            <w:tcW w:w="8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spacing w:after="0"/>
              <w:rPr>
                <w:sz w:val="20"/>
                <w:szCs w:val="20"/>
                <w:color w:val="auto"/>
              </w:rPr>
            </w:pPr>
          </w:p>
        </w:tc>
      </w:tr>
      <w:tr>
        <w:trPr>
          <w:trHeight w:val="243"/>
        </w:trPr>
        <w:tc>
          <w:tcPr>
            <w:tcW w:w="6520" w:type="dxa"/>
            <w:vAlign w:val="bottom"/>
          </w:tcPr>
          <w:p>
            <w:pPr>
              <w:ind w:left="340"/>
              <w:spacing w:after="0"/>
              <w:rPr>
                <w:sz w:val="20"/>
                <w:szCs w:val="20"/>
                <w:color w:val="auto"/>
              </w:rPr>
            </w:pPr>
            <w:r>
              <w:rPr>
                <w:rFonts w:ascii="Arial" w:cs="Arial" w:eastAsia="Arial" w:hAnsi="Arial"/>
                <w:sz w:val="18"/>
                <w:szCs w:val="18"/>
                <w:color w:val="auto"/>
              </w:rPr>
              <w:t>Gain on sale of business (1)</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tcPr>
          <w:p>
            <w:pPr>
              <w:jc w:val="right"/>
              <w:ind w:right="55"/>
              <w:spacing w:after="0"/>
              <w:rPr>
                <w:sz w:val="20"/>
                <w:szCs w:val="20"/>
                <w:color w:val="auto"/>
              </w:rPr>
            </w:pPr>
            <w:r>
              <w:rPr>
                <w:rFonts w:ascii="Arial" w:cs="Arial" w:eastAsia="Arial" w:hAnsi="Arial"/>
                <w:sz w:val="18"/>
                <w:szCs w:val="18"/>
                <w:color w:val="auto"/>
              </w:rPr>
              <w:t>1,121,709</w:t>
            </w:r>
          </w:p>
        </w:tc>
        <w:tc>
          <w:tcPr>
            <w:tcW w:w="100" w:type="dxa"/>
            <w:vAlign w:val="bottom"/>
          </w:tcPr>
          <w:p>
            <w:pPr>
              <w:spacing w:after="0"/>
              <w:rPr>
                <w:sz w:val="21"/>
                <w:szCs w:val="21"/>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3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75"/>
              <w:spacing w:after="0"/>
              <w:rPr>
                <w:sz w:val="20"/>
                <w:szCs w:val="20"/>
                <w:color w:val="auto"/>
              </w:rPr>
            </w:pPr>
            <w:r>
              <w:rPr>
                <w:rFonts w:ascii="Arial" w:cs="Arial" w:eastAsia="Arial" w:hAnsi="Arial"/>
                <w:sz w:val="18"/>
                <w:szCs w:val="18"/>
                <w:color w:val="auto"/>
              </w:rPr>
              <w:t>5,254</w:t>
            </w:r>
          </w:p>
        </w:tc>
      </w:tr>
      <w:tr>
        <w:trPr>
          <w:trHeight w:val="27"/>
        </w:trPr>
        <w:tc>
          <w:tcPr>
            <w:tcW w:w="65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r>
      <w:tr>
        <w:trPr>
          <w:trHeight w:val="250"/>
        </w:trPr>
        <w:tc>
          <w:tcPr>
            <w:tcW w:w="65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Net realized loss on investments</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(3,066)</w:t>
            </w:r>
          </w:p>
        </w:tc>
        <w:tc>
          <w:tcPr>
            <w:tcW w:w="8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(2,777)</w:t>
            </w:r>
          </w:p>
        </w:tc>
      </w:tr>
      <w:tr>
        <w:trPr>
          <w:trHeight w:val="243"/>
        </w:trPr>
        <w:tc>
          <w:tcPr>
            <w:tcW w:w="6520" w:type="dxa"/>
            <w:vAlign w:val="bottom"/>
          </w:tcPr>
          <w:p>
            <w:pPr>
              <w:ind w:left="340"/>
              <w:spacing w:after="0"/>
              <w:rPr>
                <w:sz w:val="20"/>
                <w:szCs w:val="20"/>
                <w:color w:val="auto"/>
              </w:rPr>
            </w:pPr>
            <w:r>
              <w:rPr>
                <w:rFonts w:ascii="Arial" w:cs="Arial" w:eastAsia="Arial" w:hAnsi="Arial"/>
                <w:sz w:val="18"/>
                <w:szCs w:val="18"/>
                <w:color w:val="auto"/>
              </w:rPr>
              <w:t>Currency remeasurement loss</w:t>
            </w:r>
          </w:p>
        </w:tc>
        <w:tc>
          <w:tcPr>
            <w:tcW w:w="240" w:type="dxa"/>
            <w:vAlign w:val="bottom"/>
          </w:tcPr>
          <w:p>
            <w:pPr>
              <w:spacing w:after="0"/>
              <w:rPr>
                <w:sz w:val="21"/>
                <w:szCs w:val="21"/>
                <w:color w:val="auto"/>
              </w:rPr>
            </w:pPr>
          </w:p>
        </w:tc>
        <w:tc>
          <w:tcPr>
            <w:tcW w:w="1260" w:type="dxa"/>
            <w:vAlign w:val="bottom"/>
          </w:tcPr>
          <w:p>
            <w:pPr>
              <w:jc w:val="right"/>
              <w:ind w:right="15"/>
              <w:spacing w:after="0"/>
              <w:rPr>
                <w:sz w:val="20"/>
                <w:szCs w:val="20"/>
                <w:color w:val="auto"/>
              </w:rPr>
            </w:pPr>
            <w:r>
              <w:rPr>
                <w:rFonts w:ascii="Arial" w:cs="Arial" w:eastAsia="Arial" w:hAnsi="Arial"/>
                <w:sz w:val="18"/>
                <w:szCs w:val="18"/>
                <w:color w:val="auto"/>
              </w:rPr>
              <w:t>(2,817)</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60" w:type="dxa"/>
            <w:vAlign w:val="bottom"/>
          </w:tcPr>
          <w:p>
            <w:pPr>
              <w:jc w:val="right"/>
              <w:ind w:right="37"/>
              <w:spacing w:after="0"/>
              <w:rPr>
                <w:sz w:val="20"/>
                <w:szCs w:val="20"/>
                <w:color w:val="auto"/>
              </w:rPr>
            </w:pPr>
            <w:r>
              <w:rPr>
                <w:rFonts w:ascii="Arial" w:cs="Arial" w:eastAsia="Arial" w:hAnsi="Arial"/>
                <w:sz w:val="18"/>
                <w:szCs w:val="18"/>
                <w:color w:val="auto"/>
              </w:rPr>
              <w:t>(2,625)</w:t>
            </w:r>
          </w:p>
        </w:tc>
        <w:tc>
          <w:tcPr>
            <w:tcW w:w="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60" w:type="dxa"/>
            <w:vAlign w:val="bottom"/>
          </w:tcPr>
          <w:p>
            <w:pPr>
              <w:jc w:val="right"/>
              <w:ind w:right="15"/>
              <w:spacing w:after="0"/>
              <w:rPr>
                <w:sz w:val="20"/>
                <w:szCs w:val="20"/>
                <w:color w:val="auto"/>
              </w:rPr>
            </w:pPr>
            <w:r>
              <w:rPr>
                <w:rFonts w:ascii="Arial" w:cs="Arial" w:eastAsia="Arial" w:hAnsi="Arial"/>
                <w:sz w:val="18"/>
                <w:szCs w:val="18"/>
                <w:color w:val="auto"/>
              </w:rPr>
              <w:t>(28)</w:t>
            </w:r>
          </w:p>
        </w:tc>
      </w:tr>
      <w:tr>
        <w:trPr>
          <w:trHeight w:val="27"/>
        </w:trPr>
        <w:tc>
          <w:tcPr>
            <w:tcW w:w="65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r>
      <w:tr>
        <w:trPr>
          <w:trHeight w:val="270"/>
        </w:trPr>
        <w:tc>
          <w:tcPr>
            <w:tcW w:w="65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Other income</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55"/>
              <w:spacing w:after="0"/>
              <w:rPr>
                <w:sz w:val="20"/>
                <w:szCs w:val="20"/>
                <w:color w:val="auto"/>
              </w:rPr>
            </w:pPr>
            <w:r>
              <w:rPr>
                <w:rFonts w:ascii="Arial" w:cs="Arial" w:eastAsia="Arial" w:hAnsi="Arial"/>
                <w:sz w:val="18"/>
                <w:szCs w:val="18"/>
                <w:color w:val="auto"/>
              </w:rPr>
              <w:t>3,663</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6,210</w:t>
            </w:r>
          </w:p>
        </w:tc>
        <w:tc>
          <w:tcPr>
            <w:tcW w:w="8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2,364</w:t>
            </w:r>
          </w:p>
        </w:tc>
      </w:tr>
      <w:tr>
        <w:trPr>
          <w:trHeight w:val="263"/>
        </w:trPr>
        <w:tc>
          <w:tcPr>
            <w:tcW w:w="6520" w:type="dxa"/>
            <w:vAlign w:val="bottom"/>
          </w:tcPr>
          <w:p>
            <w:pPr>
              <w:ind w:left="1160"/>
              <w:spacing w:after="0"/>
              <w:rPr>
                <w:sz w:val="20"/>
                <w:szCs w:val="20"/>
                <w:color w:val="auto"/>
              </w:rPr>
            </w:pPr>
            <w:r>
              <w:rPr>
                <w:rFonts w:ascii="Arial" w:cs="Arial" w:eastAsia="Arial" w:hAnsi="Arial"/>
                <w:sz w:val="18"/>
                <w:szCs w:val="18"/>
                <w:color w:val="auto"/>
              </w:rPr>
              <w:t>Other Income, net</w:t>
            </w:r>
          </w:p>
        </w:tc>
        <w:tc>
          <w:tcPr>
            <w:tcW w:w="240" w:type="dxa"/>
            <w:vAlign w:val="bottom"/>
            <w:tcBorders>
              <w:top w:val="single" w:sz="8" w:color="auto"/>
              <w:bottom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tcBorders>
              <w:top w:val="single" w:sz="8" w:color="auto"/>
              <w:bottom w:val="single" w:sz="8" w:color="auto"/>
            </w:tcBorders>
          </w:tcPr>
          <w:p>
            <w:pPr>
              <w:jc w:val="right"/>
              <w:ind w:right="55"/>
              <w:spacing w:after="0"/>
              <w:rPr>
                <w:sz w:val="20"/>
                <w:szCs w:val="20"/>
                <w:color w:val="auto"/>
              </w:rPr>
            </w:pPr>
            <w:r>
              <w:rPr>
                <w:rFonts w:ascii="Arial" w:cs="Arial" w:eastAsia="Arial" w:hAnsi="Arial"/>
                <w:sz w:val="18"/>
                <w:szCs w:val="18"/>
                <w:color w:val="auto"/>
              </w:rPr>
              <w:t>1,122,555</w:t>
            </w:r>
          </w:p>
        </w:tc>
        <w:tc>
          <w:tcPr>
            <w:tcW w:w="100" w:type="dxa"/>
            <w:vAlign w:val="bottom"/>
          </w:tcPr>
          <w:p>
            <w:pPr>
              <w:spacing w:after="0"/>
              <w:rPr>
                <w:sz w:val="22"/>
                <w:szCs w:val="22"/>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260" w:type="dxa"/>
            <w:vAlign w:val="bottom"/>
            <w:tcBorders>
              <w:top w:val="single" w:sz="8" w:color="auto"/>
              <w:bottom w:val="single" w:sz="8" w:color="auto"/>
            </w:tcBorders>
          </w:tcPr>
          <w:p>
            <w:pPr>
              <w:jc w:val="right"/>
              <w:ind w:right="77"/>
              <w:spacing w:after="0"/>
              <w:rPr>
                <w:sz w:val="20"/>
                <w:szCs w:val="20"/>
                <w:color w:val="auto"/>
              </w:rPr>
            </w:pPr>
            <w:r>
              <w:rPr>
                <w:rFonts w:ascii="Arial" w:cs="Arial" w:eastAsia="Arial" w:hAnsi="Arial"/>
                <w:sz w:val="18"/>
                <w:szCs w:val="18"/>
                <w:color w:val="auto"/>
              </w:rPr>
              <w:t>519</w:t>
            </w:r>
          </w:p>
        </w:tc>
        <w:tc>
          <w:tcPr>
            <w:tcW w:w="80" w:type="dxa"/>
            <w:vAlign w:val="bottom"/>
          </w:tcPr>
          <w:p>
            <w:pPr>
              <w:spacing w:after="0"/>
              <w:rPr>
                <w:sz w:val="22"/>
                <w:szCs w:val="22"/>
                <w:color w:val="auto"/>
              </w:rPr>
            </w:pPr>
          </w:p>
        </w:tc>
        <w:tc>
          <w:tcPr>
            <w:tcW w:w="260" w:type="dxa"/>
            <w:vAlign w:val="bottom"/>
            <w:tcBorders>
              <w:top w:val="single" w:sz="8" w:color="auto"/>
              <w:bottom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bottom w:val="single" w:sz="8" w:color="auto"/>
            </w:tcBorders>
          </w:tcPr>
          <w:p>
            <w:pPr>
              <w:jc w:val="right"/>
              <w:ind w:right="75"/>
              <w:spacing w:after="0"/>
              <w:rPr>
                <w:sz w:val="20"/>
                <w:szCs w:val="20"/>
                <w:color w:val="auto"/>
              </w:rPr>
            </w:pPr>
            <w:r>
              <w:rPr>
                <w:rFonts w:ascii="Arial" w:cs="Arial" w:eastAsia="Arial" w:hAnsi="Arial"/>
                <w:sz w:val="18"/>
                <w:szCs w:val="18"/>
                <w:color w:val="auto"/>
              </w:rPr>
              <w:t>4,813</w:t>
            </w:r>
          </w:p>
        </w:tc>
      </w:tr>
      <w:tr>
        <w:trPr>
          <w:trHeight w:val="20"/>
        </w:trPr>
        <w:tc>
          <w:tcPr>
            <w:tcW w:w="65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right="340" w:firstLine="8"/>
        <w:spacing w:after="0" w:line="277" w:lineRule="auto"/>
        <w:tabs>
          <w:tab w:leader="none" w:pos="255"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The Company recognized a pre-tax gain on sale of $1.1 billion in conjunction with the divestiture of the Wi-Fi Connectivity business. See “Note 1 - Basis of Presentation” for additional information.</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Consolidated Statements of Cash Flows</w:t>
      </w:r>
    </w:p>
    <w:p>
      <w:pPr>
        <w:spacing w:after="0" w:line="5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7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30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1,</w:t>
            </w:r>
          </w:p>
        </w:tc>
        <w:tc>
          <w:tcPr>
            <w:tcW w:w="240" w:type="dxa"/>
            <w:vAlign w:val="bottom"/>
          </w:tcPr>
          <w:p>
            <w:pPr>
              <w:spacing w:after="0"/>
              <w:rPr>
                <w:sz w:val="13"/>
                <w:szCs w:val="13"/>
                <w:color w:val="auto"/>
              </w:rPr>
            </w:pPr>
          </w:p>
        </w:tc>
        <w:tc>
          <w:tcPr>
            <w:tcW w:w="1300" w:type="dxa"/>
            <w:vAlign w:val="bottom"/>
            <w:gridSpan w:val="2"/>
          </w:tcPr>
          <w:p>
            <w:pPr>
              <w:jc w:val="center"/>
              <w:ind w:right="340"/>
              <w:spacing w:after="0" w:line="153" w:lineRule="exact"/>
              <w:rPr>
                <w:sz w:val="20"/>
                <w:szCs w:val="20"/>
                <w:color w:val="auto"/>
              </w:rPr>
            </w:pPr>
            <w:r>
              <w:rPr>
                <w:rFonts w:ascii="Arial" w:cs="Arial" w:eastAsia="Arial" w:hAnsi="Arial"/>
                <w:sz w:val="14"/>
                <w:szCs w:val="14"/>
                <w:b w:val="1"/>
                <w:bCs w:val="1"/>
                <w:color w:val="auto"/>
                <w:w w:val="95"/>
              </w:rPr>
              <w:t>February 2,</w:t>
            </w:r>
          </w:p>
        </w:tc>
        <w:tc>
          <w:tcPr>
            <w:tcW w:w="240" w:type="dxa"/>
            <w:vAlign w:val="bottom"/>
          </w:tcPr>
          <w:p>
            <w:pPr>
              <w:spacing w:after="0"/>
              <w:rPr>
                <w:sz w:val="13"/>
                <w:szCs w:val="13"/>
                <w:color w:val="auto"/>
              </w:rPr>
            </w:pPr>
          </w:p>
        </w:tc>
        <w:tc>
          <w:tcPr>
            <w:tcW w:w="1200" w:type="dxa"/>
            <w:vAlign w:val="bottom"/>
          </w:tcPr>
          <w:p>
            <w:pPr>
              <w:jc w:val="right"/>
              <w:ind w:right="274"/>
              <w:spacing w:after="0" w:line="153" w:lineRule="exact"/>
              <w:rPr>
                <w:sz w:val="20"/>
                <w:szCs w:val="20"/>
                <w:color w:val="auto"/>
              </w:rPr>
            </w:pPr>
            <w:r>
              <w:rPr>
                <w:rFonts w:ascii="Arial" w:cs="Arial" w:eastAsia="Arial" w:hAnsi="Arial"/>
                <w:sz w:val="14"/>
                <w:szCs w:val="14"/>
                <w:b w:val="1"/>
                <w:bCs w:val="1"/>
                <w:color w:val="auto"/>
              </w:rPr>
              <w:t>February 3,</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5"/>
              <w:spacing w:after="0"/>
              <w:rPr>
                <w:sz w:val="20"/>
                <w:szCs w:val="20"/>
                <w:color w:val="auto"/>
              </w:rPr>
            </w:pPr>
            <w:r>
              <w:rPr>
                <w:rFonts w:ascii="Arial" w:cs="Arial" w:eastAsia="Arial" w:hAnsi="Arial"/>
                <w:sz w:val="14"/>
                <w:szCs w:val="14"/>
                <w:b w:val="1"/>
                <w:bCs w:val="1"/>
                <w:color w:val="auto"/>
                <w:w w:val="89"/>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2018</w:t>
            </w:r>
          </w:p>
        </w:tc>
        <w:tc>
          <w:tcPr>
            <w:tcW w:w="0" w:type="dxa"/>
            <w:vAlign w:val="bottom"/>
          </w:tcPr>
          <w:p>
            <w:pPr>
              <w:spacing w:after="0"/>
              <w:rPr>
                <w:sz w:val="1"/>
                <w:szCs w:val="1"/>
                <w:color w:val="auto"/>
              </w:rPr>
            </w:pPr>
          </w:p>
        </w:tc>
      </w:tr>
      <w:tr>
        <w:trPr>
          <w:trHeight w:val="236"/>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Supplemental cash flow information:</w:t>
            </w:r>
          </w:p>
        </w:tc>
        <w:tc>
          <w:tcPr>
            <w:tcW w:w="22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6740" w:type="dxa"/>
            <w:vAlign w:val="bottom"/>
          </w:tcPr>
          <w:p>
            <w:pPr>
              <w:ind w:left="340"/>
              <w:spacing w:after="0"/>
              <w:rPr>
                <w:sz w:val="20"/>
                <w:szCs w:val="20"/>
                <w:color w:val="auto"/>
              </w:rPr>
            </w:pPr>
            <w:r>
              <w:rPr>
                <w:rFonts w:ascii="Arial" w:cs="Arial" w:eastAsia="Arial" w:hAnsi="Arial"/>
                <w:sz w:val="18"/>
                <w:szCs w:val="18"/>
                <w:color w:val="auto"/>
              </w:rPr>
              <w:t>Cash paid for interest</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ind w:right="74"/>
              <w:spacing w:after="0"/>
              <w:rPr>
                <w:sz w:val="20"/>
                <w:szCs w:val="20"/>
                <w:color w:val="auto"/>
              </w:rPr>
            </w:pPr>
            <w:r>
              <w:rPr>
                <w:rFonts w:ascii="Arial" w:cs="Arial" w:eastAsia="Arial" w:hAnsi="Arial"/>
                <w:sz w:val="18"/>
                <w:szCs w:val="18"/>
                <w:color w:val="auto"/>
              </w:rPr>
              <w:t>76,506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39,156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4"/>
              <w:spacing w:after="0"/>
              <w:rPr>
                <w:sz w:val="20"/>
                <w:szCs w:val="20"/>
                <w:color w:val="auto"/>
              </w:rPr>
            </w:pPr>
            <w:r>
              <w:rPr>
                <w:rFonts w:ascii="Arial" w:cs="Arial" w:eastAsia="Arial" w:hAnsi="Arial"/>
                <w:sz w:val="18"/>
                <w:szCs w:val="18"/>
                <w:color w:val="auto"/>
              </w:rPr>
              <w:t>746</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67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89"/>
        </w:trPr>
        <w:tc>
          <w:tcPr>
            <w:tcW w:w="67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Cash paid for income taxes, net</w:t>
            </w: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117,529</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8,143</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11,401</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b w:val="1"/>
                <w:bCs w:val="1"/>
                <w:color w:val="auto"/>
              </w:rPr>
              <w:t>Non-Cash Investing and Financing Activities:</w:t>
            </w: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6740" w:type="dxa"/>
            <w:vAlign w:val="bottom"/>
            <w:vMerge w:val="continue"/>
          </w:tcPr>
          <w:p>
            <w:pPr>
              <w:spacing w:after="0"/>
              <w:rPr>
                <w:sz w:val="16"/>
                <w:szCs w:val="16"/>
                <w:color w:val="auto"/>
              </w:rPr>
            </w:pPr>
          </w:p>
        </w:tc>
        <w:tc>
          <w:tcPr>
            <w:tcW w:w="22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95"/>
        </w:trPr>
        <w:tc>
          <w:tcPr>
            <w:tcW w:w="67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Non-cash consideration paid for the acquisition</w:t>
            </w: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15,520</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3,331,342</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40"/>
              <w:spacing w:after="0"/>
              <w:rPr>
                <w:sz w:val="20"/>
                <w:szCs w:val="20"/>
                <w:color w:val="auto"/>
              </w:rPr>
            </w:pPr>
            <w:r>
              <w:rPr>
                <w:rFonts w:ascii="Arial" w:cs="Arial" w:eastAsia="Arial" w:hAnsi="Arial"/>
                <w:sz w:val="18"/>
                <w:szCs w:val="18"/>
                <w:color w:val="auto"/>
              </w:rPr>
              <w:t>Purchase of software and intellectual property under license obligations</w:t>
            </w: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6740" w:type="dxa"/>
            <w:vAlign w:val="bottom"/>
            <w:vMerge w:val="continue"/>
          </w:tcPr>
          <w:p>
            <w:pPr>
              <w:spacing w:after="0"/>
              <w:rPr>
                <w:sz w:val="18"/>
                <w:szCs w:val="18"/>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ind w:right="74"/>
              <w:spacing w:after="0"/>
              <w:rPr>
                <w:sz w:val="20"/>
                <w:szCs w:val="20"/>
                <w:color w:val="auto"/>
              </w:rPr>
            </w:pPr>
            <w:r>
              <w:rPr>
                <w:rFonts w:ascii="Arial" w:cs="Arial" w:eastAsia="Arial" w:hAnsi="Arial"/>
                <w:sz w:val="18"/>
                <w:szCs w:val="18"/>
                <w:color w:val="auto"/>
              </w:rPr>
              <w:t>193,149</w:t>
            </w:r>
          </w:p>
        </w:tc>
        <w:tc>
          <w:tcPr>
            <w:tcW w:w="100" w:type="dxa"/>
            <w:vAlign w:val="bottom"/>
          </w:tcPr>
          <w:p>
            <w:pPr>
              <w:spacing w:after="0"/>
              <w:rPr>
                <w:sz w:val="18"/>
                <w:szCs w:val="18"/>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ind w:right="75"/>
              <w:spacing w:after="0"/>
              <w:rPr>
                <w:sz w:val="20"/>
                <w:szCs w:val="20"/>
                <w:color w:val="auto"/>
              </w:rPr>
            </w:pPr>
            <w:r>
              <w:rPr>
                <w:rFonts w:ascii="Arial" w:cs="Arial" w:eastAsia="Arial" w:hAnsi="Arial"/>
                <w:sz w:val="18"/>
                <w:szCs w:val="18"/>
                <w:color w:val="auto"/>
              </w:rPr>
              <w:t>4,221</w:t>
            </w:r>
          </w:p>
        </w:tc>
        <w:tc>
          <w:tcPr>
            <w:tcW w:w="100" w:type="dxa"/>
            <w:vAlign w:val="bottom"/>
          </w:tcPr>
          <w:p>
            <w:pPr>
              <w:spacing w:after="0"/>
              <w:rPr>
                <w:sz w:val="18"/>
                <w:szCs w:val="18"/>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ind w:right="74"/>
              <w:spacing w:after="0"/>
              <w:rPr>
                <w:sz w:val="20"/>
                <w:szCs w:val="20"/>
                <w:color w:val="auto"/>
              </w:rPr>
            </w:pPr>
            <w:r>
              <w:rPr>
                <w:rFonts w:ascii="Arial" w:cs="Arial" w:eastAsia="Arial" w:hAnsi="Arial"/>
                <w:sz w:val="18"/>
                <w:szCs w:val="18"/>
                <w:color w:val="auto"/>
              </w:rPr>
              <w:t>59,803</w:t>
            </w:r>
          </w:p>
        </w:tc>
        <w:tc>
          <w:tcPr>
            <w:tcW w:w="0" w:type="dxa"/>
            <w:vAlign w:val="bottom"/>
          </w:tcPr>
          <w:p>
            <w:pPr>
              <w:spacing w:after="0"/>
              <w:rPr>
                <w:sz w:val="1"/>
                <w:szCs w:val="1"/>
                <w:color w:val="auto"/>
              </w:rPr>
            </w:pPr>
          </w:p>
        </w:tc>
      </w:tr>
      <w:tr>
        <w:trPr>
          <w:trHeight w:val="20"/>
        </w:trPr>
        <w:tc>
          <w:tcPr>
            <w:tcW w:w="67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89"/>
        </w:trPr>
        <w:tc>
          <w:tcPr>
            <w:tcW w:w="67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Unsettled trade payable of available-for-sale securities</w:t>
            </w: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3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4,497</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40"/>
              <w:spacing w:after="0"/>
              <w:rPr>
                <w:sz w:val="20"/>
                <w:szCs w:val="20"/>
                <w:color w:val="auto"/>
              </w:rPr>
            </w:pPr>
            <w:r>
              <w:rPr>
                <w:rFonts w:ascii="Arial" w:cs="Arial" w:eastAsia="Arial" w:hAnsi="Arial"/>
                <w:sz w:val="18"/>
                <w:szCs w:val="18"/>
                <w:color w:val="auto"/>
              </w:rPr>
              <w:t>Unpaid purchase of property and equipment at end of year</w:t>
            </w: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6740" w:type="dxa"/>
            <w:vAlign w:val="bottom"/>
            <w:vMerge w:val="continue"/>
          </w:tcPr>
          <w:p>
            <w:pPr>
              <w:spacing w:after="0"/>
              <w:rPr>
                <w:sz w:val="18"/>
                <w:szCs w:val="18"/>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ind w:right="74"/>
              <w:spacing w:after="0"/>
              <w:rPr>
                <w:sz w:val="20"/>
                <w:szCs w:val="20"/>
                <w:color w:val="auto"/>
              </w:rPr>
            </w:pPr>
            <w:r>
              <w:rPr>
                <w:rFonts w:ascii="Arial" w:cs="Arial" w:eastAsia="Arial" w:hAnsi="Arial"/>
                <w:sz w:val="18"/>
                <w:szCs w:val="18"/>
                <w:color w:val="auto"/>
              </w:rPr>
              <w:t>23,015</w:t>
            </w:r>
          </w:p>
        </w:tc>
        <w:tc>
          <w:tcPr>
            <w:tcW w:w="100" w:type="dxa"/>
            <w:vAlign w:val="bottom"/>
          </w:tcPr>
          <w:p>
            <w:pPr>
              <w:spacing w:after="0"/>
              <w:rPr>
                <w:sz w:val="18"/>
                <w:szCs w:val="18"/>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ind w:right="75"/>
              <w:spacing w:after="0"/>
              <w:rPr>
                <w:sz w:val="20"/>
                <w:szCs w:val="20"/>
                <w:color w:val="auto"/>
              </w:rPr>
            </w:pPr>
            <w:r>
              <w:rPr>
                <w:rFonts w:ascii="Arial" w:cs="Arial" w:eastAsia="Arial" w:hAnsi="Arial"/>
                <w:sz w:val="18"/>
                <w:szCs w:val="18"/>
                <w:color w:val="auto"/>
              </w:rPr>
              <w:t>8,837</w:t>
            </w:r>
          </w:p>
        </w:tc>
        <w:tc>
          <w:tcPr>
            <w:tcW w:w="100" w:type="dxa"/>
            <w:vAlign w:val="bottom"/>
          </w:tcPr>
          <w:p>
            <w:pPr>
              <w:spacing w:after="0"/>
              <w:rPr>
                <w:sz w:val="18"/>
                <w:szCs w:val="18"/>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ind w:right="74"/>
              <w:spacing w:after="0"/>
              <w:rPr>
                <w:sz w:val="20"/>
                <w:szCs w:val="20"/>
                <w:color w:val="auto"/>
              </w:rPr>
            </w:pPr>
            <w:r>
              <w:rPr>
                <w:rFonts w:ascii="Arial" w:cs="Arial" w:eastAsia="Arial" w:hAnsi="Arial"/>
                <w:sz w:val="18"/>
                <w:szCs w:val="18"/>
                <w:color w:val="auto"/>
              </w:rPr>
              <w:t>5,595</w:t>
            </w:r>
          </w:p>
        </w:tc>
        <w:tc>
          <w:tcPr>
            <w:tcW w:w="0" w:type="dxa"/>
            <w:vAlign w:val="bottom"/>
          </w:tcPr>
          <w:p>
            <w:pPr>
              <w:spacing w:after="0"/>
              <w:rPr>
                <w:sz w:val="1"/>
                <w:szCs w:val="1"/>
                <w:color w:val="auto"/>
              </w:rPr>
            </w:pPr>
          </w:p>
        </w:tc>
      </w:tr>
      <w:tr>
        <w:trPr>
          <w:trHeight w:val="20"/>
        </w:trPr>
        <w:tc>
          <w:tcPr>
            <w:tcW w:w="67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89"/>
        </w:trPr>
        <w:tc>
          <w:tcPr>
            <w:tcW w:w="67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Unpaid equity and debt financing costs</w:t>
            </w: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3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3,244</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Investments</w:t>
      </w:r>
    </w:p>
    <w:p>
      <w:pPr>
        <w:spacing w:after="0" w:line="25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February 1, 2020, and February 2, 2019, the Company has no investments on hand.</w:t>
      </w:r>
    </w:p>
    <w:p>
      <w:pPr>
        <w:spacing w:after="0" w:line="117" w:lineRule="exact"/>
        <w:rPr>
          <w:sz w:val="20"/>
          <w:szCs w:val="20"/>
          <w:color w:val="auto"/>
        </w:rPr>
      </w:pPr>
    </w:p>
    <w:p>
      <w:pPr>
        <w:ind w:right="40" w:firstLine="405"/>
        <w:spacing w:after="0" w:line="286" w:lineRule="auto"/>
        <w:rPr>
          <w:sz w:val="20"/>
          <w:szCs w:val="20"/>
          <w:color w:val="auto"/>
        </w:rPr>
      </w:pPr>
      <w:r>
        <w:rPr>
          <w:rFonts w:ascii="Arial" w:cs="Arial" w:eastAsia="Arial" w:hAnsi="Arial"/>
          <w:sz w:val="17"/>
          <w:szCs w:val="17"/>
          <w:color w:val="auto"/>
        </w:rPr>
        <w:t>Short-term, highly liquid investments of $134.5 million and $90.8 million as of February 1, 2020 and February 2, 2019, respectively, included in cash and cash equivalents on the accompanying consolidated balance sheets are not considered as investments because the gross unrealized gains and losses were immaterial as the carrying values approximate fair value because of the short-term maturity of such investments.</w:t>
      </w:r>
    </w:p>
    <w:p>
      <w:pPr>
        <w:spacing w:after="0" w:line="57" w:lineRule="exact"/>
        <w:rPr>
          <w:sz w:val="20"/>
          <w:szCs w:val="20"/>
          <w:color w:val="auto"/>
        </w:rPr>
      </w:pPr>
    </w:p>
    <w:p>
      <w:pPr>
        <w:spacing w:after="0"/>
        <w:rPr>
          <w:sz w:val="20"/>
          <w:szCs w:val="20"/>
          <w:color w:val="auto"/>
        </w:rPr>
      </w:pPr>
      <w:r>
        <w:rPr>
          <w:rFonts w:ascii="Arial" w:cs="Arial" w:eastAsia="Arial" w:hAnsi="Arial"/>
          <w:sz w:val="18"/>
          <w:szCs w:val="18"/>
          <w:color w:val="auto"/>
        </w:rPr>
        <w:t>Gross realized gains and gross realized losses on sales of available-for-sale securities are presented in the following table (in thousands):</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r>
      <w:tr>
        <w:trPr>
          <w:trHeight w:val="152"/>
        </w:trPr>
        <w:tc>
          <w:tcPr>
            <w:tcW w:w="6740" w:type="dxa"/>
            <w:vAlign w:val="bottom"/>
          </w:tcPr>
          <w:p>
            <w:pPr>
              <w:spacing w:after="0"/>
              <w:rPr>
                <w:sz w:val="13"/>
                <w:szCs w:val="13"/>
                <w:color w:val="auto"/>
              </w:rPr>
            </w:pPr>
          </w:p>
        </w:tc>
        <w:tc>
          <w:tcPr>
            <w:tcW w:w="1080" w:type="dxa"/>
            <w:vAlign w:val="bottom"/>
          </w:tcPr>
          <w:p>
            <w:pPr>
              <w:jc w:val="right"/>
              <w:spacing w:after="0" w:line="153" w:lineRule="exact"/>
              <w:rPr>
                <w:sz w:val="20"/>
                <w:szCs w:val="20"/>
                <w:color w:val="auto"/>
              </w:rPr>
            </w:pPr>
            <w:r>
              <w:rPr>
                <w:rFonts w:ascii="Arial" w:cs="Arial" w:eastAsia="Arial" w:hAnsi="Arial"/>
                <w:sz w:val="14"/>
                <w:szCs w:val="14"/>
                <w:b w:val="1"/>
                <w:bCs w:val="1"/>
                <w:color w:val="auto"/>
              </w:rPr>
              <w:t>February 1,</w:t>
            </w:r>
          </w:p>
        </w:tc>
        <w:tc>
          <w:tcPr>
            <w:tcW w:w="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00" w:type="dxa"/>
            <w:vAlign w:val="bottom"/>
            <w:gridSpan w:val="2"/>
          </w:tcPr>
          <w:p>
            <w:pPr>
              <w:jc w:val="center"/>
              <w:ind w:right="340"/>
              <w:spacing w:after="0" w:line="153" w:lineRule="exact"/>
              <w:rPr>
                <w:sz w:val="20"/>
                <w:szCs w:val="20"/>
                <w:color w:val="auto"/>
              </w:rPr>
            </w:pPr>
            <w:r>
              <w:rPr>
                <w:rFonts w:ascii="Arial" w:cs="Arial" w:eastAsia="Arial" w:hAnsi="Arial"/>
                <w:sz w:val="14"/>
                <w:szCs w:val="14"/>
                <w:b w:val="1"/>
                <w:bCs w:val="1"/>
                <w:color w:val="auto"/>
                <w:w w:val="95"/>
              </w:rPr>
              <w:t>February 2,</w:t>
            </w:r>
          </w:p>
        </w:tc>
        <w:tc>
          <w:tcPr>
            <w:tcW w:w="240" w:type="dxa"/>
            <w:vAlign w:val="bottom"/>
          </w:tcPr>
          <w:p>
            <w:pPr>
              <w:spacing w:after="0"/>
              <w:rPr>
                <w:sz w:val="13"/>
                <w:szCs w:val="13"/>
                <w:color w:val="auto"/>
              </w:rPr>
            </w:pPr>
          </w:p>
        </w:tc>
        <w:tc>
          <w:tcPr>
            <w:tcW w:w="1200" w:type="dxa"/>
            <w:vAlign w:val="bottom"/>
          </w:tcPr>
          <w:p>
            <w:pPr>
              <w:jc w:val="right"/>
              <w:ind w:right="277"/>
              <w:spacing w:after="0" w:line="153" w:lineRule="exact"/>
              <w:rPr>
                <w:sz w:val="20"/>
                <w:szCs w:val="20"/>
                <w:color w:val="auto"/>
              </w:rPr>
            </w:pPr>
            <w:r>
              <w:rPr>
                <w:rFonts w:ascii="Arial" w:cs="Arial" w:eastAsia="Arial" w:hAnsi="Arial"/>
                <w:sz w:val="14"/>
                <w:szCs w:val="14"/>
                <w:b w:val="1"/>
                <w:bCs w:val="1"/>
                <w:color w:val="auto"/>
              </w:rPr>
              <w:t>February 3,</w:t>
            </w:r>
          </w:p>
        </w:tc>
      </w:tr>
      <w:tr>
        <w:trPr>
          <w:trHeight w:val="192"/>
        </w:trPr>
        <w:tc>
          <w:tcPr>
            <w:tcW w:w="6740" w:type="dxa"/>
            <w:vAlign w:val="bottom"/>
            <w:tcBorders>
              <w:bottom w:val="single" w:sz="8" w:color="CCEEFF"/>
            </w:tcBorders>
          </w:tcPr>
          <w:p>
            <w:pPr>
              <w:spacing w:after="0"/>
              <w:rPr>
                <w:sz w:val="16"/>
                <w:szCs w:val="16"/>
                <w:color w:val="auto"/>
              </w:rPr>
            </w:pPr>
          </w:p>
        </w:tc>
        <w:tc>
          <w:tcPr>
            <w:tcW w:w="108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rPr>
              <w:t>2020</w:t>
            </w:r>
          </w:p>
        </w:tc>
        <w:tc>
          <w:tcPr>
            <w:tcW w:w="34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9"/>
              <w:spacing w:after="0"/>
              <w:rPr>
                <w:sz w:val="20"/>
                <w:szCs w:val="20"/>
                <w:color w:val="auto"/>
              </w:rPr>
            </w:pPr>
            <w:r>
              <w:rPr>
                <w:rFonts w:ascii="Arial" w:cs="Arial" w:eastAsia="Arial" w:hAnsi="Arial"/>
                <w:sz w:val="14"/>
                <w:szCs w:val="14"/>
                <w:b w:val="1"/>
                <w:bCs w:val="1"/>
                <w:color w:val="auto"/>
                <w:w w:val="89"/>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2018</w:t>
            </w:r>
          </w:p>
        </w:tc>
      </w:tr>
      <w:tr>
        <w:trPr>
          <w:trHeight w:val="249"/>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Gross realized gains</w:t>
            </w:r>
          </w:p>
        </w:tc>
        <w:tc>
          <w:tcPr>
            <w:tcW w:w="1080" w:type="dxa"/>
            <w:vAlign w:val="bottom"/>
            <w:tcBorders>
              <w:bottom w:val="single" w:sz="8" w:color="CCEEFF"/>
            </w:tcBorders>
            <w:shd w:val="clear" w:color="auto" w:fill="CCEEFF"/>
          </w:tcPr>
          <w:p>
            <w:pPr>
              <w:jc w:val="right"/>
              <w:ind w:right="899"/>
              <w:spacing w:after="0"/>
              <w:rPr>
                <w:sz w:val="20"/>
                <w:szCs w:val="20"/>
                <w:color w:val="auto"/>
              </w:rPr>
            </w:pPr>
            <w:r>
              <w:rPr>
                <w:rFonts w:ascii="Arial" w:cs="Arial" w:eastAsia="Arial" w:hAnsi="Arial"/>
                <w:sz w:val="18"/>
                <w:szCs w:val="18"/>
                <w:color w:val="auto"/>
                <w:w w:val="79"/>
              </w:rPr>
              <w:t>$</w:t>
            </w:r>
          </w:p>
        </w:tc>
        <w:tc>
          <w:tcPr>
            <w:tcW w:w="3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14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8"/>
                <w:szCs w:val="18"/>
                <w:color w:val="auto"/>
              </w:rPr>
              <w:t>371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186</w:t>
            </w:r>
          </w:p>
        </w:tc>
      </w:tr>
      <w:tr>
        <w:trPr>
          <w:trHeight w:val="243"/>
        </w:trPr>
        <w:tc>
          <w:tcPr>
            <w:tcW w:w="6740" w:type="dxa"/>
            <w:vAlign w:val="bottom"/>
          </w:tcPr>
          <w:p>
            <w:pPr>
              <w:ind w:left="20"/>
              <w:spacing w:after="0"/>
              <w:rPr>
                <w:sz w:val="20"/>
                <w:szCs w:val="20"/>
                <w:color w:val="auto"/>
              </w:rPr>
            </w:pPr>
            <w:r>
              <w:rPr>
                <w:rFonts w:ascii="Arial" w:cs="Arial" w:eastAsia="Arial" w:hAnsi="Arial"/>
                <w:sz w:val="18"/>
                <w:szCs w:val="18"/>
                <w:color w:val="auto"/>
              </w:rPr>
              <w:t>Gross realized losses</w:t>
            </w:r>
          </w:p>
        </w:tc>
        <w:tc>
          <w:tcPr>
            <w:tcW w:w="1080" w:type="dxa"/>
            <w:vAlign w:val="bottom"/>
          </w:tcPr>
          <w:p>
            <w:pPr>
              <w:spacing w:after="0"/>
              <w:rPr>
                <w:sz w:val="21"/>
                <w:szCs w:val="21"/>
                <w:color w:val="auto"/>
              </w:rPr>
            </w:pPr>
          </w:p>
        </w:tc>
        <w:tc>
          <w:tcPr>
            <w:tcW w:w="340" w:type="dxa"/>
            <w:vAlign w:val="bottom"/>
          </w:tcPr>
          <w:p>
            <w:pPr>
              <w:jc w:val="right"/>
              <w:ind w:right="10"/>
              <w:spacing w:after="0"/>
              <w:rPr>
                <w:sz w:val="20"/>
                <w:szCs w:val="20"/>
                <w:color w:val="auto"/>
              </w:rPr>
            </w:pPr>
            <w:r>
              <w:rPr>
                <w:rFonts w:ascii="Arial" w:cs="Arial" w:eastAsia="Arial" w:hAnsi="Arial"/>
                <w:sz w:val="18"/>
                <w:szCs w:val="18"/>
                <w:color w:val="auto"/>
                <w:w w:val="99"/>
              </w:rPr>
              <w:t>(6)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19"/>
              <w:spacing w:after="0"/>
              <w:rPr>
                <w:sz w:val="20"/>
                <w:szCs w:val="20"/>
                <w:color w:val="auto"/>
              </w:rPr>
            </w:pPr>
            <w:r>
              <w:rPr>
                <w:rFonts w:ascii="Arial" w:cs="Arial" w:eastAsia="Arial" w:hAnsi="Arial"/>
                <w:sz w:val="18"/>
                <w:szCs w:val="18"/>
                <w:color w:val="auto"/>
              </w:rPr>
              <w:t>(3,437)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17"/>
              <w:spacing w:after="0"/>
              <w:rPr>
                <w:sz w:val="20"/>
                <w:szCs w:val="20"/>
                <w:color w:val="auto"/>
              </w:rPr>
            </w:pPr>
            <w:r>
              <w:rPr>
                <w:rFonts w:ascii="Arial" w:cs="Arial" w:eastAsia="Arial" w:hAnsi="Arial"/>
                <w:sz w:val="18"/>
                <w:szCs w:val="18"/>
                <w:color w:val="auto"/>
              </w:rPr>
              <w:t>(2,963)</w:t>
            </w:r>
          </w:p>
        </w:tc>
      </w:tr>
      <w:tr>
        <w:trPr>
          <w:trHeight w:val="27"/>
        </w:trPr>
        <w:tc>
          <w:tcPr>
            <w:tcW w:w="6740" w:type="dxa"/>
            <w:vAlign w:val="bottom"/>
            <w:tcBorders>
              <w:bottom w:val="single" w:sz="8" w:color="CCEEFF"/>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88"/>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net realized gains (losses)</w:t>
            </w:r>
          </w:p>
        </w:tc>
        <w:tc>
          <w:tcPr>
            <w:tcW w:w="1080" w:type="dxa"/>
            <w:vAlign w:val="bottom"/>
            <w:tcBorders>
              <w:bottom w:val="single" w:sz="8" w:color="CCEEFF"/>
            </w:tcBorders>
            <w:shd w:val="clear" w:color="auto" w:fill="CCEEFF"/>
          </w:tcPr>
          <w:p>
            <w:pPr>
              <w:jc w:val="right"/>
              <w:ind w:right="899"/>
              <w:spacing w:after="0"/>
              <w:rPr>
                <w:sz w:val="20"/>
                <w:szCs w:val="20"/>
                <w:color w:val="auto"/>
              </w:rPr>
            </w:pPr>
            <w:r>
              <w:rPr>
                <w:rFonts w:ascii="Arial" w:cs="Arial" w:eastAsia="Arial" w:hAnsi="Arial"/>
                <w:sz w:val="18"/>
                <w:szCs w:val="18"/>
                <w:color w:val="auto"/>
                <w:w w:val="79"/>
              </w:rPr>
              <w:t>$</w:t>
            </w:r>
          </w:p>
        </w:tc>
        <w:tc>
          <w:tcPr>
            <w:tcW w:w="3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8</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(3,066)</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(2,777)</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40"/>
          </w:cols>
          <w:pgMar w:left="320" w:top="472"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78" w:name="page79"/>
    <w:bookmarkEnd w:id="7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Fair Value Measurements</w:t>
      </w:r>
    </w:p>
    <w:p>
      <w:pPr>
        <w:spacing w:after="0" w:line="121" w:lineRule="exact"/>
        <w:rPr>
          <w:sz w:val="20"/>
          <w:szCs w:val="20"/>
          <w:color w:val="auto"/>
        </w:rPr>
      </w:pPr>
    </w:p>
    <w:p>
      <w:pPr>
        <w:ind w:right="100" w:firstLine="405"/>
        <w:spacing w:after="0" w:line="279"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6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Level 1 — Observable inputs that reflect quoted prices for identical assets or liabilities in active markets.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Level 2 — Other inputs that are directly or indirectly observable in the marketplace.</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17" w:lineRule="exact"/>
        <w:rPr>
          <w:sz w:val="20"/>
          <w:szCs w:val="20"/>
          <w:color w:val="auto"/>
        </w:rPr>
      </w:pPr>
    </w:p>
    <w:p>
      <w:pPr>
        <w:ind w:right="780" w:firstLine="405"/>
        <w:spacing w:after="0" w:line="277"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62" w:lineRule="exact"/>
        <w:rPr>
          <w:sz w:val="20"/>
          <w:szCs w:val="20"/>
          <w:color w:val="auto"/>
        </w:rPr>
      </w:pPr>
    </w:p>
    <w:p>
      <w:pPr>
        <w:ind w:right="120" w:firstLine="405"/>
        <w:spacing w:after="0" w:line="301"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as the market inputs used to value these instruments consist of market yield. In addition, forward contracts, and the severance pay fund are classified as Level 2 assets as the valuation inputs are based on quoted prices and market observable data of similar instruments.</w:t>
      </w:r>
    </w:p>
    <w:p>
      <w:pPr>
        <w:spacing w:after="0" w:line="49" w:lineRule="exact"/>
        <w:rPr>
          <w:sz w:val="20"/>
          <w:szCs w:val="20"/>
          <w:color w:val="auto"/>
        </w:rPr>
      </w:pPr>
    </w:p>
    <w:p>
      <w:pPr>
        <w:ind w:right="40" w:firstLine="405"/>
        <w:spacing w:after="0" w:line="277"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108" w:lineRule="exact"/>
        <w:rPr>
          <w:sz w:val="20"/>
          <w:szCs w:val="20"/>
          <w:color w:val="auto"/>
        </w:rPr>
      </w:pPr>
    </w:p>
    <w:p>
      <w:pPr>
        <w:ind w:left="6800"/>
        <w:spacing w:after="0"/>
        <w:rPr>
          <w:sz w:val="20"/>
          <w:szCs w:val="20"/>
          <w:color w:val="auto"/>
        </w:rPr>
      </w:pPr>
      <w:r>
        <w:rPr>
          <w:rFonts w:ascii="Arial" w:cs="Arial" w:eastAsia="Arial" w:hAnsi="Arial"/>
          <w:sz w:val="14"/>
          <w:szCs w:val="14"/>
          <w:b w:val="1"/>
          <w:bCs w:val="1"/>
          <w:color w:val="auto"/>
        </w:rPr>
        <w:t>Fair Value Measurements at February 1, 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3296920</wp:posOffset>
            </wp:positionH>
            <wp:positionV relativeFrom="paragraph">
              <wp:posOffset>23495</wp:posOffset>
            </wp:positionV>
            <wp:extent cx="3840480" cy="825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3840480" cy="8255"/>
                    </a:xfrm>
                    <a:prstGeom prst="rect">
                      <a:avLst/>
                    </a:prstGeom>
                    <a:noFill/>
                  </pic:spPr>
                </pic:pic>
              </a:graphicData>
            </a:graphic>
          </wp:anchor>
        </w:drawing>
      </w:r>
    </w:p>
    <w:p>
      <w:pPr>
        <w:spacing w:after="0" w:line="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240" w:type="dxa"/>
            <w:vAlign w:val="bottom"/>
            <w:gridSpan w:val="2"/>
          </w:tcPr>
          <w:p>
            <w:pPr>
              <w:ind w:left="180"/>
              <w:spacing w:after="0"/>
              <w:rPr>
                <w:sz w:val="20"/>
                <w:szCs w:val="20"/>
                <w:color w:val="auto"/>
              </w:rPr>
            </w:pPr>
            <w:r>
              <w:rPr>
                <w:rFonts w:ascii="Arial" w:cs="Arial" w:eastAsia="Arial" w:hAnsi="Arial"/>
                <w:sz w:val="14"/>
                <w:szCs w:val="14"/>
                <w:b w:val="1"/>
                <w:bCs w:val="1"/>
                <w:color w:val="auto"/>
              </w:rPr>
              <w:t>Level 1</w:t>
            </w:r>
          </w:p>
        </w:tc>
        <w:tc>
          <w:tcPr>
            <w:tcW w:w="300" w:type="dxa"/>
            <w:vAlign w:val="bottom"/>
          </w:tcPr>
          <w:p>
            <w:pPr>
              <w:spacing w:after="0"/>
              <w:rPr>
                <w:sz w:val="16"/>
                <w:szCs w:val="16"/>
                <w:color w:val="auto"/>
              </w:rPr>
            </w:pPr>
          </w:p>
        </w:tc>
        <w:tc>
          <w:tcPr>
            <w:tcW w:w="1220" w:type="dxa"/>
            <w:vAlign w:val="bottom"/>
            <w:gridSpan w:val="2"/>
          </w:tcPr>
          <w:p>
            <w:pPr>
              <w:ind w:left="18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16"/>
                <w:szCs w:val="16"/>
                <w:color w:val="auto"/>
              </w:rPr>
            </w:pPr>
          </w:p>
        </w:tc>
        <w:tc>
          <w:tcPr>
            <w:tcW w:w="1220" w:type="dxa"/>
            <w:vAlign w:val="bottom"/>
            <w:gridSpan w:val="2"/>
          </w:tcPr>
          <w:p>
            <w:pPr>
              <w:ind w:left="18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6"/>
                <w:szCs w:val="16"/>
                <w:color w:val="auto"/>
              </w:rPr>
            </w:pPr>
          </w:p>
        </w:tc>
        <w:tc>
          <w:tcPr>
            <w:tcW w:w="1100" w:type="dxa"/>
            <w:vAlign w:val="bottom"/>
          </w:tcPr>
          <w:p>
            <w:pPr>
              <w:jc w:val="right"/>
              <w:ind w:right="474"/>
              <w:spacing w:after="0"/>
              <w:rPr>
                <w:sz w:val="20"/>
                <w:szCs w:val="20"/>
                <w:color w:val="auto"/>
              </w:rPr>
            </w:pPr>
            <w:r>
              <w:rPr>
                <w:rFonts w:ascii="Arial" w:cs="Arial" w:eastAsia="Arial" w:hAnsi="Arial"/>
                <w:sz w:val="14"/>
                <w:szCs w:val="14"/>
                <w:b w:val="1"/>
                <w:bCs w:val="1"/>
                <w:color w:val="auto"/>
              </w:rPr>
              <w:t>Total</w:t>
            </w:r>
          </w:p>
        </w:tc>
      </w:tr>
      <w:tr>
        <w:trPr>
          <w:trHeight w:val="236"/>
        </w:trPr>
        <w:tc>
          <w:tcPr>
            <w:tcW w:w="52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300" w:type="dxa"/>
            <w:vAlign w:val="bottom"/>
            <w:tcBorders>
              <w:top w:val="single" w:sz="8" w:color="auto"/>
              <w:bottom w:val="single" w:sz="8" w:color="CCEEFF"/>
            </w:tcBorders>
            <w:shd w:val="clear" w:color="auto" w:fill="CCEEFF"/>
          </w:tcPr>
          <w:p>
            <w:pPr>
              <w:spacing w:after="0"/>
              <w:rPr>
                <w:sz w:val="20"/>
                <w:szCs w:val="20"/>
                <w:color w:val="auto"/>
              </w:rPr>
            </w:pPr>
          </w:p>
        </w:tc>
        <w:tc>
          <w:tcPr>
            <w:tcW w:w="1120" w:type="dxa"/>
            <w:vAlign w:val="bottom"/>
            <w:tcBorders>
              <w:top w:val="single" w:sz="8" w:color="auto"/>
              <w:bottom w:val="single" w:sz="8" w:color="CCEEFF"/>
            </w:tcBorders>
            <w:shd w:val="clear" w:color="auto" w:fill="CCEEFF"/>
          </w:tcPr>
          <w:p>
            <w:pPr>
              <w:spacing w:after="0"/>
              <w:rPr>
                <w:sz w:val="20"/>
                <w:szCs w:val="20"/>
                <w:color w:val="auto"/>
              </w:rPr>
            </w:pP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300" w:type="dxa"/>
            <w:vAlign w:val="bottom"/>
            <w:tcBorders>
              <w:top w:val="single" w:sz="8" w:color="auto"/>
              <w:bottom w:val="single" w:sz="8" w:color="CCEEFF"/>
            </w:tcBorders>
            <w:shd w:val="clear" w:color="auto" w:fill="CCEEFF"/>
          </w:tcPr>
          <w:p>
            <w:pPr>
              <w:spacing w:after="0"/>
              <w:rPr>
                <w:sz w:val="20"/>
                <w:szCs w:val="20"/>
                <w:color w:val="auto"/>
              </w:rPr>
            </w:pPr>
          </w:p>
        </w:tc>
        <w:tc>
          <w:tcPr>
            <w:tcW w:w="112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320" w:type="dxa"/>
            <w:vAlign w:val="bottom"/>
            <w:tcBorders>
              <w:top w:val="single" w:sz="8" w:color="auto"/>
              <w:bottom w:val="single" w:sz="8" w:color="CCEEFF"/>
            </w:tcBorders>
            <w:shd w:val="clear" w:color="auto" w:fill="CCEEFF"/>
          </w:tcPr>
          <w:p>
            <w:pPr>
              <w:spacing w:after="0"/>
              <w:rPr>
                <w:sz w:val="20"/>
                <w:szCs w:val="20"/>
                <w:color w:val="auto"/>
              </w:rPr>
            </w:pPr>
          </w:p>
        </w:tc>
        <w:tc>
          <w:tcPr>
            <w:tcW w:w="112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340" w:type="dxa"/>
            <w:vAlign w:val="bottom"/>
            <w:tcBorders>
              <w:top w:val="single" w:sz="8" w:color="auto"/>
              <w:bottom w:val="single" w:sz="8" w:color="CCEEFF"/>
            </w:tcBorders>
            <w:shd w:val="clear" w:color="auto" w:fill="CCEEFF"/>
          </w:tcPr>
          <w:p>
            <w:pPr>
              <w:spacing w:after="0"/>
              <w:rPr>
                <w:sz w:val="20"/>
                <w:szCs w:val="20"/>
                <w:color w:val="auto"/>
              </w:rPr>
            </w:pPr>
          </w:p>
        </w:tc>
        <w:tc>
          <w:tcPr>
            <w:tcW w:w="1100" w:type="dxa"/>
            <w:vAlign w:val="bottom"/>
            <w:tcBorders>
              <w:top w:val="single" w:sz="8" w:color="auto"/>
              <w:bottom w:val="single" w:sz="8" w:color="CCEEFF"/>
            </w:tcBorders>
            <w:shd w:val="clear" w:color="auto" w:fill="CCEEFF"/>
          </w:tcPr>
          <w:p>
            <w:pPr>
              <w:spacing w:after="0"/>
              <w:rPr>
                <w:sz w:val="20"/>
                <w:szCs w:val="20"/>
                <w:color w:val="auto"/>
              </w:rPr>
            </w:pPr>
          </w:p>
        </w:tc>
      </w:tr>
      <w:tr>
        <w:trPr>
          <w:trHeight w:val="243"/>
        </w:trPr>
        <w:tc>
          <w:tcPr>
            <w:tcW w:w="5200" w:type="dxa"/>
            <w:vAlign w:val="bottom"/>
          </w:tcPr>
          <w:p>
            <w:pPr>
              <w:ind w:left="20"/>
              <w:spacing w:after="0"/>
              <w:rPr>
                <w:sz w:val="20"/>
                <w:szCs w:val="20"/>
                <w:color w:val="auto"/>
              </w:rPr>
            </w:pPr>
            <w:r>
              <w:rPr>
                <w:rFonts w:ascii="Arial" w:cs="Arial" w:eastAsia="Arial" w:hAnsi="Arial"/>
                <w:sz w:val="18"/>
                <w:szCs w:val="18"/>
                <w:color w:val="auto"/>
              </w:rPr>
              <w:t>Assets</w:t>
            </w:r>
          </w:p>
        </w:tc>
        <w:tc>
          <w:tcPr>
            <w:tcW w:w="3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00" w:type="dxa"/>
            <w:vAlign w:val="bottom"/>
          </w:tcPr>
          <w:p>
            <w:pPr>
              <w:spacing w:after="0"/>
              <w:rPr>
                <w:sz w:val="21"/>
                <w:szCs w:val="21"/>
                <w:color w:val="auto"/>
              </w:rPr>
            </w:pPr>
          </w:p>
        </w:tc>
      </w:tr>
      <w:tr>
        <w:trPr>
          <w:trHeight w:val="27"/>
        </w:trPr>
        <w:tc>
          <w:tcPr>
            <w:tcW w:w="5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3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r>
      <w:tr>
        <w:trPr>
          <w:trHeight w:val="243"/>
        </w:trPr>
        <w:tc>
          <w:tcPr>
            <w:tcW w:w="5200" w:type="dxa"/>
            <w:vAlign w:val="bottom"/>
          </w:tcPr>
          <w:p>
            <w:pPr>
              <w:ind w:left="340"/>
              <w:spacing w:after="0"/>
              <w:rPr>
                <w:sz w:val="20"/>
                <w:szCs w:val="20"/>
                <w:color w:val="auto"/>
              </w:rPr>
            </w:pPr>
            <w:r>
              <w:rPr>
                <w:rFonts w:ascii="Arial" w:cs="Arial" w:eastAsia="Arial" w:hAnsi="Arial"/>
                <w:sz w:val="18"/>
                <w:szCs w:val="18"/>
                <w:color w:val="auto"/>
              </w:rPr>
              <w:t>Money market funds</w:t>
            </w:r>
          </w:p>
        </w:tc>
        <w:tc>
          <w:tcPr>
            <w:tcW w:w="300" w:type="dxa"/>
            <w:vAlign w:val="bottom"/>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ind w:right="54"/>
              <w:spacing w:after="0"/>
              <w:rPr>
                <w:sz w:val="20"/>
                <w:szCs w:val="20"/>
                <w:color w:val="auto"/>
              </w:rPr>
            </w:pPr>
            <w:r>
              <w:rPr>
                <w:rFonts w:ascii="Arial" w:cs="Arial" w:eastAsia="Arial" w:hAnsi="Arial"/>
                <w:sz w:val="18"/>
                <w:szCs w:val="18"/>
                <w:color w:val="auto"/>
              </w:rPr>
              <w:t>46,355</w:t>
            </w:r>
          </w:p>
        </w:tc>
        <w:tc>
          <w:tcPr>
            <w:tcW w:w="120" w:type="dxa"/>
            <w:vAlign w:val="bottom"/>
          </w:tcPr>
          <w:p>
            <w:pPr>
              <w:spacing w:after="0"/>
              <w:rPr>
                <w:sz w:val="21"/>
                <w:szCs w:val="21"/>
                <w:color w:val="auto"/>
              </w:rPr>
            </w:pPr>
          </w:p>
        </w:tc>
        <w:tc>
          <w:tcPr>
            <w:tcW w:w="300" w:type="dxa"/>
            <w:vAlign w:val="bottom"/>
          </w:tcPr>
          <w:p>
            <w:pPr>
              <w:jc w:val="right"/>
              <w:ind w:right="114"/>
              <w:spacing w:after="0"/>
              <w:rPr>
                <w:sz w:val="20"/>
                <w:szCs w:val="20"/>
                <w:color w:val="auto"/>
              </w:rPr>
            </w:pPr>
            <w:r>
              <w:rPr>
                <w:rFonts w:ascii="Arial" w:cs="Arial" w:eastAsia="Arial" w:hAnsi="Arial"/>
                <w:sz w:val="18"/>
                <w:szCs w:val="18"/>
                <w:color w:val="auto"/>
                <w:w w:val="79"/>
              </w:rPr>
              <w:t>$</w:t>
            </w: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20" w:type="dxa"/>
            <w:vAlign w:val="bottom"/>
            <w:gridSpan w:val="2"/>
          </w:tcPr>
          <w:p>
            <w:pPr>
              <w:ind w:left="78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74"/>
              <w:spacing w:after="0"/>
              <w:rPr>
                <w:sz w:val="20"/>
                <w:szCs w:val="20"/>
                <w:color w:val="auto"/>
              </w:rPr>
            </w:pPr>
            <w:r>
              <w:rPr>
                <w:rFonts w:ascii="Arial" w:cs="Arial" w:eastAsia="Arial" w:hAnsi="Arial"/>
                <w:sz w:val="18"/>
                <w:szCs w:val="18"/>
                <w:color w:val="auto"/>
              </w:rPr>
              <w:t>46,355</w:t>
            </w:r>
          </w:p>
        </w:tc>
      </w:tr>
      <w:tr>
        <w:trPr>
          <w:trHeight w:val="27"/>
        </w:trPr>
        <w:tc>
          <w:tcPr>
            <w:tcW w:w="5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2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Time deposits</w:t>
            </w:r>
          </w:p>
        </w:tc>
        <w:tc>
          <w:tcPr>
            <w:tcW w:w="3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88,177</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gridSpan w:val="2"/>
            <w:shd w:val="clear" w:color="auto" w:fill="CCEEFF"/>
          </w:tcPr>
          <w:p>
            <w:pPr>
              <w:ind w:left="78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88,177</w:t>
            </w:r>
          </w:p>
        </w:tc>
      </w:tr>
      <w:tr>
        <w:trPr>
          <w:trHeight w:val="243"/>
        </w:trPr>
        <w:tc>
          <w:tcPr>
            <w:tcW w:w="520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3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00" w:type="dxa"/>
            <w:vAlign w:val="bottom"/>
          </w:tcPr>
          <w:p>
            <w:pPr>
              <w:spacing w:after="0"/>
              <w:rPr>
                <w:sz w:val="21"/>
                <w:szCs w:val="21"/>
                <w:color w:val="auto"/>
              </w:rPr>
            </w:pPr>
          </w:p>
        </w:tc>
      </w:tr>
      <w:tr>
        <w:trPr>
          <w:trHeight w:val="27"/>
        </w:trPr>
        <w:tc>
          <w:tcPr>
            <w:tcW w:w="5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52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Severance pay fund</w:t>
            </w:r>
          </w:p>
        </w:tc>
        <w:tc>
          <w:tcPr>
            <w:tcW w:w="30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693</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gridSpan w:val="2"/>
            <w:shd w:val="clear" w:color="auto" w:fill="CCEEFF"/>
          </w:tcPr>
          <w:p>
            <w:pPr>
              <w:ind w:left="78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693</w:t>
            </w:r>
          </w:p>
        </w:tc>
      </w:tr>
      <w:tr>
        <w:trPr>
          <w:trHeight w:val="237"/>
        </w:trPr>
        <w:tc>
          <w:tcPr>
            <w:tcW w:w="520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30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tcBorders>
          </w:tcPr>
          <w:p>
            <w:pPr>
              <w:jc w:val="right"/>
              <w:ind w:right="54"/>
              <w:spacing w:after="0"/>
              <w:rPr>
                <w:sz w:val="20"/>
                <w:szCs w:val="20"/>
                <w:color w:val="auto"/>
              </w:rPr>
            </w:pPr>
            <w:r>
              <w:rPr>
                <w:rFonts w:ascii="Arial" w:cs="Arial" w:eastAsia="Arial" w:hAnsi="Arial"/>
                <w:sz w:val="18"/>
                <w:szCs w:val="18"/>
                <w:color w:val="auto"/>
              </w:rPr>
              <w:t>46,355</w:t>
            </w:r>
          </w:p>
        </w:tc>
        <w:tc>
          <w:tcPr>
            <w:tcW w:w="120" w:type="dxa"/>
            <w:vAlign w:val="bottom"/>
          </w:tcPr>
          <w:p>
            <w:pPr>
              <w:spacing w:after="0"/>
              <w:rPr>
                <w:sz w:val="20"/>
                <w:szCs w:val="20"/>
                <w:color w:val="auto"/>
              </w:rPr>
            </w:pPr>
          </w:p>
        </w:tc>
        <w:tc>
          <w:tcPr>
            <w:tcW w:w="300" w:type="dxa"/>
            <w:vAlign w:val="bottom"/>
            <w:tcBorders>
              <w:top w:val="single" w:sz="8" w:color="auto"/>
            </w:tcBorders>
          </w:tcPr>
          <w:p>
            <w:pPr>
              <w:jc w:val="right"/>
              <w:ind w:right="114"/>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tcBorders>
          </w:tcPr>
          <w:p>
            <w:pPr>
              <w:jc w:val="right"/>
              <w:ind w:right="74"/>
              <w:spacing w:after="0"/>
              <w:rPr>
                <w:sz w:val="20"/>
                <w:szCs w:val="20"/>
                <w:color w:val="auto"/>
              </w:rPr>
            </w:pPr>
            <w:r>
              <w:rPr>
                <w:rFonts w:ascii="Arial" w:cs="Arial" w:eastAsia="Arial" w:hAnsi="Arial"/>
                <w:sz w:val="18"/>
                <w:szCs w:val="18"/>
                <w:color w:val="auto"/>
              </w:rPr>
              <w:t>88,870</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ind w:left="7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74"/>
              <w:spacing w:after="0"/>
              <w:rPr>
                <w:sz w:val="20"/>
                <w:szCs w:val="20"/>
                <w:color w:val="auto"/>
              </w:rPr>
            </w:pPr>
            <w:r>
              <w:rPr>
                <w:rFonts w:ascii="Arial" w:cs="Arial" w:eastAsia="Arial" w:hAnsi="Arial"/>
                <w:sz w:val="18"/>
                <w:szCs w:val="18"/>
                <w:color w:val="auto"/>
              </w:rPr>
              <w:t>135,225</w:t>
            </w:r>
          </w:p>
        </w:tc>
      </w:tr>
      <w:tr>
        <w:trPr>
          <w:trHeight w:val="27"/>
        </w:trPr>
        <w:tc>
          <w:tcPr>
            <w:tcW w:w="52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42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144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0"/>
        </w:trPr>
        <w:tc>
          <w:tcPr>
            <w:tcW w:w="52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2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r>
        <w:trPr>
          <w:trHeight w:val="649"/>
        </w:trPr>
        <w:tc>
          <w:tcPr>
            <w:tcW w:w="5200" w:type="dxa"/>
            <w:vAlign w:val="bottom"/>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1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3060" w:type="dxa"/>
            <w:vAlign w:val="bottom"/>
            <w:tcBorders>
              <w:bottom w:val="single" w:sz="8" w:color="auto"/>
            </w:tcBorders>
            <w:gridSpan w:val="6"/>
          </w:tcPr>
          <w:p>
            <w:pPr>
              <w:ind w:left="60"/>
              <w:spacing w:after="0"/>
              <w:rPr>
                <w:sz w:val="20"/>
                <w:szCs w:val="20"/>
                <w:color w:val="auto"/>
              </w:rPr>
            </w:pPr>
            <w:r>
              <w:rPr>
                <w:rFonts w:ascii="Arial" w:cs="Arial" w:eastAsia="Arial" w:hAnsi="Arial"/>
                <w:sz w:val="14"/>
                <w:szCs w:val="14"/>
                <w:b w:val="1"/>
                <w:bCs w:val="1"/>
                <w:color w:val="auto"/>
                <w:w w:val="99"/>
              </w:rPr>
              <w:t>Fair Value Measurements at February 2, 2019</w:t>
            </w:r>
          </w:p>
        </w:tc>
        <w:tc>
          <w:tcPr>
            <w:tcW w:w="340" w:type="dxa"/>
            <w:vAlign w:val="bottom"/>
            <w:tcBorders>
              <w:bottom w:val="single" w:sz="8" w:color="auto"/>
            </w:tcBorders>
          </w:tcPr>
          <w:p>
            <w:pPr>
              <w:spacing w:after="0"/>
              <w:rPr>
                <w:sz w:val="24"/>
                <w:szCs w:val="24"/>
                <w:color w:val="auto"/>
              </w:rPr>
            </w:pPr>
          </w:p>
        </w:tc>
        <w:tc>
          <w:tcPr>
            <w:tcW w:w="1100" w:type="dxa"/>
            <w:vAlign w:val="bottom"/>
            <w:tcBorders>
              <w:bottom w:val="single" w:sz="8" w:color="auto"/>
            </w:tcBorders>
          </w:tcPr>
          <w:p>
            <w:pPr>
              <w:spacing w:after="0"/>
              <w:rPr>
                <w:sz w:val="24"/>
                <w:szCs w:val="24"/>
                <w:color w:val="auto"/>
              </w:rPr>
            </w:pPr>
          </w:p>
        </w:tc>
      </w:tr>
      <w:tr>
        <w:trPr>
          <w:trHeight w:val="196"/>
        </w:trPr>
        <w:tc>
          <w:tcPr>
            <w:tcW w:w="52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40" w:type="dxa"/>
            <w:vAlign w:val="bottom"/>
            <w:gridSpan w:val="2"/>
          </w:tcPr>
          <w:p>
            <w:pPr>
              <w:ind w:left="180"/>
              <w:spacing w:after="0"/>
              <w:rPr>
                <w:sz w:val="20"/>
                <w:szCs w:val="20"/>
                <w:color w:val="auto"/>
              </w:rPr>
            </w:pPr>
            <w:r>
              <w:rPr>
                <w:rFonts w:ascii="Arial" w:cs="Arial" w:eastAsia="Arial" w:hAnsi="Arial"/>
                <w:sz w:val="14"/>
                <w:szCs w:val="14"/>
                <w:b w:val="1"/>
                <w:bCs w:val="1"/>
                <w:color w:val="auto"/>
              </w:rPr>
              <w:t>Level 1</w:t>
            </w:r>
          </w:p>
        </w:tc>
        <w:tc>
          <w:tcPr>
            <w:tcW w:w="300" w:type="dxa"/>
            <w:vAlign w:val="bottom"/>
          </w:tcPr>
          <w:p>
            <w:pPr>
              <w:spacing w:after="0"/>
              <w:rPr>
                <w:sz w:val="17"/>
                <w:szCs w:val="17"/>
                <w:color w:val="auto"/>
              </w:rPr>
            </w:pPr>
          </w:p>
        </w:tc>
        <w:tc>
          <w:tcPr>
            <w:tcW w:w="1220" w:type="dxa"/>
            <w:vAlign w:val="bottom"/>
            <w:gridSpan w:val="2"/>
          </w:tcPr>
          <w:p>
            <w:pPr>
              <w:ind w:left="18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17"/>
                <w:szCs w:val="17"/>
                <w:color w:val="auto"/>
              </w:rPr>
            </w:pPr>
          </w:p>
        </w:tc>
        <w:tc>
          <w:tcPr>
            <w:tcW w:w="1220" w:type="dxa"/>
            <w:vAlign w:val="bottom"/>
            <w:gridSpan w:val="2"/>
          </w:tcPr>
          <w:p>
            <w:pPr>
              <w:ind w:left="18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7"/>
                <w:szCs w:val="17"/>
                <w:color w:val="auto"/>
              </w:rPr>
            </w:pPr>
          </w:p>
        </w:tc>
        <w:tc>
          <w:tcPr>
            <w:tcW w:w="1100" w:type="dxa"/>
            <w:vAlign w:val="bottom"/>
          </w:tcPr>
          <w:p>
            <w:pPr>
              <w:jc w:val="right"/>
              <w:ind w:right="474"/>
              <w:spacing w:after="0"/>
              <w:rPr>
                <w:sz w:val="20"/>
                <w:szCs w:val="20"/>
                <w:color w:val="auto"/>
              </w:rPr>
            </w:pPr>
            <w:r>
              <w:rPr>
                <w:rFonts w:ascii="Arial" w:cs="Arial" w:eastAsia="Arial" w:hAnsi="Arial"/>
                <w:sz w:val="14"/>
                <w:szCs w:val="14"/>
                <w:b w:val="1"/>
                <w:bCs w:val="1"/>
                <w:color w:val="auto"/>
              </w:rPr>
              <w:t>Total</w:t>
            </w:r>
          </w:p>
        </w:tc>
      </w:tr>
      <w:tr>
        <w:trPr>
          <w:trHeight w:val="236"/>
        </w:trPr>
        <w:tc>
          <w:tcPr>
            <w:tcW w:w="52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300" w:type="dxa"/>
            <w:vAlign w:val="bottom"/>
            <w:tcBorders>
              <w:top w:val="single" w:sz="8" w:color="auto"/>
              <w:bottom w:val="single" w:sz="8" w:color="CCEEFF"/>
            </w:tcBorders>
            <w:shd w:val="clear" w:color="auto" w:fill="CCEEFF"/>
          </w:tcPr>
          <w:p>
            <w:pPr>
              <w:spacing w:after="0"/>
              <w:rPr>
                <w:sz w:val="20"/>
                <w:szCs w:val="20"/>
                <w:color w:val="auto"/>
              </w:rPr>
            </w:pPr>
          </w:p>
        </w:tc>
        <w:tc>
          <w:tcPr>
            <w:tcW w:w="1120" w:type="dxa"/>
            <w:vAlign w:val="bottom"/>
            <w:tcBorders>
              <w:top w:val="single" w:sz="8" w:color="auto"/>
              <w:bottom w:val="single" w:sz="8" w:color="CCEEFF"/>
            </w:tcBorders>
            <w:shd w:val="clear" w:color="auto" w:fill="CCEEFF"/>
          </w:tcPr>
          <w:p>
            <w:pPr>
              <w:spacing w:after="0"/>
              <w:rPr>
                <w:sz w:val="20"/>
                <w:szCs w:val="20"/>
                <w:color w:val="auto"/>
              </w:rPr>
            </w:pP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300" w:type="dxa"/>
            <w:vAlign w:val="bottom"/>
            <w:tcBorders>
              <w:top w:val="single" w:sz="8" w:color="auto"/>
              <w:bottom w:val="single" w:sz="8" w:color="CCEEFF"/>
            </w:tcBorders>
            <w:shd w:val="clear" w:color="auto" w:fill="CCEEFF"/>
          </w:tcPr>
          <w:p>
            <w:pPr>
              <w:spacing w:after="0"/>
              <w:rPr>
                <w:sz w:val="20"/>
                <w:szCs w:val="20"/>
                <w:color w:val="auto"/>
              </w:rPr>
            </w:pPr>
          </w:p>
        </w:tc>
        <w:tc>
          <w:tcPr>
            <w:tcW w:w="112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320" w:type="dxa"/>
            <w:vAlign w:val="bottom"/>
            <w:tcBorders>
              <w:top w:val="single" w:sz="8" w:color="auto"/>
              <w:bottom w:val="single" w:sz="8" w:color="CCEEFF"/>
            </w:tcBorders>
            <w:shd w:val="clear" w:color="auto" w:fill="CCEEFF"/>
          </w:tcPr>
          <w:p>
            <w:pPr>
              <w:spacing w:after="0"/>
              <w:rPr>
                <w:sz w:val="20"/>
                <w:szCs w:val="20"/>
                <w:color w:val="auto"/>
              </w:rPr>
            </w:pPr>
          </w:p>
        </w:tc>
        <w:tc>
          <w:tcPr>
            <w:tcW w:w="112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340" w:type="dxa"/>
            <w:vAlign w:val="bottom"/>
            <w:tcBorders>
              <w:top w:val="single" w:sz="8" w:color="auto"/>
              <w:bottom w:val="single" w:sz="8" w:color="CCEEFF"/>
            </w:tcBorders>
            <w:shd w:val="clear" w:color="auto" w:fill="CCEEFF"/>
          </w:tcPr>
          <w:p>
            <w:pPr>
              <w:spacing w:after="0"/>
              <w:rPr>
                <w:sz w:val="20"/>
                <w:szCs w:val="20"/>
                <w:color w:val="auto"/>
              </w:rPr>
            </w:pPr>
          </w:p>
        </w:tc>
        <w:tc>
          <w:tcPr>
            <w:tcW w:w="1100" w:type="dxa"/>
            <w:vAlign w:val="bottom"/>
            <w:tcBorders>
              <w:top w:val="single" w:sz="8" w:color="auto"/>
              <w:bottom w:val="single" w:sz="8" w:color="CCEEFF"/>
            </w:tcBorders>
            <w:shd w:val="clear" w:color="auto" w:fill="CCEEFF"/>
          </w:tcPr>
          <w:p>
            <w:pPr>
              <w:spacing w:after="0"/>
              <w:rPr>
                <w:sz w:val="20"/>
                <w:szCs w:val="20"/>
                <w:color w:val="auto"/>
              </w:rPr>
            </w:pPr>
          </w:p>
        </w:tc>
      </w:tr>
      <w:tr>
        <w:trPr>
          <w:trHeight w:val="243"/>
        </w:trPr>
        <w:tc>
          <w:tcPr>
            <w:tcW w:w="5200" w:type="dxa"/>
            <w:vAlign w:val="bottom"/>
          </w:tcPr>
          <w:p>
            <w:pPr>
              <w:ind w:left="20"/>
              <w:spacing w:after="0"/>
              <w:rPr>
                <w:sz w:val="20"/>
                <w:szCs w:val="20"/>
                <w:color w:val="auto"/>
              </w:rPr>
            </w:pPr>
            <w:r>
              <w:rPr>
                <w:rFonts w:ascii="Arial" w:cs="Arial" w:eastAsia="Arial" w:hAnsi="Arial"/>
                <w:sz w:val="18"/>
                <w:szCs w:val="18"/>
                <w:color w:val="auto"/>
              </w:rPr>
              <w:t>Assets</w:t>
            </w:r>
          </w:p>
        </w:tc>
        <w:tc>
          <w:tcPr>
            <w:tcW w:w="3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00" w:type="dxa"/>
            <w:vAlign w:val="bottom"/>
          </w:tcPr>
          <w:p>
            <w:pPr>
              <w:spacing w:after="0"/>
              <w:rPr>
                <w:sz w:val="21"/>
                <w:szCs w:val="21"/>
                <w:color w:val="auto"/>
              </w:rPr>
            </w:pPr>
          </w:p>
        </w:tc>
      </w:tr>
      <w:tr>
        <w:trPr>
          <w:trHeight w:val="27"/>
        </w:trPr>
        <w:tc>
          <w:tcPr>
            <w:tcW w:w="5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3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r>
      <w:tr>
        <w:trPr>
          <w:trHeight w:val="243"/>
        </w:trPr>
        <w:tc>
          <w:tcPr>
            <w:tcW w:w="5200" w:type="dxa"/>
            <w:vAlign w:val="bottom"/>
          </w:tcPr>
          <w:p>
            <w:pPr>
              <w:ind w:left="340"/>
              <w:spacing w:after="0"/>
              <w:rPr>
                <w:sz w:val="20"/>
                <w:szCs w:val="20"/>
                <w:color w:val="auto"/>
              </w:rPr>
            </w:pPr>
            <w:r>
              <w:rPr>
                <w:rFonts w:ascii="Arial" w:cs="Arial" w:eastAsia="Arial" w:hAnsi="Arial"/>
                <w:sz w:val="18"/>
                <w:szCs w:val="18"/>
                <w:color w:val="auto"/>
              </w:rPr>
              <w:t>Money market funds</w:t>
            </w:r>
          </w:p>
        </w:tc>
        <w:tc>
          <w:tcPr>
            <w:tcW w:w="300" w:type="dxa"/>
            <w:vAlign w:val="bottom"/>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ind w:right="54"/>
              <w:spacing w:after="0"/>
              <w:rPr>
                <w:sz w:val="20"/>
                <w:szCs w:val="20"/>
                <w:color w:val="auto"/>
              </w:rPr>
            </w:pPr>
            <w:r>
              <w:rPr>
                <w:rFonts w:ascii="Arial" w:cs="Arial" w:eastAsia="Arial" w:hAnsi="Arial"/>
                <w:sz w:val="18"/>
                <w:szCs w:val="18"/>
                <w:color w:val="auto"/>
              </w:rPr>
              <w:t>16,829</w:t>
            </w:r>
          </w:p>
        </w:tc>
        <w:tc>
          <w:tcPr>
            <w:tcW w:w="120" w:type="dxa"/>
            <w:vAlign w:val="bottom"/>
          </w:tcPr>
          <w:p>
            <w:pPr>
              <w:spacing w:after="0"/>
              <w:rPr>
                <w:sz w:val="21"/>
                <w:szCs w:val="21"/>
                <w:color w:val="auto"/>
              </w:rPr>
            </w:pPr>
          </w:p>
        </w:tc>
        <w:tc>
          <w:tcPr>
            <w:tcW w:w="300" w:type="dxa"/>
            <w:vAlign w:val="bottom"/>
          </w:tcPr>
          <w:p>
            <w:pPr>
              <w:jc w:val="right"/>
              <w:ind w:right="114"/>
              <w:spacing w:after="0"/>
              <w:rPr>
                <w:sz w:val="20"/>
                <w:szCs w:val="20"/>
                <w:color w:val="auto"/>
              </w:rPr>
            </w:pPr>
            <w:r>
              <w:rPr>
                <w:rFonts w:ascii="Arial" w:cs="Arial" w:eastAsia="Arial" w:hAnsi="Arial"/>
                <w:sz w:val="18"/>
                <w:szCs w:val="18"/>
                <w:color w:val="auto"/>
                <w:w w:val="79"/>
              </w:rPr>
              <w:t>$</w:t>
            </w: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20" w:type="dxa"/>
            <w:vAlign w:val="bottom"/>
            <w:gridSpan w:val="2"/>
          </w:tcPr>
          <w:p>
            <w:pPr>
              <w:ind w:left="78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74"/>
              <w:spacing w:after="0"/>
              <w:rPr>
                <w:sz w:val="20"/>
                <w:szCs w:val="20"/>
                <w:color w:val="auto"/>
              </w:rPr>
            </w:pPr>
            <w:r>
              <w:rPr>
                <w:rFonts w:ascii="Arial" w:cs="Arial" w:eastAsia="Arial" w:hAnsi="Arial"/>
                <w:sz w:val="18"/>
                <w:szCs w:val="18"/>
                <w:color w:val="auto"/>
              </w:rPr>
              <w:t>16,829</w:t>
            </w:r>
          </w:p>
        </w:tc>
      </w:tr>
      <w:tr>
        <w:trPr>
          <w:trHeight w:val="27"/>
        </w:trPr>
        <w:tc>
          <w:tcPr>
            <w:tcW w:w="5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20" w:type="dxa"/>
            <w:vAlign w:val="bottom"/>
            <w:gridSpan w:val="2"/>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2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Time deposits</w:t>
            </w:r>
          </w:p>
        </w:tc>
        <w:tc>
          <w:tcPr>
            <w:tcW w:w="3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73,935</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gridSpan w:val="2"/>
            <w:shd w:val="clear" w:color="auto" w:fill="CCEEFF"/>
          </w:tcPr>
          <w:p>
            <w:pPr>
              <w:ind w:left="78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73,935</w:t>
            </w:r>
          </w:p>
        </w:tc>
      </w:tr>
      <w:tr>
        <w:trPr>
          <w:trHeight w:val="243"/>
        </w:trPr>
        <w:tc>
          <w:tcPr>
            <w:tcW w:w="520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3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00" w:type="dxa"/>
            <w:vAlign w:val="bottom"/>
          </w:tcPr>
          <w:p>
            <w:pPr>
              <w:spacing w:after="0"/>
              <w:rPr>
                <w:sz w:val="21"/>
                <w:szCs w:val="21"/>
                <w:color w:val="auto"/>
              </w:rPr>
            </w:pPr>
          </w:p>
        </w:tc>
      </w:tr>
      <w:tr>
        <w:trPr>
          <w:trHeight w:val="27"/>
        </w:trPr>
        <w:tc>
          <w:tcPr>
            <w:tcW w:w="5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20" w:type="dxa"/>
            <w:vAlign w:val="bottom"/>
            <w:gridSpan w:val="2"/>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52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Severance pay fund</w:t>
            </w:r>
          </w:p>
        </w:tc>
        <w:tc>
          <w:tcPr>
            <w:tcW w:w="30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727</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gridSpan w:val="2"/>
            <w:shd w:val="clear" w:color="auto" w:fill="CCEEFF"/>
          </w:tcPr>
          <w:p>
            <w:pPr>
              <w:ind w:left="78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727</w:t>
            </w:r>
          </w:p>
        </w:tc>
      </w:tr>
      <w:tr>
        <w:trPr>
          <w:trHeight w:val="237"/>
        </w:trPr>
        <w:tc>
          <w:tcPr>
            <w:tcW w:w="520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30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tcBorders>
          </w:tcPr>
          <w:p>
            <w:pPr>
              <w:jc w:val="right"/>
              <w:ind w:right="54"/>
              <w:spacing w:after="0"/>
              <w:rPr>
                <w:sz w:val="20"/>
                <w:szCs w:val="20"/>
                <w:color w:val="auto"/>
              </w:rPr>
            </w:pPr>
            <w:r>
              <w:rPr>
                <w:rFonts w:ascii="Arial" w:cs="Arial" w:eastAsia="Arial" w:hAnsi="Arial"/>
                <w:sz w:val="18"/>
                <w:szCs w:val="18"/>
                <w:color w:val="auto"/>
              </w:rPr>
              <w:t>16,829</w:t>
            </w:r>
          </w:p>
        </w:tc>
        <w:tc>
          <w:tcPr>
            <w:tcW w:w="120" w:type="dxa"/>
            <w:vAlign w:val="bottom"/>
          </w:tcPr>
          <w:p>
            <w:pPr>
              <w:spacing w:after="0"/>
              <w:rPr>
                <w:sz w:val="20"/>
                <w:szCs w:val="20"/>
                <w:color w:val="auto"/>
              </w:rPr>
            </w:pPr>
          </w:p>
        </w:tc>
        <w:tc>
          <w:tcPr>
            <w:tcW w:w="300" w:type="dxa"/>
            <w:vAlign w:val="bottom"/>
            <w:tcBorders>
              <w:top w:val="single" w:sz="8" w:color="auto"/>
            </w:tcBorders>
          </w:tcPr>
          <w:p>
            <w:pPr>
              <w:jc w:val="right"/>
              <w:ind w:right="114"/>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tcBorders>
          </w:tcPr>
          <w:p>
            <w:pPr>
              <w:jc w:val="right"/>
              <w:ind w:right="74"/>
              <w:spacing w:after="0"/>
              <w:rPr>
                <w:sz w:val="20"/>
                <w:szCs w:val="20"/>
                <w:color w:val="auto"/>
              </w:rPr>
            </w:pPr>
            <w:r>
              <w:rPr>
                <w:rFonts w:ascii="Arial" w:cs="Arial" w:eastAsia="Arial" w:hAnsi="Arial"/>
                <w:sz w:val="18"/>
                <w:szCs w:val="18"/>
                <w:color w:val="auto"/>
              </w:rPr>
              <w:t>74,662</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ind w:left="7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74"/>
              <w:spacing w:after="0"/>
              <w:rPr>
                <w:sz w:val="20"/>
                <w:szCs w:val="20"/>
                <w:color w:val="auto"/>
              </w:rPr>
            </w:pPr>
            <w:r>
              <w:rPr>
                <w:rFonts w:ascii="Arial" w:cs="Arial" w:eastAsia="Arial" w:hAnsi="Arial"/>
                <w:sz w:val="18"/>
                <w:szCs w:val="18"/>
                <w:color w:val="auto"/>
              </w:rPr>
              <w:t>91,491</w:t>
            </w:r>
          </w:p>
        </w:tc>
      </w:tr>
      <w:tr>
        <w:trPr>
          <w:trHeight w:val="27"/>
        </w:trPr>
        <w:tc>
          <w:tcPr>
            <w:tcW w:w="52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0"/>
        </w:trPr>
        <w:tc>
          <w:tcPr>
            <w:tcW w:w="52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spacing w:after="0"/>
        <w:rPr>
          <w:sz w:val="20"/>
          <w:szCs w:val="20"/>
          <w:color w:val="auto"/>
        </w:rPr>
      </w:pPr>
      <w:r>
        <w:rPr>
          <w:rFonts w:ascii="Arial" w:cs="Arial" w:eastAsia="Arial" w:hAnsi="Arial"/>
          <w:sz w:val="18"/>
          <w:szCs w:val="18"/>
          <w:color w:val="auto"/>
        </w:rPr>
        <w:t>There were no transfers of assets between levels in either fiscal 2020 or 2019.</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w:t>
      </w:r>
    </w:p>
    <w:p>
      <w:pPr>
        <w:spacing w:after="0" w:line="117"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The Company classified the Term Loan, the 2023 Notes and 2028 Notes under Level 2 of the fair value measurement hierarchy. The carrying value of the Term Loan approximates its fair value as the Term Loan is carried at a market observable interest rate that resets periodically. At February 1, 2020, the estimated aggregate fair value of the 2023 Notes and 2028 Notes was $1.1 billion and were classified as Level 2 as there are quoted prices from less active markets for the notes.</w:t>
      </w:r>
    </w:p>
    <w:p>
      <w:pPr>
        <w:sectPr>
          <w:pgSz w:w="11900" w:h="16838" w:orient="portrait"/>
          <w:cols w:equalWidth="0" w:num="1">
            <w:col w:w="11240"/>
          </w:cols>
          <w:pgMar w:left="320" w:top="472" w:right="339" w:bottom="1440" w:gutter="0" w:footer="0" w:header="0"/>
        </w:sectPr>
      </w:pPr>
    </w:p>
    <w:p>
      <w:pPr>
        <w:spacing w:after="0" w:line="200" w:lineRule="exact"/>
        <w:rPr>
          <w:sz w:val="20"/>
          <w:szCs w:val="20"/>
          <w:color w:val="auto"/>
        </w:rPr>
      </w:pPr>
    </w:p>
    <w:p>
      <w:pPr>
        <w:spacing w:after="0" w:line="365"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79" w:name="page80"/>
    <w:bookmarkEnd w:id="79"/>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Debt</w:t>
      </w:r>
    </w:p>
    <w:p>
      <w:pPr>
        <w:spacing w:after="0" w:line="121" w:lineRule="exact"/>
        <w:rPr>
          <w:sz w:val="20"/>
          <w:szCs w:val="20"/>
          <w:color w:val="auto"/>
        </w:rPr>
      </w:pPr>
    </w:p>
    <w:p>
      <w:pPr>
        <w:ind w:right="40" w:firstLine="405"/>
        <w:spacing w:after="0" w:line="279" w:lineRule="auto"/>
        <w:rPr>
          <w:sz w:val="20"/>
          <w:szCs w:val="20"/>
          <w:color w:val="auto"/>
        </w:rPr>
      </w:pPr>
      <w:r>
        <w:rPr>
          <w:rFonts w:ascii="Arial" w:cs="Arial" w:eastAsia="Arial" w:hAnsi="Arial"/>
          <w:sz w:val="17"/>
          <w:szCs w:val="17"/>
          <w:color w:val="auto"/>
        </w:rPr>
        <w:t>In connection with the Cavium Acquisition (see “Note 3 - Business Combinations”), the Company executed debt agreements in June 2018 to obtain a $900 million term loan, a $500 million revolving credit facility and $1.0 billion of senior unsecured notes. Upon completion of the offering of the senior unsecured notes in June 2018, the Company terminated an $850 million bridge loan commitment. This bridge loan commitment was provided by the underwriting bankers at the time the Merger Agreement was executed in November 2017 and was never drawn upon.</w:t>
      </w:r>
    </w:p>
    <w:p>
      <w:pPr>
        <w:spacing w:after="0" w:line="6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Bridge Loan</w:t>
      </w:r>
    </w:p>
    <w:p>
      <w:pPr>
        <w:spacing w:after="0" w:line="117" w:lineRule="exact"/>
        <w:rPr>
          <w:sz w:val="20"/>
          <w:szCs w:val="20"/>
          <w:color w:val="auto"/>
        </w:rPr>
      </w:pPr>
    </w:p>
    <w:p>
      <w:pPr>
        <w:ind w:right="20" w:firstLine="405"/>
        <w:spacing w:after="0" w:line="255" w:lineRule="auto"/>
        <w:rPr>
          <w:sz w:val="20"/>
          <w:szCs w:val="20"/>
          <w:color w:val="auto"/>
        </w:rPr>
      </w:pPr>
      <w:r>
        <w:rPr>
          <w:rFonts w:ascii="Arial" w:cs="Arial" w:eastAsia="Arial" w:hAnsi="Arial"/>
          <w:sz w:val="18"/>
          <w:szCs w:val="18"/>
          <w:color w:val="auto"/>
        </w:rPr>
        <w:t>On November 4, 2019, the Company entered into a term credit agreement (“Term Credit Agreement”) with certain lenders. The Term Credit Agreement provides for borrowings of $600 million in the form of a bridge loan (“Bridge Loan”). The proceeds of the Bridge Loan were used to fund the purchase consideration for the Avera acquisition that closed on November 5, 2019. The Bridge Loan had a 90-day term with a maturity date on February 3, 2020 and had a stated floating interest rate which equates to reserve-adjusted LIBOR + 90.0 bps. The Bridge Loan does not require any scheduled principal payments prior to final maturity but does permit the Company to make early principal payments without premium or penalty. On December 11, 2019, the Company repaid the Bridge Loan in full.</w:t>
      </w:r>
    </w:p>
    <w:p>
      <w:pPr>
        <w:spacing w:after="0" w:line="8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Term Loan and Revolving Credit Facility</w:t>
      </w:r>
    </w:p>
    <w:p>
      <w:pPr>
        <w:spacing w:after="0" w:line="117" w:lineRule="exact"/>
        <w:rPr>
          <w:sz w:val="20"/>
          <w:szCs w:val="20"/>
          <w:color w:val="auto"/>
        </w:rPr>
      </w:pPr>
    </w:p>
    <w:p>
      <w:pPr>
        <w:ind w:right="40" w:firstLine="405"/>
        <w:spacing w:after="0" w:line="271" w:lineRule="auto"/>
        <w:rPr>
          <w:sz w:val="20"/>
          <w:szCs w:val="20"/>
          <w:color w:val="auto"/>
        </w:rPr>
      </w:pPr>
      <w:r>
        <w:rPr>
          <w:rFonts w:ascii="Arial" w:cs="Arial" w:eastAsia="Arial" w:hAnsi="Arial"/>
          <w:sz w:val="17"/>
          <w:szCs w:val="17"/>
          <w:color w:val="auto"/>
        </w:rPr>
        <w:t>On June 13, 2018, the Company entered into a credit agreement (“Credit Agreement”) with certain lenders. The Credit Agreement provides for borrowings of: (i) up to $500 million in the form of a revolving line of credit (“Revolving Credit Facility”) and (ii) $900 million in the form of a term loan (“Term Loan”). The proceeds of the Term Loan were used to fund a portion of the cash consideration for the Cavium acquisition, repay Cavium’s debt, and pay transaction expenses in connection with the Cavium acquisition. The proceeds of the Revolving Credit Facility are intended for general corporate purposes of the Company and its subsidiaries, which may include, among other things, the financing of acquisitions, the refinancing of other indebtedness and the payment of transaction expenses related to the foregoing. On September 17, 2019, the Company drew down $350 million on its Revolving Credit Facility to fund a portion of the cash consideration for the Aquantia acquisition. The outstanding balance of the Revolving Credit Facility was repaid on December 11, 2019. Following is further detail of the terms of the various debt agreements.</w:t>
      </w:r>
    </w:p>
    <w:p>
      <w:pPr>
        <w:spacing w:after="0" w:line="70" w:lineRule="exact"/>
        <w:rPr>
          <w:sz w:val="20"/>
          <w:szCs w:val="20"/>
          <w:color w:val="auto"/>
        </w:rPr>
      </w:pPr>
    </w:p>
    <w:p>
      <w:pPr>
        <w:ind w:firstLine="405"/>
        <w:spacing w:after="0" w:line="290" w:lineRule="auto"/>
        <w:rPr>
          <w:sz w:val="20"/>
          <w:szCs w:val="20"/>
          <w:color w:val="auto"/>
        </w:rPr>
      </w:pPr>
      <w:r>
        <w:rPr>
          <w:rFonts w:ascii="Arial" w:cs="Arial" w:eastAsia="Arial" w:hAnsi="Arial"/>
          <w:sz w:val="16"/>
          <w:szCs w:val="16"/>
          <w:color w:val="auto"/>
        </w:rPr>
        <w:t>The Term Loan has a three-year term which matures on July 6, 2021 and has a stated floating interest rate which equates to reserve-adjusted LIBOR + 137.5 bps. The effective interest rate for the Term Loan was 4.060% as of February 1, 2020. The Term Loan does not require any scheduled principal payments prior to final maturity but does permit the Company to make early principal payments without premium or penalty. During the year ended February 1, 2020 the Company repaid $300 million of the principal outstanding, and wrote off $2.1 million of associated unamortized debt issuance costs. As of February 1, 2020, the Term Loan has $450 million principal unpaid and outstanding. The Revolving Credit Facility has a five-year term and has a stated floating interest rate which equates to reserve-adjusted LIBOR + 150.0 bps. As of February 1, 2020, the full amount of the Revolving Credit Facility of $500 million was undrawn and will be available for draw down through June 13, 2023. An unused commitment fee is payable quarterly based on unused balances at a rate that is based on the ratings of the Company's senior unsecured long-term indebtedness. This rate was 0.175% at February 1, 2020.</w:t>
      </w:r>
    </w:p>
    <w:p>
      <w:pPr>
        <w:spacing w:after="0" w:line="57" w:lineRule="exact"/>
        <w:rPr>
          <w:sz w:val="20"/>
          <w:szCs w:val="20"/>
          <w:color w:val="auto"/>
        </w:rPr>
      </w:pPr>
    </w:p>
    <w:p>
      <w:pPr>
        <w:ind w:right="60" w:firstLine="405"/>
        <w:spacing w:after="0" w:line="296" w:lineRule="auto"/>
        <w:rPr>
          <w:sz w:val="20"/>
          <w:szCs w:val="20"/>
          <w:color w:val="auto"/>
        </w:rPr>
      </w:pPr>
      <w:r>
        <w:rPr>
          <w:rFonts w:ascii="Arial" w:cs="Arial" w:eastAsia="Arial" w:hAnsi="Arial"/>
          <w:sz w:val="16"/>
          <w:szCs w:val="16"/>
          <w:color w:val="auto"/>
        </w:rPr>
        <w:t>The Company currently carries debt that rely on the LIBOR as the benchmark rate. LIBOR is expected to be phased out as a benchmark rate by the end of 2021. The Company expects its debt to continue to use LIBOR until the rate is no longer available or a relevant governmental authority makes a public statement that LIBOR will no longer be available after a certain date. To the extent LIBOR ceases to exist, the Company will need to amend its credit agreements that utilize LIBOR as a factor in determining the interest rate. Currently, there is not a firm timeframe for this change. This update currently has no foreseeable impact on the Company's unaudited condensed consolidated financial statements; however, it may have an effect in the future.</w:t>
      </w:r>
    </w:p>
    <w:p>
      <w:pPr>
        <w:spacing w:after="0" w:line="53" w:lineRule="exact"/>
        <w:rPr>
          <w:sz w:val="20"/>
          <w:szCs w:val="20"/>
          <w:color w:val="auto"/>
        </w:rPr>
      </w:pPr>
    </w:p>
    <w:p>
      <w:pPr>
        <w:ind w:right="140" w:firstLine="405"/>
        <w:spacing w:after="0" w:line="257" w:lineRule="auto"/>
        <w:rPr>
          <w:sz w:val="20"/>
          <w:szCs w:val="20"/>
          <w:color w:val="auto"/>
        </w:rPr>
      </w:pPr>
      <w:r>
        <w:rPr>
          <w:rFonts w:ascii="Arial" w:cs="Arial" w:eastAsia="Arial" w:hAnsi="Arial"/>
          <w:sz w:val="18"/>
          <w:szCs w:val="18"/>
          <w:color w:val="auto"/>
        </w:rPr>
        <w:t>The Credit Agreement requires that the Company and its subsidiaries comply, subject to certain exceptions, with covenants relating to customary matters such as creating or permitting certain liens, entering into sale and leaseback transactions, consolidating, merging, liquidating or dissolving, and entering into restrictive agreements. It also prohibits subsidiaries of the Company from incurring additional indebtedness and requires the Company to comply with a leverage ratio financial covenant as of the end of any fiscal quarter. As of February 1, 2020, the Company was in compliance with all of its debt covenants.</w:t>
      </w:r>
    </w:p>
    <w:p>
      <w:pPr>
        <w:spacing w:after="0" w:line="3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472" w:right="359" w:bottom="1440" w:gutter="0" w:footer="0" w:header="0"/>
        </w:sectPr>
      </w:pPr>
    </w:p>
    <w:bookmarkStart w:id="80" w:name="page81"/>
    <w:bookmarkEnd w:id="8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Senior Unsecured Notes</w:t>
      </w:r>
    </w:p>
    <w:p>
      <w:pPr>
        <w:spacing w:after="0" w:line="117" w:lineRule="exact"/>
        <w:rPr>
          <w:sz w:val="20"/>
          <w:szCs w:val="20"/>
          <w:color w:val="auto"/>
        </w:rPr>
      </w:pPr>
    </w:p>
    <w:p>
      <w:pPr>
        <w:jc w:val="both"/>
        <w:ind w:right="100" w:firstLine="405"/>
        <w:spacing w:after="0" w:line="263" w:lineRule="auto"/>
        <w:rPr>
          <w:sz w:val="20"/>
          <w:szCs w:val="20"/>
          <w:color w:val="auto"/>
        </w:rPr>
      </w:pPr>
      <w:r>
        <w:rPr>
          <w:rFonts w:ascii="Arial" w:cs="Arial" w:eastAsia="Arial" w:hAnsi="Arial"/>
          <w:sz w:val="18"/>
          <w:szCs w:val="18"/>
          <w:color w:val="auto"/>
        </w:rPr>
        <w:t>On June 22, 2018, the Company completed a public offering of (i)$500.0 million aggregate principal amount of the Company's 4.200% Senior Notes due 2023 (the “2023 Notes”) and (ii) $500.0 million aggregate principal amount of the Company's 4.875% Senior Notes due 2028 (the “2028 Notes” and, together with the 2023 Notes, the “Senior Notes”).</w:t>
      </w:r>
    </w:p>
    <w:p>
      <w:pPr>
        <w:spacing w:after="0" w:line="76" w:lineRule="exact"/>
        <w:rPr>
          <w:sz w:val="20"/>
          <w:szCs w:val="20"/>
          <w:color w:val="auto"/>
        </w:rPr>
      </w:pPr>
    </w:p>
    <w:p>
      <w:pPr>
        <w:ind w:right="120" w:firstLine="405"/>
        <w:spacing w:after="0" w:line="270" w:lineRule="auto"/>
        <w:rPr>
          <w:sz w:val="20"/>
          <w:szCs w:val="20"/>
          <w:color w:val="auto"/>
        </w:rPr>
      </w:pPr>
      <w:r>
        <w:rPr>
          <w:rFonts w:ascii="Arial" w:cs="Arial" w:eastAsia="Arial" w:hAnsi="Arial"/>
          <w:sz w:val="17"/>
          <w:szCs w:val="17"/>
          <w:color w:val="auto"/>
        </w:rPr>
        <w:t>The 2023 Notes mature on June 22, 2023 and the 2028 Notes mature on June 22, 2028. The stated and effective interest rates for the 2023 Notes are 4.200% and 4.420%, respectively. The stated and effective interest rates for the 2028 Notes are 4.875% and 5.010%, respectively. The Company may redeem the Senior Notes, in whole or in part, at any time prior to their maturity at the redemption prices set forth in Senior Notes. In addition, upon the occurrence of a change of control repurchase event (which involves the occurrence of both a change of control and a ratings event involving the Senior Notes being rated below investment grade), the Company will be required to make an offer to repurchase the Senior Notes at a price equal to 101% of the principal amount of the notes, plus accrued and unpaid interest to, but excluding, the repurchase date. The indenture governing the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7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Summary of Borrowings and Outstanding Debt</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February 1, 2020 (in thousands):</w:t>
      </w:r>
    </w:p>
    <w:p>
      <w:pPr>
        <w:spacing w:after="0" w:line="5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30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120" w:type="dxa"/>
            <w:vAlign w:val="bottom"/>
            <w:gridSpan w:val="2"/>
          </w:tcPr>
          <w:p>
            <w:pPr>
              <w:ind w:left="280"/>
              <w:spacing w:after="0"/>
              <w:rPr>
                <w:sz w:val="20"/>
                <w:szCs w:val="20"/>
                <w:color w:val="auto"/>
              </w:rPr>
            </w:pPr>
            <w:r>
              <w:rPr>
                <w:rFonts w:ascii="Arial" w:cs="Arial" w:eastAsia="Arial" w:hAnsi="Arial"/>
                <w:sz w:val="14"/>
                <w:szCs w:val="14"/>
                <w:b w:val="1"/>
                <w:bCs w:val="1"/>
                <w:color w:val="auto"/>
              </w:rPr>
              <w:t>February 1, 2020</w:t>
            </w:r>
          </w:p>
        </w:tc>
        <w:tc>
          <w:tcPr>
            <w:tcW w:w="400" w:type="dxa"/>
            <w:vAlign w:val="bottom"/>
          </w:tcPr>
          <w:p>
            <w:pPr>
              <w:spacing w:after="0"/>
              <w:rPr>
                <w:sz w:val="16"/>
                <w:szCs w:val="16"/>
                <w:color w:val="auto"/>
              </w:rPr>
            </w:pPr>
          </w:p>
        </w:tc>
        <w:tc>
          <w:tcPr>
            <w:tcW w:w="2020" w:type="dxa"/>
            <w:vAlign w:val="bottom"/>
          </w:tcPr>
          <w:p>
            <w:pPr>
              <w:jc w:val="right"/>
              <w:ind w:right="592"/>
              <w:spacing w:after="0"/>
              <w:rPr>
                <w:sz w:val="20"/>
                <w:szCs w:val="20"/>
                <w:color w:val="auto"/>
              </w:rPr>
            </w:pPr>
            <w:r>
              <w:rPr>
                <w:rFonts w:ascii="Arial" w:cs="Arial" w:eastAsia="Arial" w:hAnsi="Arial"/>
                <w:sz w:val="14"/>
                <w:szCs w:val="14"/>
                <w:b w:val="1"/>
                <w:bCs w:val="1"/>
                <w:color w:val="auto"/>
              </w:rPr>
              <w:t>February 2, 2019</w:t>
            </w:r>
          </w:p>
        </w:tc>
      </w:tr>
      <w:tr>
        <w:trPr>
          <w:trHeight w:val="236"/>
        </w:trPr>
        <w:tc>
          <w:tcPr>
            <w:tcW w:w="63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Face Value Outstanding:</w:t>
            </w:r>
          </w:p>
        </w:tc>
        <w:tc>
          <w:tcPr>
            <w:tcW w:w="400" w:type="dxa"/>
            <w:vAlign w:val="bottom"/>
            <w:tcBorders>
              <w:top w:val="single" w:sz="8" w:color="auto"/>
              <w:bottom w:val="single" w:sz="8" w:color="CCEEFF"/>
            </w:tcBorders>
            <w:shd w:val="clear" w:color="auto" w:fill="CCEEFF"/>
          </w:tcPr>
          <w:p>
            <w:pPr>
              <w:spacing w:after="0"/>
              <w:rPr>
                <w:sz w:val="20"/>
                <w:szCs w:val="20"/>
                <w:color w:val="auto"/>
              </w:rPr>
            </w:pPr>
          </w:p>
        </w:tc>
        <w:tc>
          <w:tcPr>
            <w:tcW w:w="202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400" w:type="dxa"/>
            <w:vAlign w:val="bottom"/>
            <w:tcBorders>
              <w:top w:val="single" w:sz="8" w:color="auto"/>
              <w:bottom w:val="single" w:sz="8" w:color="CCEEFF"/>
            </w:tcBorders>
            <w:shd w:val="clear" w:color="auto" w:fill="CCEEFF"/>
          </w:tcPr>
          <w:p>
            <w:pPr>
              <w:spacing w:after="0"/>
              <w:rPr>
                <w:sz w:val="20"/>
                <w:szCs w:val="20"/>
                <w:color w:val="auto"/>
              </w:rPr>
            </w:pPr>
          </w:p>
        </w:tc>
        <w:tc>
          <w:tcPr>
            <w:tcW w:w="2020" w:type="dxa"/>
            <w:vAlign w:val="bottom"/>
            <w:tcBorders>
              <w:top w:val="single" w:sz="8" w:color="auto"/>
              <w:bottom w:val="single" w:sz="8" w:color="CCEEFF"/>
            </w:tcBorders>
            <w:shd w:val="clear" w:color="auto" w:fill="CCEEFF"/>
          </w:tcPr>
          <w:p>
            <w:pPr>
              <w:spacing w:after="0"/>
              <w:rPr>
                <w:sz w:val="20"/>
                <w:szCs w:val="20"/>
                <w:color w:val="auto"/>
              </w:rPr>
            </w:pPr>
          </w:p>
        </w:tc>
      </w:tr>
      <w:tr>
        <w:trPr>
          <w:trHeight w:val="243"/>
        </w:trPr>
        <w:tc>
          <w:tcPr>
            <w:tcW w:w="6300" w:type="dxa"/>
            <w:vAlign w:val="bottom"/>
          </w:tcPr>
          <w:p>
            <w:pPr>
              <w:ind w:left="20"/>
              <w:spacing w:after="0"/>
              <w:rPr>
                <w:sz w:val="20"/>
                <w:szCs w:val="20"/>
                <w:color w:val="auto"/>
              </w:rPr>
            </w:pPr>
            <w:r>
              <w:rPr>
                <w:rFonts w:ascii="Arial" w:cs="Arial" w:eastAsia="Arial" w:hAnsi="Arial"/>
                <w:sz w:val="18"/>
                <w:szCs w:val="18"/>
                <w:color w:val="auto"/>
              </w:rPr>
              <w:t>Term Loan</w:t>
            </w:r>
          </w:p>
        </w:tc>
        <w:tc>
          <w:tcPr>
            <w:tcW w:w="400" w:type="dxa"/>
            <w:vAlign w:val="bottom"/>
          </w:tcPr>
          <w:p>
            <w:pPr>
              <w:jc w:val="right"/>
              <w:ind w:right="210"/>
              <w:spacing w:after="0"/>
              <w:rPr>
                <w:sz w:val="20"/>
                <w:szCs w:val="20"/>
                <w:color w:val="auto"/>
              </w:rPr>
            </w:pPr>
            <w:r>
              <w:rPr>
                <w:rFonts w:ascii="Arial" w:cs="Arial" w:eastAsia="Arial" w:hAnsi="Arial"/>
                <w:sz w:val="18"/>
                <w:szCs w:val="18"/>
                <w:color w:val="auto"/>
                <w:w w:val="79"/>
              </w:rPr>
              <w:t>$</w:t>
            </w:r>
          </w:p>
        </w:tc>
        <w:tc>
          <w:tcPr>
            <w:tcW w:w="2020" w:type="dxa"/>
            <w:vAlign w:val="bottom"/>
          </w:tcPr>
          <w:p>
            <w:pPr>
              <w:jc w:val="right"/>
              <w:ind w:right="72"/>
              <w:spacing w:after="0"/>
              <w:rPr>
                <w:sz w:val="20"/>
                <w:szCs w:val="20"/>
                <w:color w:val="auto"/>
              </w:rPr>
            </w:pPr>
            <w:r>
              <w:rPr>
                <w:rFonts w:ascii="Arial" w:cs="Arial" w:eastAsia="Arial" w:hAnsi="Arial"/>
                <w:sz w:val="18"/>
                <w:szCs w:val="18"/>
                <w:color w:val="auto"/>
              </w:rPr>
              <w:t>450,000</w:t>
            </w:r>
          </w:p>
        </w:tc>
        <w:tc>
          <w:tcPr>
            <w:tcW w:w="100" w:type="dxa"/>
            <w:vAlign w:val="bottom"/>
          </w:tcPr>
          <w:p>
            <w:pPr>
              <w:spacing w:after="0"/>
              <w:rPr>
                <w:sz w:val="21"/>
                <w:szCs w:val="21"/>
                <w:color w:val="auto"/>
              </w:rPr>
            </w:pPr>
          </w:p>
        </w:tc>
        <w:tc>
          <w:tcPr>
            <w:tcW w:w="400" w:type="dxa"/>
            <w:vAlign w:val="bottom"/>
          </w:tcPr>
          <w:p>
            <w:pPr>
              <w:jc w:val="right"/>
              <w:ind w:right="190"/>
              <w:spacing w:after="0"/>
              <w:rPr>
                <w:sz w:val="20"/>
                <w:szCs w:val="20"/>
                <w:color w:val="auto"/>
              </w:rPr>
            </w:pPr>
            <w:r>
              <w:rPr>
                <w:rFonts w:ascii="Arial" w:cs="Arial" w:eastAsia="Arial" w:hAnsi="Arial"/>
                <w:sz w:val="18"/>
                <w:szCs w:val="18"/>
                <w:color w:val="auto"/>
                <w:w w:val="99"/>
              </w:rPr>
              <w:t>$</w:t>
            </w:r>
          </w:p>
        </w:tc>
        <w:tc>
          <w:tcPr>
            <w:tcW w:w="2020" w:type="dxa"/>
            <w:vAlign w:val="bottom"/>
          </w:tcPr>
          <w:p>
            <w:pPr>
              <w:jc w:val="right"/>
              <w:ind w:right="72"/>
              <w:spacing w:after="0"/>
              <w:rPr>
                <w:sz w:val="20"/>
                <w:szCs w:val="20"/>
                <w:color w:val="auto"/>
              </w:rPr>
            </w:pPr>
            <w:r>
              <w:rPr>
                <w:rFonts w:ascii="Arial" w:cs="Arial" w:eastAsia="Arial" w:hAnsi="Arial"/>
                <w:sz w:val="18"/>
                <w:szCs w:val="18"/>
                <w:color w:val="auto"/>
              </w:rPr>
              <w:t>750,000</w:t>
            </w:r>
          </w:p>
        </w:tc>
      </w:tr>
      <w:tr>
        <w:trPr>
          <w:trHeight w:val="27"/>
        </w:trPr>
        <w:tc>
          <w:tcPr>
            <w:tcW w:w="6300" w:type="dxa"/>
            <w:vAlign w:val="bottom"/>
          </w:tcPr>
          <w:p>
            <w:pPr>
              <w:spacing w:after="0"/>
              <w:rPr>
                <w:sz w:val="2"/>
                <w:szCs w:val="2"/>
                <w:color w:val="auto"/>
              </w:rPr>
            </w:pPr>
          </w:p>
        </w:tc>
        <w:tc>
          <w:tcPr>
            <w:tcW w:w="400" w:type="dxa"/>
            <w:vAlign w:val="bottom"/>
          </w:tcPr>
          <w:p>
            <w:pPr>
              <w:spacing w:after="0"/>
              <w:rPr>
                <w:sz w:val="2"/>
                <w:szCs w:val="2"/>
                <w:color w:val="auto"/>
              </w:rPr>
            </w:pPr>
          </w:p>
        </w:tc>
        <w:tc>
          <w:tcPr>
            <w:tcW w:w="2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0" w:type="dxa"/>
            <w:vAlign w:val="bottom"/>
          </w:tcPr>
          <w:p>
            <w:pPr>
              <w:spacing w:after="0"/>
              <w:rPr>
                <w:sz w:val="2"/>
                <w:szCs w:val="2"/>
                <w:color w:val="auto"/>
              </w:rPr>
            </w:pPr>
          </w:p>
        </w:tc>
        <w:tc>
          <w:tcPr>
            <w:tcW w:w="2020" w:type="dxa"/>
            <w:vAlign w:val="bottom"/>
          </w:tcPr>
          <w:p>
            <w:pPr>
              <w:spacing w:after="0"/>
              <w:rPr>
                <w:sz w:val="2"/>
                <w:szCs w:val="2"/>
                <w:color w:val="auto"/>
              </w:rPr>
            </w:pPr>
          </w:p>
        </w:tc>
      </w:tr>
      <w:tr>
        <w:trPr>
          <w:trHeight w:val="250"/>
        </w:trPr>
        <w:tc>
          <w:tcPr>
            <w:tcW w:w="63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2023 Notes</w:t>
            </w:r>
          </w:p>
        </w:tc>
        <w:tc>
          <w:tcPr>
            <w:tcW w:w="400" w:type="dxa"/>
            <w:vAlign w:val="bottom"/>
            <w:tcBorders>
              <w:bottom w:val="single" w:sz="8" w:color="CCEEFF"/>
            </w:tcBorders>
            <w:shd w:val="clear" w:color="auto" w:fill="CCEEFF"/>
          </w:tcPr>
          <w:p>
            <w:pPr>
              <w:spacing w:after="0"/>
              <w:rPr>
                <w:sz w:val="21"/>
                <w:szCs w:val="21"/>
                <w:color w:val="auto"/>
              </w:rPr>
            </w:pPr>
          </w:p>
        </w:tc>
        <w:tc>
          <w:tcPr>
            <w:tcW w:w="20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500,000</w:t>
            </w:r>
          </w:p>
        </w:tc>
        <w:tc>
          <w:tcPr>
            <w:tcW w:w="10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20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500,000</w:t>
            </w:r>
          </w:p>
        </w:tc>
      </w:tr>
      <w:tr>
        <w:trPr>
          <w:trHeight w:val="243"/>
        </w:trPr>
        <w:tc>
          <w:tcPr>
            <w:tcW w:w="6300" w:type="dxa"/>
            <w:vAlign w:val="bottom"/>
          </w:tcPr>
          <w:p>
            <w:pPr>
              <w:ind w:left="20"/>
              <w:spacing w:after="0"/>
              <w:rPr>
                <w:sz w:val="20"/>
                <w:szCs w:val="20"/>
                <w:color w:val="auto"/>
              </w:rPr>
            </w:pPr>
            <w:r>
              <w:rPr>
                <w:rFonts w:ascii="Arial" w:cs="Arial" w:eastAsia="Arial" w:hAnsi="Arial"/>
                <w:sz w:val="18"/>
                <w:szCs w:val="18"/>
                <w:color w:val="auto"/>
              </w:rPr>
              <w:t>2028 Notes</w:t>
            </w:r>
          </w:p>
        </w:tc>
        <w:tc>
          <w:tcPr>
            <w:tcW w:w="400" w:type="dxa"/>
            <w:vAlign w:val="bottom"/>
          </w:tcPr>
          <w:p>
            <w:pPr>
              <w:spacing w:after="0"/>
              <w:rPr>
                <w:sz w:val="21"/>
                <w:szCs w:val="21"/>
                <w:color w:val="auto"/>
              </w:rPr>
            </w:pPr>
          </w:p>
        </w:tc>
        <w:tc>
          <w:tcPr>
            <w:tcW w:w="2020" w:type="dxa"/>
            <w:vAlign w:val="bottom"/>
          </w:tcPr>
          <w:p>
            <w:pPr>
              <w:jc w:val="right"/>
              <w:ind w:right="72"/>
              <w:spacing w:after="0"/>
              <w:rPr>
                <w:sz w:val="20"/>
                <w:szCs w:val="20"/>
                <w:color w:val="auto"/>
              </w:rPr>
            </w:pPr>
            <w:r>
              <w:rPr>
                <w:rFonts w:ascii="Arial" w:cs="Arial" w:eastAsia="Arial" w:hAnsi="Arial"/>
                <w:sz w:val="18"/>
                <w:szCs w:val="18"/>
                <w:color w:val="auto"/>
              </w:rPr>
              <w:t>500,000</w:t>
            </w:r>
          </w:p>
        </w:tc>
        <w:tc>
          <w:tcPr>
            <w:tcW w:w="1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2020" w:type="dxa"/>
            <w:vAlign w:val="bottom"/>
          </w:tcPr>
          <w:p>
            <w:pPr>
              <w:jc w:val="right"/>
              <w:ind w:right="72"/>
              <w:spacing w:after="0"/>
              <w:rPr>
                <w:sz w:val="20"/>
                <w:szCs w:val="20"/>
                <w:color w:val="auto"/>
              </w:rPr>
            </w:pPr>
            <w:r>
              <w:rPr>
                <w:rFonts w:ascii="Arial" w:cs="Arial" w:eastAsia="Arial" w:hAnsi="Arial"/>
                <w:sz w:val="18"/>
                <w:szCs w:val="18"/>
                <w:color w:val="auto"/>
              </w:rPr>
              <w:t>500,000</w:t>
            </w:r>
          </w:p>
        </w:tc>
      </w:tr>
      <w:tr>
        <w:trPr>
          <w:trHeight w:val="27"/>
        </w:trPr>
        <w:tc>
          <w:tcPr>
            <w:tcW w:w="630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20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2020" w:type="dxa"/>
            <w:vAlign w:val="bottom"/>
            <w:tcBorders>
              <w:bottom w:val="single" w:sz="8" w:color="auto"/>
            </w:tcBorders>
          </w:tcPr>
          <w:p>
            <w:pPr>
              <w:spacing w:after="0"/>
              <w:rPr>
                <w:sz w:val="2"/>
                <w:szCs w:val="2"/>
                <w:color w:val="auto"/>
              </w:rPr>
            </w:pPr>
          </w:p>
        </w:tc>
      </w:tr>
      <w:tr>
        <w:trPr>
          <w:trHeight w:val="243"/>
        </w:trPr>
        <w:tc>
          <w:tcPr>
            <w:tcW w:w="63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borrowings</w:t>
            </w:r>
          </w:p>
        </w:tc>
        <w:tc>
          <w:tcPr>
            <w:tcW w:w="400" w:type="dxa"/>
            <w:vAlign w:val="bottom"/>
            <w:tcBorders>
              <w:bottom w:val="single" w:sz="8" w:color="CCEEFF"/>
            </w:tcBorders>
            <w:shd w:val="clear" w:color="auto" w:fill="CCEEFF"/>
          </w:tcPr>
          <w:p>
            <w:pPr>
              <w:spacing w:after="0"/>
              <w:rPr>
                <w:sz w:val="21"/>
                <w:szCs w:val="21"/>
                <w:color w:val="auto"/>
              </w:rPr>
            </w:pPr>
          </w:p>
        </w:tc>
        <w:tc>
          <w:tcPr>
            <w:tcW w:w="20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1,450,000</w:t>
            </w:r>
          </w:p>
        </w:tc>
        <w:tc>
          <w:tcPr>
            <w:tcW w:w="10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20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1,750,000</w:t>
            </w:r>
          </w:p>
        </w:tc>
      </w:tr>
      <w:tr>
        <w:trPr>
          <w:trHeight w:val="243"/>
        </w:trPr>
        <w:tc>
          <w:tcPr>
            <w:tcW w:w="6300" w:type="dxa"/>
            <w:vAlign w:val="bottom"/>
          </w:tcPr>
          <w:p>
            <w:pPr>
              <w:ind w:left="20"/>
              <w:spacing w:after="0"/>
              <w:rPr>
                <w:sz w:val="20"/>
                <w:szCs w:val="20"/>
                <w:color w:val="auto"/>
              </w:rPr>
            </w:pPr>
            <w:r>
              <w:rPr>
                <w:rFonts w:ascii="Arial" w:cs="Arial" w:eastAsia="Arial" w:hAnsi="Arial"/>
                <w:sz w:val="18"/>
                <w:szCs w:val="18"/>
                <w:color w:val="auto"/>
              </w:rPr>
              <w:t>Less: Unamortized debt discount and issuance cost</w:t>
            </w:r>
          </w:p>
        </w:tc>
        <w:tc>
          <w:tcPr>
            <w:tcW w:w="400" w:type="dxa"/>
            <w:vAlign w:val="bottom"/>
          </w:tcPr>
          <w:p>
            <w:pPr>
              <w:spacing w:after="0"/>
              <w:rPr>
                <w:sz w:val="21"/>
                <w:szCs w:val="21"/>
                <w:color w:val="auto"/>
              </w:rPr>
            </w:pPr>
          </w:p>
        </w:tc>
        <w:tc>
          <w:tcPr>
            <w:tcW w:w="2020" w:type="dxa"/>
            <w:vAlign w:val="bottom"/>
          </w:tcPr>
          <w:p>
            <w:pPr>
              <w:jc w:val="right"/>
              <w:ind w:right="32"/>
              <w:spacing w:after="0"/>
              <w:rPr>
                <w:sz w:val="20"/>
                <w:szCs w:val="20"/>
                <w:color w:val="auto"/>
              </w:rPr>
            </w:pPr>
            <w:r>
              <w:rPr>
                <w:rFonts w:ascii="Arial" w:cs="Arial" w:eastAsia="Arial" w:hAnsi="Arial"/>
                <w:sz w:val="18"/>
                <w:szCs w:val="18"/>
                <w:color w:val="auto"/>
              </w:rPr>
              <w:t>(10,976)</w:t>
            </w:r>
          </w:p>
        </w:tc>
        <w:tc>
          <w:tcPr>
            <w:tcW w:w="1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2020" w:type="dxa"/>
            <w:vAlign w:val="bottom"/>
          </w:tcPr>
          <w:p>
            <w:pPr>
              <w:jc w:val="right"/>
              <w:ind w:right="12"/>
              <w:spacing w:after="0"/>
              <w:rPr>
                <w:sz w:val="20"/>
                <w:szCs w:val="20"/>
                <w:color w:val="auto"/>
              </w:rPr>
            </w:pPr>
            <w:r>
              <w:rPr>
                <w:rFonts w:ascii="Arial" w:cs="Arial" w:eastAsia="Arial" w:hAnsi="Arial"/>
                <w:sz w:val="18"/>
                <w:szCs w:val="18"/>
                <w:color w:val="auto"/>
              </w:rPr>
              <w:t>(17,301)</w:t>
            </w:r>
          </w:p>
        </w:tc>
      </w:tr>
      <w:tr>
        <w:trPr>
          <w:trHeight w:val="27"/>
        </w:trPr>
        <w:tc>
          <w:tcPr>
            <w:tcW w:w="630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20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2020" w:type="dxa"/>
            <w:vAlign w:val="bottom"/>
            <w:tcBorders>
              <w:bottom w:val="single" w:sz="8" w:color="auto"/>
            </w:tcBorders>
          </w:tcPr>
          <w:p>
            <w:pPr>
              <w:spacing w:after="0"/>
              <w:rPr>
                <w:sz w:val="2"/>
                <w:szCs w:val="2"/>
                <w:color w:val="auto"/>
              </w:rPr>
            </w:pPr>
          </w:p>
        </w:tc>
      </w:tr>
      <w:tr>
        <w:trPr>
          <w:trHeight w:val="244"/>
        </w:trPr>
        <w:tc>
          <w:tcPr>
            <w:tcW w:w="63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carrying amount of debt</w:t>
            </w:r>
          </w:p>
        </w:tc>
        <w:tc>
          <w:tcPr>
            <w:tcW w:w="400" w:type="dxa"/>
            <w:vAlign w:val="bottom"/>
            <w:tcBorders>
              <w:bottom w:val="single" w:sz="8" w:color="CCEEFF"/>
            </w:tcBorders>
            <w:shd w:val="clear" w:color="auto" w:fill="CCEEFF"/>
          </w:tcPr>
          <w:p>
            <w:pPr>
              <w:spacing w:after="0"/>
              <w:rPr>
                <w:sz w:val="21"/>
                <w:szCs w:val="21"/>
                <w:color w:val="auto"/>
              </w:rPr>
            </w:pPr>
          </w:p>
        </w:tc>
        <w:tc>
          <w:tcPr>
            <w:tcW w:w="20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1,439,024</w:t>
            </w:r>
          </w:p>
        </w:tc>
        <w:tc>
          <w:tcPr>
            <w:tcW w:w="10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202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1,732,699</w:t>
            </w:r>
          </w:p>
        </w:tc>
      </w:tr>
      <w:tr>
        <w:trPr>
          <w:trHeight w:val="243"/>
        </w:trPr>
        <w:tc>
          <w:tcPr>
            <w:tcW w:w="6300" w:type="dxa"/>
            <w:vAlign w:val="bottom"/>
          </w:tcPr>
          <w:p>
            <w:pPr>
              <w:ind w:left="20"/>
              <w:spacing w:after="0"/>
              <w:rPr>
                <w:sz w:val="20"/>
                <w:szCs w:val="20"/>
                <w:color w:val="auto"/>
              </w:rPr>
            </w:pPr>
            <w:r>
              <w:rPr>
                <w:rFonts w:ascii="Arial" w:cs="Arial" w:eastAsia="Arial" w:hAnsi="Arial"/>
                <w:sz w:val="18"/>
                <w:szCs w:val="18"/>
                <w:color w:val="auto"/>
              </w:rPr>
              <w:t>Less: Current portion</w:t>
            </w:r>
          </w:p>
        </w:tc>
        <w:tc>
          <w:tcPr>
            <w:tcW w:w="400" w:type="dxa"/>
            <w:vAlign w:val="bottom"/>
          </w:tcPr>
          <w:p>
            <w:pPr>
              <w:spacing w:after="0"/>
              <w:rPr>
                <w:sz w:val="21"/>
                <w:szCs w:val="21"/>
                <w:color w:val="auto"/>
              </w:rPr>
            </w:pPr>
          </w:p>
        </w:tc>
        <w:tc>
          <w:tcPr>
            <w:tcW w:w="21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21"/>
                <w:szCs w:val="21"/>
                <w:color w:val="auto"/>
              </w:rPr>
            </w:pPr>
          </w:p>
        </w:tc>
        <w:tc>
          <w:tcPr>
            <w:tcW w:w="2020" w:type="dxa"/>
            <w:vAlign w:val="bottom"/>
          </w:tcPr>
          <w:p>
            <w:pPr>
              <w:jc w:val="right"/>
              <w:ind w:right="72"/>
              <w:spacing w:after="0"/>
              <w:rPr>
                <w:sz w:val="20"/>
                <w:szCs w:val="20"/>
                <w:color w:val="auto"/>
              </w:rPr>
            </w:pPr>
            <w:r>
              <w:rPr>
                <w:rFonts w:ascii="Arial" w:cs="Arial" w:eastAsia="Arial" w:hAnsi="Arial"/>
                <w:sz w:val="18"/>
                <w:szCs w:val="18"/>
                <w:color w:val="auto"/>
              </w:rPr>
              <w:t>—</w:t>
            </w:r>
          </w:p>
        </w:tc>
      </w:tr>
      <w:tr>
        <w:trPr>
          <w:trHeight w:val="27"/>
        </w:trPr>
        <w:tc>
          <w:tcPr>
            <w:tcW w:w="630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20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2020" w:type="dxa"/>
            <w:vAlign w:val="bottom"/>
            <w:tcBorders>
              <w:bottom w:val="single" w:sz="8" w:color="auto"/>
            </w:tcBorders>
          </w:tcPr>
          <w:p>
            <w:pPr>
              <w:spacing w:after="0"/>
              <w:rPr>
                <w:sz w:val="2"/>
                <w:szCs w:val="2"/>
                <w:color w:val="auto"/>
              </w:rPr>
            </w:pPr>
          </w:p>
        </w:tc>
      </w:tr>
      <w:tr>
        <w:trPr>
          <w:trHeight w:val="288"/>
        </w:trPr>
        <w:tc>
          <w:tcPr>
            <w:tcW w:w="63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Non-current portion</w:t>
            </w:r>
          </w:p>
        </w:tc>
        <w:tc>
          <w:tcPr>
            <w:tcW w:w="400" w:type="dxa"/>
            <w:vAlign w:val="bottom"/>
            <w:tcBorders>
              <w:bottom w:val="single" w:sz="8" w:color="auto"/>
            </w:tcBorders>
            <w:shd w:val="clear" w:color="auto" w:fill="CCEEFF"/>
          </w:tcPr>
          <w:p>
            <w:pPr>
              <w:jc w:val="right"/>
              <w:ind w:right="210"/>
              <w:spacing w:after="0"/>
              <w:rPr>
                <w:sz w:val="20"/>
                <w:szCs w:val="20"/>
                <w:color w:val="auto"/>
              </w:rPr>
            </w:pPr>
            <w:r>
              <w:rPr>
                <w:rFonts w:ascii="Arial" w:cs="Arial" w:eastAsia="Arial" w:hAnsi="Arial"/>
                <w:sz w:val="18"/>
                <w:szCs w:val="18"/>
                <w:color w:val="auto"/>
                <w:w w:val="79"/>
              </w:rPr>
              <w:t>$</w:t>
            </w:r>
          </w:p>
        </w:tc>
        <w:tc>
          <w:tcPr>
            <w:tcW w:w="202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rPr>
              <w:t>1,439,024</w:t>
            </w:r>
          </w:p>
        </w:tc>
        <w:tc>
          <w:tcPr>
            <w:tcW w:w="100" w:type="dxa"/>
            <w:vAlign w:val="bottom"/>
            <w:tcBorders>
              <w:bottom w:val="single" w:sz="8" w:color="CCEEFF"/>
            </w:tcBorders>
            <w:shd w:val="clear" w:color="auto" w:fill="CCEEFF"/>
          </w:tcPr>
          <w:p>
            <w:pPr>
              <w:spacing w:after="0"/>
              <w:rPr>
                <w:sz w:val="24"/>
                <w:szCs w:val="24"/>
                <w:color w:val="auto"/>
              </w:rPr>
            </w:pPr>
          </w:p>
        </w:tc>
        <w:tc>
          <w:tcPr>
            <w:tcW w:w="400" w:type="dxa"/>
            <w:vAlign w:val="bottom"/>
            <w:tcBorders>
              <w:bottom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202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rPr>
              <w:t>1,732,699</w:t>
            </w:r>
          </w:p>
        </w:tc>
      </w:tr>
      <w:tr>
        <w:trPr>
          <w:trHeight w:val="20"/>
        </w:trPr>
        <w:tc>
          <w:tcPr>
            <w:tcW w:w="630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CCEEFF"/>
              <w:bottom w:val="single" w:sz="8" w:color="auto"/>
            </w:tcBorders>
          </w:tcPr>
          <w:p>
            <w:pPr>
              <w:spacing w:after="0" w:line="20" w:lineRule="exact"/>
              <w:rPr>
                <w:sz w:val="1"/>
                <w:szCs w:val="1"/>
                <w:color w:val="auto"/>
              </w:rPr>
            </w:pPr>
          </w:p>
        </w:tc>
        <w:tc>
          <w:tcPr>
            <w:tcW w:w="20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CCEEFF"/>
              <w:bottom w:val="single" w:sz="8" w:color="auto"/>
            </w:tcBorders>
          </w:tcPr>
          <w:p>
            <w:pPr>
              <w:spacing w:after="0" w:line="20" w:lineRule="exact"/>
              <w:rPr>
                <w:sz w:val="1"/>
                <w:szCs w:val="1"/>
                <w:color w:val="auto"/>
              </w:rPr>
            </w:pPr>
          </w:p>
        </w:tc>
        <w:tc>
          <w:tcPr>
            <w:tcW w:w="202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jc w:val="both"/>
        <w:ind w:right="280" w:firstLine="405"/>
        <w:spacing w:after="0" w:line="263" w:lineRule="auto"/>
        <w:rPr>
          <w:sz w:val="20"/>
          <w:szCs w:val="20"/>
          <w:color w:val="auto"/>
        </w:rPr>
      </w:pPr>
      <w:r>
        <w:rPr>
          <w:rFonts w:ascii="Arial" w:cs="Arial" w:eastAsia="Arial" w:hAnsi="Arial"/>
          <w:sz w:val="18"/>
          <w:szCs w:val="18"/>
          <w:color w:val="auto"/>
        </w:rPr>
        <w:t>During fiscal 2020 and fiscal 2019, the Company recognized $79.8 million and $50.1 million of interest expense, respectively, in its consolidated statements of operations related to interest, amortization of debt issuance costs and accretion of discount associated with the outstanding Term Loan and Senior Notes.</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6"/>
          <w:szCs w:val="16"/>
          <w:color w:val="auto"/>
        </w:rPr>
        <w:t>As of February 1, 2020, the aggregate future contractual maturities of the Company's outstanding debt, at face value, were as follows (in thousands):</w:t>
      </w:r>
    </w:p>
    <w:p>
      <w:pPr>
        <w:spacing w:after="0" w:line="186"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52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Year</w:t>
            </w:r>
          </w:p>
        </w:tc>
        <w:tc>
          <w:tcPr>
            <w:tcW w:w="860" w:type="dxa"/>
            <w:vAlign w:val="bottom"/>
          </w:tcPr>
          <w:p>
            <w:pPr>
              <w:spacing w:after="0"/>
              <w:rPr>
                <w:sz w:val="16"/>
                <w:szCs w:val="16"/>
                <w:color w:val="auto"/>
              </w:rPr>
            </w:pPr>
          </w:p>
        </w:tc>
        <w:tc>
          <w:tcPr>
            <w:tcW w:w="2820" w:type="dxa"/>
            <w:vAlign w:val="bottom"/>
          </w:tcPr>
          <w:p>
            <w:pPr>
              <w:jc w:val="right"/>
              <w:ind w:right="1492"/>
              <w:spacing w:after="0"/>
              <w:rPr>
                <w:sz w:val="20"/>
                <w:szCs w:val="20"/>
                <w:color w:val="auto"/>
              </w:rPr>
            </w:pPr>
            <w:r>
              <w:rPr>
                <w:rFonts w:ascii="Arial" w:cs="Arial" w:eastAsia="Arial" w:hAnsi="Arial"/>
                <w:sz w:val="14"/>
                <w:szCs w:val="14"/>
                <w:b w:val="1"/>
                <w:bCs w:val="1"/>
                <w:color w:val="auto"/>
              </w:rPr>
              <w:t>Amount</w:t>
            </w:r>
          </w:p>
        </w:tc>
      </w:tr>
      <w:tr>
        <w:trPr>
          <w:trHeight w:val="249"/>
        </w:trPr>
        <w:tc>
          <w:tcPr>
            <w:tcW w:w="732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2021</w:t>
            </w:r>
          </w:p>
        </w:tc>
        <w:tc>
          <w:tcPr>
            <w:tcW w:w="200" w:type="dxa"/>
            <w:vAlign w:val="bottom"/>
            <w:tcBorders>
              <w:top w:val="single" w:sz="8" w:color="CCEEFF"/>
              <w:bottom w:val="single" w:sz="8" w:color="CCEEFF"/>
            </w:tcBorders>
            <w:shd w:val="clear" w:color="auto" w:fill="CCEEFF"/>
          </w:tcPr>
          <w:p>
            <w:pPr>
              <w:spacing w:after="0"/>
              <w:rPr>
                <w:sz w:val="21"/>
                <w:szCs w:val="21"/>
                <w:color w:val="auto"/>
              </w:rPr>
            </w:pPr>
          </w:p>
        </w:tc>
        <w:tc>
          <w:tcPr>
            <w:tcW w:w="860" w:type="dxa"/>
            <w:vAlign w:val="bottom"/>
            <w:tcBorders>
              <w:top w:val="single" w:sz="8" w:color="auto"/>
              <w:bottom w:val="single" w:sz="8" w:color="CCEEFF"/>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20" w:type="dxa"/>
            <w:vAlign w:val="bottom"/>
            <w:tcBorders>
              <w:top w:val="single" w:sz="8" w:color="auto"/>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w:t>
            </w:r>
          </w:p>
        </w:tc>
      </w:tr>
      <w:tr>
        <w:trPr>
          <w:trHeight w:val="243"/>
        </w:trPr>
        <w:tc>
          <w:tcPr>
            <w:tcW w:w="7320" w:type="dxa"/>
            <w:vAlign w:val="bottom"/>
          </w:tcPr>
          <w:p>
            <w:pPr>
              <w:ind w:left="20"/>
              <w:spacing w:after="0"/>
              <w:rPr>
                <w:sz w:val="20"/>
                <w:szCs w:val="20"/>
                <w:color w:val="auto"/>
              </w:rPr>
            </w:pPr>
            <w:r>
              <w:rPr>
                <w:rFonts w:ascii="Arial" w:cs="Arial" w:eastAsia="Arial" w:hAnsi="Arial"/>
                <w:sz w:val="18"/>
                <w:szCs w:val="18"/>
                <w:color w:val="auto"/>
              </w:rPr>
              <w:t>2022</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20" w:type="dxa"/>
            <w:vAlign w:val="bottom"/>
          </w:tcPr>
          <w:p>
            <w:pPr>
              <w:jc w:val="right"/>
              <w:ind w:right="52"/>
              <w:spacing w:after="0"/>
              <w:rPr>
                <w:sz w:val="20"/>
                <w:szCs w:val="20"/>
                <w:color w:val="auto"/>
              </w:rPr>
            </w:pPr>
            <w:r>
              <w:rPr>
                <w:rFonts w:ascii="Arial" w:cs="Arial" w:eastAsia="Arial" w:hAnsi="Arial"/>
                <w:sz w:val="18"/>
                <w:szCs w:val="18"/>
                <w:color w:val="auto"/>
              </w:rPr>
              <w:t>450,000</w:t>
            </w:r>
          </w:p>
        </w:tc>
      </w:tr>
      <w:tr>
        <w:trPr>
          <w:trHeight w:val="27"/>
        </w:trPr>
        <w:tc>
          <w:tcPr>
            <w:tcW w:w="73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20" w:type="dxa"/>
            <w:vAlign w:val="bottom"/>
          </w:tcPr>
          <w:p>
            <w:pPr>
              <w:spacing w:after="0"/>
              <w:rPr>
                <w:sz w:val="2"/>
                <w:szCs w:val="2"/>
                <w:color w:val="auto"/>
              </w:rPr>
            </w:pPr>
          </w:p>
        </w:tc>
      </w:tr>
      <w:tr>
        <w:trPr>
          <w:trHeight w:val="250"/>
        </w:trPr>
        <w:tc>
          <w:tcPr>
            <w:tcW w:w="7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2023</w:t>
            </w:r>
          </w:p>
        </w:tc>
        <w:tc>
          <w:tcPr>
            <w:tcW w:w="2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2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w:t>
            </w:r>
          </w:p>
        </w:tc>
      </w:tr>
      <w:tr>
        <w:trPr>
          <w:trHeight w:val="243"/>
        </w:trPr>
        <w:tc>
          <w:tcPr>
            <w:tcW w:w="7320" w:type="dxa"/>
            <w:vAlign w:val="bottom"/>
          </w:tcPr>
          <w:p>
            <w:pPr>
              <w:ind w:left="20"/>
              <w:spacing w:after="0"/>
              <w:rPr>
                <w:sz w:val="20"/>
                <w:szCs w:val="20"/>
                <w:color w:val="auto"/>
              </w:rPr>
            </w:pPr>
            <w:r>
              <w:rPr>
                <w:rFonts w:ascii="Arial" w:cs="Arial" w:eastAsia="Arial" w:hAnsi="Arial"/>
                <w:sz w:val="18"/>
                <w:szCs w:val="18"/>
                <w:color w:val="auto"/>
              </w:rPr>
              <w:t>2024</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20" w:type="dxa"/>
            <w:vAlign w:val="bottom"/>
          </w:tcPr>
          <w:p>
            <w:pPr>
              <w:jc w:val="right"/>
              <w:ind w:right="52"/>
              <w:spacing w:after="0"/>
              <w:rPr>
                <w:sz w:val="20"/>
                <w:szCs w:val="20"/>
                <w:color w:val="auto"/>
              </w:rPr>
            </w:pPr>
            <w:r>
              <w:rPr>
                <w:rFonts w:ascii="Arial" w:cs="Arial" w:eastAsia="Arial" w:hAnsi="Arial"/>
                <w:sz w:val="18"/>
                <w:szCs w:val="18"/>
                <w:color w:val="auto"/>
              </w:rPr>
              <w:t>500,000</w:t>
            </w:r>
          </w:p>
        </w:tc>
      </w:tr>
      <w:tr>
        <w:trPr>
          <w:trHeight w:val="27"/>
        </w:trPr>
        <w:tc>
          <w:tcPr>
            <w:tcW w:w="73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20" w:type="dxa"/>
            <w:vAlign w:val="bottom"/>
          </w:tcPr>
          <w:p>
            <w:pPr>
              <w:spacing w:after="0"/>
              <w:rPr>
                <w:sz w:val="2"/>
                <w:szCs w:val="2"/>
                <w:color w:val="auto"/>
              </w:rPr>
            </w:pPr>
          </w:p>
        </w:tc>
      </w:tr>
      <w:tr>
        <w:trPr>
          <w:trHeight w:val="250"/>
        </w:trPr>
        <w:tc>
          <w:tcPr>
            <w:tcW w:w="7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2025</w:t>
            </w:r>
          </w:p>
        </w:tc>
        <w:tc>
          <w:tcPr>
            <w:tcW w:w="2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2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w:t>
            </w:r>
          </w:p>
        </w:tc>
      </w:tr>
      <w:tr>
        <w:trPr>
          <w:trHeight w:val="243"/>
        </w:trPr>
        <w:tc>
          <w:tcPr>
            <w:tcW w:w="752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860" w:type="dxa"/>
            <w:vAlign w:val="bottom"/>
          </w:tcPr>
          <w:p>
            <w:pPr>
              <w:spacing w:after="0"/>
              <w:rPr>
                <w:sz w:val="21"/>
                <w:szCs w:val="21"/>
                <w:color w:val="auto"/>
              </w:rPr>
            </w:pPr>
          </w:p>
        </w:tc>
        <w:tc>
          <w:tcPr>
            <w:tcW w:w="2820" w:type="dxa"/>
            <w:vAlign w:val="bottom"/>
          </w:tcPr>
          <w:p>
            <w:pPr>
              <w:jc w:val="right"/>
              <w:ind w:right="52"/>
              <w:spacing w:after="0"/>
              <w:rPr>
                <w:sz w:val="20"/>
                <w:szCs w:val="20"/>
                <w:color w:val="auto"/>
              </w:rPr>
            </w:pPr>
            <w:r>
              <w:rPr>
                <w:rFonts w:ascii="Arial" w:cs="Arial" w:eastAsia="Arial" w:hAnsi="Arial"/>
                <w:sz w:val="18"/>
                <w:szCs w:val="18"/>
                <w:color w:val="auto"/>
              </w:rPr>
              <w:t>500,000</w:t>
            </w:r>
          </w:p>
        </w:tc>
      </w:tr>
      <w:tr>
        <w:trPr>
          <w:trHeight w:val="27"/>
        </w:trPr>
        <w:tc>
          <w:tcPr>
            <w:tcW w:w="732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2820" w:type="dxa"/>
            <w:vAlign w:val="bottom"/>
            <w:tcBorders>
              <w:bottom w:val="single" w:sz="8" w:color="auto"/>
            </w:tcBorders>
          </w:tcPr>
          <w:p>
            <w:pPr>
              <w:spacing w:after="0"/>
              <w:rPr>
                <w:sz w:val="2"/>
                <w:szCs w:val="2"/>
                <w:color w:val="auto"/>
              </w:rPr>
            </w:pPr>
          </w:p>
        </w:tc>
      </w:tr>
      <w:tr>
        <w:trPr>
          <w:trHeight w:val="237"/>
        </w:trPr>
        <w:tc>
          <w:tcPr>
            <w:tcW w:w="75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Total</w:t>
            </w:r>
          </w:p>
        </w:tc>
        <w:tc>
          <w:tcPr>
            <w:tcW w:w="860" w:type="dxa"/>
            <w:vAlign w:val="bottom"/>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2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rPr>
              <w:t>1,450,000</w:t>
            </w:r>
          </w:p>
        </w:tc>
      </w:tr>
      <w:tr>
        <w:trPr>
          <w:trHeight w:val="27"/>
        </w:trPr>
        <w:tc>
          <w:tcPr>
            <w:tcW w:w="732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860" w:type="dxa"/>
            <w:vAlign w:val="bottom"/>
            <w:shd w:val="clear" w:color="auto" w:fill="CCEEFF"/>
          </w:tcPr>
          <w:p>
            <w:pPr>
              <w:spacing w:after="0"/>
              <w:rPr>
                <w:sz w:val="2"/>
                <w:szCs w:val="2"/>
                <w:color w:val="auto"/>
              </w:rPr>
            </w:pPr>
          </w:p>
        </w:tc>
        <w:tc>
          <w:tcPr>
            <w:tcW w:w="2820" w:type="dxa"/>
            <w:vAlign w:val="bottom"/>
            <w:shd w:val="clear" w:color="auto" w:fill="CCEEFF"/>
          </w:tcPr>
          <w:p>
            <w:pPr>
              <w:spacing w:after="0"/>
              <w:rPr>
                <w:sz w:val="2"/>
                <w:szCs w:val="2"/>
                <w:color w:val="auto"/>
              </w:rPr>
            </w:pPr>
          </w:p>
        </w:tc>
      </w:tr>
    </w:tbl>
    <w:p>
      <w:pPr>
        <w:spacing w:after="0" w:line="200" w:lineRule="exact"/>
        <w:rPr>
          <w:sz w:val="20"/>
          <w:szCs w:val="20"/>
          <w:color w:val="auto"/>
        </w:rPr>
      </w:pPr>
    </w:p>
    <w:p>
      <w:pPr>
        <w:spacing w:after="0" w:line="245"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Repayment of Debt and Termination of Credit Facility of Cavium</w:t>
      </w:r>
    </w:p>
    <w:p>
      <w:pPr>
        <w:spacing w:after="0" w:line="117" w:lineRule="exact"/>
        <w:rPr>
          <w:sz w:val="20"/>
          <w:szCs w:val="20"/>
          <w:color w:val="auto"/>
        </w:rPr>
      </w:pPr>
    </w:p>
    <w:p>
      <w:pPr>
        <w:jc w:val="both"/>
        <w:ind w:right="380" w:firstLine="405"/>
        <w:spacing w:after="0" w:line="263" w:lineRule="auto"/>
        <w:rPr>
          <w:sz w:val="20"/>
          <w:szCs w:val="20"/>
          <w:color w:val="auto"/>
        </w:rPr>
      </w:pPr>
      <w:r>
        <w:rPr>
          <w:rFonts w:ascii="Arial" w:cs="Arial" w:eastAsia="Arial" w:hAnsi="Arial"/>
          <w:sz w:val="18"/>
          <w:szCs w:val="18"/>
          <w:color w:val="auto"/>
        </w:rPr>
        <w:t>On July 6, 2018, concurrent with completing the acquisition of Cavium as further described in “Note 3 - Business Combinations,” the Company assumed and paid all of Cavium's outstanding debt and accrued interest of $606.6 million. Cavium's debt was governed under a credit agreement dated August 16, 2016, which was terminated following the repayment.</w:t>
      </w:r>
    </w:p>
    <w:p>
      <w:pPr>
        <w:sectPr>
          <w:pgSz w:w="11900" w:h="16838" w:orient="portrait"/>
          <w:cols w:equalWidth="0" w:num="1">
            <w:col w:w="11240"/>
          </w:cols>
          <w:pgMar w:left="320" w:top="472"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78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81" w:name="page82"/>
    <w:bookmarkEnd w:id="8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ind w:left="266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Commitments and Contingencies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117"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The Company’s products carry a standard one-year warranty with certain exceptions in which the warranty period can extend to more than one year based on contractual agreements. The Company’s warranty expense has not been significant in the periods presented.</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Technology License Commitments</w:t>
      </w:r>
    </w:p>
    <w:p>
      <w:pPr>
        <w:spacing w:after="0" w:line="117" w:lineRule="exact"/>
        <w:rPr>
          <w:sz w:val="20"/>
          <w:szCs w:val="20"/>
          <w:color w:val="auto"/>
        </w:rPr>
      </w:pPr>
    </w:p>
    <w:p>
      <w:pPr>
        <w:ind w:right="140" w:firstLine="405"/>
        <w:spacing w:after="0" w:line="277" w:lineRule="auto"/>
        <w:rPr>
          <w:sz w:val="20"/>
          <w:szCs w:val="20"/>
          <w:color w:val="auto"/>
        </w:rPr>
      </w:pPr>
      <w:r>
        <w:rPr>
          <w:rFonts w:ascii="Arial" w:cs="Arial" w:eastAsia="Arial" w:hAnsi="Arial"/>
          <w:sz w:val="18"/>
          <w:szCs w:val="18"/>
          <w:color w:val="auto"/>
        </w:rPr>
        <w:t>The Company purchases certain intellectual property under technology license obligations. Future payments under technology license obligations as of February 1, 2020, are presented in the following tables (in thousands):</w:t>
      </w:r>
    </w:p>
    <w:p>
      <w:pPr>
        <w:spacing w:after="0" w:line="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4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100" w:type="dxa"/>
            <w:vAlign w:val="bottom"/>
          </w:tcPr>
          <w:p>
            <w:pPr>
              <w:jc w:val="center"/>
              <w:ind w:right="474"/>
              <w:spacing w:after="0"/>
              <w:rPr>
                <w:sz w:val="20"/>
                <w:szCs w:val="20"/>
                <w:color w:val="auto"/>
              </w:rPr>
            </w:pPr>
            <w:r>
              <w:rPr>
                <w:rFonts w:ascii="Arial" w:cs="Arial" w:eastAsia="Arial" w:hAnsi="Arial"/>
                <w:sz w:val="14"/>
                <w:szCs w:val="14"/>
                <w:b w:val="1"/>
                <w:bCs w:val="1"/>
                <w:color w:val="auto"/>
                <w:w w:val="89"/>
              </w:rPr>
              <w:t>Technology</w:t>
            </w:r>
          </w:p>
        </w:tc>
        <w:tc>
          <w:tcPr>
            <w:tcW w:w="0" w:type="dxa"/>
            <w:vAlign w:val="bottom"/>
          </w:tcPr>
          <w:p>
            <w:pPr>
              <w:spacing w:after="0"/>
              <w:rPr>
                <w:sz w:val="1"/>
                <w:szCs w:val="1"/>
                <w:color w:val="auto"/>
              </w:rPr>
            </w:pPr>
          </w:p>
        </w:tc>
      </w:tr>
      <w:tr>
        <w:trPr>
          <w:trHeight w:val="148"/>
        </w:trPr>
        <w:tc>
          <w:tcPr>
            <w:tcW w:w="860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Fiscal Year</w:t>
            </w:r>
          </w:p>
        </w:tc>
        <w:tc>
          <w:tcPr>
            <w:tcW w:w="540" w:type="dxa"/>
            <w:vAlign w:val="bottom"/>
          </w:tcPr>
          <w:p>
            <w:pPr>
              <w:spacing w:after="0"/>
              <w:rPr>
                <w:sz w:val="12"/>
                <w:szCs w:val="12"/>
                <w:color w:val="auto"/>
              </w:rPr>
            </w:pPr>
          </w:p>
        </w:tc>
        <w:tc>
          <w:tcPr>
            <w:tcW w:w="2100" w:type="dxa"/>
            <w:vAlign w:val="bottom"/>
          </w:tcPr>
          <w:p>
            <w:pPr>
              <w:jc w:val="center"/>
              <w:ind w:right="474"/>
              <w:spacing w:after="0" w:line="149" w:lineRule="exact"/>
              <w:rPr>
                <w:sz w:val="20"/>
                <w:szCs w:val="20"/>
                <w:color w:val="auto"/>
              </w:rPr>
            </w:pPr>
            <w:r>
              <w:rPr>
                <w:rFonts w:ascii="Arial" w:cs="Arial" w:eastAsia="Arial" w:hAnsi="Arial"/>
                <w:sz w:val="14"/>
                <w:szCs w:val="14"/>
                <w:b w:val="1"/>
                <w:bCs w:val="1"/>
                <w:color w:val="auto"/>
                <w:w w:val="88"/>
              </w:rPr>
              <w:t>License</w:t>
            </w:r>
          </w:p>
        </w:tc>
        <w:tc>
          <w:tcPr>
            <w:tcW w:w="0" w:type="dxa"/>
            <w:vAlign w:val="bottom"/>
          </w:tcPr>
          <w:p>
            <w:pPr>
              <w:spacing w:after="0"/>
              <w:rPr>
                <w:sz w:val="1"/>
                <w:szCs w:val="1"/>
                <w:color w:val="auto"/>
              </w:rPr>
            </w:pPr>
          </w:p>
        </w:tc>
      </w:tr>
      <w:tr>
        <w:trPr>
          <w:trHeight w:val="192"/>
        </w:trPr>
        <w:tc>
          <w:tcPr>
            <w:tcW w:w="8600" w:type="dxa"/>
            <w:vAlign w:val="bottom"/>
            <w:gridSpan w:val="2"/>
            <w:vMerge w:val="continue"/>
          </w:tcPr>
          <w:p>
            <w:pPr>
              <w:spacing w:after="0"/>
              <w:rPr>
                <w:sz w:val="16"/>
                <w:szCs w:val="16"/>
                <w:color w:val="auto"/>
              </w:rPr>
            </w:pPr>
          </w:p>
        </w:tc>
        <w:tc>
          <w:tcPr>
            <w:tcW w:w="540" w:type="dxa"/>
            <w:vAlign w:val="bottom"/>
          </w:tcPr>
          <w:p>
            <w:pPr>
              <w:spacing w:after="0"/>
              <w:rPr>
                <w:sz w:val="16"/>
                <w:szCs w:val="16"/>
                <w:color w:val="auto"/>
              </w:rPr>
            </w:pPr>
          </w:p>
        </w:tc>
        <w:tc>
          <w:tcPr>
            <w:tcW w:w="2100" w:type="dxa"/>
            <w:vAlign w:val="bottom"/>
          </w:tcPr>
          <w:p>
            <w:pPr>
              <w:jc w:val="center"/>
              <w:ind w:right="454"/>
              <w:spacing w:after="0"/>
              <w:rPr>
                <w:sz w:val="20"/>
                <w:szCs w:val="20"/>
                <w:color w:val="auto"/>
              </w:rPr>
            </w:pPr>
            <w:r>
              <w:rPr>
                <w:rFonts w:ascii="Arial" w:cs="Arial" w:eastAsia="Arial" w:hAnsi="Arial"/>
                <w:sz w:val="14"/>
                <w:szCs w:val="14"/>
                <w:b w:val="1"/>
                <w:bCs w:val="1"/>
                <w:color w:val="auto"/>
                <w:w w:val="93"/>
              </w:rPr>
              <w:t>Obligations</w:t>
            </w:r>
          </w:p>
        </w:tc>
        <w:tc>
          <w:tcPr>
            <w:tcW w:w="0" w:type="dxa"/>
            <w:vAlign w:val="bottom"/>
          </w:tcPr>
          <w:p>
            <w:pPr>
              <w:spacing w:after="0"/>
              <w:rPr>
                <w:sz w:val="1"/>
                <w:szCs w:val="1"/>
                <w:color w:val="auto"/>
              </w:rPr>
            </w:pPr>
          </w:p>
        </w:tc>
      </w:tr>
      <w:tr>
        <w:trPr>
          <w:trHeight w:val="249"/>
        </w:trPr>
        <w:tc>
          <w:tcPr>
            <w:tcW w:w="840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2021</w:t>
            </w:r>
          </w:p>
        </w:tc>
        <w:tc>
          <w:tcPr>
            <w:tcW w:w="200" w:type="dxa"/>
            <w:vAlign w:val="bottom"/>
            <w:tcBorders>
              <w:top w:val="single" w:sz="8" w:color="CCEEFF"/>
              <w:bottom w:val="single" w:sz="8" w:color="CCEEFF"/>
            </w:tcBorders>
            <w:shd w:val="clear" w:color="auto" w:fill="CCEEFF"/>
          </w:tcPr>
          <w:p>
            <w:pPr>
              <w:spacing w:after="0"/>
              <w:rPr>
                <w:sz w:val="21"/>
                <w:szCs w:val="21"/>
                <w:color w:val="auto"/>
              </w:rPr>
            </w:pPr>
          </w:p>
        </w:tc>
        <w:tc>
          <w:tcPr>
            <w:tcW w:w="540" w:type="dxa"/>
            <w:vAlign w:val="bottom"/>
            <w:tcBorders>
              <w:top w:val="single" w:sz="8" w:color="auto"/>
              <w:bottom w:val="single" w:sz="8" w:color="CCEEFF"/>
            </w:tcBorders>
            <w:shd w:val="clear" w:color="auto" w:fill="CCEEFF"/>
          </w:tcPr>
          <w:p>
            <w:pPr>
              <w:jc w:val="right"/>
              <w:ind w:right="350"/>
              <w:spacing w:after="0"/>
              <w:rPr>
                <w:sz w:val="20"/>
                <w:szCs w:val="20"/>
                <w:color w:val="auto"/>
              </w:rPr>
            </w:pPr>
            <w:r>
              <w:rPr>
                <w:rFonts w:ascii="Arial" w:cs="Arial" w:eastAsia="Arial" w:hAnsi="Arial"/>
                <w:sz w:val="18"/>
                <w:szCs w:val="18"/>
                <w:color w:val="auto"/>
                <w:w w:val="79"/>
              </w:rPr>
              <w:t>$</w:t>
            </w:r>
          </w:p>
        </w:tc>
        <w:tc>
          <w:tcPr>
            <w:tcW w:w="2100" w:type="dxa"/>
            <w:vAlign w:val="bottom"/>
            <w:tcBorders>
              <w:top w:val="single" w:sz="8" w:color="auto"/>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83,746</w:t>
            </w:r>
          </w:p>
        </w:tc>
        <w:tc>
          <w:tcPr>
            <w:tcW w:w="0" w:type="dxa"/>
            <w:vAlign w:val="bottom"/>
          </w:tcPr>
          <w:p>
            <w:pPr>
              <w:spacing w:after="0"/>
              <w:rPr>
                <w:sz w:val="1"/>
                <w:szCs w:val="1"/>
                <w:color w:val="auto"/>
              </w:rPr>
            </w:pPr>
          </w:p>
        </w:tc>
      </w:tr>
      <w:tr>
        <w:trPr>
          <w:trHeight w:val="243"/>
        </w:trPr>
        <w:tc>
          <w:tcPr>
            <w:tcW w:w="8400" w:type="dxa"/>
            <w:vAlign w:val="bottom"/>
          </w:tcPr>
          <w:p>
            <w:pPr>
              <w:ind w:left="20"/>
              <w:spacing w:after="0"/>
              <w:rPr>
                <w:sz w:val="20"/>
                <w:szCs w:val="20"/>
                <w:color w:val="auto"/>
              </w:rPr>
            </w:pPr>
            <w:r>
              <w:rPr>
                <w:rFonts w:ascii="Arial" w:cs="Arial" w:eastAsia="Arial" w:hAnsi="Arial"/>
                <w:sz w:val="18"/>
                <w:szCs w:val="18"/>
                <w:color w:val="auto"/>
              </w:rPr>
              <w:t>2022</w:t>
            </w:r>
          </w:p>
        </w:tc>
        <w:tc>
          <w:tcPr>
            <w:tcW w:w="2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2100" w:type="dxa"/>
            <w:vAlign w:val="bottom"/>
          </w:tcPr>
          <w:p>
            <w:pPr>
              <w:jc w:val="right"/>
              <w:ind w:right="74"/>
              <w:spacing w:after="0"/>
              <w:rPr>
                <w:sz w:val="20"/>
                <w:szCs w:val="20"/>
                <w:color w:val="auto"/>
              </w:rPr>
            </w:pPr>
            <w:r>
              <w:rPr>
                <w:rFonts w:ascii="Arial" w:cs="Arial" w:eastAsia="Arial" w:hAnsi="Arial"/>
                <w:sz w:val="18"/>
                <w:szCs w:val="18"/>
                <w:color w:val="auto"/>
              </w:rPr>
              <w:t>70,659</w:t>
            </w:r>
          </w:p>
        </w:tc>
        <w:tc>
          <w:tcPr>
            <w:tcW w:w="0" w:type="dxa"/>
            <w:vAlign w:val="bottom"/>
          </w:tcPr>
          <w:p>
            <w:pPr>
              <w:spacing w:after="0"/>
              <w:rPr>
                <w:sz w:val="1"/>
                <w:szCs w:val="1"/>
                <w:color w:val="auto"/>
              </w:rPr>
            </w:pPr>
          </w:p>
        </w:tc>
      </w:tr>
      <w:tr>
        <w:trPr>
          <w:trHeight w:val="27"/>
        </w:trPr>
        <w:tc>
          <w:tcPr>
            <w:tcW w:w="8400" w:type="dxa"/>
            <w:vAlign w:val="bottom"/>
          </w:tcPr>
          <w:p>
            <w:pPr>
              <w:spacing w:after="0"/>
              <w:rPr>
                <w:sz w:val="2"/>
                <w:szCs w:val="2"/>
                <w:color w:val="auto"/>
              </w:rPr>
            </w:pPr>
          </w:p>
        </w:tc>
        <w:tc>
          <w:tcPr>
            <w:tcW w:w="200" w:type="dxa"/>
            <w:vAlign w:val="bottom"/>
          </w:tcPr>
          <w:p>
            <w:pPr>
              <w:spacing w:after="0"/>
              <w:rPr>
                <w:sz w:val="2"/>
                <w:szCs w:val="2"/>
                <w:color w:val="auto"/>
              </w:rPr>
            </w:pPr>
          </w:p>
        </w:tc>
        <w:tc>
          <w:tcPr>
            <w:tcW w:w="540" w:type="dxa"/>
            <w:vAlign w:val="bottom"/>
          </w:tcPr>
          <w:p>
            <w:pPr>
              <w:spacing w:after="0"/>
              <w:rPr>
                <w:sz w:val="2"/>
                <w:szCs w:val="2"/>
                <w:color w:val="auto"/>
              </w:rPr>
            </w:pPr>
          </w:p>
        </w:tc>
        <w:tc>
          <w:tcPr>
            <w:tcW w:w="2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2023</w:t>
            </w:r>
          </w:p>
        </w:tc>
        <w:tc>
          <w:tcPr>
            <w:tcW w:w="200" w:type="dxa"/>
            <w:vAlign w:val="bottom"/>
            <w:tcBorders>
              <w:bottom w:val="single" w:sz="8" w:color="CCEEFF"/>
            </w:tcBorders>
            <w:shd w:val="clear" w:color="auto" w:fill="CCEEFF"/>
          </w:tcPr>
          <w:p>
            <w:pPr>
              <w:spacing w:after="0"/>
              <w:rPr>
                <w:sz w:val="21"/>
                <w:szCs w:val="21"/>
                <w:color w:val="auto"/>
              </w:rPr>
            </w:pPr>
          </w:p>
        </w:tc>
        <w:tc>
          <w:tcPr>
            <w:tcW w:w="540" w:type="dxa"/>
            <w:vAlign w:val="bottom"/>
            <w:tcBorders>
              <w:bottom w:val="single" w:sz="8" w:color="CCEEFF"/>
            </w:tcBorders>
            <w:shd w:val="clear" w:color="auto" w:fill="CCEEFF"/>
          </w:tcPr>
          <w:p>
            <w:pPr>
              <w:spacing w:after="0"/>
              <w:rPr>
                <w:sz w:val="21"/>
                <w:szCs w:val="21"/>
                <w:color w:val="auto"/>
              </w:rPr>
            </w:pPr>
          </w:p>
        </w:tc>
        <w:tc>
          <w:tcPr>
            <w:tcW w:w="21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40,084</w:t>
            </w:r>
          </w:p>
        </w:tc>
        <w:tc>
          <w:tcPr>
            <w:tcW w:w="0" w:type="dxa"/>
            <w:vAlign w:val="bottom"/>
          </w:tcPr>
          <w:p>
            <w:pPr>
              <w:spacing w:after="0"/>
              <w:rPr>
                <w:sz w:val="1"/>
                <w:szCs w:val="1"/>
                <w:color w:val="auto"/>
              </w:rPr>
            </w:pPr>
          </w:p>
        </w:tc>
      </w:tr>
      <w:tr>
        <w:trPr>
          <w:trHeight w:val="243"/>
        </w:trPr>
        <w:tc>
          <w:tcPr>
            <w:tcW w:w="8400" w:type="dxa"/>
            <w:vAlign w:val="bottom"/>
          </w:tcPr>
          <w:p>
            <w:pPr>
              <w:ind w:left="20"/>
              <w:spacing w:after="0"/>
              <w:rPr>
                <w:sz w:val="20"/>
                <w:szCs w:val="20"/>
                <w:color w:val="auto"/>
              </w:rPr>
            </w:pPr>
            <w:r>
              <w:rPr>
                <w:rFonts w:ascii="Arial" w:cs="Arial" w:eastAsia="Arial" w:hAnsi="Arial"/>
                <w:sz w:val="18"/>
                <w:szCs w:val="18"/>
                <w:color w:val="auto"/>
              </w:rPr>
              <w:t>2024</w:t>
            </w:r>
          </w:p>
        </w:tc>
        <w:tc>
          <w:tcPr>
            <w:tcW w:w="2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2100" w:type="dxa"/>
            <w:vAlign w:val="bottom"/>
          </w:tcPr>
          <w:p>
            <w:pPr>
              <w:jc w:val="right"/>
              <w:ind w:right="74"/>
              <w:spacing w:after="0"/>
              <w:rPr>
                <w:sz w:val="20"/>
                <w:szCs w:val="20"/>
                <w:color w:val="auto"/>
              </w:rPr>
            </w:pPr>
            <w:r>
              <w:rPr>
                <w:rFonts w:ascii="Arial" w:cs="Arial" w:eastAsia="Arial" w:hAnsi="Arial"/>
                <w:sz w:val="18"/>
                <w:szCs w:val="18"/>
                <w:color w:val="auto"/>
              </w:rPr>
              <w:t>29,309</w:t>
            </w:r>
          </w:p>
        </w:tc>
        <w:tc>
          <w:tcPr>
            <w:tcW w:w="0" w:type="dxa"/>
            <w:vAlign w:val="bottom"/>
          </w:tcPr>
          <w:p>
            <w:pPr>
              <w:spacing w:after="0"/>
              <w:rPr>
                <w:sz w:val="1"/>
                <w:szCs w:val="1"/>
                <w:color w:val="auto"/>
              </w:rPr>
            </w:pPr>
          </w:p>
        </w:tc>
      </w:tr>
      <w:tr>
        <w:trPr>
          <w:trHeight w:val="27"/>
        </w:trPr>
        <w:tc>
          <w:tcPr>
            <w:tcW w:w="8400" w:type="dxa"/>
            <w:vAlign w:val="bottom"/>
          </w:tcPr>
          <w:p>
            <w:pPr>
              <w:spacing w:after="0"/>
              <w:rPr>
                <w:sz w:val="2"/>
                <w:szCs w:val="2"/>
                <w:color w:val="auto"/>
              </w:rPr>
            </w:pPr>
          </w:p>
        </w:tc>
        <w:tc>
          <w:tcPr>
            <w:tcW w:w="200" w:type="dxa"/>
            <w:vAlign w:val="bottom"/>
          </w:tcPr>
          <w:p>
            <w:pPr>
              <w:spacing w:after="0"/>
              <w:rPr>
                <w:sz w:val="2"/>
                <w:szCs w:val="2"/>
                <w:color w:val="auto"/>
              </w:rPr>
            </w:pPr>
          </w:p>
        </w:tc>
        <w:tc>
          <w:tcPr>
            <w:tcW w:w="540" w:type="dxa"/>
            <w:vAlign w:val="bottom"/>
          </w:tcPr>
          <w:p>
            <w:pPr>
              <w:spacing w:after="0"/>
              <w:rPr>
                <w:sz w:val="2"/>
                <w:szCs w:val="2"/>
                <w:color w:val="auto"/>
              </w:rPr>
            </w:pPr>
          </w:p>
        </w:tc>
        <w:tc>
          <w:tcPr>
            <w:tcW w:w="2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2025</w:t>
            </w:r>
          </w:p>
        </w:tc>
        <w:tc>
          <w:tcPr>
            <w:tcW w:w="200" w:type="dxa"/>
            <w:vAlign w:val="bottom"/>
            <w:tcBorders>
              <w:bottom w:val="single" w:sz="8" w:color="CCEEFF"/>
            </w:tcBorders>
            <w:shd w:val="clear" w:color="auto" w:fill="CCEEFF"/>
          </w:tcPr>
          <w:p>
            <w:pPr>
              <w:spacing w:after="0"/>
              <w:rPr>
                <w:sz w:val="21"/>
                <w:szCs w:val="21"/>
                <w:color w:val="auto"/>
              </w:rPr>
            </w:pPr>
          </w:p>
        </w:tc>
        <w:tc>
          <w:tcPr>
            <w:tcW w:w="540" w:type="dxa"/>
            <w:vAlign w:val="bottom"/>
            <w:tcBorders>
              <w:bottom w:val="single" w:sz="8" w:color="CCEEFF"/>
            </w:tcBorders>
            <w:shd w:val="clear" w:color="auto" w:fill="CCEEFF"/>
          </w:tcPr>
          <w:p>
            <w:pPr>
              <w:spacing w:after="0"/>
              <w:rPr>
                <w:sz w:val="21"/>
                <w:szCs w:val="21"/>
                <w:color w:val="auto"/>
              </w:rPr>
            </w:pPr>
          </w:p>
        </w:tc>
        <w:tc>
          <w:tcPr>
            <w:tcW w:w="21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309</w:t>
            </w:r>
          </w:p>
        </w:tc>
        <w:tc>
          <w:tcPr>
            <w:tcW w:w="0" w:type="dxa"/>
            <w:vAlign w:val="bottom"/>
          </w:tcPr>
          <w:p>
            <w:pPr>
              <w:spacing w:after="0"/>
              <w:rPr>
                <w:sz w:val="1"/>
                <w:szCs w:val="1"/>
                <w:color w:val="auto"/>
              </w:rPr>
            </w:pPr>
          </w:p>
        </w:tc>
      </w:tr>
      <w:tr>
        <w:trPr>
          <w:trHeight w:val="243"/>
        </w:trPr>
        <w:tc>
          <w:tcPr>
            <w:tcW w:w="860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540" w:type="dxa"/>
            <w:vAlign w:val="bottom"/>
          </w:tcPr>
          <w:p>
            <w:pPr>
              <w:spacing w:after="0"/>
              <w:rPr>
                <w:sz w:val="21"/>
                <w:szCs w:val="21"/>
                <w:color w:val="auto"/>
              </w:rPr>
            </w:pPr>
          </w:p>
        </w:tc>
        <w:tc>
          <w:tcPr>
            <w:tcW w:w="2100" w:type="dxa"/>
            <w:vAlign w:val="bottom"/>
          </w:tcPr>
          <w:p>
            <w:pPr>
              <w:jc w:val="right"/>
              <w:ind w:right="74"/>
              <w:spacing w:after="0"/>
              <w:rPr>
                <w:sz w:val="20"/>
                <w:szCs w:val="20"/>
                <w:color w:val="auto"/>
              </w:rPr>
            </w:pPr>
            <w:r>
              <w:rPr>
                <w:rFonts w:ascii="Arial" w:cs="Arial" w:eastAsia="Arial" w:hAnsi="Arial"/>
                <w:sz w:val="18"/>
                <w:szCs w:val="18"/>
                <w:color w:val="auto"/>
              </w:rPr>
              <w:t>309</w:t>
            </w:r>
          </w:p>
        </w:tc>
        <w:tc>
          <w:tcPr>
            <w:tcW w:w="0" w:type="dxa"/>
            <w:vAlign w:val="bottom"/>
          </w:tcPr>
          <w:p>
            <w:pPr>
              <w:spacing w:after="0"/>
              <w:rPr>
                <w:sz w:val="1"/>
                <w:szCs w:val="1"/>
                <w:color w:val="auto"/>
              </w:rPr>
            </w:pPr>
          </w:p>
        </w:tc>
      </w:tr>
      <w:tr>
        <w:trPr>
          <w:trHeight w:val="27"/>
        </w:trPr>
        <w:tc>
          <w:tcPr>
            <w:tcW w:w="84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2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860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 future minimum payments</w:t>
            </w:r>
          </w:p>
        </w:tc>
        <w:tc>
          <w:tcPr>
            <w:tcW w:w="540" w:type="dxa"/>
            <w:vAlign w:val="bottom"/>
            <w:tcBorders>
              <w:bottom w:val="single" w:sz="8" w:color="CCEEFF"/>
            </w:tcBorders>
            <w:shd w:val="clear" w:color="auto" w:fill="CCEEFF"/>
          </w:tcPr>
          <w:p>
            <w:pPr>
              <w:spacing w:after="0"/>
              <w:rPr>
                <w:sz w:val="21"/>
                <w:szCs w:val="21"/>
                <w:color w:val="auto"/>
              </w:rPr>
            </w:pPr>
          </w:p>
        </w:tc>
        <w:tc>
          <w:tcPr>
            <w:tcW w:w="21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224,416</w:t>
            </w:r>
          </w:p>
        </w:tc>
        <w:tc>
          <w:tcPr>
            <w:tcW w:w="0" w:type="dxa"/>
            <w:vAlign w:val="bottom"/>
          </w:tcPr>
          <w:p>
            <w:pPr>
              <w:spacing w:after="0"/>
              <w:rPr>
                <w:sz w:val="1"/>
                <w:szCs w:val="1"/>
                <w:color w:val="auto"/>
              </w:rPr>
            </w:pPr>
          </w:p>
        </w:tc>
      </w:tr>
      <w:tr>
        <w:trPr>
          <w:trHeight w:val="243"/>
        </w:trPr>
        <w:tc>
          <w:tcPr>
            <w:tcW w:w="8600" w:type="dxa"/>
            <w:vAlign w:val="bottom"/>
            <w:gridSpan w:val="2"/>
          </w:tcPr>
          <w:p>
            <w:pPr>
              <w:ind w:left="660"/>
              <w:spacing w:after="0"/>
              <w:rPr>
                <w:sz w:val="20"/>
                <w:szCs w:val="20"/>
                <w:color w:val="auto"/>
              </w:rPr>
            </w:pPr>
            <w:r>
              <w:rPr>
                <w:rFonts w:ascii="Arial" w:cs="Arial" w:eastAsia="Arial" w:hAnsi="Arial"/>
                <w:sz w:val="18"/>
                <w:szCs w:val="18"/>
                <w:color w:val="auto"/>
              </w:rPr>
              <w:t>Less: amount representing interest</w:t>
            </w:r>
          </w:p>
        </w:tc>
        <w:tc>
          <w:tcPr>
            <w:tcW w:w="540" w:type="dxa"/>
            <w:vAlign w:val="bottom"/>
          </w:tcPr>
          <w:p>
            <w:pPr>
              <w:spacing w:after="0"/>
              <w:rPr>
                <w:sz w:val="21"/>
                <w:szCs w:val="21"/>
                <w:color w:val="auto"/>
              </w:rPr>
            </w:pPr>
          </w:p>
        </w:tc>
        <w:tc>
          <w:tcPr>
            <w:tcW w:w="2100" w:type="dxa"/>
            <w:vAlign w:val="bottom"/>
          </w:tcPr>
          <w:p>
            <w:pPr>
              <w:jc w:val="right"/>
              <w:ind w:right="14"/>
              <w:spacing w:after="0"/>
              <w:rPr>
                <w:sz w:val="20"/>
                <w:szCs w:val="20"/>
                <w:color w:val="auto"/>
              </w:rPr>
            </w:pPr>
            <w:r>
              <w:rPr>
                <w:rFonts w:ascii="Arial" w:cs="Arial" w:eastAsia="Arial" w:hAnsi="Arial"/>
                <w:sz w:val="18"/>
                <w:szCs w:val="18"/>
                <w:color w:val="auto"/>
              </w:rPr>
              <w:t>(8,843)</w:t>
            </w:r>
          </w:p>
        </w:tc>
        <w:tc>
          <w:tcPr>
            <w:tcW w:w="0" w:type="dxa"/>
            <w:vAlign w:val="bottom"/>
          </w:tcPr>
          <w:p>
            <w:pPr>
              <w:spacing w:after="0"/>
              <w:rPr>
                <w:sz w:val="1"/>
                <w:szCs w:val="1"/>
                <w:color w:val="auto"/>
              </w:rPr>
            </w:pPr>
          </w:p>
        </w:tc>
      </w:tr>
      <w:tr>
        <w:trPr>
          <w:trHeight w:val="27"/>
        </w:trPr>
        <w:tc>
          <w:tcPr>
            <w:tcW w:w="84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2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860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Present value of future minimum payments</w:t>
            </w:r>
          </w:p>
        </w:tc>
        <w:tc>
          <w:tcPr>
            <w:tcW w:w="540" w:type="dxa"/>
            <w:vAlign w:val="bottom"/>
            <w:tcBorders>
              <w:bottom w:val="single" w:sz="8" w:color="CCEEFF"/>
            </w:tcBorders>
            <w:shd w:val="clear" w:color="auto" w:fill="CCEEFF"/>
          </w:tcPr>
          <w:p>
            <w:pPr>
              <w:spacing w:after="0"/>
              <w:rPr>
                <w:sz w:val="21"/>
                <w:szCs w:val="21"/>
                <w:color w:val="auto"/>
              </w:rPr>
            </w:pPr>
          </w:p>
        </w:tc>
        <w:tc>
          <w:tcPr>
            <w:tcW w:w="21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215,573</w:t>
            </w:r>
          </w:p>
        </w:tc>
        <w:tc>
          <w:tcPr>
            <w:tcW w:w="0" w:type="dxa"/>
            <w:vAlign w:val="bottom"/>
          </w:tcPr>
          <w:p>
            <w:pPr>
              <w:spacing w:after="0"/>
              <w:rPr>
                <w:sz w:val="1"/>
                <w:szCs w:val="1"/>
                <w:color w:val="auto"/>
              </w:rPr>
            </w:pPr>
          </w:p>
        </w:tc>
      </w:tr>
      <w:tr>
        <w:trPr>
          <w:trHeight w:val="243"/>
        </w:trPr>
        <w:tc>
          <w:tcPr>
            <w:tcW w:w="8600" w:type="dxa"/>
            <w:vAlign w:val="bottom"/>
            <w:gridSpan w:val="2"/>
          </w:tcPr>
          <w:p>
            <w:pPr>
              <w:ind w:left="660"/>
              <w:spacing w:after="0"/>
              <w:rPr>
                <w:sz w:val="20"/>
                <w:szCs w:val="20"/>
                <w:color w:val="auto"/>
              </w:rPr>
            </w:pPr>
            <w:r>
              <w:rPr>
                <w:rFonts w:ascii="Arial" w:cs="Arial" w:eastAsia="Arial" w:hAnsi="Arial"/>
                <w:sz w:val="18"/>
                <w:szCs w:val="18"/>
                <w:color w:val="auto"/>
              </w:rPr>
              <w:t>Less: current portion</w:t>
            </w:r>
          </w:p>
        </w:tc>
        <w:tc>
          <w:tcPr>
            <w:tcW w:w="540" w:type="dxa"/>
            <w:vAlign w:val="bottom"/>
          </w:tcPr>
          <w:p>
            <w:pPr>
              <w:spacing w:after="0"/>
              <w:rPr>
                <w:sz w:val="21"/>
                <w:szCs w:val="21"/>
                <w:color w:val="auto"/>
              </w:rPr>
            </w:pPr>
          </w:p>
        </w:tc>
        <w:tc>
          <w:tcPr>
            <w:tcW w:w="2100" w:type="dxa"/>
            <w:vAlign w:val="bottom"/>
          </w:tcPr>
          <w:p>
            <w:pPr>
              <w:jc w:val="right"/>
              <w:ind w:right="14"/>
              <w:spacing w:after="0"/>
              <w:rPr>
                <w:sz w:val="20"/>
                <w:szCs w:val="20"/>
                <w:color w:val="auto"/>
              </w:rPr>
            </w:pPr>
            <w:r>
              <w:rPr>
                <w:rFonts w:ascii="Arial" w:cs="Arial" w:eastAsia="Arial" w:hAnsi="Arial"/>
                <w:sz w:val="18"/>
                <w:szCs w:val="18"/>
                <w:color w:val="auto"/>
              </w:rPr>
              <w:t>(71,623)</w:t>
            </w:r>
          </w:p>
        </w:tc>
        <w:tc>
          <w:tcPr>
            <w:tcW w:w="0" w:type="dxa"/>
            <w:vAlign w:val="bottom"/>
          </w:tcPr>
          <w:p>
            <w:pPr>
              <w:spacing w:after="0"/>
              <w:rPr>
                <w:sz w:val="1"/>
                <w:szCs w:val="1"/>
                <w:color w:val="auto"/>
              </w:rPr>
            </w:pPr>
          </w:p>
        </w:tc>
      </w:tr>
      <w:tr>
        <w:trPr>
          <w:trHeight w:val="27"/>
        </w:trPr>
        <w:tc>
          <w:tcPr>
            <w:tcW w:w="84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2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9"/>
        </w:trPr>
        <w:tc>
          <w:tcPr>
            <w:tcW w:w="860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Non-current portion</w:t>
            </w:r>
          </w:p>
        </w:tc>
        <w:tc>
          <w:tcPr>
            <w:tcW w:w="540" w:type="dxa"/>
            <w:vAlign w:val="bottom"/>
            <w:tcBorders>
              <w:bottom w:val="single" w:sz="8" w:color="CCEEFF"/>
            </w:tcBorders>
            <w:shd w:val="clear" w:color="auto" w:fill="CCEEFF"/>
          </w:tcPr>
          <w:p>
            <w:pPr>
              <w:jc w:val="right"/>
              <w:ind w:right="350"/>
              <w:spacing w:after="0"/>
              <w:rPr>
                <w:sz w:val="20"/>
                <w:szCs w:val="20"/>
                <w:color w:val="auto"/>
              </w:rPr>
            </w:pPr>
            <w:r>
              <w:rPr>
                <w:rFonts w:ascii="Arial" w:cs="Arial" w:eastAsia="Arial" w:hAnsi="Arial"/>
                <w:sz w:val="18"/>
                <w:szCs w:val="18"/>
                <w:color w:val="auto"/>
                <w:w w:val="79"/>
              </w:rPr>
              <w:t>$</w:t>
            </w:r>
          </w:p>
        </w:tc>
        <w:tc>
          <w:tcPr>
            <w:tcW w:w="21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143,950</w:t>
            </w:r>
          </w:p>
        </w:tc>
        <w:tc>
          <w:tcPr>
            <w:tcW w:w="0" w:type="dxa"/>
            <w:vAlign w:val="bottom"/>
          </w:tcPr>
          <w:p>
            <w:pPr>
              <w:spacing w:after="0"/>
              <w:rPr>
                <w:sz w:val="1"/>
                <w:szCs w:val="1"/>
                <w:color w:val="auto"/>
              </w:rPr>
            </w:pPr>
          </w:p>
        </w:tc>
      </w:tr>
      <w:tr>
        <w:trPr>
          <w:trHeight w:val="20"/>
        </w:trPr>
        <w:tc>
          <w:tcPr>
            <w:tcW w:w="84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1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left="420" w:right="820"/>
        <w:spacing w:after="0" w:line="375" w:lineRule="auto"/>
        <w:rPr>
          <w:sz w:val="20"/>
          <w:szCs w:val="20"/>
          <w:color w:val="auto"/>
        </w:rPr>
      </w:pPr>
      <w:r>
        <w:rPr>
          <w:rFonts w:ascii="Arial" w:cs="Arial" w:eastAsia="Arial" w:hAnsi="Arial"/>
          <w:sz w:val="18"/>
          <w:szCs w:val="18"/>
          <w:color w:val="auto"/>
        </w:rPr>
        <w:t xml:space="preserve">Technology license obligations include the liabilities under agreements for technology licenses between the Company and various vendors. </w:t>
      </w:r>
      <w:r>
        <w:rPr>
          <w:rFonts w:ascii="Arial" w:cs="Arial" w:eastAsia="Arial" w:hAnsi="Arial"/>
          <w:sz w:val="18"/>
          <w:szCs w:val="18"/>
          <w:b w:val="1"/>
          <w:bCs w:val="1"/>
          <w:i w:val="1"/>
          <w:iCs w:val="1"/>
          <w:color w:val="auto"/>
        </w:rPr>
        <w:t>Purchase Commitments</w:t>
      </w:r>
    </w:p>
    <w:p>
      <w:pPr>
        <w:spacing w:after="0" w:line="1" w:lineRule="exact"/>
        <w:rPr>
          <w:sz w:val="20"/>
          <w:szCs w:val="20"/>
          <w:color w:val="auto"/>
        </w:rPr>
      </w:pPr>
    </w:p>
    <w:p>
      <w:pPr>
        <w:jc w:val="both"/>
        <w:ind w:right="240" w:firstLine="405"/>
        <w:spacing w:after="0" w:line="263"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is allowed but requires payment of all costs and expenses incurred through the date of cancellation. As of February 1, 2020, these foundries had incurred approximately $163.7 million of manufacturing costs and expenses relating to the Company’s outstanding purchase orders.</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117" w:lineRule="exact"/>
        <w:rPr>
          <w:sz w:val="20"/>
          <w:szCs w:val="20"/>
          <w:color w:val="auto"/>
        </w:rPr>
      </w:pPr>
    </w:p>
    <w:p>
      <w:pPr>
        <w:jc w:val="both"/>
        <w:ind w:right="120" w:firstLine="405"/>
        <w:spacing w:after="0" w:line="263" w:lineRule="auto"/>
        <w:rPr>
          <w:sz w:val="20"/>
          <w:szCs w:val="20"/>
          <w:color w:val="auto"/>
        </w:rPr>
      </w:pPr>
      <w:r>
        <w:rPr>
          <w:rFonts w:ascii="Arial" w:cs="Arial" w:eastAsia="Arial" w:hAnsi="Arial"/>
          <w:sz w:val="18"/>
          <w:szCs w:val="18"/>
          <w:color w:val="auto"/>
        </w:rPr>
        <w:t>The Company currently is, and may from time to time become,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211" w:lineRule="exact"/>
        <w:rPr>
          <w:sz w:val="20"/>
          <w:szCs w:val="20"/>
          <w:color w:val="auto"/>
        </w:rPr>
      </w:pPr>
    </w:p>
    <w:p>
      <w:pPr>
        <w:ind w:right="80" w:firstLine="405"/>
        <w:spacing w:after="0" w:line="267" w:lineRule="auto"/>
        <w:rPr>
          <w:sz w:val="20"/>
          <w:szCs w:val="20"/>
          <w:color w:val="auto"/>
        </w:rPr>
      </w:pPr>
      <w:r>
        <w:rPr>
          <w:rFonts w:ascii="Arial" w:cs="Arial" w:eastAsia="Arial" w:hAnsi="Arial"/>
          <w:sz w:val="17"/>
          <w:szCs w:val="17"/>
          <w:color w:val="auto"/>
        </w:rPr>
        <w:t>The Company is currently unable to predict the final outcome of its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any Legal Matter involves judgments, estimates and inherent uncertainties. An unfavorable outcome in a Legal Matter, particularly in a patent dispute,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w:t>
      </w:r>
    </w:p>
    <w:p>
      <w:pPr>
        <w:spacing w:after="0" w:line="3" w:lineRule="exact"/>
        <w:rPr>
          <w:sz w:val="20"/>
          <w:szCs w:val="20"/>
          <w:color w:val="auto"/>
        </w:rPr>
      </w:pPr>
    </w:p>
    <w:p>
      <w:pPr>
        <w:ind w:right="20"/>
        <w:spacing w:after="0" w:line="260" w:lineRule="auto"/>
        <w:rPr>
          <w:sz w:val="20"/>
          <w:szCs w:val="20"/>
          <w:color w:val="auto"/>
        </w:rPr>
      </w:pPr>
      <w:r>
        <w:rPr>
          <w:rFonts w:ascii="Arial" w:cs="Arial" w:eastAsia="Arial" w:hAnsi="Arial"/>
          <w:sz w:val="18"/>
          <w:szCs w:val="18"/>
          <w:color w:val="auto"/>
        </w:rPr>
        <w:t>on its financial condition, however, there can be no assurance that the current or any future Legal Matters will be resolved in a manner that is not adverse to the Company’s business, financial condition, results of operations or cash flows.</w:t>
      </w: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82" w:name="page83"/>
    <w:bookmarkEnd w:id="82"/>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43"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117" w:lineRule="exact"/>
        <w:rPr>
          <w:sz w:val="20"/>
          <w:szCs w:val="20"/>
          <w:color w:val="auto"/>
        </w:rPr>
      </w:pPr>
    </w:p>
    <w:p>
      <w:pPr>
        <w:ind w:right="20" w:firstLine="445"/>
        <w:spacing w:after="0" w:line="288"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60"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117" w:lineRule="exact"/>
        <w:rPr>
          <w:sz w:val="20"/>
          <w:szCs w:val="20"/>
          <w:color w:val="auto"/>
        </w:rPr>
      </w:pPr>
    </w:p>
    <w:p>
      <w:pPr>
        <w:ind w:firstLine="445"/>
        <w:spacing w:after="0" w:line="290" w:lineRule="auto"/>
        <w:rPr>
          <w:sz w:val="20"/>
          <w:szCs w:val="20"/>
          <w:color w:val="auto"/>
        </w:rPr>
      </w:pPr>
      <w:r>
        <w:rPr>
          <w:rFonts w:ascii="Arial" w:cs="Arial" w:eastAsia="Arial" w:hAnsi="Arial"/>
          <w:sz w:val="16"/>
          <w:szCs w:val="16"/>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472" w:right="359" w:bottom="1440" w:gutter="0" w:footer="0" w:header="0"/>
        </w:sectPr>
      </w:pPr>
    </w:p>
    <w:bookmarkStart w:id="83" w:name="page84"/>
    <w:bookmarkEnd w:id="83"/>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Shareholders’ Equity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Preferred and Common Stock</w:t>
      </w:r>
    </w:p>
    <w:p>
      <w:pPr>
        <w:spacing w:after="0" w:line="117" w:lineRule="exact"/>
        <w:rPr>
          <w:sz w:val="20"/>
          <w:szCs w:val="20"/>
          <w:color w:val="auto"/>
        </w:rPr>
      </w:pPr>
    </w:p>
    <w:p>
      <w:pPr>
        <w:ind w:right="40" w:firstLine="405"/>
        <w:spacing w:after="0" w:line="277" w:lineRule="auto"/>
        <w:rPr>
          <w:sz w:val="20"/>
          <w:szCs w:val="20"/>
          <w:color w:val="auto"/>
        </w:rPr>
      </w:pPr>
      <w:r>
        <w:rPr>
          <w:rFonts w:ascii="Arial" w:cs="Arial" w:eastAsia="Arial" w:hAnsi="Arial"/>
          <w:sz w:val="18"/>
          <w:szCs w:val="18"/>
          <w:color w:val="auto"/>
        </w:rPr>
        <w:t>Under the terms of the Company’s Articles of Association, the Board of Directors may determine the rights, preferences, and terms of the Company’s authorized but unissued shares of preferred stock.</w:t>
      </w:r>
    </w:p>
    <w:p>
      <w:pPr>
        <w:spacing w:after="0" w:line="62" w:lineRule="exact"/>
        <w:rPr>
          <w:sz w:val="20"/>
          <w:szCs w:val="20"/>
          <w:color w:val="auto"/>
        </w:rPr>
      </w:pPr>
    </w:p>
    <w:p>
      <w:pPr>
        <w:ind w:right="60" w:firstLine="405"/>
        <w:spacing w:after="0" w:line="277" w:lineRule="auto"/>
        <w:rPr>
          <w:sz w:val="20"/>
          <w:szCs w:val="20"/>
          <w:color w:val="auto"/>
        </w:rPr>
      </w:pPr>
      <w:r>
        <w:rPr>
          <w:rFonts w:ascii="Arial" w:cs="Arial" w:eastAsia="Arial" w:hAnsi="Arial"/>
          <w:sz w:val="18"/>
          <w:szCs w:val="18"/>
          <w:color w:val="auto"/>
        </w:rPr>
        <w:t>As of February 1, 2020, the Company is authorized to issue 8.0 million shares of $0.002 par value preferred stock and 992.0 million shares of $0.002 par value common stock. As of February 1, 2020, and February 2, 2019, no shares of preferred stock were outstanding.</w:t>
      </w:r>
    </w:p>
    <w:p>
      <w:pPr>
        <w:spacing w:after="0" w:line="62" w:lineRule="exact"/>
        <w:rPr>
          <w:sz w:val="20"/>
          <w:szCs w:val="20"/>
          <w:color w:val="auto"/>
        </w:rPr>
      </w:pPr>
    </w:p>
    <w:p>
      <w:pPr>
        <w:ind w:right="200" w:firstLine="405"/>
        <w:spacing w:after="0" w:line="342" w:lineRule="auto"/>
        <w:rPr>
          <w:sz w:val="20"/>
          <w:szCs w:val="20"/>
          <w:color w:val="auto"/>
        </w:rPr>
      </w:pPr>
      <w:r>
        <w:rPr>
          <w:rFonts w:ascii="Arial" w:cs="Arial" w:eastAsia="Arial" w:hAnsi="Arial"/>
          <w:sz w:val="16"/>
          <w:szCs w:val="16"/>
          <w:color w:val="auto"/>
        </w:rPr>
        <w:t>In June 2019, the Company executed a funded research and development agreement with a business partner. In conjunction with the agreement, the Company issued a warrant to purchase 9.0 million of the Company's common shares, subject to certain vesting and exercise conditions.</w:t>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Restricted Stock Unit Withholdings</w:t>
      </w:r>
    </w:p>
    <w:p>
      <w:pPr>
        <w:spacing w:after="0" w:line="117" w:lineRule="exact"/>
        <w:rPr>
          <w:sz w:val="20"/>
          <w:szCs w:val="20"/>
          <w:color w:val="auto"/>
        </w:rPr>
      </w:pPr>
    </w:p>
    <w:p>
      <w:pPr>
        <w:ind w:firstLine="405"/>
        <w:spacing w:after="0" w:line="342" w:lineRule="auto"/>
        <w:rPr>
          <w:sz w:val="20"/>
          <w:szCs w:val="20"/>
          <w:color w:val="auto"/>
        </w:rPr>
      </w:pPr>
      <w:r>
        <w:rPr>
          <w:rFonts w:ascii="Arial" w:cs="Arial" w:eastAsia="Arial" w:hAnsi="Arial"/>
          <w:sz w:val="16"/>
          <w:szCs w:val="16"/>
          <w:color w:val="auto"/>
        </w:rPr>
        <w:t>For the years ended February 1, 2020 and February 2, 2019, the Company withheld approximately 4.0 million and 2.7 million shares, or $98.3 million and $54.9 million, of common stock, respectively, in settlement of employee tax withholding obligations due upon the vesting of restricted stock.</w:t>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Cash Dividends on Shares of Common Stock</w:t>
      </w:r>
    </w:p>
    <w:p>
      <w:pPr>
        <w:spacing w:after="0" w:line="117" w:lineRule="exact"/>
        <w:rPr>
          <w:sz w:val="20"/>
          <w:szCs w:val="20"/>
          <w:color w:val="auto"/>
        </w:rPr>
      </w:pPr>
    </w:p>
    <w:p>
      <w:pPr>
        <w:ind w:right="340" w:firstLine="405"/>
        <w:spacing w:after="0" w:line="263" w:lineRule="auto"/>
        <w:rPr>
          <w:sz w:val="20"/>
          <w:szCs w:val="20"/>
          <w:color w:val="auto"/>
        </w:rPr>
      </w:pPr>
      <w:r>
        <w:rPr>
          <w:rFonts w:ascii="Arial" w:cs="Arial" w:eastAsia="Arial" w:hAnsi="Arial"/>
          <w:sz w:val="18"/>
          <w:szCs w:val="18"/>
          <w:color w:val="auto"/>
        </w:rPr>
        <w:t>During fiscal 2020, the Company declared and paid cash dividends of $0.24 per common share, or $159.6 million, on the Company’s outstanding common stock. During fiscal 2019, the Company declared and paid cash dividends of $0.24 per common share, or $148.1 million, on the Company’s outstanding common stock.</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Any future dividends will be subject to the approval of the Company's Board of Directors.</w:t>
      </w:r>
    </w:p>
    <w:p>
      <w:pPr>
        <w:spacing w:after="0" w:line="117" w:lineRule="exact"/>
        <w:rPr>
          <w:sz w:val="20"/>
          <w:szCs w:val="20"/>
          <w:color w:val="auto"/>
        </w:rPr>
      </w:pPr>
    </w:p>
    <w:p>
      <w:pPr>
        <w:ind w:right="380" w:firstLine="405"/>
        <w:spacing w:after="0" w:line="277" w:lineRule="auto"/>
        <w:rPr>
          <w:sz w:val="20"/>
          <w:szCs w:val="20"/>
          <w:color w:val="auto"/>
        </w:rPr>
      </w:pPr>
      <w:r>
        <w:rPr>
          <w:rFonts w:ascii="Arial" w:cs="Arial" w:eastAsia="Arial" w:hAnsi="Arial"/>
          <w:sz w:val="18"/>
          <w:szCs w:val="18"/>
          <w:color w:val="auto"/>
        </w:rPr>
        <w:t>On March 12, 2020, the Company announced that its board of directors declared a cash dividend of $0.06 per share payable on April 22, 2020 to shareholders of record as of April 3, 2020.</w:t>
      </w:r>
    </w:p>
    <w:p>
      <w:pPr>
        <w:spacing w:after="0" w:line="6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Stock Repurchase Program</w:t>
      </w:r>
    </w:p>
    <w:p>
      <w:pPr>
        <w:spacing w:after="0" w:line="117" w:lineRule="exact"/>
        <w:rPr>
          <w:sz w:val="20"/>
          <w:szCs w:val="20"/>
          <w:color w:val="auto"/>
        </w:rPr>
      </w:pPr>
    </w:p>
    <w:p>
      <w:pPr>
        <w:ind w:firstLine="405"/>
        <w:spacing w:after="0" w:line="254" w:lineRule="auto"/>
        <w:rPr>
          <w:sz w:val="20"/>
          <w:szCs w:val="20"/>
          <w:color w:val="auto"/>
        </w:rPr>
      </w:pPr>
      <w:r>
        <w:rPr>
          <w:rFonts w:ascii="Arial" w:cs="Arial" w:eastAsia="Arial" w:hAnsi="Arial"/>
          <w:sz w:val="18"/>
          <w:szCs w:val="18"/>
          <w:color w:val="auto"/>
        </w:rPr>
        <w:t>On November 17, 2016, the Company announced that its Board of Directors authorized a $1.0 billion share repurchase plan. The newly authorized stock repurchase program replaced in its entirety the prior $3.25 billion stock repurchase program. On October 16, 2018, the Company announced that its Board of Directors authorized a $700 million addition to the balance of its existing share repurchase plan.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shares and the repurchase program may be extended, modified, suspended or discontinued at any time.</w:t>
      </w:r>
    </w:p>
    <w:p>
      <w:pPr>
        <w:spacing w:after="0" w:line="87" w:lineRule="exact"/>
        <w:rPr>
          <w:sz w:val="20"/>
          <w:szCs w:val="20"/>
          <w:color w:val="auto"/>
        </w:rPr>
      </w:pPr>
    </w:p>
    <w:p>
      <w:pPr>
        <w:ind w:right="100" w:firstLine="405"/>
        <w:spacing w:after="0" w:line="275" w:lineRule="auto"/>
        <w:rPr>
          <w:sz w:val="20"/>
          <w:szCs w:val="20"/>
          <w:color w:val="auto"/>
        </w:rPr>
      </w:pPr>
      <w:r>
        <w:rPr>
          <w:rFonts w:ascii="Arial" w:cs="Arial" w:eastAsia="Arial" w:hAnsi="Arial"/>
          <w:sz w:val="17"/>
          <w:szCs w:val="17"/>
          <w:color w:val="auto"/>
        </w:rPr>
        <w:t>The Company repurchased 14.5 million of its common shares for $364.3 million, 6.0 million of its common shares for $104.0 million and 31.5 million of its common shares for $526.1 million in cash during fiscal 2020, 2019 and 2018, respectively. The repurchased shares were retired immediately after the repurchases were completed. The Company records all repurchases, as well as investment purchases and sales, based on their trade date. As of February 1, 2020, a total of 306.9 million shares have been repurchased to date under the Company’s share repurchase program for a total $4.2 billion in cash and there was $589.7 million remaining available for future share repurchases.</w:t>
      </w:r>
    </w:p>
    <w:p>
      <w:pPr>
        <w:spacing w:after="0" w:line="68" w:lineRule="exact"/>
        <w:rPr>
          <w:sz w:val="20"/>
          <w:szCs w:val="20"/>
          <w:color w:val="auto"/>
        </w:rPr>
      </w:pPr>
    </w:p>
    <w:p>
      <w:pPr>
        <w:ind w:right="140" w:firstLine="405"/>
        <w:spacing w:after="0" w:line="277" w:lineRule="auto"/>
        <w:rPr>
          <w:sz w:val="20"/>
          <w:szCs w:val="20"/>
          <w:color w:val="auto"/>
        </w:rPr>
      </w:pPr>
      <w:r>
        <w:rPr>
          <w:rFonts w:ascii="Arial" w:cs="Arial" w:eastAsia="Arial" w:hAnsi="Arial"/>
          <w:sz w:val="18"/>
          <w:szCs w:val="18"/>
          <w:color w:val="auto"/>
        </w:rPr>
        <w:t>Subsequent to the year ended February 1, 2020 through March 16, 2020, the Company purchased an additional 0.8 million of its common shares for $17.2 million at an average price per share of $21.14.</w:t>
      </w:r>
    </w:p>
    <w:p>
      <w:pPr>
        <w:spacing w:after="0" w:line="3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472" w:right="359" w:bottom="1440" w:gutter="0" w:footer="0" w:header="0"/>
        </w:sectPr>
      </w:pPr>
    </w:p>
    <w:bookmarkStart w:id="84" w:name="page85"/>
    <w:bookmarkEnd w:id="84"/>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480" w:firstLine="405"/>
        <w:spacing w:after="0" w:line="277" w:lineRule="auto"/>
        <w:rPr>
          <w:sz w:val="20"/>
          <w:szCs w:val="20"/>
          <w:color w:val="auto"/>
        </w:rPr>
      </w:pPr>
      <w:r>
        <w:rPr>
          <w:rFonts w:ascii="Arial" w:cs="Arial" w:eastAsia="Arial" w:hAnsi="Arial"/>
          <w:sz w:val="18"/>
          <w:szCs w:val="18"/>
          <w:color w:val="auto"/>
        </w:rPr>
        <w:t>A summary of the stock repurchase activity under the stock repurchase program, reported based on the trade date, is summarized as follows (in thousands, except per-share amounts):</w:t>
      </w:r>
    </w:p>
    <w:p>
      <w:pPr>
        <w:spacing w:after="0" w:line="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060" w:type="dxa"/>
            <w:vAlign w:val="bottom"/>
          </w:tcPr>
          <w:p>
            <w:pPr>
              <w:spacing w:after="0"/>
              <w:rPr>
                <w:sz w:val="14"/>
                <w:szCs w:val="14"/>
                <w:color w:val="auto"/>
              </w:rPr>
            </w:pPr>
          </w:p>
        </w:tc>
        <w:tc>
          <w:tcPr>
            <w:tcW w:w="138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89"/>
              </w:rPr>
              <w:t>Shares</w:t>
            </w:r>
          </w:p>
        </w:tc>
        <w:tc>
          <w:tcPr>
            <w:tcW w:w="180" w:type="dxa"/>
            <w:vAlign w:val="bottom"/>
          </w:tcPr>
          <w:p>
            <w:pPr>
              <w:spacing w:after="0"/>
              <w:rPr>
                <w:sz w:val="14"/>
                <w:szCs w:val="14"/>
                <w:color w:val="auto"/>
              </w:rPr>
            </w:pPr>
          </w:p>
        </w:tc>
        <w:tc>
          <w:tcPr>
            <w:tcW w:w="13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1"/>
              </w:rPr>
              <w:t>Weighted-</w:t>
            </w:r>
          </w:p>
        </w:tc>
        <w:tc>
          <w:tcPr>
            <w:tcW w:w="160" w:type="dxa"/>
            <w:vAlign w:val="bottom"/>
          </w:tcPr>
          <w:p>
            <w:pPr>
              <w:spacing w:after="0"/>
              <w:rPr>
                <w:sz w:val="14"/>
                <w:szCs w:val="14"/>
                <w:color w:val="auto"/>
              </w:rPr>
            </w:pPr>
          </w:p>
        </w:tc>
        <w:tc>
          <w:tcPr>
            <w:tcW w:w="1100" w:type="dxa"/>
            <w:vAlign w:val="bottom"/>
            <w:vMerge w:val="restart"/>
          </w:tcPr>
          <w:p>
            <w:pPr>
              <w:jc w:val="right"/>
              <w:ind w:right="294"/>
              <w:spacing w:after="0"/>
              <w:rPr>
                <w:sz w:val="20"/>
                <w:szCs w:val="20"/>
                <w:color w:val="auto"/>
              </w:rPr>
            </w:pPr>
            <w:r>
              <w:rPr>
                <w:rFonts w:ascii="Arial" w:cs="Arial" w:eastAsia="Arial" w:hAnsi="Arial"/>
                <w:sz w:val="14"/>
                <w:szCs w:val="14"/>
                <w:b w:val="1"/>
                <w:bCs w:val="1"/>
                <w:color w:val="auto"/>
              </w:rPr>
              <w:t>Amount</w:t>
            </w:r>
          </w:p>
        </w:tc>
        <w:tc>
          <w:tcPr>
            <w:tcW w:w="0" w:type="dxa"/>
            <w:vAlign w:val="bottom"/>
          </w:tcPr>
          <w:p>
            <w:pPr>
              <w:spacing w:after="0"/>
              <w:rPr>
                <w:sz w:val="1"/>
                <w:szCs w:val="1"/>
                <w:color w:val="auto"/>
              </w:rPr>
            </w:pPr>
          </w:p>
        </w:tc>
      </w:tr>
      <w:tr>
        <w:trPr>
          <w:trHeight w:val="148"/>
        </w:trPr>
        <w:tc>
          <w:tcPr>
            <w:tcW w:w="7060" w:type="dxa"/>
            <w:vAlign w:val="bottom"/>
          </w:tcPr>
          <w:p>
            <w:pPr>
              <w:spacing w:after="0"/>
              <w:rPr>
                <w:sz w:val="12"/>
                <w:szCs w:val="12"/>
                <w:color w:val="auto"/>
              </w:rPr>
            </w:pPr>
          </w:p>
        </w:tc>
        <w:tc>
          <w:tcPr>
            <w:tcW w:w="138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3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2"/>
              </w:rPr>
              <w:t>Average Price</w:t>
            </w:r>
          </w:p>
        </w:tc>
        <w:tc>
          <w:tcPr>
            <w:tcW w:w="160" w:type="dxa"/>
            <w:vAlign w:val="bottom"/>
          </w:tcPr>
          <w:p>
            <w:pPr>
              <w:spacing w:after="0"/>
              <w:rPr>
                <w:sz w:val="12"/>
                <w:szCs w:val="12"/>
                <w:color w:val="auto"/>
              </w:rPr>
            </w:pPr>
          </w:p>
        </w:tc>
        <w:tc>
          <w:tcPr>
            <w:tcW w:w="110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2"/>
        </w:trPr>
        <w:tc>
          <w:tcPr>
            <w:tcW w:w="7060" w:type="dxa"/>
            <w:vAlign w:val="bottom"/>
          </w:tcPr>
          <w:p>
            <w:pPr>
              <w:spacing w:after="0"/>
              <w:rPr>
                <w:sz w:val="16"/>
                <w:szCs w:val="16"/>
                <w:color w:val="auto"/>
              </w:rPr>
            </w:pPr>
          </w:p>
        </w:tc>
        <w:tc>
          <w:tcPr>
            <w:tcW w:w="13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0"/>
              </w:rPr>
              <w:t>Repurchased</w:t>
            </w:r>
          </w:p>
        </w:tc>
        <w:tc>
          <w:tcPr>
            <w:tcW w:w="180" w:type="dxa"/>
            <w:vAlign w:val="bottom"/>
          </w:tcPr>
          <w:p>
            <w:pPr>
              <w:spacing w:after="0"/>
              <w:rPr>
                <w:sz w:val="16"/>
                <w:szCs w:val="16"/>
                <w:color w:val="auto"/>
              </w:rPr>
            </w:pPr>
          </w:p>
        </w:tc>
        <w:tc>
          <w:tcPr>
            <w:tcW w:w="13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2"/>
              </w:rPr>
              <w:t>per Share</w:t>
            </w:r>
          </w:p>
        </w:tc>
        <w:tc>
          <w:tcPr>
            <w:tcW w:w="160" w:type="dxa"/>
            <w:vAlign w:val="bottom"/>
          </w:tcPr>
          <w:p>
            <w:pPr>
              <w:spacing w:after="0"/>
              <w:rPr>
                <w:sz w:val="16"/>
                <w:szCs w:val="16"/>
                <w:color w:val="auto"/>
              </w:rPr>
            </w:pPr>
          </w:p>
        </w:tc>
        <w:tc>
          <w:tcPr>
            <w:tcW w:w="1100" w:type="dxa"/>
            <w:vAlign w:val="bottom"/>
          </w:tcPr>
          <w:p>
            <w:pPr>
              <w:jc w:val="right"/>
              <w:ind w:right="154"/>
              <w:spacing w:after="0"/>
              <w:rPr>
                <w:sz w:val="20"/>
                <w:szCs w:val="20"/>
                <w:color w:val="auto"/>
              </w:rPr>
            </w:pPr>
            <w:r>
              <w:rPr>
                <w:rFonts w:ascii="Arial" w:cs="Arial" w:eastAsia="Arial" w:hAnsi="Arial"/>
                <w:sz w:val="14"/>
                <w:szCs w:val="14"/>
                <w:b w:val="1"/>
                <w:bCs w:val="1"/>
                <w:color w:val="auto"/>
                <w:w w:val="94"/>
              </w:rPr>
              <w:t>Repurchased</w:t>
            </w:r>
          </w:p>
        </w:tc>
        <w:tc>
          <w:tcPr>
            <w:tcW w:w="0" w:type="dxa"/>
            <w:vAlign w:val="bottom"/>
          </w:tcPr>
          <w:p>
            <w:pPr>
              <w:spacing w:after="0"/>
              <w:rPr>
                <w:sz w:val="1"/>
                <w:szCs w:val="1"/>
                <w:color w:val="auto"/>
              </w:rPr>
            </w:pPr>
          </w:p>
        </w:tc>
      </w:tr>
      <w:tr>
        <w:trPr>
          <w:trHeight w:val="249"/>
        </w:trPr>
        <w:tc>
          <w:tcPr>
            <w:tcW w:w="706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Cumulative balance at January 28, 2017</w:t>
            </w:r>
          </w:p>
        </w:tc>
        <w:tc>
          <w:tcPr>
            <w:tcW w:w="1260" w:type="dxa"/>
            <w:vAlign w:val="bottom"/>
            <w:tcBorders>
              <w:top w:val="single" w:sz="8" w:color="auto"/>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254,904</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tcBorders>
              <w:top w:val="single" w:sz="8" w:color="auto"/>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12.75</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3,250,481</w:t>
            </w:r>
          </w:p>
        </w:tc>
        <w:tc>
          <w:tcPr>
            <w:tcW w:w="0" w:type="dxa"/>
            <w:vAlign w:val="bottom"/>
          </w:tcPr>
          <w:p>
            <w:pPr>
              <w:spacing w:after="0"/>
              <w:rPr>
                <w:sz w:val="1"/>
                <w:szCs w:val="1"/>
                <w:color w:val="auto"/>
              </w:rPr>
            </w:pPr>
          </w:p>
        </w:tc>
      </w:tr>
      <w:tr>
        <w:trPr>
          <w:trHeight w:val="243"/>
        </w:trPr>
        <w:tc>
          <w:tcPr>
            <w:tcW w:w="7060" w:type="dxa"/>
            <w:vAlign w:val="bottom"/>
          </w:tcPr>
          <w:p>
            <w:pPr>
              <w:ind w:left="20"/>
              <w:spacing w:after="0"/>
              <w:rPr>
                <w:sz w:val="20"/>
                <w:szCs w:val="20"/>
                <w:color w:val="auto"/>
              </w:rPr>
            </w:pPr>
            <w:r>
              <w:rPr>
                <w:rFonts w:ascii="Arial" w:cs="Arial" w:eastAsia="Arial" w:hAnsi="Arial"/>
                <w:sz w:val="18"/>
                <w:szCs w:val="18"/>
                <w:color w:val="auto"/>
              </w:rPr>
              <w:t>Repurchase of common stock under the stock repurchase program (1)</w:t>
            </w:r>
          </w:p>
        </w:tc>
        <w:tc>
          <w:tcPr>
            <w:tcW w:w="1260" w:type="dxa"/>
            <w:vAlign w:val="bottom"/>
          </w:tcPr>
          <w:p>
            <w:pPr>
              <w:jc w:val="right"/>
              <w:ind w:right="54"/>
              <w:spacing w:after="0"/>
              <w:rPr>
                <w:sz w:val="20"/>
                <w:szCs w:val="20"/>
                <w:color w:val="auto"/>
              </w:rPr>
            </w:pPr>
            <w:r>
              <w:rPr>
                <w:rFonts w:ascii="Arial" w:cs="Arial" w:eastAsia="Arial" w:hAnsi="Arial"/>
                <w:sz w:val="18"/>
                <w:szCs w:val="18"/>
                <w:color w:val="auto"/>
              </w:rPr>
              <w:t>31,460</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16.72</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74"/>
              <w:spacing w:after="0"/>
              <w:rPr>
                <w:sz w:val="20"/>
                <w:szCs w:val="20"/>
                <w:color w:val="auto"/>
              </w:rPr>
            </w:pPr>
            <w:r>
              <w:rPr>
                <w:rFonts w:ascii="Arial" w:cs="Arial" w:eastAsia="Arial" w:hAnsi="Arial"/>
                <w:sz w:val="18"/>
                <w:szCs w:val="18"/>
                <w:color w:val="auto"/>
              </w:rPr>
              <w:t>526,075</w:t>
            </w:r>
          </w:p>
        </w:tc>
        <w:tc>
          <w:tcPr>
            <w:tcW w:w="0" w:type="dxa"/>
            <w:vAlign w:val="bottom"/>
          </w:tcPr>
          <w:p>
            <w:pPr>
              <w:spacing w:after="0"/>
              <w:rPr>
                <w:sz w:val="1"/>
                <w:szCs w:val="1"/>
                <w:color w:val="auto"/>
              </w:rPr>
            </w:pPr>
          </w:p>
        </w:tc>
      </w:tr>
      <w:tr>
        <w:trPr>
          <w:trHeight w:val="27"/>
        </w:trPr>
        <w:tc>
          <w:tcPr>
            <w:tcW w:w="70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0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Cumulative balance at February 3, 2018</w:t>
            </w:r>
          </w:p>
        </w:tc>
        <w:tc>
          <w:tcPr>
            <w:tcW w:w="126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286,365</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13.19</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3,776,557</w:t>
            </w:r>
          </w:p>
        </w:tc>
        <w:tc>
          <w:tcPr>
            <w:tcW w:w="0" w:type="dxa"/>
            <w:vAlign w:val="bottom"/>
          </w:tcPr>
          <w:p>
            <w:pPr>
              <w:spacing w:after="0"/>
              <w:rPr>
                <w:sz w:val="1"/>
                <w:szCs w:val="1"/>
                <w:color w:val="auto"/>
              </w:rPr>
            </w:pPr>
          </w:p>
        </w:tc>
      </w:tr>
      <w:tr>
        <w:trPr>
          <w:trHeight w:val="243"/>
        </w:trPr>
        <w:tc>
          <w:tcPr>
            <w:tcW w:w="7060" w:type="dxa"/>
            <w:vAlign w:val="bottom"/>
          </w:tcPr>
          <w:p>
            <w:pPr>
              <w:ind w:left="20"/>
              <w:spacing w:after="0"/>
              <w:rPr>
                <w:sz w:val="20"/>
                <w:szCs w:val="20"/>
                <w:color w:val="auto"/>
              </w:rPr>
            </w:pPr>
            <w:r>
              <w:rPr>
                <w:rFonts w:ascii="Arial" w:cs="Arial" w:eastAsia="Arial" w:hAnsi="Arial"/>
                <w:sz w:val="18"/>
                <w:szCs w:val="18"/>
                <w:color w:val="auto"/>
              </w:rPr>
              <w:t>Repurchase of common stock under the stock repurchase program (2)</w:t>
            </w:r>
          </w:p>
        </w:tc>
        <w:tc>
          <w:tcPr>
            <w:tcW w:w="1260" w:type="dxa"/>
            <w:vAlign w:val="bottom"/>
          </w:tcPr>
          <w:p>
            <w:pPr>
              <w:jc w:val="right"/>
              <w:ind w:right="54"/>
              <w:spacing w:after="0"/>
              <w:rPr>
                <w:sz w:val="20"/>
                <w:szCs w:val="20"/>
                <w:color w:val="auto"/>
              </w:rPr>
            </w:pPr>
            <w:r>
              <w:rPr>
                <w:rFonts w:ascii="Arial" w:cs="Arial" w:eastAsia="Arial" w:hAnsi="Arial"/>
                <w:sz w:val="18"/>
                <w:szCs w:val="18"/>
                <w:color w:val="auto"/>
              </w:rPr>
              <w:t>6,041</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17.21</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74"/>
              <w:spacing w:after="0"/>
              <w:rPr>
                <w:sz w:val="20"/>
                <w:szCs w:val="20"/>
                <w:color w:val="auto"/>
              </w:rPr>
            </w:pPr>
            <w:r>
              <w:rPr>
                <w:rFonts w:ascii="Arial" w:cs="Arial" w:eastAsia="Arial" w:hAnsi="Arial"/>
                <w:sz w:val="18"/>
                <w:szCs w:val="18"/>
                <w:color w:val="auto"/>
              </w:rPr>
              <w:t>103,974</w:t>
            </w:r>
          </w:p>
        </w:tc>
        <w:tc>
          <w:tcPr>
            <w:tcW w:w="0" w:type="dxa"/>
            <w:vAlign w:val="bottom"/>
          </w:tcPr>
          <w:p>
            <w:pPr>
              <w:spacing w:after="0"/>
              <w:rPr>
                <w:sz w:val="1"/>
                <w:szCs w:val="1"/>
                <w:color w:val="auto"/>
              </w:rPr>
            </w:pPr>
          </w:p>
        </w:tc>
      </w:tr>
      <w:tr>
        <w:trPr>
          <w:trHeight w:val="27"/>
        </w:trPr>
        <w:tc>
          <w:tcPr>
            <w:tcW w:w="70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0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Cumulative balance at February 2, 2019</w:t>
            </w:r>
          </w:p>
        </w:tc>
        <w:tc>
          <w:tcPr>
            <w:tcW w:w="126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292,406</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13.27</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3,880,531</w:t>
            </w:r>
          </w:p>
        </w:tc>
        <w:tc>
          <w:tcPr>
            <w:tcW w:w="0" w:type="dxa"/>
            <w:vAlign w:val="bottom"/>
          </w:tcPr>
          <w:p>
            <w:pPr>
              <w:spacing w:after="0"/>
              <w:rPr>
                <w:sz w:val="1"/>
                <w:szCs w:val="1"/>
                <w:color w:val="auto"/>
              </w:rPr>
            </w:pPr>
          </w:p>
        </w:tc>
      </w:tr>
      <w:tr>
        <w:trPr>
          <w:trHeight w:val="243"/>
        </w:trPr>
        <w:tc>
          <w:tcPr>
            <w:tcW w:w="7060" w:type="dxa"/>
            <w:vAlign w:val="bottom"/>
          </w:tcPr>
          <w:p>
            <w:pPr>
              <w:ind w:left="20"/>
              <w:spacing w:after="0"/>
              <w:rPr>
                <w:sz w:val="20"/>
                <w:szCs w:val="20"/>
                <w:color w:val="auto"/>
              </w:rPr>
            </w:pPr>
            <w:r>
              <w:rPr>
                <w:rFonts w:ascii="Arial" w:cs="Arial" w:eastAsia="Arial" w:hAnsi="Arial"/>
                <w:sz w:val="18"/>
                <w:szCs w:val="18"/>
                <w:color w:val="auto"/>
              </w:rPr>
              <w:t>Repurchase of common stock under the stock repurchase program (3)</w:t>
            </w:r>
          </w:p>
        </w:tc>
        <w:tc>
          <w:tcPr>
            <w:tcW w:w="1260" w:type="dxa"/>
            <w:vAlign w:val="bottom"/>
          </w:tcPr>
          <w:p>
            <w:pPr>
              <w:jc w:val="right"/>
              <w:ind w:right="54"/>
              <w:spacing w:after="0"/>
              <w:rPr>
                <w:sz w:val="20"/>
                <w:szCs w:val="20"/>
                <w:color w:val="auto"/>
              </w:rPr>
            </w:pPr>
            <w:r>
              <w:rPr>
                <w:rFonts w:ascii="Arial" w:cs="Arial" w:eastAsia="Arial" w:hAnsi="Arial"/>
                <w:sz w:val="18"/>
                <w:szCs w:val="18"/>
                <w:color w:val="auto"/>
              </w:rPr>
              <w:t>14,486</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25.15</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74"/>
              <w:spacing w:after="0"/>
              <w:rPr>
                <w:sz w:val="20"/>
                <w:szCs w:val="20"/>
                <w:color w:val="auto"/>
              </w:rPr>
            </w:pPr>
            <w:r>
              <w:rPr>
                <w:rFonts w:ascii="Arial" w:cs="Arial" w:eastAsia="Arial" w:hAnsi="Arial"/>
                <w:sz w:val="18"/>
                <w:szCs w:val="18"/>
                <w:color w:val="auto"/>
              </w:rPr>
              <w:t>364,272</w:t>
            </w:r>
          </w:p>
        </w:tc>
        <w:tc>
          <w:tcPr>
            <w:tcW w:w="0" w:type="dxa"/>
            <w:vAlign w:val="bottom"/>
          </w:tcPr>
          <w:p>
            <w:pPr>
              <w:spacing w:after="0"/>
              <w:rPr>
                <w:sz w:val="1"/>
                <w:szCs w:val="1"/>
                <w:color w:val="auto"/>
              </w:rPr>
            </w:pPr>
          </w:p>
        </w:tc>
      </w:tr>
      <w:tr>
        <w:trPr>
          <w:trHeight w:val="27"/>
        </w:trPr>
        <w:tc>
          <w:tcPr>
            <w:tcW w:w="70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3"/>
        </w:trPr>
        <w:tc>
          <w:tcPr>
            <w:tcW w:w="70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Cumulative balance at February 1, 2020</w:t>
            </w:r>
          </w:p>
        </w:tc>
        <w:tc>
          <w:tcPr>
            <w:tcW w:w="1260" w:type="dxa"/>
            <w:vAlign w:val="bottom"/>
            <w:shd w:val="clear" w:color="auto" w:fill="CCEEFF"/>
          </w:tcPr>
          <w:p>
            <w:pPr>
              <w:jc w:val="right"/>
              <w:ind w:right="54"/>
              <w:spacing w:after="0"/>
              <w:rPr>
                <w:sz w:val="20"/>
                <w:szCs w:val="20"/>
                <w:color w:val="auto"/>
              </w:rPr>
            </w:pPr>
            <w:r>
              <w:rPr>
                <w:rFonts w:ascii="Arial" w:cs="Arial" w:eastAsia="Arial" w:hAnsi="Arial"/>
                <w:sz w:val="18"/>
                <w:szCs w:val="18"/>
                <w:color w:val="auto"/>
              </w:rPr>
              <w:t>306,892</w:t>
            </w:r>
          </w:p>
        </w:tc>
        <w:tc>
          <w:tcPr>
            <w:tcW w:w="120" w:type="dxa"/>
            <w:vAlign w:val="bottom"/>
            <w:shd w:val="clear" w:color="auto" w:fill="CCEEFF"/>
          </w:tcPr>
          <w:p>
            <w:pPr>
              <w:spacing w:after="0"/>
              <w:rPr>
                <w:sz w:val="21"/>
                <w:szCs w:val="21"/>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75"/>
              <w:spacing w:after="0"/>
              <w:rPr>
                <w:sz w:val="20"/>
                <w:szCs w:val="20"/>
                <w:color w:val="auto"/>
              </w:rPr>
            </w:pPr>
            <w:r>
              <w:rPr>
                <w:rFonts w:ascii="Arial" w:cs="Arial" w:eastAsia="Arial" w:hAnsi="Arial"/>
                <w:sz w:val="18"/>
                <w:szCs w:val="18"/>
                <w:color w:val="auto"/>
              </w:rPr>
              <w:t>13.83</w:t>
            </w:r>
          </w:p>
        </w:tc>
        <w:tc>
          <w:tcPr>
            <w:tcW w:w="120" w:type="dxa"/>
            <w:vAlign w:val="bottom"/>
            <w:shd w:val="clear" w:color="auto" w:fill="CCEEFF"/>
          </w:tcPr>
          <w:p>
            <w:pPr>
              <w:spacing w:after="0"/>
              <w:rPr>
                <w:sz w:val="21"/>
                <w:szCs w:val="21"/>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ind w:right="74"/>
              <w:spacing w:after="0"/>
              <w:rPr>
                <w:sz w:val="20"/>
                <w:szCs w:val="20"/>
                <w:color w:val="auto"/>
              </w:rPr>
            </w:pPr>
            <w:r>
              <w:rPr>
                <w:rFonts w:ascii="Arial" w:cs="Arial" w:eastAsia="Arial" w:hAnsi="Arial"/>
                <w:sz w:val="18"/>
                <w:szCs w:val="18"/>
                <w:color w:val="auto"/>
              </w:rPr>
              <w:t>4,244,803</w:t>
            </w:r>
          </w:p>
        </w:tc>
        <w:tc>
          <w:tcPr>
            <w:tcW w:w="0" w:type="dxa"/>
            <w:vAlign w:val="bottom"/>
          </w:tcPr>
          <w:p>
            <w:pPr>
              <w:spacing w:after="0"/>
              <w:rPr>
                <w:sz w:val="1"/>
                <w:szCs w:val="1"/>
                <w:color w:val="auto"/>
              </w:rPr>
            </w:pPr>
          </w:p>
        </w:tc>
      </w:tr>
      <w:tr>
        <w:trPr>
          <w:trHeight w:val="27"/>
        </w:trPr>
        <w:tc>
          <w:tcPr>
            <w:tcW w:w="7060" w:type="dxa"/>
            <w:vAlign w:val="bottom"/>
            <w:shd w:val="clear" w:color="auto" w:fill="CCEEFF"/>
          </w:tcPr>
          <w:p>
            <w:pPr>
              <w:spacing w:after="0"/>
              <w:rPr>
                <w:sz w:val="2"/>
                <w:szCs w:val="2"/>
                <w:color w:val="auto"/>
              </w:rPr>
            </w:pPr>
          </w:p>
        </w:tc>
        <w:tc>
          <w:tcPr>
            <w:tcW w:w="126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20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110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left="260" w:hanging="252"/>
        <w:spacing w:after="0"/>
        <w:tabs>
          <w:tab w:leader="none" w:pos="2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There were no stock repurchases pending settlement as of February 3, 2018.</w:t>
      </w:r>
    </w:p>
    <w:p>
      <w:pPr>
        <w:spacing w:after="0" w:line="63" w:lineRule="exact"/>
        <w:rPr>
          <w:rFonts w:ascii="Arial" w:cs="Arial" w:eastAsia="Arial" w:hAnsi="Arial"/>
          <w:sz w:val="18"/>
          <w:szCs w:val="18"/>
          <w:color w:val="auto"/>
        </w:rPr>
      </w:pPr>
    </w:p>
    <w:p>
      <w:pPr>
        <w:ind w:left="260" w:hanging="252"/>
        <w:spacing w:after="0"/>
        <w:tabs>
          <w:tab w:leader="none" w:pos="2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There were no stock repurchases pending settlement as of February 2, 2019.</w:t>
      </w:r>
    </w:p>
    <w:p>
      <w:pPr>
        <w:spacing w:after="0" w:line="63" w:lineRule="exact"/>
        <w:rPr>
          <w:rFonts w:ascii="Arial" w:cs="Arial" w:eastAsia="Arial" w:hAnsi="Arial"/>
          <w:sz w:val="18"/>
          <w:szCs w:val="18"/>
          <w:color w:val="auto"/>
        </w:rPr>
      </w:pPr>
    </w:p>
    <w:p>
      <w:pPr>
        <w:ind w:left="260" w:hanging="252"/>
        <w:spacing w:after="0"/>
        <w:tabs>
          <w:tab w:leader="none" w:pos="2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There were no stock repurchases pending settlement as of February 1, 2020.</w:t>
      </w: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15 — Employee Benefit Plans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Employee Stock Compensation Plans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1995 Stock Option Plan</w:t>
      </w:r>
    </w:p>
    <w:p>
      <w:pPr>
        <w:spacing w:after="0" w:line="117" w:lineRule="exact"/>
        <w:rPr>
          <w:sz w:val="20"/>
          <w:szCs w:val="20"/>
          <w:color w:val="auto"/>
        </w:rPr>
      </w:pPr>
    </w:p>
    <w:p>
      <w:pPr>
        <w:ind w:right="80" w:firstLine="405"/>
        <w:spacing w:after="0" w:line="255" w:lineRule="auto"/>
        <w:rPr>
          <w:sz w:val="20"/>
          <w:szCs w:val="20"/>
          <w:color w:val="auto"/>
        </w:rPr>
      </w:pPr>
      <w:r>
        <w:rPr>
          <w:rFonts w:ascii="Arial" w:cs="Arial" w:eastAsia="Arial" w:hAnsi="Arial"/>
          <w:sz w:val="18"/>
          <w:szCs w:val="18"/>
          <w:color w:val="auto"/>
        </w:rPr>
        <w:t>In April 1995, the Company adopted the 1995 Stock Option Plan (the “Option Plan”). The Option Plan, as amended from time to time, had 383.4 million common shares reserved for issuance thereunder as of February 1, 2020. Options granted under the Option Plan generally have a term of 10 years and generally must be issued at prices equal to the fair market value of the stock on the date of grant. The Company can also grant stock awards, which may be subject to vesting. Further, the Company can grant restricted stock unit (“RSU”) awards. RSU awards are denominated in shares of stock, but may be settled in cash or shares upon vesting, as determined by the Company at the time of grant. Awards under the Option Plan generally vest over 2 to 5 years.</w:t>
      </w:r>
    </w:p>
    <w:p>
      <w:pPr>
        <w:spacing w:after="0" w:line="8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February 1, 2020, approximately 82.7 million shares remained available for future grants under the Option Plan.</w:t>
      </w:r>
    </w:p>
    <w:p>
      <w:pPr>
        <w:spacing w:after="0" w:line="117" w:lineRule="exact"/>
        <w:rPr>
          <w:sz w:val="20"/>
          <w:szCs w:val="20"/>
          <w:color w:val="auto"/>
        </w:rPr>
      </w:pPr>
    </w:p>
    <w:p>
      <w:pPr>
        <w:ind w:right="140" w:firstLine="405"/>
        <w:spacing w:after="0" w:line="263" w:lineRule="auto"/>
        <w:rPr>
          <w:sz w:val="20"/>
          <w:szCs w:val="20"/>
          <w:color w:val="auto"/>
        </w:rPr>
      </w:pPr>
      <w:r>
        <w:rPr>
          <w:rFonts w:ascii="Arial" w:cs="Arial" w:eastAsia="Arial" w:hAnsi="Arial"/>
          <w:sz w:val="18"/>
          <w:szCs w:val="18"/>
          <w:color w:val="auto"/>
        </w:rPr>
        <w:t>Equity awards granted under the Option Plan include time-based RSUs as well as RSUs that vest based on the achievement of performance-based criteria i.e. Company financial goals (“Financial Performance RSU”), or based on achievement of market-based goals i.e. relative total shareholder return (“TSR RSUs”), or stock price goals (“Value Creation Awards” or “VCA RSUs”).</w:t>
      </w:r>
    </w:p>
    <w:p>
      <w:pPr>
        <w:spacing w:after="0" w:line="76" w:lineRule="exact"/>
        <w:rPr>
          <w:sz w:val="20"/>
          <w:szCs w:val="20"/>
          <w:color w:val="auto"/>
        </w:rPr>
      </w:pPr>
    </w:p>
    <w:p>
      <w:pPr>
        <w:ind w:right="140" w:firstLine="405"/>
        <w:spacing w:after="0" w:line="275" w:lineRule="auto"/>
        <w:rPr>
          <w:sz w:val="20"/>
          <w:szCs w:val="20"/>
          <w:color w:val="auto"/>
        </w:rPr>
      </w:pPr>
      <w:r>
        <w:rPr>
          <w:rFonts w:ascii="Arial" w:cs="Arial" w:eastAsia="Arial" w:hAnsi="Arial"/>
          <w:sz w:val="17"/>
          <w:szCs w:val="17"/>
          <w:color w:val="auto"/>
        </w:rPr>
        <w:t>Prior to fiscal year 2020, the Company granted Financial Performance RSUs to each of its executive officers when they joined the Company, and as an annual refresh grant to all executive officers and other Vice Presidents in April of each fiscal year. The Financial Performance RSUs had a three-year service requirement. The number of shares to be earned could be 0% to 200% of target and was based on the achievement of certain financial operating metrics to be measured as of the end of the second fiscal year of the three-year vesting term. Shares granted under these Financial Performance RSUs are reported in the table presented below as “Performance-Based” based on 100% expected achievement.</w:t>
      </w:r>
    </w:p>
    <w:p>
      <w:pPr>
        <w:spacing w:after="0" w:line="68" w:lineRule="exact"/>
        <w:rPr>
          <w:sz w:val="20"/>
          <w:szCs w:val="20"/>
          <w:color w:val="auto"/>
        </w:rPr>
      </w:pPr>
    </w:p>
    <w:p>
      <w:pPr>
        <w:ind w:right="20" w:firstLine="405"/>
        <w:spacing w:after="0" w:line="271" w:lineRule="auto"/>
        <w:rPr>
          <w:sz w:val="20"/>
          <w:szCs w:val="20"/>
          <w:color w:val="auto"/>
        </w:rPr>
      </w:pPr>
      <w:r>
        <w:rPr>
          <w:rFonts w:ascii="Arial" w:cs="Arial" w:eastAsia="Arial" w:hAnsi="Arial"/>
          <w:sz w:val="17"/>
          <w:szCs w:val="17"/>
          <w:color w:val="auto"/>
        </w:rPr>
        <w:t>In addition, the Company grants TSR RSUs to its executive officers that newly join the Company, and as an annual refresh grant to all executive officers and other Vice Presidents, usually in April of each fiscal year. Prior to fiscal year 2020, TSR RSUs were measured based on stock performance as compared to that of companies on the Philadelphia Semiconductor Sector over a performance period defined in the award. The number of shares to be earned can be 0% to 150% of target and is based on the achievement of performance objectives relating to relative total shareholder return of the Company’s common shares. Beginning in fiscal year 2020, the S&amp;P 500 Index serves as the benchmark index. The TSR RSUs have a three year service vesting requirement. The number of shares to be earned can be 0% to 200% of target and is based on the achievement of performance objectives relating to relative total shareholder return of the Company's common shares. These TSR RSUs are reported in the table presented below as “Market-Based” awards based on 100% expected achievement.</w:t>
      </w:r>
    </w:p>
    <w:p>
      <w:pPr>
        <w:spacing w:after="0" w:line="31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472" w:right="379" w:bottom="1440" w:gutter="0" w:footer="0" w:header="0"/>
        </w:sectPr>
      </w:pPr>
    </w:p>
    <w:bookmarkStart w:id="85" w:name="page86"/>
    <w:bookmarkEnd w:id="85"/>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120" w:firstLine="405"/>
        <w:spacing w:after="0" w:line="257" w:lineRule="auto"/>
        <w:rPr>
          <w:sz w:val="20"/>
          <w:szCs w:val="20"/>
          <w:color w:val="auto"/>
        </w:rPr>
      </w:pPr>
      <w:r>
        <w:rPr>
          <w:rFonts w:ascii="Arial" w:cs="Arial" w:eastAsia="Arial" w:hAnsi="Arial"/>
          <w:sz w:val="18"/>
          <w:szCs w:val="18"/>
          <w:color w:val="auto"/>
        </w:rPr>
        <w:t>In fiscal year 2020, the Company issued Value Creation Awards that are based on achievement of the Company's stock price target over a specified performance period, also referred to as VCA RSUs. The VCA RSU will be earned if the Company's average closing trading stock price over 100-calendar days equals or exceeds a certain target price. 100% of the award will vest on the 1-year anniversary of the achievement. The grant will be forfeited if the market-based condition is not achieved. These VCA RSUs are reported in the table presented below as “Market-Based” awards based on 100% expected achievement.</w:t>
      </w:r>
    </w:p>
    <w:p>
      <w:pPr>
        <w:spacing w:after="0" w:line="80" w:lineRule="exact"/>
        <w:rPr>
          <w:sz w:val="20"/>
          <w:szCs w:val="20"/>
          <w:color w:val="auto"/>
        </w:rPr>
      </w:pPr>
    </w:p>
    <w:p>
      <w:pPr>
        <w:ind w:right="200" w:firstLine="405"/>
        <w:spacing w:after="0" w:line="275" w:lineRule="auto"/>
        <w:rPr>
          <w:sz w:val="20"/>
          <w:szCs w:val="20"/>
          <w:color w:val="auto"/>
        </w:rPr>
      </w:pPr>
      <w:r>
        <w:rPr>
          <w:rFonts w:ascii="Arial" w:cs="Arial" w:eastAsia="Arial" w:hAnsi="Arial"/>
          <w:sz w:val="17"/>
          <w:szCs w:val="17"/>
          <w:color w:val="auto"/>
        </w:rPr>
        <w:t>In December 2017, the Company’s Executive Compensation Committee approved a deferred stock program, whereby executives of the Company have the option, beginning in 2018, to defer the settlement of time-based and performance-based restricted stock units granted under the Option Plan to a future date. A deferral election is irrevocable after the annual submission deadline. The shares of common stock underlying the deferred grants will be distributed at the earliest of the employee’s specified future settlement date, not to be earlier than 2023, or upon separation from service, a change in control, or death or disability. As of February 1, 2020, no executives had elected deferral.</w:t>
      </w:r>
    </w:p>
    <w:p>
      <w:pPr>
        <w:spacing w:after="0" w:line="6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Cavium Acquisition</w:t>
      </w:r>
    </w:p>
    <w:p>
      <w:pPr>
        <w:spacing w:after="0" w:line="117" w:lineRule="exact"/>
        <w:rPr>
          <w:sz w:val="20"/>
          <w:szCs w:val="20"/>
          <w:color w:val="auto"/>
        </w:rPr>
      </w:pPr>
    </w:p>
    <w:p>
      <w:pPr>
        <w:ind w:right="20" w:firstLine="405"/>
        <w:spacing w:after="0" w:line="271" w:lineRule="auto"/>
        <w:rPr>
          <w:sz w:val="20"/>
          <w:szCs w:val="20"/>
          <w:color w:val="auto"/>
        </w:rPr>
      </w:pPr>
      <w:r>
        <w:rPr>
          <w:rFonts w:ascii="Arial" w:cs="Arial" w:eastAsia="Arial" w:hAnsi="Arial"/>
          <w:sz w:val="17"/>
          <w:szCs w:val="17"/>
          <w:color w:val="auto"/>
        </w:rPr>
        <w:t>Following the Cavium acquisition and in accordance with the Cavium merger agreement, certain outstanding options to purchase shares of Cavium common stock and certain restricted stock units with respect to Cavium common stock, each granted under Cavium 2016 Equity Incentive Plan (“Cavium 2016 EIP”), Cavium 2007 Equity Incentive Plan (“Cavium 2007 EIP”) and QLogic 2005 Performance Incentive Plan, as assumed by Cavium effective August 16, 2016 (“QLogic 2005 Plan”), (and collectively, with the Cavium 2016 EIP and the Cavium 2007 EIP, the “Cavium Plans”), were assumed by the Company and converted into options to purchase common shares of the Company and restricted stock units with respect to common shares of the Company, respectively. The Company filed a registration statement on July 6, 2018 to register 15,824,555 common shares of the Company, issuable under the Cavium Plans, comprised of 2,535,940 common shares issuable pursuant to outstanding but unexercised options under the Cavium Plans and 13,288,615 common shares issuable pursuant to outstanding unvested restricted stock units under the Cavium Plans.</w:t>
      </w:r>
    </w:p>
    <w:p>
      <w:pPr>
        <w:spacing w:after="0" w:line="7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Cavium 2016 EIP</w:t>
      </w:r>
    </w:p>
    <w:p>
      <w:pPr>
        <w:spacing w:after="0" w:line="117" w:lineRule="exact"/>
        <w:rPr>
          <w:sz w:val="20"/>
          <w:szCs w:val="20"/>
          <w:color w:val="auto"/>
        </w:rPr>
      </w:pPr>
    </w:p>
    <w:p>
      <w:pPr>
        <w:ind w:firstLine="405"/>
        <w:spacing w:after="0" w:line="257" w:lineRule="auto"/>
        <w:rPr>
          <w:sz w:val="20"/>
          <w:szCs w:val="20"/>
          <w:color w:val="auto"/>
        </w:rPr>
      </w:pPr>
      <w:r>
        <w:rPr>
          <w:rFonts w:ascii="Arial" w:cs="Arial" w:eastAsia="Arial" w:hAnsi="Arial"/>
          <w:sz w:val="18"/>
          <w:szCs w:val="18"/>
          <w:color w:val="auto"/>
        </w:rPr>
        <w:t>The Cavium 2016 EIP was adopted by Cavium on June 15, 2016 and was intended as the successor to and continuation of Cavium 2007 EIP. The Cavium 2016 EIP provided for the grant of incentive stock options, non-statutory stock options, stock appreciation rights, restricted stock awards, restricted stock unit awards, performance stock awards, performance cash awards and other stock awards, which may be granted to employees, directors and consultants. Awards under the Cavium 2016 EIP generally vest over four years and expire seven to ten years from the date of grant. Following the effective date, no additional awards were granted under the Cavium 2007 EIP.</w:t>
      </w:r>
    </w:p>
    <w:p>
      <w:pPr>
        <w:spacing w:after="0" w:line="8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Cavium 2007 EIP</w:t>
      </w:r>
    </w:p>
    <w:p>
      <w:pPr>
        <w:spacing w:after="0" w:line="117" w:lineRule="exact"/>
        <w:rPr>
          <w:sz w:val="20"/>
          <w:szCs w:val="20"/>
          <w:color w:val="auto"/>
        </w:rPr>
      </w:pPr>
    </w:p>
    <w:p>
      <w:pPr>
        <w:ind w:right="260" w:firstLine="405"/>
        <w:spacing w:after="0" w:line="293" w:lineRule="auto"/>
        <w:rPr>
          <w:sz w:val="20"/>
          <w:szCs w:val="20"/>
          <w:color w:val="auto"/>
        </w:rPr>
      </w:pPr>
      <w:r>
        <w:rPr>
          <w:rFonts w:ascii="Arial" w:cs="Arial" w:eastAsia="Arial" w:hAnsi="Arial"/>
          <w:sz w:val="16"/>
          <w:szCs w:val="16"/>
          <w:color w:val="auto"/>
        </w:rPr>
        <w:t>Cavium adopted the Cavium 2007 EIP in May 2007 upon completion of its initial public offering. The Cavium 2007 EIP provided for the grant of incentive stock options, non-statutory stock options, restricted stock awards, restricted stock unit awards, stock appreciation rights, performance stock awards, and other forms of equity compensation and performance cash awards, all of which may be granted to employees (including officers), directors, and consultants or affiliates. Awards granted under the Cavium 2007 EIP vest at the rate specified by the plan administrator, for stock options, typically with 1/8th of the shares vesting six months after the date of grant and 1/48th of the shares vesting monthly thereafter over the next three and one half years and for restricted stock unit awards typically with quarterly vesting over four years. Awards expire seven to ten years from the date of grant.</w:t>
      </w:r>
    </w:p>
    <w:p>
      <w:pPr>
        <w:spacing w:after="0" w:line="5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QLogic 2005 Plan</w:t>
      </w:r>
    </w:p>
    <w:p>
      <w:pPr>
        <w:spacing w:after="0" w:line="117" w:lineRule="exact"/>
        <w:rPr>
          <w:sz w:val="20"/>
          <w:szCs w:val="20"/>
          <w:color w:val="auto"/>
        </w:rPr>
      </w:pPr>
    </w:p>
    <w:p>
      <w:pPr>
        <w:ind w:right="240" w:firstLine="405"/>
        <w:spacing w:after="0" w:line="257" w:lineRule="auto"/>
        <w:rPr>
          <w:sz w:val="20"/>
          <w:szCs w:val="20"/>
          <w:color w:val="auto"/>
        </w:rPr>
      </w:pPr>
      <w:r>
        <w:rPr>
          <w:rFonts w:ascii="Arial" w:cs="Arial" w:eastAsia="Arial" w:hAnsi="Arial"/>
          <w:sz w:val="18"/>
          <w:szCs w:val="18"/>
          <w:color w:val="auto"/>
        </w:rPr>
        <w:t>The QLogic 2005 Plan was assumed and registered by Cavium upon its completion of acquisition of QLogic Corporation on August 16, 2016. The QLogic 2005 Plan provided for the issuance of restricted stock unit awards, incentive and non-qualified stock options, and other stock-based incentive awards. Restricted stock unit awards granted pursuant to the QLogic 2005 Plan to employees subject to a service condition generally vest over four years from the date of grant. Stock options granted pursuant to the QLogic 2005 Plan to employees have ten-year terms and generally vest over four years from the date of grant.</w:t>
      </w:r>
    </w:p>
    <w:p>
      <w:pPr>
        <w:spacing w:after="0" w:line="3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472" w:right="359" w:bottom="1440" w:gutter="0" w:footer="0" w:header="0"/>
        </w:sectPr>
      </w:pPr>
    </w:p>
    <w:bookmarkStart w:id="86" w:name="page87"/>
    <w:bookmarkEnd w:id="86"/>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Cavium Acquisition-related Equity Awards</w:t>
      </w:r>
    </w:p>
    <w:p>
      <w:pPr>
        <w:spacing w:after="0" w:line="117" w:lineRule="exact"/>
        <w:rPr>
          <w:sz w:val="20"/>
          <w:szCs w:val="20"/>
          <w:color w:val="auto"/>
        </w:rPr>
      </w:pPr>
    </w:p>
    <w:p>
      <w:pPr>
        <w:ind w:right="180" w:firstLine="405"/>
        <w:spacing w:after="0" w:line="257" w:lineRule="auto"/>
        <w:rPr>
          <w:sz w:val="20"/>
          <w:szCs w:val="20"/>
          <w:color w:val="auto"/>
        </w:rPr>
      </w:pPr>
      <w:r>
        <w:rPr>
          <w:rFonts w:ascii="Arial" w:cs="Arial" w:eastAsia="Arial" w:hAnsi="Arial"/>
          <w:sz w:val="18"/>
          <w:szCs w:val="18"/>
          <w:color w:val="auto"/>
        </w:rPr>
        <w:t>The awards under the Cavium Plans assumed by the Company in the Cavium acquisition were measured at the acquisition date based on the estimated fair value of $357.1 million. A portion of that fair value, $68.9 million, which represented the pre-acquisition service provided by employees to Cavium, was included in the total consideration transferred as part of the acquisition. As of the acquisition date, the remaining portion of the fair value of those awards was $288.2 million, representing post-acquisition share-based compensation expense that will be recognized as these employees provide service over the remaining vesting periods.</w:t>
      </w:r>
    </w:p>
    <w:p>
      <w:pPr>
        <w:spacing w:after="0" w:line="8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Aquantia Plans Assumed</w:t>
      </w:r>
    </w:p>
    <w:p>
      <w:pPr>
        <w:spacing w:after="0" w:line="117" w:lineRule="exact"/>
        <w:rPr>
          <w:sz w:val="20"/>
          <w:szCs w:val="20"/>
          <w:color w:val="auto"/>
        </w:rPr>
      </w:pPr>
    </w:p>
    <w:p>
      <w:pPr>
        <w:ind w:right="80" w:firstLine="405"/>
        <w:spacing w:after="0" w:line="291" w:lineRule="auto"/>
        <w:rPr>
          <w:sz w:val="20"/>
          <w:szCs w:val="20"/>
          <w:color w:val="auto"/>
        </w:rPr>
      </w:pPr>
      <w:r>
        <w:rPr>
          <w:rFonts w:ascii="Arial" w:cs="Arial" w:eastAsia="Arial" w:hAnsi="Arial"/>
          <w:sz w:val="16"/>
          <w:szCs w:val="16"/>
          <w:color w:val="auto"/>
        </w:rPr>
        <w:t>In accordance with the Aquantia merger agreement, certain outstanding options to purchase shares of Aquantia common stock and certain restricted stock units with respect to Aquantia common stock, each granted under Aquantia 2017 Equity Incentive Plan (“Aquantia 2017 EIP”), Aquantia 2015 Equity Incentive Plan (“Aquantia 2015 EIP”) and Aquantia 2004 Equity Incentive Plan (“Aquantia 2004 EIP”), the “Aquantia Plans” were assumed by the Company and converted into options to purchase common shares of the Company and restricted stock units with respect to common shares of the Company, respectively. The Company filed a registration statement on September 19, 2019 to register 2,128,823 common shares of the Company, issuable under the Aquantia plans, comprised of 805,965 common shares issuable pursuant to outstanding but unexercised options under the Aquantia Plans and 1,322,858 common shares issuable pursuant to outstanding unvested restricted stock units under the Aquantia Plans.</w:t>
      </w:r>
    </w:p>
    <w:p>
      <w:pPr>
        <w:spacing w:after="0" w:line="5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Aquantia Acquisition-related Equity Awards</w:t>
      </w:r>
    </w:p>
    <w:p>
      <w:pPr>
        <w:spacing w:after="0" w:line="117" w:lineRule="exact"/>
        <w:rPr>
          <w:sz w:val="20"/>
          <w:szCs w:val="20"/>
          <w:color w:val="auto"/>
        </w:rPr>
      </w:pPr>
    </w:p>
    <w:p>
      <w:pPr>
        <w:ind w:right="100" w:firstLine="405"/>
        <w:spacing w:after="0" w:line="257" w:lineRule="auto"/>
        <w:rPr>
          <w:sz w:val="20"/>
          <w:szCs w:val="20"/>
          <w:color w:val="auto"/>
        </w:rPr>
      </w:pPr>
      <w:r>
        <w:rPr>
          <w:rFonts w:ascii="Arial" w:cs="Arial" w:eastAsia="Arial" w:hAnsi="Arial"/>
          <w:sz w:val="18"/>
          <w:szCs w:val="18"/>
          <w:color w:val="auto"/>
        </w:rPr>
        <w:t>The awards under the Aquantia Plans assumed by the Company in the Aquantia acquisition were measured at the acquisition date based on the estimated fair value of $54.1 million. A portion of that fair value, $21.5 million, which represented the pre-acquisition service provided by employees to Aquantia, was included in the total consideration transferred as part of the acquisition. As of the acquisition date, the remaining portion of the fair value of those awards was $32.6 million, representing post-acquisition share-based compensation expense that will be recognized as these employees provide service over the remaining vesting periods.</w:t>
      </w:r>
    </w:p>
    <w:p>
      <w:pPr>
        <w:spacing w:after="0" w:line="8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Outside Director Equity Compensation Policy</w:t>
      </w:r>
    </w:p>
    <w:p>
      <w:pPr>
        <w:spacing w:after="0" w:line="117" w:lineRule="exact"/>
        <w:rPr>
          <w:sz w:val="20"/>
          <w:szCs w:val="20"/>
          <w:color w:val="auto"/>
        </w:rPr>
      </w:pPr>
    </w:p>
    <w:p>
      <w:pPr>
        <w:ind w:right="100" w:firstLine="405"/>
        <w:spacing w:after="0" w:line="271" w:lineRule="auto"/>
        <w:rPr>
          <w:sz w:val="20"/>
          <w:szCs w:val="20"/>
          <w:color w:val="auto"/>
        </w:rPr>
      </w:pPr>
      <w:r>
        <w:rPr>
          <w:rFonts w:ascii="Arial" w:cs="Arial" w:eastAsia="Arial" w:hAnsi="Arial"/>
          <w:sz w:val="17"/>
          <w:szCs w:val="17"/>
          <w:color w:val="auto"/>
        </w:rPr>
        <w:t>In September 2016, the Company’s Board of Directors approved the termination of the 2007 Directors’ Stock Incentive Plan, (“2007 Director Plan”) that was initially adopted in October 2007, and it approved a new Outside Director Equity Compensation Policy that governs the grant of equity awards to non-employee directors under the Option Plan. At the annual general meeting of shareholders held in June 2015, the shareholders approved an amendment to the Option Plan to enable a full range of awards to be granted to non-employee directors. Under the newly amended Outside Director Compensation Policy, each outside director, upon appointment to fill a vacancy on the board or in connection with election at an annual meeting of shareholders, will be granted an RSU award under the Option Plan for a number of shares with an aggregate fair market value equal to $235,000 on the grant date. In no event shall an outside director be awarded an annual RSU award for more than 20,000 shares. The RSU award vests 100% on the earlier of the date of the next annual general meeting of shareholders or the one-year anniversary of the date of grant.</w:t>
      </w:r>
    </w:p>
    <w:p>
      <w:pPr>
        <w:spacing w:after="0" w:line="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117" w:lineRule="exact"/>
        <w:rPr>
          <w:sz w:val="20"/>
          <w:szCs w:val="20"/>
          <w:color w:val="auto"/>
        </w:rPr>
      </w:pPr>
    </w:p>
    <w:p>
      <w:pPr>
        <w:ind w:right="20" w:firstLine="405"/>
        <w:spacing w:after="0" w:line="291" w:lineRule="auto"/>
        <w:rPr>
          <w:sz w:val="20"/>
          <w:szCs w:val="20"/>
          <w:color w:val="auto"/>
        </w:rPr>
      </w:pPr>
      <w:r>
        <w:rPr>
          <w:rFonts w:ascii="Arial" w:cs="Arial" w:eastAsia="Arial" w:hAnsi="Arial"/>
          <w:sz w:val="16"/>
          <w:szCs w:val="16"/>
          <w:color w:val="auto"/>
        </w:rPr>
        <w:t>Under the 2000 Employee Stock Purchase Plan, as amended and restated on October 31, 2011 (the “ESPP”), participants purchase the Company’s stock using payroll deductions, which may not exceed 15% of their total cash compensation. Pursuant to the terms of the current ESPP, the “look-back” period for the stock purchase price is 24 months. Offering and purchase periods begin on December 8 and June 8 of each year. Participants enrolled in a 24-month offering period will continue in that offering period until the earlier of the end of the offering period or the reset of the offering period. A reset occurs if the fair market value of the Company’s common shares on any purchase date is less than it was on the first day of the offering period. Participants in a 24-month offering period will be granted the right to purchase common shares at a price per share that is 85% of the lesser of the fair market value of the shares at (i) the participant’s entry date into the two-year offering period or (ii) the end of each six-month purchase period within the offering period.</w:t>
      </w:r>
    </w:p>
    <w:p>
      <w:pPr>
        <w:spacing w:after="0" w:line="58" w:lineRule="exact"/>
        <w:rPr>
          <w:sz w:val="20"/>
          <w:szCs w:val="20"/>
          <w:color w:val="auto"/>
        </w:rPr>
      </w:pPr>
    </w:p>
    <w:p>
      <w:pPr>
        <w:ind w:firstLine="405"/>
        <w:spacing w:after="0" w:line="286" w:lineRule="auto"/>
        <w:rPr>
          <w:sz w:val="20"/>
          <w:szCs w:val="20"/>
          <w:color w:val="auto"/>
        </w:rPr>
      </w:pPr>
      <w:r>
        <w:rPr>
          <w:rFonts w:ascii="Arial" w:cs="Arial" w:eastAsia="Arial" w:hAnsi="Arial"/>
          <w:sz w:val="17"/>
          <w:szCs w:val="17"/>
          <w:color w:val="auto"/>
        </w:rPr>
        <w:t>Under the ESPP, a total of 5.2 million shares were issued in fiscal 2020 at a weighted-average price of $13.25 per share, a total of 3.2 million shares were issued in fiscal 2019 at a weighted-average price of $15.08 per share, and a total of 7.0 million shares were issued in fiscal 2018 at a weighted-average price of $7.49 per share. As of February 1, 2020, there was $28.1 million of unamortized compensation cost related to the ESPP.</w:t>
      </w:r>
    </w:p>
    <w:p>
      <w:pPr>
        <w:spacing w:after="0" w:line="5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February 1, 2020, approximately 29.5 million shares remained available for future issuance under the ESPP.</w:t>
      </w: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87" w:name="page88"/>
    <w:bookmarkEnd w:id="8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0"/>
        <w:spacing w:after="0"/>
        <w:rPr>
          <w:sz w:val="20"/>
          <w:szCs w:val="20"/>
          <w:color w:val="auto"/>
        </w:rPr>
      </w:pPr>
      <w:r>
        <w:rPr>
          <w:rFonts w:ascii="Arial" w:cs="Arial" w:eastAsia="Arial" w:hAnsi="Arial"/>
          <w:sz w:val="18"/>
          <w:szCs w:val="18"/>
          <w:b w:val="1"/>
          <w:bCs w:val="1"/>
          <w:i w:val="1"/>
          <w:iCs w:val="1"/>
          <w:color w:val="auto"/>
        </w:rPr>
        <w:t>Summary of Share-Based Compensation Expense</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share-based compensation expense (in thousands):</w:t>
      </w:r>
    </w:p>
    <w:p>
      <w:pPr>
        <w:spacing w:after="0" w:line="5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gridSpan w:val="2"/>
          </w:tcPr>
          <w:p>
            <w:pPr>
              <w:jc w:val="center"/>
              <w:ind w:right="300"/>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r>
      <w:tr>
        <w:trPr>
          <w:trHeight w:val="152"/>
        </w:trPr>
        <w:tc>
          <w:tcPr>
            <w:tcW w:w="69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26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February 1,</w:t>
            </w:r>
          </w:p>
        </w:tc>
        <w:tc>
          <w:tcPr>
            <w:tcW w:w="200" w:type="dxa"/>
            <w:vAlign w:val="bottom"/>
          </w:tcPr>
          <w:p>
            <w:pPr>
              <w:spacing w:after="0"/>
              <w:rPr>
                <w:sz w:val="13"/>
                <w:szCs w:val="13"/>
                <w:color w:val="auto"/>
              </w:rPr>
            </w:pPr>
          </w:p>
        </w:tc>
        <w:tc>
          <w:tcPr>
            <w:tcW w:w="12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7"/>
              </w:rPr>
              <w:t>February 2,</w:t>
            </w:r>
          </w:p>
        </w:tc>
        <w:tc>
          <w:tcPr>
            <w:tcW w:w="220" w:type="dxa"/>
            <w:vAlign w:val="bottom"/>
          </w:tcPr>
          <w:p>
            <w:pPr>
              <w:spacing w:after="0"/>
              <w:rPr>
                <w:sz w:val="13"/>
                <w:szCs w:val="13"/>
                <w:color w:val="auto"/>
              </w:rPr>
            </w:pPr>
          </w:p>
        </w:tc>
        <w:tc>
          <w:tcPr>
            <w:tcW w:w="1160" w:type="dxa"/>
            <w:vAlign w:val="bottom"/>
          </w:tcPr>
          <w:p>
            <w:pPr>
              <w:jc w:val="right"/>
              <w:ind w:right="233"/>
              <w:spacing w:after="0" w:line="153" w:lineRule="exact"/>
              <w:rPr>
                <w:sz w:val="20"/>
                <w:szCs w:val="20"/>
                <w:color w:val="auto"/>
              </w:rPr>
            </w:pPr>
            <w:r>
              <w:rPr>
                <w:rFonts w:ascii="Arial" w:cs="Arial" w:eastAsia="Arial" w:hAnsi="Arial"/>
                <w:sz w:val="14"/>
                <w:szCs w:val="14"/>
                <w:b w:val="1"/>
                <w:bCs w:val="1"/>
                <w:color w:val="auto"/>
              </w:rPr>
              <w:t>February 3,</w:t>
            </w:r>
          </w:p>
        </w:tc>
      </w:tr>
      <w:tr>
        <w:trPr>
          <w:trHeight w:val="192"/>
        </w:trPr>
        <w:tc>
          <w:tcPr>
            <w:tcW w:w="69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center"/>
              <w:ind w:right="135"/>
              <w:spacing w:after="0"/>
              <w:rPr>
                <w:sz w:val="20"/>
                <w:szCs w:val="20"/>
                <w:color w:val="auto"/>
              </w:rPr>
            </w:pPr>
            <w:r>
              <w:rPr>
                <w:rFonts w:ascii="Arial" w:cs="Arial" w:eastAsia="Arial" w:hAnsi="Arial"/>
                <w:sz w:val="14"/>
                <w:szCs w:val="14"/>
                <w:b w:val="1"/>
                <w:bCs w:val="1"/>
                <w:color w:val="auto"/>
                <w:w w:val="96"/>
              </w:rPr>
              <w:t>2019</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2018</w:t>
            </w:r>
          </w:p>
        </w:tc>
      </w:tr>
      <w:tr>
        <w:trPr>
          <w:trHeight w:val="236"/>
        </w:trPr>
        <w:tc>
          <w:tcPr>
            <w:tcW w:w="6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Continuing operations:</w:t>
            </w:r>
          </w:p>
        </w:tc>
        <w:tc>
          <w:tcPr>
            <w:tcW w:w="2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r>
      <w:tr>
        <w:trPr>
          <w:trHeight w:val="243"/>
        </w:trPr>
        <w:tc>
          <w:tcPr>
            <w:tcW w:w="6920" w:type="dxa"/>
            <w:vAlign w:val="bottom"/>
          </w:tcPr>
          <w:p>
            <w:pPr>
              <w:ind w:left="260"/>
              <w:spacing w:after="0"/>
              <w:rPr>
                <w:sz w:val="20"/>
                <w:szCs w:val="20"/>
                <w:color w:val="auto"/>
              </w:rPr>
            </w:pPr>
            <w:r>
              <w:rPr>
                <w:rFonts w:ascii="Arial" w:cs="Arial" w:eastAsia="Arial" w:hAnsi="Arial"/>
                <w:sz w:val="18"/>
                <w:szCs w:val="18"/>
                <w:color w:val="auto"/>
              </w:rPr>
              <w:t>Cost of goods sold</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ind w:right="53"/>
              <w:spacing w:after="0"/>
              <w:rPr>
                <w:sz w:val="20"/>
                <w:szCs w:val="20"/>
                <w:color w:val="auto"/>
              </w:rPr>
            </w:pPr>
            <w:r>
              <w:rPr>
                <w:rFonts w:ascii="Arial" w:cs="Arial" w:eastAsia="Arial" w:hAnsi="Arial"/>
                <w:sz w:val="18"/>
                <w:szCs w:val="18"/>
                <w:color w:val="auto"/>
              </w:rPr>
              <w:t>13,759</w:t>
            </w:r>
          </w:p>
        </w:tc>
        <w:tc>
          <w:tcPr>
            <w:tcW w:w="120" w:type="dxa"/>
            <w:vAlign w:val="bottom"/>
          </w:tcPr>
          <w:p>
            <w:pPr>
              <w:spacing w:after="0"/>
              <w:rPr>
                <w:sz w:val="21"/>
                <w:szCs w:val="21"/>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75"/>
              <w:spacing w:after="0"/>
              <w:rPr>
                <w:sz w:val="20"/>
                <w:szCs w:val="20"/>
                <w:color w:val="auto"/>
              </w:rPr>
            </w:pPr>
            <w:r>
              <w:rPr>
                <w:rFonts w:ascii="Arial" w:cs="Arial" w:eastAsia="Arial" w:hAnsi="Arial"/>
                <w:sz w:val="18"/>
                <w:szCs w:val="18"/>
                <w:color w:val="auto"/>
              </w:rPr>
              <w:t>12,024</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6,646</w:t>
            </w:r>
          </w:p>
        </w:tc>
      </w:tr>
      <w:tr>
        <w:trPr>
          <w:trHeight w:val="27"/>
        </w:trPr>
        <w:tc>
          <w:tcPr>
            <w:tcW w:w="6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692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Research and development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157,054</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108,762</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52,127</w:t>
            </w:r>
          </w:p>
        </w:tc>
      </w:tr>
      <w:tr>
        <w:trPr>
          <w:trHeight w:val="243"/>
        </w:trPr>
        <w:tc>
          <w:tcPr>
            <w:tcW w:w="6920" w:type="dxa"/>
            <w:vAlign w:val="bottom"/>
          </w:tcPr>
          <w:p>
            <w:pPr>
              <w:ind w:left="26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tcPr>
          <w:p>
            <w:pPr>
              <w:spacing w:after="0"/>
              <w:rPr>
                <w:sz w:val="21"/>
                <w:szCs w:val="21"/>
                <w:color w:val="auto"/>
              </w:rPr>
            </w:pPr>
          </w:p>
        </w:tc>
        <w:tc>
          <w:tcPr>
            <w:tcW w:w="1140" w:type="dxa"/>
            <w:vAlign w:val="bottom"/>
          </w:tcPr>
          <w:p>
            <w:pPr>
              <w:jc w:val="right"/>
              <w:ind w:right="53"/>
              <w:spacing w:after="0"/>
              <w:rPr>
                <w:sz w:val="20"/>
                <w:szCs w:val="20"/>
                <w:color w:val="auto"/>
              </w:rPr>
            </w:pPr>
            <w:r>
              <w:rPr>
                <w:rFonts w:ascii="Arial" w:cs="Arial" w:eastAsia="Arial" w:hAnsi="Arial"/>
                <w:sz w:val="18"/>
                <w:szCs w:val="18"/>
                <w:color w:val="auto"/>
              </w:rPr>
              <w:t>71,996</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75"/>
              <w:spacing w:after="0"/>
              <w:rPr>
                <w:sz w:val="20"/>
                <w:szCs w:val="20"/>
                <w:color w:val="auto"/>
              </w:rPr>
            </w:pPr>
            <w:r>
              <w:rPr>
                <w:rFonts w:ascii="Arial" w:cs="Arial" w:eastAsia="Arial" w:hAnsi="Arial"/>
                <w:sz w:val="18"/>
                <w:szCs w:val="18"/>
                <w:color w:val="auto"/>
              </w:rPr>
              <w:t>77,309</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26,349</w:t>
            </w:r>
          </w:p>
        </w:tc>
      </w:tr>
      <w:tr>
        <w:trPr>
          <w:trHeight w:val="27"/>
        </w:trPr>
        <w:tc>
          <w:tcPr>
            <w:tcW w:w="69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3"/>
        </w:trPr>
        <w:tc>
          <w:tcPr>
            <w:tcW w:w="6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Share-based compensation - continuing operations</w:t>
            </w: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242,809</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198,095</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85,122</w:t>
            </w:r>
          </w:p>
        </w:tc>
      </w:tr>
      <w:tr>
        <w:trPr>
          <w:trHeight w:val="223"/>
        </w:trPr>
        <w:tc>
          <w:tcPr>
            <w:tcW w:w="6920" w:type="dxa"/>
            <w:vAlign w:val="bottom"/>
          </w:tcPr>
          <w:p>
            <w:pPr>
              <w:ind w:left="20"/>
              <w:spacing w:after="0"/>
              <w:rPr>
                <w:sz w:val="20"/>
                <w:szCs w:val="20"/>
                <w:color w:val="auto"/>
              </w:rPr>
            </w:pPr>
            <w:r>
              <w:rPr>
                <w:rFonts w:ascii="Arial" w:cs="Arial" w:eastAsia="Arial" w:hAnsi="Arial"/>
                <w:sz w:val="18"/>
                <w:szCs w:val="18"/>
                <w:color w:val="auto"/>
              </w:rPr>
              <w:t>Discontinued operations:</w:t>
            </w:r>
          </w:p>
        </w:tc>
        <w:tc>
          <w:tcPr>
            <w:tcW w:w="220" w:type="dxa"/>
            <w:vAlign w:val="bottom"/>
            <w:tcBorders>
              <w:top w:val="single" w:sz="8" w:color="auto"/>
            </w:tcBorders>
          </w:tcPr>
          <w:p>
            <w:pPr>
              <w:spacing w:after="0"/>
              <w:rPr>
                <w:sz w:val="19"/>
                <w:szCs w:val="19"/>
                <w:color w:val="auto"/>
              </w:rPr>
            </w:pPr>
          </w:p>
        </w:tc>
        <w:tc>
          <w:tcPr>
            <w:tcW w:w="114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r>
      <w:tr>
        <w:trPr>
          <w:trHeight w:val="27"/>
        </w:trPr>
        <w:tc>
          <w:tcPr>
            <w:tcW w:w="6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692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Cost of goods sold</w:t>
            </w: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(11)</w:t>
            </w:r>
          </w:p>
        </w:tc>
      </w:tr>
      <w:tr>
        <w:trPr>
          <w:trHeight w:val="243"/>
        </w:trPr>
        <w:tc>
          <w:tcPr>
            <w:tcW w:w="6920" w:type="dxa"/>
            <w:vAlign w:val="bottom"/>
          </w:tcPr>
          <w:p>
            <w:pPr>
              <w:ind w:left="300"/>
              <w:spacing w:after="0"/>
              <w:rPr>
                <w:sz w:val="20"/>
                <w:szCs w:val="20"/>
                <w:color w:val="auto"/>
              </w:rPr>
            </w:pPr>
            <w:r>
              <w:rPr>
                <w:rFonts w:ascii="Arial" w:cs="Arial" w:eastAsia="Arial" w:hAnsi="Arial"/>
                <w:sz w:val="18"/>
                <w:szCs w:val="18"/>
                <w:color w:val="auto"/>
              </w:rPr>
              <w:t>Research and development</w:t>
            </w:r>
          </w:p>
        </w:tc>
        <w:tc>
          <w:tcPr>
            <w:tcW w:w="220" w:type="dxa"/>
            <w:vAlign w:val="bottom"/>
          </w:tcPr>
          <w:p>
            <w:pPr>
              <w:spacing w:after="0"/>
              <w:rPr>
                <w:sz w:val="21"/>
                <w:szCs w:val="21"/>
                <w:color w:val="auto"/>
              </w:rPr>
            </w:pPr>
          </w:p>
        </w:tc>
        <w:tc>
          <w:tcPr>
            <w:tcW w:w="12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2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1,458</w:t>
            </w:r>
          </w:p>
        </w:tc>
      </w:tr>
      <w:tr>
        <w:trPr>
          <w:trHeight w:val="27"/>
        </w:trPr>
        <w:tc>
          <w:tcPr>
            <w:tcW w:w="6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70"/>
        </w:trPr>
        <w:tc>
          <w:tcPr>
            <w:tcW w:w="692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120</w:t>
            </w:r>
          </w:p>
        </w:tc>
      </w:tr>
      <w:tr>
        <w:trPr>
          <w:trHeight w:val="237"/>
        </w:trPr>
        <w:tc>
          <w:tcPr>
            <w:tcW w:w="6920" w:type="dxa"/>
            <w:vAlign w:val="bottom"/>
          </w:tcPr>
          <w:p>
            <w:pPr>
              <w:ind w:left="20"/>
              <w:spacing w:after="0"/>
              <w:rPr>
                <w:sz w:val="20"/>
                <w:szCs w:val="20"/>
                <w:color w:val="auto"/>
              </w:rPr>
            </w:pPr>
            <w:r>
              <w:rPr>
                <w:rFonts w:ascii="Arial" w:cs="Arial" w:eastAsia="Arial" w:hAnsi="Arial"/>
                <w:sz w:val="18"/>
                <w:szCs w:val="18"/>
                <w:color w:val="auto"/>
              </w:rPr>
              <w:t>Share-based compensation - discontinued operations</w:t>
            </w:r>
          </w:p>
        </w:tc>
        <w:tc>
          <w:tcPr>
            <w:tcW w:w="22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53"/>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75"/>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1,567</w:t>
            </w:r>
          </w:p>
        </w:tc>
      </w:tr>
      <w:tr>
        <w:trPr>
          <w:trHeight w:val="27"/>
        </w:trPr>
        <w:tc>
          <w:tcPr>
            <w:tcW w:w="69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88"/>
        </w:trPr>
        <w:tc>
          <w:tcPr>
            <w:tcW w:w="6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share-based compensation</w:t>
            </w: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242,809</w:t>
            </w:r>
          </w:p>
        </w:tc>
        <w:tc>
          <w:tcPr>
            <w:tcW w:w="12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198,095</w:t>
            </w:r>
          </w:p>
        </w:tc>
        <w:tc>
          <w:tcPr>
            <w:tcW w:w="10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86,689</w:t>
            </w:r>
          </w:p>
        </w:tc>
      </w:tr>
      <w:tr>
        <w:trPr>
          <w:trHeight w:val="20"/>
        </w:trPr>
        <w:tc>
          <w:tcPr>
            <w:tcW w:w="69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620" w:firstLine="405"/>
        <w:spacing w:after="0" w:line="277" w:lineRule="auto"/>
        <w:rPr>
          <w:sz w:val="20"/>
          <w:szCs w:val="20"/>
          <w:color w:val="auto"/>
        </w:rPr>
      </w:pPr>
      <w:r>
        <w:rPr>
          <w:rFonts w:ascii="Arial" w:cs="Arial" w:eastAsia="Arial" w:hAnsi="Arial"/>
          <w:sz w:val="18"/>
          <w:szCs w:val="18"/>
          <w:color w:val="auto"/>
        </w:rPr>
        <w:t>Share-based compensation capitalized in inventory was $4.1 million at February 1, 2020, $2.8 million at February 2, 2019 and $1.3 million at February 3, 2018.</w:t>
      </w:r>
    </w:p>
    <w:p>
      <w:pPr>
        <w:spacing w:after="0" w:line="62" w:lineRule="exact"/>
        <w:rPr>
          <w:sz w:val="20"/>
          <w:szCs w:val="20"/>
          <w:color w:val="auto"/>
        </w:rPr>
      </w:pPr>
    </w:p>
    <w:p>
      <w:pPr>
        <w:ind w:left="40"/>
        <w:spacing w:after="0"/>
        <w:rPr>
          <w:sz w:val="20"/>
          <w:szCs w:val="20"/>
          <w:color w:val="auto"/>
        </w:rPr>
      </w:pPr>
      <w:r>
        <w:rPr>
          <w:rFonts w:ascii="Arial" w:cs="Arial" w:eastAsia="Arial" w:hAnsi="Arial"/>
          <w:sz w:val="18"/>
          <w:szCs w:val="18"/>
          <w:b w:val="1"/>
          <w:bCs w:val="1"/>
          <w:i w:val="1"/>
          <w:iCs w:val="1"/>
          <w:color w:val="auto"/>
        </w:rPr>
        <w:t>Restricted Stock and Stock Unit Awards</w:t>
      </w:r>
    </w:p>
    <w:p>
      <w:pPr>
        <w:spacing w:after="0" w:line="117" w:lineRule="exact"/>
        <w:rPr>
          <w:sz w:val="20"/>
          <w:szCs w:val="20"/>
          <w:color w:val="auto"/>
        </w:rPr>
      </w:pPr>
    </w:p>
    <w:p>
      <w:pPr>
        <w:ind w:right="40" w:firstLine="405"/>
        <w:spacing w:after="0" w:line="276" w:lineRule="auto"/>
        <w:rPr>
          <w:sz w:val="20"/>
          <w:szCs w:val="20"/>
          <w:color w:val="auto"/>
        </w:rPr>
      </w:pPr>
      <w:r>
        <w:rPr>
          <w:rFonts w:ascii="Arial" w:cs="Arial" w:eastAsia="Arial" w:hAnsi="Arial"/>
          <w:sz w:val="18"/>
          <w:szCs w:val="18"/>
          <w:color w:val="auto"/>
        </w:rPr>
        <w:t>A summary of restricted stock unit activity, which includes time-based and performance-based or market-based restricted stock units, is as follows (in thousands, except per-share amounts):</w:t>
      </w:r>
    </w:p>
    <w:p>
      <w:pPr>
        <w:spacing w:after="0" w:line="2"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2900" w:type="dxa"/>
            <w:vAlign w:val="bottom"/>
          </w:tcPr>
          <w:p>
            <w:pPr>
              <w:spacing w:after="0"/>
              <w:rPr>
                <w:sz w:val="16"/>
                <w:szCs w:val="16"/>
                <w:color w:val="auto"/>
              </w:rPr>
            </w:pPr>
          </w:p>
        </w:tc>
        <w:tc>
          <w:tcPr>
            <w:tcW w:w="184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93"/>
              </w:rPr>
              <w:t>Time-Based</w:t>
            </w:r>
          </w:p>
        </w:tc>
        <w:tc>
          <w:tcPr>
            <w:tcW w:w="100" w:type="dxa"/>
            <w:vAlign w:val="bottom"/>
          </w:tcPr>
          <w:p>
            <w:pPr>
              <w:spacing w:after="0"/>
              <w:rPr>
                <w:sz w:val="16"/>
                <w:szCs w:val="16"/>
                <w:color w:val="auto"/>
              </w:rPr>
            </w:pPr>
          </w:p>
        </w:tc>
        <w:tc>
          <w:tcPr>
            <w:tcW w:w="2240" w:type="dxa"/>
            <w:vAlign w:val="bottom"/>
            <w:tcBorders>
              <w:bottom w:val="single" w:sz="8" w:color="auto"/>
            </w:tcBorders>
            <w:gridSpan w:val="4"/>
          </w:tcPr>
          <w:p>
            <w:pPr>
              <w:jc w:val="right"/>
              <w:ind w:right="434"/>
              <w:spacing w:after="0"/>
              <w:rPr>
                <w:sz w:val="20"/>
                <w:szCs w:val="20"/>
                <w:color w:val="auto"/>
              </w:rPr>
            </w:pPr>
            <w:r>
              <w:rPr>
                <w:rFonts w:ascii="Arial" w:cs="Arial" w:eastAsia="Arial" w:hAnsi="Arial"/>
                <w:sz w:val="14"/>
                <w:szCs w:val="14"/>
                <w:b w:val="1"/>
                <w:bCs w:val="1"/>
                <w:color w:val="auto"/>
              </w:rPr>
              <w:t>Performance-Based</w:t>
            </w:r>
          </w:p>
        </w:tc>
        <w:tc>
          <w:tcPr>
            <w:tcW w:w="100" w:type="dxa"/>
            <w:vAlign w:val="bottom"/>
          </w:tcPr>
          <w:p>
            <w:pPr>
              <w:spacing w:after="0"/>
              <w:rPr>
                <w:sz w:val="16"/>
                <w:szCs w:val="16"/>
                <w:color w:val="auto"/>
              </w:rPr>
            </w:pPr>
          </w:p>
        </w:tc>
        <w:tc>
          <w:tcPr>
            <w:tcW w:w="2020" w:type="dxa"/>
            <w:vAlign w:val="bottom"/>
            <w:tcBorders>
              <w:bottom w:val="single" w:sz="8" w:color="auto"/>
            </w:tcBorders>
            <w:gridSpan w:val="4"/>
          </w:tcPr>
          <w:p>
            <w:pPr>
              <w:jc w:val="right"/>
              <w:ind w:right="494"/>
              <w:spacing w:after="0"/>
              <w:rPr>
                <w:sz w:val="20"/>
                <w:szCs w:val="20"/>
                <w:color w:val="auto"/>
              </w:rPr>
            </w:pPr>
            <w:r>
              <w:rPr>
                <w:rFonts w:ascii="Arial" w:cs="Arial" w:eastAsia="Arial" w:hAnsi="Arial"/>
                <w:sz w:val="14"/>
                <w:szCs w:val="14"/>
                <w:b w:val="1"/>
                <w:bCs w:val="1"/>
                <w:color w:val="auto"/>
              </w:rPr>
              <w:t>Market-Based</w:t>
            </w:r>
          </w:p>
        </w:tc>
        <w:tc>
          <w:tcPr>
            <w:tcW w:w="100" w:type="dxa"/>
            <w:vAlign w:val="bottom"/>
          </w:tcPr>
          <w:p>
            <w:pPr>
              <w:spacing w:after="0"/>
              <w:rPr>
                <w:sz w:val="16"/>
                <w:szCs w:val="16"/>
                <w:color w:val="auto"/>
              </w:rPr>
            </w:pPr>
          </w:p>
        </w:tc>
        <w:tc>
          <w:tcPr>
            <w:tcW w:w="7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gridSpan w:val="3"/>
          </w:tcPr>
          <w:p>
            <w:pPr>
              <w:jc w:val="center"/>
              <w:ind w:right="674"/>
              <w:spacing w:after="0"/>
              <w:rPr>
                <w:sz w:val="20"/>
                <w:szCs w:val="20"/>
                <w:color w:val="auto"/>
              </w:rPr>
            </w:pPr>
            <w:r>
              <w:rPr>
                <w:rFonts w:ascii="Arial" w:cs="Arial" w:eastAsia="Arial" w:hAnsi="Arial"/>
                <w:sz w:val="14"/>
                <w:szCs w:val="14"/>
                <w:b w:val="1"/>
                <w:bCs w:val="1"/>
                <w:color w:val="auto"/>
                <w:w w:val="95"/>
              </w:rPr>
              <w:t>Total</w:t>
            </w:r>
          </w:p>
        </w:tc>
        <w:tc>
          <w:tcPr>
            <w:tcW w:w="0" w:type="dxa"/>
            <w:vAlign w:val="bottom"/>
          </w:tcPr>
          <w:p>
            <w:pPr>
              <w:spacing w:after="0"/>
              <w:rPr>
                <w:sz w:val="1"/>
                <w:szCs w:val="1"/>
                <w:color w:val="auto"/>
              </w:rPr>
            </w:pPr>
          </w:p>
        </w:tc>
      </w:tr>
      <w:tr>
        <w:trPr>
          <w:trHeight w:val="152"/>
        </w:trPr>
        <w:tc>
          <w:tcPr>
            <w:tcW w:w="29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940" w:type="dxa"/>
            <w:vAlign w:val="bottom"/>
            <w:gridSpan w:val="2"/>
          </w:tcPr>
          <w:p>
            <w:pPr>
              <w:jc w:val="center"/>
              <w:ind w:right="240"/>
              <w:spacing w:after="0" w:line="153" w:lineRule="exact"/>
              <w:rPr>
                <w:sz w:val="20"/>
                <w:szCs w:val="20"/>
                <w:color w:val="auto"/>
              </w:rPr>
            </w:pPr>
            <w:r>
              <w:rPr>
                <w:rFonts w:ascii="Arial" w:cs="Arial" w:eastAsia="Arial" w:hAnsi="Arial"/>
                <w:sz w:val="14"/>
                <w:szCs w:val="14"/>
                <w:b w:val="1"/>
                <w:bCs w:val="1"/>
                <w:color w:val="auto"/>
                <w:w w:val="91"/>
              </w:rPr>
              <w:t>Weighted-</w:t>
            </w:r>
          </w:p>
        </w:tc>
        <w:tc>
          <w:tcPr>
            <w:tcW w:w="88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960" w:type="dxa"/>
            <w:vAlign w:val="bottom"/>
            <w:gridSpan w:val="2"/>
          </w:tcPr>
          <w:p>
            <w:pPr>
              <w:jc w:val="center"/>
              <w:ind w:right="220"/>
              <w:spacing w:after="0" w:line="153" w:lineRule="exact"/>
              <w:rPr>
                <w:sz w:val="20"/>
                <w:szCs w:val="20"/>
                <w:color w:val="auto"/>
              </w:rPr>
            </w:pPr>
            <w:r>
              <w:rPr>
                <w:rFonts w:ascii="Arial" w:cs="Arial" w:eastAsia="Arial" w:hAnsi="Arial"/>
                <w:sz w:val="14"/>
                <w:szCs w:val="14"/>
                <w:b w:val="1"/>
                <w:bCs w:val="1"/>
                <w:color w:val="auto"/>
                <w:w w:val="91"/>
              </w:rPr>
              <w:t>Weighted-</w:t>
            </w:r>
          </w:p>
        </w:tc>
        <w:tc>
          <w:tcPr>
            <w:tcW w:w="7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960" w:type="dxa"/>
            <w:vAlign w:val="bottom"/>
            <w:gridSpan w:val="2"/>
          </w:tcPr>
          <w:p>
            <w:pPr>
              <w:jc w:val="center"/>
              <w:ind w:right="220"/>
              <w:spacing w:after="0" w:line="153" w:lineRule="exact"/>
              <w:rPr>
                <w:sz w:val="20"/>
                <w:szCs w:val="20"/>
                <w:color w:val="auto"/>
              </w:rPr>
            </w:pPr>
            <w:r>
              <w:rPr>
                <w:rFonts w:ascii="Arial" w:cs="Arial" w:eastAsia="Arial" w:hAnsi="Arial"/>
                <w:sz w:val="14"/>
                <w:szCs w:val="14"/>
                <w:b w:val="1"/>
                <w:bCs w:val="1"/>
                <w:color w:val="auto"/>
                <w:w w:val="91"/>
              </w:rPr>
              <w:t>Weighted-</w:t>
            </w:r>
          </w:p>
        </w:tc>
        <w:tc>
          <w:tcPr>
            <w:tcW w:w="7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80" w:type="dxa"/>
            <w:vAlign w:val="bottom"/>
          </w:tcPr>
          <w:p>
            <w:pPr>
              <w:jc w:val="center"/>
              <w:ind w:right="54"/>
              <w:spacing w:after="0" w:line="153" w:lineRule="exact"/>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48"/>
        </w:trPr>
        <w:tc>
          <w:tcPr>
            <w:tcW w:w="2900" w:type="dxa"/>
            <w:vAlign w:val="bottom"/>
          </w:tcPr>
          <w:p>
            <w:pPr>
              <w:spacing w:after="0"/>
              <w:rPr>
                <w:sz w:val="12"/>
                <w:szCs w:val="12"/>
                <w:color w:val="auto"/>
              </w:rPr>
            </w:pPr>
          </w:p>
        </w:tc>
        <w:tc>
          <w:tcPr>
            <w:tcW w:w="76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7"/>
              </w:rPr>
              <w:t>Number of</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0"/>
              </w:rPr>
              <w:t>Average</w:t>
            </w:r>
          </w:p>
        </w:tc>
        <w:tc>
          <w:tcPr>
            <w:tcW w:w="88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Number of</w:t>
            </w: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Average</w:t>
            </w:r>
          </w:p>
        </w:tc>
        <w:tc>
          <w:tcPr>
            <w:tcW w:w="78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9"/>
              </w:rPr>
              <w:t>Number of</w:t>
            </w: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Average</w:t>
            </w:r>
          </w:p>
        </w:tc>
        <w:tc>
          <w:tcPr>
            <w:tcW w:w="78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9"/>
              </w:rPr>
              <w:t>Number of</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80" w:type="dxa"/>
            <w:vAlign w:val="bottom"/>
          </w:tcPr>
          <w:p>
            <w:pPr>
              <w:jc w:val="center"/>
              <w:ind w:right="54"/>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2900" w:type="dxa"/>
            <w:vAlign w:val="bottom"/>
          </w:tcPr>
          <w:p>
            <w:pPr>
              <w:spacing w:after="0"/>
              <w:rPr>
                <w:sz w:val="12"/>
                <w:szCs w:val="12"/>
                <w:color w:val="auto"/>
              </w:rPr>
            </w:pPr>
          </w:p>
        </w:tc>
        <w:tc>
          <w:tcPr>
            <w:tcW w:w="76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7"/>
              </w:rPr>
              <w:t>Grant Date</w:t>
            </w:r>
          </w:p>
        </w:tc>
        <w:tc>
          <w:tcPr>
            <w:tcW w:w="880" w:type="dxa"/>
            <w:vAlign w:val="bottom"/>
            <w:vMerge w:val="continue"/>
          </w:tcPr>
          <w:p>
            <w:pPr>
              <w:spacing w:after="0"/>
              <w:rPr>
                <w:sz w:val="12"/>
                <w:szCs w:val="12"/>
                <w:color w:val="auto"/>
              </w:rPr>
            </w:pP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7"/>
              </w:rPr>
              <w:t>Grant Date</w:t>
            </w:r>
          </w:p>
        </w:tc>
        <w:tc>
          <w:tcPr>
            <w:tcW w:w="780" w:type="dxa"/>
            <w:vAlign w:val="bottom"/>
            <w:vMerge w:val="continue"/>
          </w:tcPr>
          <w:p>
            <w:pPr>
              <w:spacing w:after="0"/>
              <w:rPr>
                <w:sz w:val="12"/>
                <w:szCs w:val="12"/>
                <w:color w:val="auto"/>
              </w:rPr>
            </w:pP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7"/>
              </w:rPr>
              <w:t>Grant Date</w:t>
            </w:r>
          </w:p>
        </w:tc>
        <w:tc>
          <w:tcPr>
            <w:tcW w:w="78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80" w:type="dxa"/>
            <w:vAlign w:val="bottom"/>
          </w:tcPr>
          <w:p>
            <w:pPr>
              <w:jc w:val="center"/>
              <w:ind w:right="54"/>
              <w:spacing w:after="0" w:line="149" w:lineRule="exact"/>
              <w:rPr>
                <w:sz w:val="20"/>
                <w:szCs w:val="20"/>
                <w:color w:val="auto"/>
              </w:rPr>
            </w:pPr>
            <w:r>
              <w:rPr>
                <w:rFonts w:ascii="Arial" w:cs="Arial" w:eastAsia="Arial" w:hAnsi="Arial"/>
                <w:sz w:val="14"/>
                <w:szCs w:val="14"/>
                <w:b w:val="1"/>
                <w:bCs w:val="1"/>
                <w:color w:val="auto"/>
                <w:w w:val="97"/>
              </w:rPr>
              <w:t>Grant Date</w:t>
            </w:r>
          </w:p>
        </w:tc>
        <w:tc>
          <w:tcPr>
            <w:tcW w:w="0" w:type="dxa"/>
            <w:vAlign w:val="bottom"/>
          </w:tcPr>
          <w:p>
            <w:pPr>
              <w:spacing w:after="0"/>
              <w:rPr>
                <w:sz w:val="1"/>
                <w:szCs w:val="1"/>
                <w:color w:val="auto"/>
              </w:rPr>
            </w:pPr>
          </w:p>
        </w:tc>
      </w:tr>
      <w:tr>
        <w:trPr>
          <w:trHeight w:val="192"/>
        </w:trPr>
        <w:tc>
          <w:tcPr>
            <w:tcW w:w="2900" w:type="dxa"/>
            <w:vAlign w:val="bottom"/>
            <w:tcBorders>
              <w:bottom w:val="single" w:sz="8" w:color="CCEEFF"/>
            </w:tcBorders>
          </w:tcPr>
          <w:p>
            <w:pPr>
              <w:spacing w:after="0"/>
              <w:rPr>
                <w:sz w:val="16"/>
                <w:szCs w:val="16"/>
                <w:color w:val="auto"/>
              </w:rPr>
            </w:pPr>
          </w:p>
        </w:tc>
        <w:tc>
          <w:tcPr>
            <w:tcW w:w="76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rPr>
              <w:t>Shares</w:t>
            </w:r>
          </w:p>
        </w:tc>
        <w:tc>
          <w:tcPr>
            <w:tcW w:w="10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jc w:val="center"/>
              <w:ind w:right="34"/>
              <w:spacing w:after="0"/>
              <w:rPr>
                <w:sz w:val="20"/>
                <w:szCs w:val="20"/>
                <w:color w:val="auto"/>
              </w:rPr>
            </w:pPr>
            <w:r>
              <w:rPr>
                <w:rFonts w:ascii="Arial" w:cs="Arial" w:eastAsia="Arial" w:hAnsi="Arial"/>
                <w:sz w:val="14"/>
                <w:szCs w:val="14"/>
                <w:b w:val="1"/>
                <w:bCs w:val="1"/>
                <w:color w:val="auto"/>
                <w:w w:val="95"/>
              </w:rPr>
              <w:t>Fair Value</w:t>
            </w:r>
          </w:p>
        </w:tc>
        <w:tc>
          <w:tcPr>
            <w:tcW w:w="100" w:type="dxa"/>
            <w:vAlign w:val="bottom"/>
            <w:tcBorders>
              <w:bottom w:val="single" w:sz="8" w:color="CCEEFF"/>
            </w:tcBorders>
          </w:tcPr>
          <w:p>
            <w:pPr>
              <w:spacing w:after="0"/>
              <w:rPr>
                <w:sz w:val="16"/>
                <w:szCs w:val="16"/>
                <w:color w:val="auto"/>
              </w:rPr>
            </w:pPr>
          </w:p>
        </w:tc>
        <w:tc>
          <w:tcPr>
            <w:tcW w:w="8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Shares</w:t>
            </w:r>
          </w:p>
        </w:tc>
        <w:tc>
          <w:tcPr>
            <w:tcW w:w="38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tcPr>
          <w:p>
            <w:pPr>
              <w:jc w:val="center"/>
              <w:ind w:right="34"/>
              <w:spacing w:after="0"/>
              <w:rPr>
                <w:sz w:val="20"/>
                <w:szCs w:val="20"/>
                <w:color w:val="auto"/>
              </w:rPr>
            </w:pPr>
            <w:r>
              <w:rPr>
                <w:rFonts w:ascii="Arial" w:cs="Arial" w:eastAsia="Arial" w:hAnsi="Arial"/>
                <w:sz w:val="14"/>
                <w:szCs w:val="14"/>
                <w:b w:val="1"/>
                <w:bCs w:val="1"/>
                <w:color w:val="auto"/>
                <w:w w:val="98"/>
              </w:rPr>
              <w:t>Fair Value</w:t>
            </w:r>
          </w:p>
        </w:tc>
        <w:tc>
          <w:tcPr>
            <w:tcW w:w="100" w:type="dxa"/>
            <w:vAlign w:val="bottom"/>
            <w:tcBorders>
              <w:bottom w:val="single" w:sz="8" w:color="CCEEFF"/>
            </w:tcBorders>
          </w:tcPr>
          <w:p>
            <w:pPr>
              <w:spacing w:after="0"/>
              <w:rPr>
                <w:sz w:val="16"/>
                <w:szCs w:val="16"/>
                <w:color w:val="auto"/>
              </w:rPr>
            </w:pPr>
          </w:p>
        </w:tc>
        <w:tc>
          <w:tcPr>
            <w:tcW w:w="78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rPr>
              <w:t>Shares</w:t>
            </w:r>
          </w:p>
        </w:tc>
        <w:tc>
          <w:tcPr>
            <w:tcW w:w="26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tcPr>
          <w:p>
            <w:pPr>
              <w:jc w:val="center"/>
              <w:ind w:right="34"/>
              <w:spacing w:after="0"/>
              <w:rPr>
                <w:sz w:val="20"/>
                <w:szCs w:val="20"/>
                <w:color w:val="auto"/>
              </w:rPr>
            </w:pPr>
            <w:r>
              <w:rPr>
                <w:rFonts w:ascii="Arial" w:cs="Arial" w:eastAsia="Arial" w:hAnsi="Arial"/>
                <w:sz w:val="14"/>
                <w:szCs w:val="14"/>
                <w:b w:val="1"/>
                <w:bCs w:val="1"/>
                <w:color w:val="auto"/>
                <w:w w:val="98"/>
              </w:rPr>
              <w:t>Fair Value</w:t>
            </w:r>
          </w:p>
        </w:tc>
        <w:tc>
          <w:tcPr>
            <w:tcW w:w="100" w:type="dxa"/>
            <w:vAlign w:val="bottom"/>
            <w:tcBorders>
              <w:bottom w:val="single" w:sz="8" w:color="CCEEFF"/>
            </w:tcBorders>
          </w:tcPr>
          <w:p>
            <w:pPr>
              <w:spacing w:after="0"/>
              <w:rPr>
                <w:sz w:val="16"/>
                <w:szCs w:val="16"/>
                <w:color w:val="auto"/>
              </w:rPr>
            </w:pPr>
          </w:p>
        </w:tc>
        <w:tc>
          <w:tcPr>
            <w:tcW w:w="780" w:type="dxa"/>
            <w:vAlign w:val="bottom"/>
            <w:tcBorders>
              <w:bottom w:val="single" w:sz="8" w:color="auto"/>
            </w:tcBorders>
          </w:tcPr>
          <w:p>
            <w:pPr>
              <w:jc w:val="right"/>
              <w:ind w:right="92"/>
              <w:spacing w:after="0"/>
              <w:rPr>
                <w:sz w:val="20"/>
                <w:szCs w:val="20"/>
                <w:color w:val="auto"/>
              </w:rPr>
            </w:pPr>
            <w:r>
              <w:rPr>
                <w:rFonts w:ascii="Arial" w:cs="Arial" w:eastAsia="Arial" w:hAnsi="Arial"/>
                <w:sz w:val="14"/>
                <w:szCs w:val="14"/>
                <w:b w:val="1"/>
                <w:bCs w:val="1"/>
                <w:color w:val="auto"/>
              </w:rPr>
              <w:t>Shares</w:t>
            </w:r>
          </w:p>
        </w:tc>
        <w:tc>
          <w:tcPr>
            <w:tcW w:w="10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center"/>
              <w:ind w:right="34"/>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49"/>
        </w:trPr>
        <w:tc>
          <w:tcPr>
            <w:tcW w:w="29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January 28, 2017</w:t>
            </w:r>
          </w:p>
        </w:tc>
        <w:tc>
          <w:tcPr>
            <w:tcW w:w="7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9,925</w:t>
            </w:r>
          </w:p>
        </w:tc>
        <w:tc>
          <w:tcPr>
            <w:tcW w:w="2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10.52</w:t>
            </w:r>
          </w:p>
        </w:tc>
        <w:tc>
          <w:tcPr>
            <w:tcW w:w="10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313</w:t>
            </w:r>
          </w:p>
        </w:tc>
        <w:tc>
          <w:tcPr>
            <w:tcW w:w="3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13.91</w:t>
            </w:r>
          </w:p>
        </w:tc>
        <w:tc>
          <w:tcPr>
            <w:tcW w:w="1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559</w:t>
            </w:r>
          </w:p>
        </w:tc>
        <w:tc>
          <w:tcPr>
            <w:tcW w:w="3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11.80</w:t>
            </w:r>
          </w:p>
        </w:tc>
        <w:tc>
          <w:tcPr>
            <w:tcW w:w="1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10,797</w:t>
            </w:r>
          </w:p>
        </w:tc>
        <w:tc>
          <w:tcPr>
            <w:tcW w:w="240" w:type="dxa"/>
            <w:vAlign w:val="bottom"/>
            <w:tcBorders>
              <w:bottom w:val="single" w:sz="8" w:color="CCEEFF"/>
            </w:tcBorders>
            <w:gridSpan w:val="2"/>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10.69</w:t>
            </w:r>
          </w:p>
        </w:tc>
        <w:tc>
          <w:tcPr>
            <w:tcW w:w="0" w:type="dxa"/>
            <w:vAlign w:val="bottom"/>
          </w:tcPr>
          <w:p>
            <w:pPr>
              <w:spacing w:after="0"/>
              <w:rPr>
                <w:sz w:val="1"/>
                <w:szCs w:val="1"/>
                <w:color w:val="auto"/>
              </w:rPr>
            </w:pPr>
          </w:p>
        </w:tc>
      </w:tr>
      <w:tr>
        <w:trPr>
          <w:trHeight w:val="243"/>
        </w:trPr>
        <w:tc>
          <w:tcPr>
            <w:tcW w:w="2900" w:type="dxa"/>
            <w:vAlign w:val="bottom"/>
          </w:tcPr>
          <w:p>
            <w:pPr>
              <w:ind w:left="320"/>
              <w:spacing w:after="0"/>
              <w:rPr>
                <w:sz w:val="20"/>
                <w:szCs w:val="20"/>
                <w:color w:val="auto"/>
              </w:rPr>
            </w:pPr>
            <w:r>
              <w:rPr>
                <w:rFonts w:ascii="Arial" w:cs="Arial" w:eastAsia="Arial" w:hAnsi="Arial"/>
                <w:sz w:val="18"/>
                <w:szCs w:val="18"/>
                <w:color w:val="auto"/>
              </w:rPr>
              <w:t>Granted</w:t>
            </w:r>
          </w:p>
        </w:tc>
        <w:tc>
          <w:tcPr>
            <w:tcW w:w="760" w:type="dxa"/>
            <w:vAlign w:val="bottom"/>
          </w:tcPr>
          <w:p>
            <w:pPr>
              <w:jc w:val="right"/>
              <w:ind w:right="73"/>
              <w:spacing w:after="0"/>
              <w:rPr>
                <w:sz w:val="20"/>
                <w:szCs w:val="20"/>
                <w:color w:val="auto"/>
              </w:rPr>
            </w:pPr>
            <w:r>
              <w:rPr>
                <w:rFonts w:ascii="Arial" w:cs="Arial" w:eastAsia="Arial" w:hAnsi="Arial"/>
                <w:sz w:val="18"/>
                <w:szCs w:val="18"/>
                <w:color w:val="auto"/>
              </w:rPr>
              <w:t>8,154</w:t>
            </w:r>
          </w:p>
        </w:tc>
        <w:tc>
          <w:tcPr>
            <w:tcW w:w="240" w:type="dxa"/>
            <w:vAlign w:val="bottom"/>
            <w:gridSpan w:val="2"/>
          </w:tcPr>
          <w:p>
            <w:pPr>
              <w:jc w:val="center"/>
              <w:ind w:left="10"/>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ind w:right="74"/>
              <w:spacing w:after="0"/>
              <w:rPr>
                <w:sz w:val="20"/>
                <w:szCs w:val="20"/>
                <w:color w:val="auto"/>
              </w:rPr>
            </w:pPr>
            <w:r>
              <w:rPr>
                <w:rFonts w:ascii="Arial" w:cs="Arial" w:eastAsia="Arial" w:hAnsi="Arial"/>
                <w:sz w:val="18"/>
                <w:szCs w:val="18"/>
                <w:color w:val="auto"/>
              </w:rPr>
              <w:t>15.33</w:t>
            </w:r>
          </w:p>
        </w:tc>
        <w:tc>
          <w:tcPr>
            <w:tcW w:w="100" w:type="dxa"/>
            <w:vAlign w:val="bottom"/>
          </w:tcPr>
          <w:p>
            <w:pPr>
              <w:spacing w:after="0"/>
              <w:rPr>
                <w:sz w:val="21"/>
                <w:szCs w:val="21"/>
                <w:color w:val="auto"/>
              </w:rPr>
            </w:pPr>
          </w:p>
        </w:tc>
        <w:tc>
          <w:tcPr>
            <w:tcW w:w="880" w:type="dxa"/>
            <w:vAlign w:val="bottom"/>
          </w:tcPr>
          <w:p>
            <w:pPr>
              <w:jc w:val="right"/>
              <w:ind w:right="53"/>
              <w:spacing w:after="0"/>
              <w:rPr>
                <w:sz w:val="20"/>
                <w:szCs w:val="20"/>
                <w:color w:val="auto"/>
              </w:rPr>
            </w:pPr>
            <w:r>
              <w:rPr>
                <w:rFonts w:ascii="Arial" w:cs="Arial" w:eastAsia="Arial" w:hAnsi="Arial"/>
                <w:sz w:val="18"/>
                <w:szCs w:val="18"/>
                <w:color w:val="auto"/>
              </w:rPr>
              <w:t>406</w:t>
            </w:r>
          </w:p>
        </w:tc>
        <w:tc>
          <w:tcPr>
            <w:tcW w:w="380" w:type="dxa"/>
            <w:vAlign w:val="bottom"/>
          </w:tcPr>
          <w:p>
            <w:pPr>
              <w:jc w:val="right"/>
              <w:ind w:right="50"/>
              <w:spacing w:after="0"/>
              <w:rPr>
                <w:sz w:val="20"/>
                <w:szCs w:val="20"/>
                <w:color w:val="auto"/>
              </w:rPr>
            </w:pPr>
            <w:r>
              <w:rPr>
                <w:rFonts w:ascii="Arial" w:cs="Arial" w:eastAsia="Arial" w:hAnsi="Arial"/>
                <w:sz w:val="18"/>
                <w:szCs w:val="18"/>
                <w:color w:val="auto"/>
              </w:rPr>
              <w:t>[1]</w:t>
            </w: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Pr>
          <w:p>
            <w:pPr>
              <w:jc w:val="right"/>
              <w:ind w:right="74"/>
              <w:spacing w:after="0"/>
              <w:rPr>
                <w:sz w:val="20"/>
                <w:szCs w:val="20"/>
                <w:color w:val="auto"/>
              </w:rPr>
            </w:pPr>
            <w:r>
              <w:rPr>
                <w:rFonts w:ascii="Arial" w:cs="Arial" w:eastAsia="Arial" w:hAnsi="Arial"/>
                <w:sz w:val="18"/>
                <w:szCs w:val="18"/>
                <w:color w:val="auto"/>
              </w:rPr>
              <w:t>14.49</w:t>
            </w:r>
          </w:p>
        </w:tc>
        <w:tc>
          <w:tcPr>
            <w:tcW w:w="100" w:type="dxa"/>
            <w:vAlign w:val="bottom"/>
          </w:tcPr>
          <w:p>
            <w:pPr>
              <w:spacing w:after="0"/>
              <w:rPr>
                <w:sz w:val="21"/>
                <w:szCs w:val="21"/>
                <w:color w:val="auto"/>
              </w:rPr>
            </w:pPr>
          </w:p>
        </w:tc>
        <w:tc>
          <w:tcPr>
            <w:tcW w:w="780" w:type="dxa"/>
            <w:vAlign w:val="bottom"/>
          </w:tcPr>
          <w:p>
            <w:pPr>
              <w:jc w:val="right"/>
              <w:ind w:right="73"/>
              <w:spacing w:after="0"/>
              <w:rPr>
                <w:sz w:val="20"/>
                <w:szCs w:val="20"/>
                <w:color w:val="auto"/>
              </w:rPr>
            </w:pPr>
            <w:r>
              <w:rPr>
                <w:rFonts w:ascii="Arial" w:cs="Arial" w:eastAsia="Arial" w:hAnsi="Arial"/>
                <w:sz w:val="18"/>
                <w:szCs w:val="18"/>
                <w:color w:val="auto"/>
              </w:rPr>
              <w:t>409</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[1] $</w:t>
            </w:r>
          </w:p>
        </w:tc>
        <w:tc>
          <w:tcPr>
            <w:tcW w:w="860" w:type="dxa"/>
            <w:vAlign w:val="bottom"/>
          </w:tcPr>
          <w:p>
            <w:pPr>
              <w:jc w:val="right"/>
              <w:ind w:right="74"/>
              <w:spacing w:after="0"/>
              <w:rPr>
                <w:sz w:val="20"/>
                <w:szCs w:val="20"/>
                <w:color w:val="auto"/>
              </w:rPr>
            </w:pPr>
            <w:r>
              <w:rPr>
                <w:rFonts w:ascii="Arial" w:cs="Arial" w:eastAsia="Arial" w:hAnsi="Arial"/>
                <w:sz w:val="18"/>
                <w:szCs w:val="18"/>
                <w:color w:val="auto"/>
              </w:rPr>
              <w:t>15.14</w:t>
            </w:r>
          </w:p>
        </w:tc>
        <w:tc>
          <w:tcPr>
            <w:tcW w:w="100" w:type="dxa"/>
            <w:vAlign w:val="bottom"/>
          </w:tcPr>
          <w:p>
            <w:pPr>
              <w:spacing w:after="0"/>
              <w:rPr>
                <w:sz w:val="21"/>
                <w:szCs w:val="21"/>
                <w:color w:val="auto"/>
              </w:rPr>
            </w:pPr>
          </w:p>
        </w:tc>
        <w:tc>
          <w:tcPr>
            <w:tcW w:w="780" w:type="dxa"/>
            <w:vAlign w:val="bottom"/>
          </w:tcPr>
          <w:p>
            <w:pPr>
              <w:jc w:val="right"/>
              <w:ind w:right="72"/>
              <w:spacing w:after="0"/>
              <w:rPr>
                <w:sz w:val="20"/>
                <w:szCs w:val="20"/>
                <w:color w:val="auto"/>
              </w:rPr>
            </w:pPr>
            <w:r>
              <w:rPr>
                <w:rFonts w:ascii="Arial" w:cs="Arial" w:eastAsia="Arial" w:hAnsi="Arial"/>
                <w:sz w:val="18"/>
                <w:szCs w:val="18"/>
                <w:color w:val="auto"/>
              </w:rPr>
              <w:t>8,969</w:t>
            </w:r>
          </w:p>
        </w:tc>
        <w:tc>
          <w:tcPr>
            <w:tcW w:w="240" w:type="dxa"/>
            <w:vAlign w:val="bottom"/>
            <w:gridSpan w:val="2"/>
          </w:tcPr>
          <w:p>
            <w:pPr>
              <w:jc w:val="center"/>
              <w:spacing w:after="0"/>
              <w:rPr>
                <w:sz w:val="20"/>
                <w:szCs w:val="20"/>
                <w:color w:val="auto"/>
              </w:rPr>
            </w:pPr>
            <w:r>
              <w:rPr>
                <w:rFonts w:ascii="Arial" w:cs="Arial" w:eastAsia="Arial" w:hAnsi="Arial"/>
                <w:sz w:val="18"/>
                <w:szCs w:val="18"/>
                <w:color w:val="auto"/>
                <w:w w:val="79"/>
              </w:rPr>
              <w:t>$</w:t>
            </w:r>
          </w:p>
        </w:tc>
        <w:tc>
          <w:tcPr>
            <w:tcW w:w="880" w:type="dxa"/>
            <w:vAlign w:val="bottom"/>
          </w:tcPr>
          <w:p>
            <w:pPr>
              <w:jc w:val="right"/>
              <w:ind w:right="54"/>
              <w:spacing w:after="0"/>
              <w:rPr>
                <w:sz w:val="20"/>
                <w:szCs w:val="20"/>
                <w:color w:val="auto"/>
              </w:rPr>
            </w:pPr>
            <w:r>
              <w:rPr>
                <w:rFonts w:ascii="Arial" w:cs="Arial" w:eastAsia="Arial" w:hAnsi="Arial"/>
                <w:sz w:val="18"/>
                <w:szCs w:val="18"/>
                <w:color w:val="auto"/>
              </w:rPr>
              <w:t>15.28</w:t>
            </w:r>
          </w:p>
        </w:tc>
        <w:tc>
          <w:tcPr>
            <w:tcW w:w="0" w:type="dxa"/>
            <w:vAlign w:val="bottom"/>
          </w:tcPr>
          <w:p>
            <w:pPr>
              <w:spacing w:after="0"/>
              <w:rPr>
                <w:sz w:val="1"/>
                <w:szCs w:val="1"/>
                <w:color w:val="auto"/>
              </w:rPr>
            </w:pPr>
          </w:p>
        </w:tc>
      </w:tr>
      <w:tr>
        <w:trPr>
          <w:trHeight w:val="27"/>
        </w:trPr>
        <w:tc>
          <w:tcPr>
            <w:tcW w:w="2900" w:type="dxa"/>
            <w:vAlign w:val="bottom"/>
          </w:tcPr>
          <w:p>
            <w:pPr>
              <w:spacing w:after="0"/>
              <w:rPr>
                <w:sz w:val="2"/>
                <w:szCs w:val="2"/>
                <w:color w:val="auto"/>
              </w:rPr>
            </w:pPr>
          </w:p>
        </w:tc>
        <w:tc>
          <w:tcPr>
            <w:tcW w:w="7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40" w:type="dxa"/>
            <w:vAlign w:val="bottom"/>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900" w:type="dxa"/>
            <w:vAlign w:val="bottom"/>
            <w:tcBorders>
              <w:bottom w:val="single" w:sz="8" w:color="CCEEFF"/>
            </w:tcBorders>
            <w:shd w:val="clear" w:color="auto" w:fill="CCEEFF"/>
          </w:tcPr>
          <w:p>
            <w:pPr>
              <w:ind w:left="320"/>
              <w:spacing w:after="0"/>
              <w:rPr>
                <w:sz w:val="20"/>
                <w:szCs w:val="20"/>
                <w:color w:val="auto"/>
              </w:rPr>
            </w:pPr>
            <w:r>
              <w:rPr>
                <w:rFonts w:ascii="Arial" w:cs="Arial" w:eastAsia="Arial" w:hAnsi="Arial"/>
                <w:sz w:val="18"/>
                <w:szCs w:val="18"/>
                <w:color w:val="auto"/>
              </w:rPr>
              <w:t>Vested</w:t>
            </w:r>
          </w:p>
        </w:tc>
        <w:tc>
          <w:tcPr>
            <w:tcW w:w="7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(5,653)</w:t>
            </w:r>
          </w:p>
        </w:tc>
        <w:tc>
          <w:tcPr>
            <w:tcW w:w="2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10.86</w:t>
            </w:r>
          </w:p>
        </w:tc>
        <w:tc>
          <w:tcPr>
            <w:tcW w:w="10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w:t>
            </w:r>
          </w:p>
        </w:tc>
        <w:tc>
          <w:tcPr>
            <w:tcW w:w="3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w:t>
            </w:r>
          </w:p>
        </w:tc>
        <w:tc>
          <w:tcPr>
            <w:tcW w:w="3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(5,653)</w:t>
            </w:r>
          </w:p>
        </w:tc>
        <w:tc>
          <w:tcPr>
            <w:tcW w:w="240" w:type="dxa"/>
            <w:vAlign w:val="bottom"/>
            <w:tcBorders>
              <w:bottom w:val="single" w:sz="8" w:color="CCEEFF"/>
            </w:tcBorders>
            <w:gridSpan w:val="2"/>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10.86</w:t>
            </w:r>
          </w:p>
        </w:tc>
        <w:tc>
          <w:tcPr>
            <w:tcW w:w="0" w:type="dxa"/>
            <w:vAlign w:val="bottom"/>
          </w:tcPr>
          <w:p>
            <w:pPr>
              <w:spacing w:after="0"/>
              <w:rPr>
                <w:sz w:val="1"/>
                <w:szCs w:val="1"/>
                <w:color w:val="auto"/>
              </w:rPr>
            </w:pPr>
          </w:p>
        </w:tc>
      </w:tr>
      <w:tr>
        <w:trPr>
          <w:trHeight w:val="243"/>
        </w:trPr>
        <w:tc>
          <w:tcPr>
            <w:tcW w:w="2900" w:type="dxa"/>
            <w:vAlign w:val="bottom"/>
          </w:tcPr>
          <w:p>
            <w:pPr>
              <w:ind w:left="320"/>
              <w:spacing w:after="0"/>
              <w:rPr>
                <w:sz w:val="20"/>
                <w:szCs w:val="20"/>
                <w:color w:val="auto"/>
              </w:rPr>
            </w:pPr>
            <w:r>
              <w:rPr>
                <w:rFonts w:ascii="Arial" w:cs="Arial" w:eastAsia="Arial" w:hAnsi="Arial"/>
                <w:sz w:val="18"/>
                <w:szCs w:val="18"/>
                <w:color w:val="auto"/>
              </w:rPr>
              <w:t>Canceled/Forfeited</w:t>
            </w:r>
          </w:p>
        </w:tc>
        <w:tc>
          <w:tcPr>
            <w:tcW w:w="760" w:type="dxa"/>
            <w:vAlign w:val="bottom"/>
          </w:tcPr>
          <w:p>
            <w:pPr>
              <w:jc w:val="right"/>
              <w:ind w:right="13"/>
              <w:spacing w:after="0"/>
              <w:rPr>
                <w:sz w:val="20"/>
                <w:szCs w:val="20"/>
                <w:color w:val="auto"/>
              </w:rPr>
            </w:pPr>
            <w:r>
              <w:rPr>
                <w:rFonts w:ascii="Arial" w:cs="Arial" w:eastAsia="Arial" w:hAnsi="Arial"/>
                <w:sz w:val="18"/>
                <w:szCs w:val="18"/>
                <w:color w:val="auto"/>
              </w:rPr>
              <w:t>(2,137)</w:t>
            </w:r>
          </w:p>
        </w:tc>
        <w:tc>
          <w:tcPr>
            <w:tcW w:w="240" w:type="dxa"/>
            <w:vAlign w:val="bottom"/>
            <w:gridSpan w:val="2"/>
          </w:tcPr>
          <w:p>
            <w:pPr>
              <w:jc w:val="center"/>
              <w:ind w:left="10"/>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ind w:right="74"/>
              <w:spacing w:after="0"/>
              <w:rPr>
                <w:sz w:val="20"/>
                <w:szCs w:val="20"/>
                <w:color w:val="auto"/>
              </w:rPr>
            </w:pPr>
            <w:r>
              <w:rPr>
                <w:rFonts w:ascii="Arial" w:cs="Arial" w:eastAsia="Arial" w:hAnsi="Arial"/>
                <w:sz w:val="18"/>
                <w:szCs w:val="18"/>
                <w:color w:val="auto"/>
              </w:rPr>
              <w:t>11.95</w:t>
            </w:r>
          </w:p>
        </w:tc>
        <w:tc>
          <w:tcPr>
            <w:tcW w:w="100" w:type="dxa"/>
            <w:vAlign w:val="bottom"/>
          </w:tcPr>
          <w:p>
            <w:pPr>
              <w:spacing w:after="0"/>
              <w:rPr>
                <w:sz w:val="21"/>
                <w:szCs w:val="21"/>
                <w:color w:val="auto"/>
              </w:rPr>
            </w:pPr>
          </w:p>
        </w:tc>
        <w:tc>
          <w:tcPr>
            <w:tcW w:w="880" w:type="dxa"/>
            <w:vAlign w:val="bottom"/>
          </w:tcPr>
          <w:p>
            <w:pPr>
              <w:jc w:val="right"/>
              <w:ind w:right="13"/>
              <w:spacing w:after="0"/>
              <w:rPr>
                <w:sz w:val="20"/>
                <w:szCs w:val="20"/>
                <w:color w:val="auto"/>
              </w:rPr>
            </w:pPr>
            <w:r>
              <w:rPr>
                <w:rFonts w:ascii="Arial" w:cs="Arial" w:eastAsia="Arial" w:hAnsi="Arial"/>
                <w:sz w:val="18"/>
                <w:szCs w:val="18"/>
                <w:color w:val="auto"/>
              </w:rPr>
              <w:t>(47)</w:t>
            </w:r>
          </w:p>
        </w:tc>
        <w:tc>
          <w:tcPr>
            <w:tcW w:w="380" w:type="dxa"/>
            <w:vAlign w:val="bottom"/>
          </w:tcPr>
          <w:p>
            <w:pPr>
              <w:spacing w:after="0"/>
              <w:rPr>
                <w:sz w:val="21"/>
                <w:szCs w:val="21"/>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Pr>
          <w:p>
            <w:pPr>
              <w:jc w:val="right"/>
              <w:ind w:right="74"/>
              <w:spacing w:after="0"/>
              <w:rPr>
                <w:sz w:val="20"/>
                <w:szCs w:val="20"/>
                <w:color w:val="auto"/>
              </w:rPr>
            </w:pPr>
            <w:r>
              <w:rPr>
                <w:rFonts w:ascii="Arial" w:cs="Arial" w:eastAsia="Arial" w:hAnsi="Arial"/>
                <w:sz w:val="18"/>
                <w:szCs w:val="18"/>
                <w:color w:val="auto"/>
              </w:rPr>
              <w:t>13.99</w:t>
            </w:r>
          </w:p>
        </w:tc>
        <w:tc>
          <w:tcPr>
            <w:tcW w:w="100" w:type="dxa"/>
            <w:vAlign w:val="bottom"/>
          </w:tcPr>
          <w:p>
            <w:pPr>
              <w:spacing w:after="0"/>
              <w:rPr>
                <w:sz w:val="21"/>
                <w:szCs w:val="21"/>
                <w:color w:val="auto"/>
              </w:rPr>
            </w:pPr>
          </w:p>
        </w:tc>
        <w:tc>
          <w:tcPr>
            <w:tcW w:w="780" w:type="dxa"/>
            <w:vAlign w:val="bottom"/>
          </w:tcPr>
          <w:p>
            <w:pPr>
              <w:jc w:val="right"/>
              <w:ind w:right="33"/>
              <w:spacing w:after="0"/>
              <w:rPr>
                <w:sz w:val="20"/>
                <w:szCs w:val="20"/>
                <w:color w:val="auto"/>
              </w:rPr>
            </w:pPr>
            <w:r>
              <w:rPr>
                <w:rFonts w:ascii="Arial" w:cs="Arial" w:eastAsia="Arial" w:hAnsi="Arial"/>
                <w:sz w:val="18"/>
                <w:szCs w:val="18"/>
                <w:color w:val="auto"/>
              </w:rPr>
              <w:t>(47)</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74"/>
              <w:spacing w:after="0"/>
              <w:rPr>
                <w:sz w:val="20"/>
                <w:szCs w:val="20"/>
                <w:color w:val="auto"/>
              </w:rPr>
            </w:pPr>
            <w:r>
              <w:rPr>
                <w:rFonts w:ascii="Arial" w:cs="Arial" w:eastAsia="Arial" w:hAnsi="Arial"/>
                <w:sz w:val="18"/>
                <w:szCs w:val="18"/>
                <w:color w:val="auto"/>
              </w:rPr>
              <w:t>14.71</w:t>
            </w:r>
          </w:p>
        </w:tc>
        <w:tc>
          <w:tcPr>
            <w:tcW w:w="100" w:type="dxa"/>
            <w:vAlign w:val="bottom"/>
          </w:tcPr>
          <w:p>
            <w:pPr>
              <w:spacing w:after="0"/>
              <w:rPr>
                <w:sz w:val="21"/>
                <w:szCs w:val="21"/>
                <w:color w:val="auto"/>
              </w:rPr>
            </w:pPr>
          </w:p>
        </w:tc>
        <w:tc>
          <w:tcPr>
            <w:tcW w:w="780" w:type="dxa"/>
            <w:vAlign w:val="bottom"/>
          </w:tcPr>
          <w:p>
            <w:pPr>
              <w:jc w:val="right"/>
              <w:ind w:right="32"/>
              <w:spacing w:after="0"/>
              <w:rPr>
                <w:sz w:val="20"/>
                <w:szCs w:val="20"/>
                <w:color w:val="auto"/>
              </w:rPr>
            </w:pPr>
            <w:r>
              <w:rPr>
                <w:rFonts w:ascii="Arial" w:cs="Arial" w:eastAsia="Arial" w:hAnsi="Arial"/>
                <w:sz w:val="18"/>
                <w:szCs w:val="18"/>
                <w:color w:val="auto"/>
              </w:rPr>
              <w:t>(2,231)</w:t>
            </w:r>
          </w:p>
        </w:tc>
        <w:tc>
          <w:tcPr>
            <w:tcW w:w="240" w:type="dxa"/>
            <w:vAlign w:val="bottom"/>
            <w:gridSpan w:val="2"/>
          </w:tcPr>
          <w:p>
            <w:pPr>
              <w:jc w:val="center"/>
              <w:spacing w:after="0"/>
              <w:rPr>
                <w:sz w:val="20"/>
                <w:szCs w:val="20"/>
                <w:color w:val="auto"/>
              </w:rPr>
            </w:pPr>
            <w:r>
              <w:rPr>
                <w:rFonts w:ascii="Arial" w:cs="Arial" w:eastAsia="Arial" w:hAnsi="Arial"/>
                <w:sz w:val="18"/>
                <w:szCs w:val="18"/>
                <w:color w:val="auto"/>
                <w:w w:val="79"/>
              </w:rPr>
              <w:t>$</w:t>
            </w:r>
          </w:p>
        </w:tc>
        <w:tc>
          <w:tcPr>
            <w:tcW w:w="880" w:type="dxa"/>
            <w:vAlign w:val="bottom"/>
          </w:tcPr>
          <w:p>
            <w:pPr>
              <w:jc w:val="right"/>
              <w:ind w:right="54"/>
              <w:spacing w:after="0"/>
              <w:rPr>
                <w:sz w:val="20"/>
                <w:szCs w:val="20"/>
                <w:color w:val="auto"/>
              </w:rPr>
            </w:pPr>
            <w:r>
              <w:rPr>
                <w:rFonts w:ascii="Arial" w:cs="Arial" w:eastAsia="Arial" w:hAnsi="Arial"/>
                <w:sz w:val="18"/>
                <w:szCs w:val="18"/>
                <w:color w:val="auto"/>
              </w:rPr>
              <w:t>12.05</w:t>
            </w:r>
          </w:p>
        </w:tc>
        <w:tc>
          <w:tcPr>
            <w:tcW w:w="0" w:type="dxa"/>
            <w:vAlign w:val="bottom"/>
          </w:tcPr>
          <w:p>
            <w:pPr>
              <w:spacing w:after="0"/>
              <w:rPr>
                <w:sz w:val="1"/>
                <w:szCs w:val="1"/>
                <w:color w:val="auto"/>
              </w:rPr>
            </w:pPr>
          </w:p>
        </w:tc>
      </w:tr>
      <w:tr>
        <w:trPr>
          <w:trHeight w:val="27"/>
        </w:trPr>
        <w:tc>
          <w:tcPr>
            <w:tcW w:w="2900" w:type="dxa"/>
            <w:vAlign w:val="bottom"/>
            <w:tcBorders>
              <w:bottom w:val="single" w:sz="8" w:color="CCEEFF"/>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8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380" w:type="dxa"/>
            <w:vAlign w:val="bottom"/>
            <w:tcBorders>
              <w:bottom w:val="single" w:sz="8" w:color="CCEEFF"/>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86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86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88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89"/>
        </w:trPr>
        <w:tc>
          <w:tcPr>
            <w:tcW w:w="29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3, 2018</w:t>
            </w:r>
          </w:p>
        </w:tc>
        <w:tc>
          <w:tcPr>
            <w:tcW w:w="760" w:type="dxa"/>
            <w:vAlign w:val="bottom"/>
            <w:tcBorders>
              <w:bottom w:val="single" w:sz="8" w:color="auto"/>
            </w:tcBorders>
            <w:shd w:val="clear" w:color="auto" w:fill="CCEEFF"/>
          </w:tcPr>
          <w:p>
            <w:pPr>
              <w:jc w:val="right"/>
              <w:ind w:right="73"/>
              <w:spacing w:after="0"/>
              <w:rPr>
                <w:sz w:val="20"/>
                <w:szCs w:val="20"/>
                <w:color w:val="auto"/>
              </w:rPr>
            </w:pPr>
            <w:r>
              <w:rPr>
                <w:rFonts w:ascii="Arial" w:cs="Arial" w:eastAsia="Arial" w:hAnsi="Arial"/>
                <w:sz w:val="18"/>
                <w:szCs w:val="18"/>
                <w:color w:val="auto"/>
              </w:rPr>
              <w:t>10,289</w:t>
            </w:r>
          </w:p>
        </w:tc>
        <w:tc>
          <w:tcPr>
            <w:tcW w:w="2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13.84</w:t>
            </w:r>
          </w:p>
        </w:tc>
        <w:tc>
          <w:tcPr>
            <w:tcW w:w="100" w:type="dxa"/>
            <w:vAlign w:val="bottom"/>
            <w:tcBorders>
              <w:bottom w:val="single" w:sz="8" w:color="CCEEFF"/>
            </w:tcBorders>
            <w:shd w:val="clear" w:color="auto" w:fill="CCEEFF"/>
          </w:tcPr>
          <w:p>
            <w:pPr>
              <w:spacing w:after="0"/>
              <w:rPr>
                <w:sz w:val="24"/>
                <w:szCs w:val="24"/>
                <w:color w:val="auto"/>
              </w:rPr>
            </w:pPr>
          </w:p>
        </w:tc>
        <w:tc>
          <w:tcPr>
            <w:tcW w:w="880" w:type="dxa"/>
            <w:vAlign w:val="bottom"/>
            <w:tcBorders>
              <w:bottom w:val="single" w:sz="8" w:color="auto"/>
            </w:tcBorders>
            <w:shd w:val="clear" w:color="auto" w:fill="CCEEFF"/>
          </w:tcPr>
          <w:p>
            <w:pPr>
              <w:jc w:val="right"/>
              <w:ind w:right="53"/>
              <w:spacing w:after="0"/>
              <w:rPr>
                <w:sz w:val="20"/>
                <w:szCs w:val="20"/>
                <w:color w:val="auto"/>
              </w:rPr>
            </w:pPr>
            <w:r>
              <w:rPr>
                <w:rFonts w:ascii="Arial" w:cs="Arial" w:eastAsia="Arial" w:hAnsi="Arial"/>
                <w:sz w:val="18"/>
                <w:szCs w:val="18"/>
                <w:color w:val="auto"/>
              </w:rPr>
              <w:t>672</w:t>
            </w:r>
          </w:p>
        </w:tc>
        <w:tc>
          <w:tcPr>
            <w:tcW w:w="380" w:type="dxa"/>
            <w:vAlign w:val="bottom"/>
            <w:tcBorders>
              <w:bottom w:val="single" w:sz="8" w:color="CCEEFF"/>
            </w:tcBorders>
            <w:shd w:val="clear" w:color="auto" w:fill="CCEEFF"/>
          </w:tcPr>
          <w:p>
            <w:pPr>
              <w:spacing w:after="0"/>
              <w:rPr>
                <w:sz w:val="24"/>
                <w:szCs w:val="24"/>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14.25</w:t>
            </w:r>
          </w:p>
        </w:tc>
        <w:tc>
          <w:tcPr>
            <w:tcW w:w="100" w:type="dxa"/>
            <w:vAlign w:val="bottom"/>
            <w:tcBorders>
              <w:bottom w:val="single" w:sz="8" w:color="CCEEFF"/>
            </w:tcBorders>
            <w:shd w:val="clear" w:color="auto" w:fill="CCEEFF"/>
          </w:tcPr>
          <w:p>
            <w:pPr>
              <w:spacing w:after="0"/>
              <w:rPr>
                <w:sz w:val="24"/>
                <w:szCs w:val="24"/>
                <w:color w:val="auto"/>
              </w:rPr>
            </w:pPr>
          </w:p>
        </w:tc>
        <w:tc>
          <w:tcPr>
            <w:tcW w:w="780" w:type="dxa"/>
            <w:vAlign w:val="bottom"/>
            <w:tcBorders>
              <w:bottom w:val="single" w:sz="8" w:color="auto"/>
            </w:tcBorders>
            <w:shd w:val="clear" w:color="auto" w:fill="CCEEFF"/>
          </w:tcPr>
          <w:p>
            <w:pPr>
              <w:jc w:val="right"/>
              <w:ind w:right="73"/>
              <w:spacing w:after="0"/>
              <w:rPr>
                <w:sz w:val="20"/>
                <w:szCs w:val="20"/>
                <w:color w:val="auto"/>
              </w:rPr>
            </w:pPr>
            <w:r>
              <w:rPr>
                <w:rFonts w:ascii="Arial" w:cs="Arial" w:eastAsia="Arial" w:hAnsi="Arial"/>
                <w:sz w:val="18"/>
                <w:szCs w:val="18"/>
                <w:color w:val="auto"/>
              </w:rPr>
              <w:t>921</w:t>
            </w:r>
          </w:p>
        </w:tc>
        <w:tc>
          <w:tcPr>
            <w:tcW w:w="3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13.14</w:t>
            </w:r>
          </w:p>
        </w:tc>
        <w:tc>
          <w:tcPr>
            <w:tcW w:w="100" w:type="dxa"/>
            <w:vAlign w:val="bottom"/>
            <w:tcBorders>
              <w:bottom w:val="single" w:sz="8" w:color="CCEEFF"/>
            </w:tcBorders>
            <w:shd w:val="clear" w:color="auto" w:fill="CCEEFF"/>
          </w:tcPr>
          <w:p>
            <w:pPr>
              <w:spacing w:after="0"/>
              <w:rPr>
                <w:sz w:val="24"/>
                <w:szCs w:val="24"/>
                <w:color w:val="auto"/>
              </w:rPr>
            </w:pPr>
          </w:p>
        </w:tc>
        <w:tc>
          <w:tcPr>
            <w:tcW w:w="78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rPr>
              <w:t>11,882</w:t>
            </w:r>
          </w:p>
        </w:tc>
        <w:tc>
          <w:tcPr>
            <w:tcW w:w="240" w:type="dxa"/>
            <w:vAlign w:val="bottom"/>
            <w:tcBorders>
              <w:bottom w:val="single" w:sz="8" w:color="CCEEFF"/>
            </w:tcBorders>
            <w:gridSpan w:val="2"/>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13.81</w:t>
            </w:r>
          </w:p>
        </w:tc>
        <w:tc>
          <w:tcPr>
            <w:tcW w:w="0" w:type="dxa"/>
            <w:vAlign w:val="bottom"/>
          </w:tcPr>
          <w:p>
            <w:pPr>
              <w:spacing w:after="0"/>
              <w:rPr>
                <w:sz w:val="1"/>
                <w:szCs w:val="1"/>
                <w:color w:val="auto"/>
              </w:rPr>
            </w:pPr>
          </w:p>
        </w:tc>
      </w:tr>
      <w:tr>
        <w:trPr>
          <w:trHeight w:val="20"/>
        </w:trPr>
        <w:tc>
          <w:tcPr>
            <w:tcW w:w="2900" w:type="dxa"/>
            <w:vAlign w:val="bottom"/>
            <w:tcBorders>
              <w:top w:val="single" w:sz="8" w:color="CCEEFF"/>
              <w:bottom w:val="single" w:sz="8" w:color="CCEEFF"/>
            </w:tcBorders>
            <w:vMerge w:val="restart"/>
          </w:tcPr>
          <w:p>
            <w:pPr>
              <w:ind w:left="320"/>
              <w:spacing w:after="0"/>
              <w:rPr>
                <w:sz w:val="20"/>
                <w:szCs w:val="20"/>
                <w:color w:val="auto"/>
              </w:rPr>
            </w:pPr>
            <w:r>
              <w:rPr>
                <w:rFonts w:ascii="Arial" w:cs="Arial" w:eastAsia="Arial" w:hAnsi="Arial"/>
                <w:sz w:val="18"/>
                <w:szCs w:val="18"/>
                <w:color w:val="auto"/>
              </w:rPr>
              <w:t>Assumed upon acquisition [4]</w:t>
            </w:r>
          </w:p>
        </w:tc>
        <w:tc>
          <w:tcPr>
            <w:tcW w:w="7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80" w:type="dxa"/>
            <w:vAlign w:val="bottom"/>
            <w:tcBorders>
              <w:top w:val="single" w:sz="8" w:color="CCEEFF"/>
              <w:bottom w:val="single" w:sz="8" w:color="auto"/>
            </w:tcBorders>
          </w:tcPr>
          <w:p>
            <w:pPr>
              <w:spacing w:after="0" w:line="20" w:lineRule="exact"/>
              <w:rPr>
                <w:sz w:val="1"/>
                <w:szCs w:val="1"/>
                <w:color w:val="auto"/>
              </w:rPr>
            </w:pPr>
          </w:p>
        </w:tc>
        <w:tc>
          <w:tcPr>
            <w:tcW w:w="38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780" w:type="dxa"/>
            <w:vAlign w:val="bottom"/>
            <w:tcBorders>
              <w:top w:val="single" w:sz="8" w:color="CCEEFF"/>
              <w:bottom w:val="single" w:sz="8" w:color="auto"/>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7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8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2900" w:type="dxa"/>
            <w:vAlign w:val="bottom"/>
            <w:vMerge w:val="continue"/>
          </w:tcPr>
          <w:p>
            <w:pPr>
              <w:spacing w:after="0"/>
              <w:rPr>
                <w:sz w:val="18"/>
                <w:szCs w:val="18"/>
                <w:color w:val="auto"/>
              </w:rPr>
            </w:pPr>
          </w:p>
        </w:tc>
        <w:tc>
          <w:tcPr>
            <w:tcW w:w="760" w:type="dxa"/>
            <w:vAlign w:val="bottom"/>
          </w:tcPr>
          <w:p>
            <w:pPr>
              <w:jc w:val="right"/>
              <w:ind w:right="73"/>
              <w:spacing w:after="0"/>
              <w:rPr>
                <w:sz w:val="20"/>
                <w:szCs w:val="20"/>
                <w:color w:val="auto"/>
              </w:rPr>
            </w:pPr>
            <w:r>
              <w:rPr>
                <w:rFonts w:ascii="Arial" w:cs="Arial" w:eastAsia="Arial" w:hAnsi="Arial"/>
                <w:sz w:val="18"/>
                <w:szCs w:val="18"/>
                <w:color w:val="auto"/>
              </w:rPr>
              <w:t>13,289</w:t>
            </w:r>
          </w:p>
        </w:tc>
        <w:tc>
          <w:tcPr>
            <w:tcW w:w="240" w:type="dxa"/>
            <w:vAlign w:val="bottom"/>
            <w:gridSpan w:val="2"/>
          </w:tcPr>
          <w:p>
            <w:pPr>
              <w:jc w:val="center"/>
              <w:ind w:left="10"/>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ind w:right="74"/>
              <w:spacing w:after="0"/>
              <w:rPr>
                <w:sz w:val="20"/>
                <w:szCs w:val="20"/>
                <w:color w:val="auto"/>
              </w:rPr>
            </w:pPr>
            <w:r>
              <w:rPr>
                <w:rFonts w:ascii="Arial" w:cs="Arial" w:eastAsia="Arial" w:hAnsi="Arial"/>
                <w:sz w:val="18"/>
                <w:szCs w:val="18"/>
                <w:color w:val="auto"/>
              </w:rPr>
              <w:t>21.02</w:t>
            </w:r>
          </w:p>
        </w:tc>
        <w:tc>
          <w:tcPr>
            <w:tcW w:w="100" w:type="dxa"/>
            <w:vAlign w:val="bottom"/>
          </w:tcPr>
          <w:p>
            <w:pPr>
              <w:spacing w:after="0"/>
              <w:rPr>
                <w:sz w:val="18"/>
                <w:szCs w:val="18"/>
                <w:color w:val="auto"/>
              </w:rPr>
            </w:pPr>
          </w:p>
        </w:tc>
        <w:tc>
          <w:tcPr>
            <w:tcW w:w="880" w:type="dxa"/>
            <w:vAlign w:val="bottom"/>
          </w:tcPr>
          <w:p>
            <w:pPr>
              <w:jc w:val="right"/>
              <w:ind w:right="53"/>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73"/>
              <w:spacing w:after="0"/>
              <w:rPr>
                <w:sz w:val="20"/>
                <w:szCs w:val="20"/>
                <w:color w:val="auto"/>
              </w:rPr>
            </w:pPr>
            <w:r>
              <w:rPr>
                <w:rFonts w:ascii="Arial" w:cs="Arial" w:eastAsia="Arial" w:hAnsi="Arial"/>
                <w:sz w:val="18"/>
                <w:szCs w:val="18"/>
                <w:color w:val="auto"/>
              </w:rPr>
              <w:t>—</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72"/>
              <w:spacing w:after="0"/>
              <w:rPr>
                <w:sz w:val="20"/>
                <w:szCs w:val="20"/>
                <w:color w:val="auto"/>
              </w:rPr>
            </w:pPr>
            <w:r>
              <w:rPr>
                <w:rFonts w:ascii="Arial" w:cs="Arial" w:eastAsia="Arial" w:hAnsi="Arial"/>
                <w:sz w:val="18"/>
                <w:szCs w:val="18"/>
                <w:color w:val="auto"/>
              </w:rPr>
              <w:t>13,289</w:t>
            </w:r>
          </w:p>
        </w:tc>
        <w:tc>
          <w:tcPr>
            <w:tcW w:w="240" w:type="dxa"/>
            <w:vAlign w:val="bottom"/>
            <w:gridSpan w:val="2"/>
          </w:tcPr>
          <w:p>
            <w:pPr>
              <w:jc w:val="center"/>
              <w:spacing w:after="0"/>
              <w:rPr>
                <w:sz w:val="20"/>
                <w:szCs w:val="20"/>
                <w:color w:val="auto"/>
              </w:rPr>
            </w:pPr>
            <w:r>
              <w:rPr>
                <w:rFonts w:ascii="Arial" w:cs="Arial" w:eastAsia="Arial" w:hAnsi="Arial"/>
                <w:sz w:val="18"/>
                <w:szCs w:val="18"/>
                <w:color w:val="auto"/>
                <w:w w:val="79"/>
              </w:rPr>
              <w:t>$</w:t>
            </w:r>
          </w:p>
        </w:tc>
        <w:tc>
          <w:tcPr>
            <w:tcW w:w="880" w:type="dxa"/>
            <w:vAlign w:val="bottom"/>
          </w:tcPr>
          <w:p>
            <w:pPr>
              <w:jc w:val="right"/>
              <w:ind w:right="54"/>
              <w:spacing w:after="0"/>
              <w:rPr>
                <w:sz w:val="20"/>
                <w:szCs w:val="20"/>
                <w:color w:val="auto"/>
              </w:rPr>
            </w:pPr>
            <w:r>
              <w:rPr>
                <w:rFonts w:ascii="Arial" w:cs="Arial" w:eastAsia="Arial" w:hAnsi="Arial"/>
                <w:sz w:val="18"/>
                <w:szCs w:val="18"/>
                <w:color w:val="auto"/>
              </w:rPr>
              <w:t>21.02</w:t>
            </w:r>
          </w:p>
        </w:tc>
        <w:tc>
          <w:tcPr>
            <w:tcW w:w="0" w:type="dxa"/>
            <w:vAlign w:val="bottom"/>
          </w:tcPr>
          <w:p>
            <w:pPr>
              <w:spacing w:after="0"/>
              <w:rPr>
                <w:sz w:val="1"/>
                <w:szCs w:val="1"/>
                <w:color w:val="auto"/>
              </w:rPr>
            </w:pPr>
          </w:p>
        </w:tc>
      </w:tr>
      <w:tr>
        <w:trPr>
          <w:trHeight w:val="27"/>
        </w:trPr>
        <w:tc>
          <w:tcPr>
            <w:tcW w:w="2900" w:type="dxa"/>
            <w:vAlign w:val="bottom"/>
          </w:tcPr>
          <w:p>
            <w:pPr>
              <w:spacing w:after="0"/>
              <w:rPr>
                <w:sz w:val="2"/>
                <w:szCs w:val="2"/>
                <w:color w:val="auto"/>
              </w:rPr>
            </w:pPr>
          </w:p>
        </w:tc>
        <w:tc>
          <w:tcPr>
            <w:tcW w:w="7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40" w:type="dxa"/>
            <w:vAlign w:val="bottom"/>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900" w:type="dxa"/>
            <w:vAlign w:val="bottom"/>
            <w:tcBorders>
              <w:bottom w:val="single" w:sz="8" w:color="CCEEFF"/>
            </w:tcBorders>
            <w:shd w:val="clear" w:color="auto" w:fill="CCEEFF"/>
          </w:tcPr>
          <w:p>
            <w:pPr>
              <w:ind w:left="320"/>
              <w:spacing w:after="0"/>
              <w:rPr>
                <w:sz w:val="20"/>
                <w:szCs w:val="20"/>
                <w:color w:val="auto"/>
              </w:rPr>
            </w:pPr>
            <w:r>
              <w:rPr>
                <w:rFonts w:ascii="Arial" w:cs="Arial" w:eastAsia="Arial" w:hAnsi="Arial"/>
                <w:sz w:val="18"/>
                <w:szCs w:val="18"/>
                <w:color w:val="auto"/>
              </w:rPr>
              <w:t>Granted</w:t>
            </w:r>
          </w:p>
        </w:tc>
        <w:tc>
          <w:tcPr>
            <w:tcW w:w="7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7,453</w:t>
            </w:r>
          </w:p>
        </w:tc>
        <w:tc>
          <w:tcPr>
            <w:tcW w:w="2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19.95</w:t>
            </w:r>
          </w:p>
        </w:tc>
        <w:tc>
          <w:tcPr>
            <w:tcW w:w="10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340</w:t>
            </w:r>
          </w:p>
        </w:tc>
        <w:tc>
          <w:tcPr>
            <w:tcW w:w="38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21.12</w:t>
            </w:r>
          </w:p>
        </w:tc>
        <w:tc>
          <w:tcPr>
            <w:tcW w:w="1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351</w:t>
            </w:r>
          </w:p>
        </w:tc>
        <w:tc>
          <w:tcPr>
            <w:tcW w:w="3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 $</w:t>
            </w:r>
          </w:p>
        </w:tc>
        <w:tc>
          <w:tcPr>
            <w:tcW w:w="8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21.36</w:t>
            </w:r>
          </w:p>
        </w:tc>
        <w:tc>
          <w:tcPr>
            <w:tcW w:w="1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8,144</w:t>
            </w:r>
          </w:p>
        </w:tc>
        <w:tc>
          <w:tcPr>
            <w:tcW w:w="240" w:type="dxa"/>
            <w:vAlign w:val="bottom"/>
            <w:tcBorders>
              <w:bottom w:val="single" w:sz="8" w:color="CCEEFF"/>
            </w:tcBorders>
            <w:gridSpan w:val="2"/>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20.06</w:t>
            </w:r>
          </w:p>
        </w:tc>
        <w:tc>
          <w:tcPr>
            <w:tcW w:w="0" w:type="dxa"/>
            <w:vAlign w:val="bottom"/>
          </w:tcPr>
          <w:p>
            <w:pPr>
              <w:spacing w:after="0"/>
              <w:rPr>
                <w:sz w:val="1"/>
                <w:szCs w:val="1"/>
                <w:color w:val="auto"/>
              </w:rPr>
            </w:pPr>
          </w:p>
        </w:tc>
      </w:tr>
      <w:tr>
        <w:trPr>
          <w:trHeight w:val="243"/>
        </w:trPr>
        <w:tc>
          <w:tcPr>
            <w:tcW w:w="2900" w:type="dxa"/>
            <w:vAlign w:val="bottom"/>
          </w:tcPr>
          <w:p>
            <w:pPr>
              <w:ind w:left="320"/>
              <w:spacing w:after="0"/>
              <w:rPr>
                <w:sz w:val="20"/>
                <w:szCs w:val="20"/>
                <w:color w:val="auto"/>
              </w:rPr>
            </w:pPr>
            <w:r>
              <w:rPr>
                <w:rFonts w:ascii="Arial" w:cs="Arial" w:eastAsia="Arial" w:hAnsi="Arial"/>
                <w:sz w:val="18"/>
                <w:szCs w:val="18"/>
                <w:color w:val="auto"/>
              </w:rPr>
              <w:t>Vested</w:t>
            </w:r>
          </w:p>
        </w:tc>
        <w:tc>
          <w:tcPr>
            <w:tcW w:w="760" w:type="dxa"/>
            <w:vAlign w:val="bottom"/>
          </w:tcPr>
          <w:p>
            <w:pPr>
              <w:jc w:val="right"/>
              <w:ind w:right="13"/>
              <w:spacing w:after="0"/>
              <w:rPr>
                <w:sz w:val="20"/>
                <w:szCs w:val="20"/>
                <w:color w:val="auto"/>
              </w:rPr>
            </w:pPr>
            <w:r>
              <w:rPr>
                <w:rFonts w:ascii="Arial" w:cs="Arial" w:eastAsia="Arial" w:hAnsi="Arial"/>
                <w:sz w:val="18"/>
                <w:szCs w:val="18"/>
                <w:color w:val="auto"/>
              </w:rPr>
              <w:t>(8,827)</w:t>
            </w:r>
          </w:p>
        </w:tc>
        <w:tc>
          <w:tcPr>
            <w:tcW w:w="240" w:type="dxa"/>
            <w:vAlign w:val="bottom"/>
            <w:gridSpan w:val="2"/>
          </w:tcPr>
          <w:p>
            <w:pPr>
              <w:jc w:val="center"/>
              <w:ind w:left="10"/>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ind w:right="74"/>
              <w:spacing w:after="0"/>
              <w:rPr>
                <w:sz w:val="20"/>
                <w:szCs w:val="20"/>
                <w:color w:val="auto"/>
              </w:rPr>
            </w:pPr>
            <w:r>
              <w:rPr>
                <w:rFonts w:ascii="Arial" w:cs="Arial" w:eastAsia="Arial" w:hAnsi="Arial"/>
                <w:sz w:val="18"/>
                <w:szCs w:val="18"/>
                <w:color w:val="auto"/>
              </w:rPr>
              <w:t>16.30</w:t>
            </w:r>
          </w:p>
        </w:tc>
        <w:tc>
          <w:tcPr>
            <w:tcW w:w="100" w:type="dxa"/>
            <w:vAlign w:val="bottom"/>
          </w:tcPr>
          <w:p>
            <w:pPr>
              <w:spacing w:after="0"/>
              <w:rPr>
                <w:sz w:val="21"/>
                <w:szCs w:val="21"/>
                <w:color w:val="auto"/>
              </w:rPr>
            </w:pPr>
          </w:p>
        </w:tc>
        <w:tc>
          <w:tcPr>
            <w:tcW w:w="880" w:type="dxa"/>
            <w:vAlign w:val="bottom"/>
          </w:tcPr>
          <w:p>
            <w:pPr>
              <w:jc w:val="right"/>
              <w:ind w:right="53"/>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21"/>
                <w:szCs w:val="21"/>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33"/>
              <w:spacing w:after="0"/>
              <w:rPr>
                <w:sz w:val="20"/>
                <w:szCs w:val="20"/>
                <w:color w:val="auto"/>
              </w:rPr>
            </w:pPr>
            <w:r>
              <w:rPr>
                <w:rFonts w:ascii="Arial" w:cs="Arial" w:eastAsia="Arial" w:hAnsi="Arial"/>
                <w:sz w:val="18"/>
                <w:szCs w:val="18"/>
                <w:color w:val="auto"/>
              </w:rPr>
              <w:t>(30)</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74"/>
              <w:spacing w:after="0"/>
              <w:rPr>
                <w:sz w:val="20"/>
                <w:szCs w:val="20"/>
                <w:color w:val="auto"/>
              </w:rPr>
            </w:pPr>
            <w:r>
              <w:rPr>
                <w:rFonts w:ascii="Arial" w:cs="Arial" w:eastAsia="Arial" w:hAnsi="Arial"/>
                <w:sz w:val="18"/>
                <w:szCs w:val="18"/>
                <w:color w:val="auto"/>
              </w:rPr>
              <w:t>13.08</w:t>
            </w:r>
          </w:p>
        </w:tc>
        <w:tc>
          <w:tcPr>
            <w:tcW w:w="100" w:type="dxa"/>
            <w:vAlign w:val="bottom"/>
          </w:tcPr>
          <w:p>
            <w:pPr>
              <w:spacing w:after="0"/>
              <w:rPr>
                <w:sz w:val="21"/>
                <w:szCs w:val="21"/>
                <w:color w:val="auto"/>
              </w:rPr>
            </w:pPr>
          </w:p>
        </w:tc>
        <w:tc>
          <w:tcPr>
            <w:tcW w:w="780" w:type="dxa"/>
            <w:vAlign w:val="bottom"/>
          </w:tcPr>
          <w:p>
            <w:pPr>
              <w:jc w:val="right"/>
              <w:ind w:right="32"/>
              <w:spacing w:after="0"/>
              <w:rPr>
                <w:sz w:val="20"/>
                <w:szCs w:val="20"/>
                <w:color w:val="auto"/>
              </w:rPr>
            </w:pPr>
            <w:r>
              <w:rPr>
                <w:rFonts w:ascii="Arial" w:cs="Arial" w:eastAsia="Arial" w:hAnsi="Arial"/>
                <w:sz w:val="18"/>
                <w:szCs w:val="18"/>
                <w:color w:val="auto"/>
              </w:rPr>
              <w:t>(8,857)</w:t>
            </w:r>
          </w:p>
        </w:tc>
        <w:tc>
          <w:tcPr>
            <w:tcW w:w="240" w:type="dxa"/>
            <w:vAlign w:val="bottom"/>
            <w:gridSpan w:val="2"/>
          </w:tcPr>
          <w:p>
            <w:pPr>
              <w:jc w:val="center"/>
              <w:spacing w:after="0"/>
              <w:rPr>
                <w:sz w:val="20"/>
                <w:szCs w:val="20"/>
                <w:color w:val="auto"/>
              </w:rPr>
            </w:pPr>
            <w:r>
              <w:rPr>
                <w:rFonts w:ascii="Arial" w:cs="Arial" w:eastAsia="Arial" w:hAnsi="Arial"/>
                <w:sz w:val="18"/>
                <w:szCs w:val="18"/>
                <w:color w:val="auto"/>
                <w:w w:val="79"/>
              </w:rPr>
              <w:t>$</w:t>
            </w:r>
          </w:p>
        </w:tc>
        <w:tc>
          <w:tcPr>
            <w:tcW w:w="880" w:type="dxa"/>
            <w:vAlign w:val="bottom"/>
          </w:tcPr>
          <w:p>
            <w:pPr>
              <w:jc w:val="right"/>
              <w:ind w:right="54"/>
              <w:spacing w:after="0"/>
              <w:rPr>
                <w:sz w:val="20"/>
                <w:szCs w:val="20"/>
                <w:color w:val="auto"/>
              </w:rPr>
            </w:pPr>
            <w:r>
              <w:rPr>
                <w:rFonts w:ascii="Arial" w:cs="Arial" w:eastAsia="Arial" w:hAnsi="Arial"/>
                <w:sz w:val="18"/>
                <w:szCs w:val="18"/>
                <w:color w:val="auto"/>
              </w:rPr>
              <w:t>16.28</w:t>
            </w:r>
          </w:p>
        </w:tc>
        <w:tc>
          <w:tcPr>
            <w:tcW w:w="0" w:type="dxa"/>
            <w:vAlign w:val="bottom"/>
          </w:tcPr>
          <w:p>
            <w:pPr>
              <w:spacing w:after="0"/>
              <w:rPr>
                <w:sz w:val="1"/>
                <w:szCs w:val="1"/>
                <w:color w:val="auto"/>
              </w:rPr>
            </w:pPr>
          </w:p>
        </w:tc>
      </w:tr>
      <w:tr>
        <w:trPr>
          <w:trHeight w:val="27"/>
        </w:trPr>
        <w:tc>
          <w:tcPr>
            <w:tcW w:w="2900" w:type="dxa"/>
            <w:vAlign w:val="bottom"/>
          </w:tcPr>
          <w:p>
            <w:pPr>
              <w:spacing w:after="0"/>
              <w:rPr>
                <w:sz w:val="2"/>
                <w:szCs w:val="2"/>
                <w:color w:val="auto"/>
              </w:rPr>
            </w:pPr>
          </w:p>
        </w:tc>
        <w:tc>
          <w:tcPr>
            <w:tcW w:w="7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40" w:type="dxa"/>
            <w:vAlign w:val="bottom"/>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2900" w:type="dxa"/>
            <w:vAlign w:val="bottom"/>
            <w:tcBorders>
              <w:bottom w:val="single" w:sz="8" w:color="CCEEFF"/>
            </w:tcBorders>
            <w:shd w:val="clear" w:color="auto" w:fill="CCEEFF"/>
          </w:tcPr>
          <w:p>
            <w:pPr>
              <w:ind w:left="320"/>
              <w:spacing w:after="0"/>
              <w:rPr>
                <w:sz w:val="20"/>
                <w:szCs w:val="20"/>
                <w:color w:val="auto"/>
              </w:rPr>
            </w:pPr>
            <w:r>
              <w:rPr>
                <w:rFonts w:ascii="Arial" w:cs="Arial" w:eastAsia="Arial" w:hAnsi="Arial"/>
                <w:sz w:val="18"/>
                <w:szCs w:val="18"/>
                <w:color w:val="auto"/>
              </w:rPr>
              <w:t>Canceled/Forfeited</w:t>
            </w:r>
          </w:p>
        </w:tc>
        <w:tc>
          <w:tcPr>
            <w:tcW w:w="7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(3,159)</w:t>
            </w:r>
          </w:p>
        </w:tc>
        <w:tc>
          <w:tcPr>
            <w:tcW w:w="2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19.64</w:t>
            </w:r>
          </w:p>
        </w:tc>
        <w:tc>
          <w:tcPr>
            <w:tcW w:w="100" w:type="dxa"/>
            <w:vAlign w:val="bottom"/>
            <w:tcBorders>
              <w:bottom w:val="single" w:sz="8" w:color="CCEEFF"/>
            </w:tcBorders>
            <w:shd w:val="clear" w:color="auto" w:fill="CCEEFF"/>
          </w:tcPr>
          <w:p>
            <w:pPr>
              <w:spacing w:after="0"/>
              <w:rPr>
                <w:sz w:val="23"/>
                <w:szCs w:val="23"/>
                <w:color w:val="auto"/>
              </w:rPr>
            </w:pPr>
          </w:p>
        </w:tc>
        <w:tc>
          <w:tcPr>
            <w:tcW w:w="8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(64)</w:t>
            </w:r>
          </w:p>
        </w:tc>
        <w:tc>
          <w:tcPr>
            <w:tcW w:w="38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16.29</w:t>
            </w:r>
          </w:p>
        </w:tc>
        <w:tc>
          <w:tcPr>
            <w:tcW w:w="100" w:type="dxa"/>
            <w:vAlign w:val="bottom"/>
            <w:tcBorders>
              <w:bottom w:val="single" w:sz="8" w:color="CCEEFF"/>
            </w:tcBorders>
            <w:shd w:val="clear" w:color="auto" w:fill="CCEEFF"/>
          </w:tcPr>
          <w:p>
            <w:pPr>
              <w:spacing w:after="0"/>
              <w:rPr>
                <w:sz w:val="23"/>
                <w:szCs w:val="23"/>
                <w:color w:val="auto"/>
              </w:rPr>
            </w:pPr>
          </w:p>
        </w:tc>
        <w:tc>
          <w:tcPr>
            <w:tcW w:w="7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(64)</w:t>
            </w:r>
          </w:p>
        </w:tc>
        <w:tc>
          <w:tcPr>
            <w:tcW w:w="3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16.52</w:t>
            </w:r>
          </w:p>
        </w:tc>
        <w:tc>
          <w:tcPr>
            <w:tcW w:w="100" w:type="dxa"/>
            <w:vAlign w:val="bottom"/>
            <w:tcBorders>
              <w:bottom w:val="single" w:sz="8" w:color="CCEEFF"/>
            </w:tcBorders>
            <w:shd w:val="clear" w:color="auto" w:fill="CCEEFF"/>
          </w:tcPr>
          <w:p>
            <w:pPr>
              <w:spacing w:after="0"/>
              <w:rPr>
                <w:sz w:val="23"/>
                <w:szCs w:val="23"/>
                <w:color w:val="auto"/>
              </w:rPr>
            </w:pPr>
          </w:p>
        </w:tc>
        <w:tc>
          <w:tcPr>
            <w:tcW w:w="7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(3,287)</w:t>
            </w:r>
          </w:p>
        </w:tc>
        <w:tc>
          <w:tcPr>
            <w:tcW w:w="240" w:type="dxa"/>
            <w:vAlign w:val="bottom"/>
            <w:tcBorders>
              <w:bottom w:val="single" w:sz="8" w:color="CCEEFF"/>
            </w:tcBorders>
            <w:gridSpan w:val="2"/>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19.51</w:t>
            </w:r>
          </w:p>
        </w:tc>
        <w:tc>
          <w:tcPr>
            <w:tcW w:w="0" w:type="dxa"/>
            <w:vAlign w:val="bottom"/>
          </w:tcPr>
          <w:p>
            <w:pPr>
              <w:spacing w:after="0"/>
              <w:rPr>
                <w:sz w:val="1"/>
                <w:szCs w:val="1"/>
                <w:color w:val="auto"/>
              </w:rPr>
            </w:pPr>
          </w:p>
        </w:tc>
      </w:tr>
      <w:tr>
        <w:trPr>
          <w:trHeight w:val="263"/>
        </w:trPr>
        <w:tc>
          <w:tcPr>
            <w:tcW w:w="2900" w:type="dxa"/>
            <w:vAlign w:val="bottom"/>
          </w:tcPr>
          <w:p>
            <w:pPr>
              <w:ind w:left="20"/>
              <w:spacing w:after="0"/>
              <w:rPr>
                <w:sz w:val="20"/>
                <w:szCs w:val="20"/>
                <w:color w:val="auto"/>
              </w:rPr>
            </w:pPr>
            <w:r>
              <w:rPr>
                <w:rFonts w:ascii="Arial" w:cs="Arial" w:eastAsia="Arial" w:hAnsi="Arial"/>
                <w:sz w:val="18"/>
                <w:szCs w:val="18"/>
                <w:color w:val="auto"/>
              </w:rPr>
              <w:t>Balance at February 2, 2019</w:t>
            </w:r>
          </w:p>
        </w:tc>
        <w:tc>
          <w:tcPr>
            <w:tcW w:w="760" w:type="dxa"/>
            <w:vAlign w:val="bottom"/>
            <w:tcBorders>
              <w:top w:val="single" w:sz="8" w:color="auto"/>
              <w:bottom w:val="single" w:sz="8" w:color="auto"/>
            </w:tcBorders>
          </w:tcPr>
          <w:p>
            <w:pPr>
              <w:jc w:val="right"/>
              <w:ind w:right="73"/>
              <w:spacing w:after="0"/>
              <w:rPr>
                <w:sz w:val="20"/>
                <w:szCs w:val="20"/>
                <w:color w:val="auto"/>
              </w:rPr>
            </w:pPr>
            <w:r>
              <w:rPr>
                <w:rFonts w:ascii="Arial" w:cs="Arial" w:eastAsia="Arial" w:hAnsi="Arial"/>
                <w:sz w:val="18"/>
                <w:szCs w:val="18"/>
                <w:color w:val="auto"/>
              </w:rPr>
              <w:t>19,045</w:t>
            </w:r>
          </w:p>
        </w:tc>
        <w:tc>
          <w:tcPr>
            <w:tcW w:w="240" w:type="dxa"/>
            <w:vAlign w:val="bottom"/>
            <w:gridSpan w:val="2"/>
          </w:tcPr>
          <w:p>
            <w:pPr>
              <w:jc w:val="center"/>
              <w:ind w:left="10"/>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ind w:right="74"/>
              <w:spacing w:after="0"/>
              <w:rPr>
                <w:sz w:val="20"/>
                <w:szCs w:val="20"/>
                <w:color w:val="auto"/>
              </w:rPr>
            </w:pPr>
            <w:r>
              <w:rPr>
                <w:rFonts w:ascii="Arial" w:cs="Arial" w:eastAsia="Arial" w:hAnsi="Arial"/>
                <w:sz w:val="18"/>
                <w:szCs w:val="18"/>
                <w:color w:val="auto"/>
              </w:rPr>
              <w:t>19.15</w:t>
            </w:r>
          </w:p>
        </w:tc>
        <w:tc>
          <w:tcPr>
            <w:tcW w:w="100" w:type="dxa"/>
            <w:vAlign w:val="bottom"/>
          </w:tcPr>
          <w:p>
            <w:pPr>
              <w:spacing w:after="0"/>
              <w:rPr>
                <w:sz w:val="22"/>
                <w:szCs w:val="22"/>
                <w:color w:val="auto"/>
              </w:rPr>
            </w:pPr>
          </w:p>
        </w:tc>
        <w:tc>
          <w:tcPr>
            <w:tcW w:w="880" w:type="dxa"/>
            <w:vAlign w:val="bottom"/>
            <w:tcBorders>
              <w:top w:val="single" w:sz="8" w:color="auto"/>
              <w:bottom w:val="single" w:sz="8" w:color="auto"/>
            </w:tcBorders>
          </w:tcPr>
          <w:p>
            <w:pPr>
              <w:jc w:val="right"/>
              <w:ind w:right="53"/>
              <w:spacing w:after="0"/>
              <w:rPr>
                <w:sz w:val="20"/>
                <w:szCs w:val="20"/>
                <w:color w:val="auto"/>
              </w:rPr>
            </w:pPr>
            <w:r>
              <w:rPr>
                <w:rFonts w:ascii="Arial" w:cs="Arial" w:eastAsia="Arial" w:hAnsi="Arial"/>
                <w:sz w:val="18"/>
                <w:szCs w:val="18"/>
                <w:color w:val="auto"/>
              </w:rPr>
              <w:t>948</w:t>
            </w:r>
          </w:p>
        </w:tc>
        <w:tc>
          <w:tcPr>
            <w:tcW w:w="380" w:type="dxa"/>
            <w:vAlign w:val="bottom"/>
          </w:tcPr>
          <w:p>
            <w:pPr>
              <w:spacing w:after="0"/>
              <w:rPr>
                <w:sz w:val="22"/>
                <w:szCs w:val="22"/>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Pr>
          <w:p>
            <w:pPr>
              <w:jc w:val="right"/>
              <w:ind w:right="74"/>
              <w:spacing w:after="0"/>
              <w:rPr>
                <w:sz w:val="20"/>
                <w:szCs w:val="20"/>
                <w:color w:val="auto"/>
              </w:rPr>
            </w:pPr>
            <w:r>
              <w:rPr>
                <w:rFonts w:ascii="Arial" w:cs="Arial" w:eastAsia="Arial" w:hAnsi="Arial"/>
                <w:sz w:val="18"/>
                <w:szCs w:val="18"/>
                <w:color w:val="auto"/>
              </w:rPr>
              <w:t>16.58</w:t>
            </w:r>
          </w:p>
        </w:tc>
        <w:tc>
          <w:tcPr>
            <w:tcW w:w="100" w:type="dxa"/>
            <w:vAlign w:val="bottom"/>
          </w:tcPr>
          <w:p>
            <w:pPr>
              <w:spacing w:after="0"/>
              <w:rPr>
                <w:sz w:val="22"/>
                <w:szCs w:val="22"/>
                <w:color w:val="auto"/>
              </w:rPr>
            </w:pPr>
          </w:p>
        </w:tc>
        <w:tc>
          <w:tcPr>
            <w:tcW w:w="780" w:type="dxa"/>
            <w:vAlign w:val="bottom"/>
            <w:tcBorders>
              <w:top w:val="single" w:sz="8" w:color="auto"/>
              <w:bottom w:val="single" w:sz="8" w:color="auto"/>
            </w:tcBorders>
          </w:tcPr>
          <w:p>
            <w:pPr>
              <w:jc w:val="right"/>
              <w:ind w:right="73"/>
              <w:spacing w:after="0"/>
              <w:rPr>
                <w:sz w:val="20"/>
                <w:szCs w:val="20"/>
                <w:color w:val="auto"/>
              </w:rPr>
            </w:pPr>
            <w:r>
              <w:rPr>
                <w:rFonts w:ascii="Arial" w:cs="Arial" w:eastAsia="Arial" w:hAnsi="Arial"/>
                <w:sz w:val="18"/>
                <w:szCs w:val="18"/>
                <w:color w:val="auto"/>
              </w:rPr>
              <w:t>1,178</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74"/>
              <w:spacing w:after="0"/>
              <w:rPr>
                <w:sz w:val="20"/>
                <w:szCs w:val="20"/>
                <w:color w:val="auto"/>
              </w:rPr>
            </w:pPr>
            <w:r>
              <w:rPr>
                <w:rFonts w:ascii="Arial" w:cs="Arial" w:eastAsia="Arial" w:hAnsi="Arial"/>
                <w:sz w:val="18"/>
                <w:szCs w:val="18"/>
                <w:color w:val="auto"/>
              </w:rPr>
              <w:t>15.40</w:t>
            </w:r>
          </w:p>
        </w:tc>
        <w:tc>
          <w:tcPr>
            <w:tcW w:w="100" w:type="dxa"/>
            <w:vAlign w:val="bottom"/>
          </w:tcPr>
          <w:p>
            <w:pPr>
              <w:spacing w:after="0"/>
              <w:rPr>
                <w:sz w:val="22"/>
                <w:szCs w:val="22"/>
                <w:color w:val="auto"/>
              </w:rPr>
            </w:pPr>
          </w:p>
        </w:tc>
        <w:tc>
          <w:tcPr>
            <w:tcW w:w="780" w:type="dxa"/>
            <w:vAlign w:val="bottom"/>
            <w:tcBorders>
              <w:top w:val="single" w:sz="8" w:color="auto"/>
              <w:bottom w:val="single" w:sz="8" w:color="auto"/>
            </w:tcBorders>
          </w:tcPr>
          <w:p>
            <w:pPr>
              <w:jc w:val="right"/>
              <w:ind w:right="72"/>
              <w:spacing w:after="0"/>
              <w:rPr>
                <w:sz w:val="20"/>
                <w:szCs w:val="20"/>
                <w:color w:val="auto"/>
              </w:rPr>
            </w:pPr>
            <w:r>
              <w:rPr>
                <w:rFonts w:ascii="Arial" w:cs="Arial" w:eastAsia="Arial" w:hAnsi="Arial"/>
                <w:sz w:val="18"/>
                <w:szCs w:val="18"/>
                <w:color w:val="auto"/>
              </w:rPr>
              <w:t>21,171</w:t>
            </w:r>
          </w:p>
        </w:tc>
        <w:tc>
          <w:tcPr>
            <w:tcW w:w="240" w:type="dxa"/>
            <w:vAlign w:val="bottom"/>
            <w:gridSpan w:val="2"/>
          </w:tcPr>
          <w:p>
            <w:pPr>
              <w:jc w:val="center"/>
              <w:spacing w:after="0"/>
              <w:rPr>
                <w:sz w:val="20"/>
                <w:szCs w:val="20"/>
                <w:color w:val="auto"/>
              </w:rPr>
            </w:pPr>
            <w:r>
              <w:rPr>
                <w:rFonts w:ascii="Arial" w:cs="Arial" w:eastAsia="Arial" w:hAnsi="Arial"/>
                <w:sz w:val="18"/>
                <w:szCs w:val="18"/>
                <w:color w:val="auto"/>
                <w:w w:val="79"/>
              </w:rPr>
              <w:t>$</w:t>
            </w:r>
          </w:p>
        </w:tc>
        <w:tc>
          <w:tcPr>
            <w:tcW w:w="880" w:type="dxa"/>
            <w:vAlign w:val="bottom"/>
          </w:tcPr>
          <w:p>
            <w:pPr>
              <w:jc w:val="right"/>
              <w:ind w:right="54"/>
              <w:spacing w:after="0"/>
              <w:rPr>
                <w:sz w:val="20"/>
                <w:szCs w:val="20"/>
                <w:color w:val="auto"/>
              </w:rPr>
            </w:pPr>
            <w:r>
              <w:rPr>
                <w:rFonts w:ascii="Arial" w:cs="Arial" w:eastAsia="Arial" w:hAnsi="Arial"/>
                <w:sz w:val="18"/>
                <w:szCs w:val="18"/>
                <w:color w:val="auto"/>
              </w:rPr>
              <w:t>18.82</w:t>
            </w:r>
          </w:p>
        </w:tc>
        <w:tc>
          <w:tcPr>
            <w:tcW w:w="0" w:type="dxa"/>
            <w:vAlign w:val="bottom"/>
          </w:tcPr>
          <w:p>
            <w:pPr>
              <w:spacing w:after="0"/>
              <w:rPr>
                <w:sz w:val="1"/>
                <w:szCs w:val="1"/>
                <w:color w:val="auto"/>
              </w:rPr>
            </w:pPr>
          </w:p>
        </w:tc>
      </w:tr>
      <w:tr>
        <w:trPr>
          <w:trHeight w:val="20"/>
        </w:trPr>
        <w:tc>
          <w:tcPr>
            <w:tcW w:w="290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84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86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86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88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2900" w:type="dxa"/>
            <w:vAlign w:val="bottom"/>
            <w:tcBorders>
              <w:bottom w:val="single" w:sz="8" w:color="CCEEFF"/>
            </w:tcBorders>
            <w:shd w:val="clear" w:color="auto" w:fill="CCEEFF"/>
          </w:tcPr>
          <w:p>
            <w:pPr>
              <w:ind w:left="320"/>
              <w:spacing w:after="0"/>
              <w:rPr>
                <w:sz w:val="20"/>
                <w:szCs w:val="20"/>
                <w:color w:val="auto"/>
              </w:rPr>
            </w:pPr>
            <w:r>
              <w:rPr>
                <w:rFonts w:ascii="Arial" w:cs="Arial" w:eastAsia="Arial" w:hAnsi="Arial"/>
                <w:sz w:val="18"/>
                <w:szCs w:val="18"/>
                <w:color w:val="auto"/>
              </w:rPr>
              <w:t>Assumed upon acquisition [4]</w:t>
            </w:r>
          </w:p>
        </w:tc>
        <w:tc>
          <w:tcPr>
            <w:tcW w:w="7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1,341</w:t>
            </w:r>
          </w:p>
        </w:tc>
        <w:tc>
          <w:tcPr>
            <w:tcW w:w="2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25.61</w:t>
            </w:r>
          </w:p>
        </w:tc>
        <w:tc>
          <w:tcPr>
            <w:tcW w:w="10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w:t>
            </w:r>
          </w:p>
        </w:tc>
        <w:tc>
          <w:tcPr>
            <w:tcW w:w="3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w:t>
            </w:r>
          </w:p>
        </w:tc>
        <w:tc>
          <w:tcPr>
            <w:tcW w:w="3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1,341</w:t>
            </w:r>
          </w:p>
        </w:tc>
        <w:tc>
          <w:tcPr>
            <w:tcW w:w="240" w:type="dxa"/>
            <w:vAlign w:val="bottom"/>
            <w:tcBorders>
              <w:bottom w:val="single" w:sz="8" w:color="CCEEFF"/>
            </w:tcBorders>
            <w:gridSpan w:val="2"/>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25.61</w:t>
            </w:r>
          </w:p>
        </w:tc>
        <w:tc>
          <w:tcPr>
            <w:tcW w:w="0" w:type="dxa"/>
            <w:vAlign w:val="bottom"/>
          </w:tcPr>
          <w:p>
            <w:pPr>
              <w:spacing w:after="0"/>
              <w:rPr>
                <w:sz w:val="1"/>
                <w:szCs w:val="1"/>
                <w:color w:val="auto"/>
              </w:rPr>
            </w:pPr>
          </w:p>
        </w:tc>
      </w:tr>
      <w:tr>
        <w:trPr>
          <w:trHeight w:val="243"/>
        </w:trPr>
        <w:tc>
          <w:tcPr>
            <w:tcW w:w="2900" w:type="dxa"/>
            <w:vAlign w:val="bottom"/>
          </w:tcPr>
          <w:p>
            <w:pPr>
              <w:ind w:left="320"/>
              <w:spacing w:after="0"/>
              <w:rPr>
                <w:sz w:val="20"/>
                <w:szCs w:val="20"/>
                <w:color w:val="auto"/>
              </w:rPr>
            </w:pPr>
            <w:r>
              <w:rPr>
                <w:rFonts w:ascii="Arial" w:cs="Arial" w:eastAsia="Arial" w:hAnsi="Arial"/>
                <w:sz w:val="18"/>
                <w:szCs w:val="18"/>
                <w:color w:val="auto"/>
              </w:rPr>
              <w:t>Granted</w:t>
            </w:r>
          </w:p>
        </w:tc>
        <w:tc>
          <w:tcPr>
            <w:tcW w:w="760" w:type="dxa"/>
            <w:vAlign w:val="bottom"/>
          </w:tcPr>
          <w:p>
            <w:pPr>
              <w:jc w:val="right"/>
              <w:ind w:right="73"/>
              <w:spacing w:after="0"/>
              <w:rPr>
                <w:sz w:val="20"/>
                <w:szCs w:val="20"/>
                <w:color w:val="auto"/>
              </w:rPr>
            </w:pPr>
            <w:r>
              <w:rPr>
                <w:rFonts w:ascii="Arial" w:cs="Arial" w:eastAsia="Arial" w:hAnsi="Arial"/>
                <w:sz w:val="18"/>
                <w:szCs w:val="18"/>
                <w:color w:val="auto"/>
              </w:rPr>
              <w:t>9,340</w:t>
            </w:r>
          </w:p>
        </w:tc>
        <w:tc>
          <w:tcPr>
            <w:tcW w:w="240" w:type="dxa"/>
            <w:vAlign w:val="bottom"/>
            <w:gridSpan w:val="2"/>
          </w:tcPr>
          <w:p>
            <w:pPr>
              <w:jc w:val="center"/>
              <w:ind w:left="10"/>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ind w:right="74"/>
              <w:spacing w:after="0"/>
              <w:rPr>
                <w:sz w:val="20"/>
                <w:szCs w:val="20"/>
                <w:color w:val="auto"/>
              </w:rPr>
            </w:pPr>
            <w:r>
              <w:rPr>
                <w:rFonts w:ascii="Arial" w:cs="Arial" w:eastAsia="Arial" w:hAnsi="Arial"/>
                <w:sz w:val="18"/>
                <w:szCs w:val="18"/>
                <w:color w:val="auto"/>
              </w:rPr>
              <w:t>23.36</w:t>
            </w:r>
          </w:p>
        </w:tc>
        <w:tc>
          <w:tcPr>
            <w:tcW w:w="100" w:type="dxa"/>
            <w:vAlign w:val="bottom"/>
          </w:tcPr>
          <w:p>
            <w:pPr>
              <w:spacing w:after="0"/>
              <w:rPr>
                <w:sz w:val="21"/>
                <w:szCs w:val="21"/>
                <w:color w:val="auto"/>
              </w:rPr>
            </w:pPr>
          </w:p>
        </w:tc>
        <w:tc>
          <w:tcPr>
            <w:tcW w:w="880" w:type="dxa"/>
            <w:vAlign w:val="bottom"/>
          </w:tcPr>
          <w:p>
            <w:pPr>
              <w:jc w:val="right"/>
              <w:ind w:right="53"/>
              <w:spacing w:after="0"/>
              <w:rPr>
                <w:sz w:val="20"/>
                <w:szCs w:val="20"/>
                <w:color w:val="auto"/>
              </w:rPr>
            </w:pPr>
            <w:r>
              <w:rPr>
                <w:rFonts w:ascii="Arial" w:cs="Arial" w:eastAsia="Arial" w:hAnsi="Arial"/>
                <w:sz w:val="18"/>
                <w:szCs w:val="18"/>
                <w:color w:val="auto"/>
              </w:rPr>
              <w:t>288</w:t>
            </w:r>
          </w:p>
        </w:tc>
        <w:tc>
          <w:tcPr>
            <w:tcW w:w="380" w:type="dxa"/>
            <w:vAlign w:val="bottom"/>
          </w:tcPr>
          <w:p>
            <w:pPr>
              <w:jc w:val="right"/>
              <w:ind w:right="50"/>
              <w:spacing w:after="0"/>
              <w:rPr>
                <w:sz w:val="20"/>
                <w:szCs w:val="20"/>
                <w:color w:val="auto"/>
              </w:rPr>
            </w:pPr>
            <w:r>
              <w:rPr>
                <w:rFonts w:ascii="Arial" w:cs="Arial" w:eastAsia="Arial" w:hAnsi="Arial"/>
                <w:sz w:val="18"/>
                <w:szCs w:val="18"/>
                <w:color w:val="auto"/>
              </w:rPr>
              <w:t>[2]</w:t>
            </w: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Pr>
          <w:p>
            <w:pPr>
              <w:jc w:val="right"/>
              <w:ind w:right="74"/>
              <w:spacing w:after="0"/>
              <w:rPr>
                <w:sz w:val="20"/>
                <w:szCs w:val="20"/>
                <w:color w:val="auto"/>
              </w:rPr>
            </w:pPr>
            <w:r>
              <w:rPr>
                <w:rFonts w:ascii="Arial" w:cs="Arial" w:eastAsia="Arial" w:hAnsi="Arial"/>
                <w:sz w:val="18"/>
                <w:szCs w:val="18"/>
                <w:color w:val="auto"/>
              </w:rPr>
              <w:t>13.90</w:t>
            </w:r>
          </w:p>
        </w:tc>
        <w:tc>
          <w:tcPr>
            <w:tcW w:w="100" w:type="dxa"/>
            <w:vAlign w:val="bottom"/>
          </w:tcPr>
          <w:p>
            <w:pPr>
              <w:spacing w:after="0"/>
              <w:rPr>
                <w:sz w:val="21"/>
                <w:szCs w:val="21"/>
                <w:color w:val="auto"/>
              </w:rPr>
            </w:pPr>
          </w:p>
        </w:tc>
        <w:tc>
          <w:tcPr>
            <w:tcW w:w="780" w:type="dxa"/>
            <w:vAlign w:val="bottom"/>
          </w:tcPr>
          <w:p>
            <w:pPr>
              <w:jc w:val="right"/>
              <w:ind w:right="73"/>
              <w:spacing w:after="0"/>
              <w:rPr>
                <w:sz w:val="20"/>
                <w:szCs w:val="20"/>
                <w:color w:val="auto"/>
              </w:rPr>
            </w:pPr>
            <w:r>
              <w:rPr>
                <w:rFonts w:ascii="Arial" w:cs="Arial" w:eastAsia="Arial" w:hAnsi="Arial"/>
                <w:sz w:val="18"/>
                <w:szCs w:val="18"/>
                <w:color w:val="auto"/>
              </w:rPr>
              <w:t>3,621</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[3] $</w:t>
            </w:r>
          </w:p>
        </w:tc>
        <w:tc>
          <w:tcPr>
            <w:tcW w:w="860" w:type="dxa"/>
            <w:vAlign w:val="bottom"/>
          </w:tcPr>
          <w:p>
            <w:pPr>
              <w:jc w:val="right"/>
              <w:ind w:right="74"/>
              <w:spacing w:after="0"/>
              <w:rPr>
                <w:sz w:val="20"/>
                <w:szCs w:val="20"/>
                <w:color w:val="auto"/>
              </w:rPr>
            </w:pPr>
            <w:r>
              <w:rPr>
                <w:rFonts w:ascii="Arial" w:cs="Arial" w:eastAsia="Arial" w:hAnsi="Arial"/>
                <w:sz w:val="18"/>
                <w:szCs w:val="18"/>
                <w:color w:val="auto"/>
              </w:rPr>
              <w:t>15.39</w:t>
            </w:r>
          </w:p>
        </w:tc>
        <w:tc>
          <w:tcPr>
            <w:tcW w:w="100" w:type="dxa"/>
            <w:vAlign w:val="bottom"/>
          </w:tcPr>
          <w:p>
            <w:pPr>
              <w:spacing w:after="0"/>
              <w:rPr>
                <w:sz w:val="21"/>
                <w:szCs w:val="21"/>
                <w:color w:val="auto"/>
              </w:rPr>
            </w:pPr>
          </w:p>
        </w:tc>
        <w:tc>
          <w:tcPr>
            <w:tcW w:w="780" w:type="dxa"/>
            <w:vAlign w:val="bottom"/>
          </w:tcPr>
          <w:p>
            <w:pPr>
              <w:jc w:val="right"/>
              <w:ind w:right="72"/>
              <w:spacing w:after="0"/>
              <w:rPr>
                <w:sz w:val="20"/>
                <w:szCs w:val="20"/>
                <w:color w:val="auto"/>
              </w:rPr>
            </w:pPr>
            <w:r>
              <w:rPr>
                <w:rFonts w:ascii="Arial" w:cs="Arial" w:eastAsia="Arial" w:hAnsi="Arial"/>
                <w:sz w:val="18"/>
                <w:szCs w:val="18"/>
                <w:color w:val="auto"/>
              </w:rPr>
              <w:t>13,249</w:t>
            </w:r>
          </w:p>
        </w:tc>
        <w:tc>
          <w:tcPr>
            <w:tcW w:w="240" w:type="dxa"/>
            <w:vAlign w:val="bottom"/>
            <w:gridSpan w:val="2"/>
          </w:tcPr>
          <w:p>
            <w:pPr>
              <w:jc w:val="center"/>
              <w:spacing w:after="0"/>
              <w:rPr>
                <w:sz w:val="20"/>
                <w:szCs w:val="20"/>
                <w:color w:val="auto"/>
              </w:rPr>
            </w:pPr>
            <w:r>
              <w:rPr>
                <w:rFonts w:ascii="Arial" w:cs="Arial" w:eastAsia="Arial" w:hAnsi="Arial"/>
                <w:sz w:val="18"/>
                <w:szCs w:val="18"/>
                <w:color w:val="auto"/>
                <w:w w:val="79"/>
              </w:rPr>
              <w:t>$</w:t>
            </w:r>
          </w:p>
        </w:tc>
        <w:tc>
          <w:tcPr>
            <w:tcW w:w="880" w:type="dxa"/>
            <w:vAlign w:val="bottom"/>
          </w:tcPr>
          <w:p>
            <w:pPr>
              <w:jc w:val="right"/>
              <w:ind w:right="54"/>
              <w:spacing w:after="0"/>
              <w:rPr>
                <w:sz w:val="20"/>
                <w:szCs w:val="20"/>
                <w:color w:val="auto"/>
              </w:rPr>
            </w:pPr>
            <w:r>
              <w:rPr>
                <w:rFonts w:ascii="Arial" w:cs="Arial" w:eastAsia="Arial" w:hAnsi="Arial"/>
                <w:sz w:val="18"/>
                <w:szCs w:val="18"/>
                <w:color w:val="auto"/>
              </w:rPr>
              <w:t>20.98</w:t>
            </w:r>
          </w:p>
        </w:tc>
        <w:tc>
          <w:tcPr>
            <w:tcW w:w="0" w:type="dxa"/>
            <w:vAlign w:val="bottom"/>
          </w:tcPr>
          <w:p>
            <w:pPr>
              <w:spacing w:after="0"/>
              <w:rPr>
                <w:sz w:val="1"/>
                <w:szCs w:val="1"/>
                <w:color w:val="auto"/>
              </w:rPr>
            </w:pPr>
          </w:p>
        </w:tc>
      </w:tr>
      <w:tr>
        <w:trPr>
          <w:trHeight w:val="27"/>
        </w:trPr>
        <w:tc>
          <w:tcPr>
            <w:tcW w:w="2900" w:type="dxa"/>
            <w:vAlign w:val="bottom"/>
          </w:tcPr>
          <w:p>
            <w:pPr>
              <w:spacing w:after="0"/>
              <w:rPr>
                <w:sz w:val="2"/>
                <w:szCs w:val="2"/>
                <w:color w:val="auto"/>
              </w:rPr>
            </w:pPr>
          </w:p>
        </w:tc>
        <w:tc>
          <w:tcPr>
            <w:tcW w:w="7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40" w:type="dxa"/>
            <w:vAlign w:val="bottom"/>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900" w:type="dxa"/>
            <w:vAlign w:val="bottom"/>
            <w:tcBorders>
              <w:bottom w:val="single" w:sz="8" w:color="CCEEFF"/>
            </w:tcBorders>
            <w:shd w:val="clear" w:color="auto" w:fill="CCEEFF"/>
          </w:tcPr>
          <w:p>
            <w:pPr>
              <w:ind w:left="320"/>
              <w:spacing w:after="0"/>
              <w:rPr>
                <w:sz w:val="20"/>
                <w:szCs w:val="20"/>
                <w:color w:val="auto"/>
              </w:rPr>
            </w:pPr>
            <w:r>
              <w:rPr>
                <w:rFonts w:ascii="Arial" w:cs="Arial" w:eastAsia="Arial" w:hAnsi="Arial"/>
                <w:sz w:val="18"/>
                <w:szCs w:val="18"/>
                <w:color w:val="auto"/>
              </w:rPr>
              <w:t>Vested</w:t>
            </w:r>
          </w:p>
        </w:tc>
        <w:tc>
          <w:tcPr>
            <w:tcW w:w="7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w w:val="95"/>
              </w:rPr>
              <w:t>(10,781)</w:t>
            </w:r>
          </w:p>
        </w:tc>
        <w:tc>
          <w:tcPr>
            <w:tcW w:w="2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20.01</w:t>
            </w:r>
          </w:p>
        </w:tc>
        <w:tc>
          <w:tcPr>
            <w:tcW w:w="10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(576)</w:t>
            </w:r>
          </w:p>
        </w:tc>
        <w:tc>
          <w:tcPr>
            <w:tcW w:w="3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13.90</w:t>
            </w:r>
          </w:p>
        </w:tc>
        <w:tc>
          <w:tcPr>
            <w:tcW w:w="1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(713)</w:t>
            </w:r>
          </w:p>
        </w:tc>
        <w:tc>
          <w:tcPr>
            <w:tcW w:w="3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11.62</w:t>
            </w:r>
          </w:p>
        </w:tc>
        <w:tc>
          <w:tcPr>
            <w:tcW w:w="1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w w:val="95"/>
              </w:rPr>
              <w:t>(12,070)</w:t>
            </w:r>
          </w:p>
        </w:tc>
        <w:tc>
          <w:tcPr>
            <w:tcW w:w="240" w:type="dxa"/>
            <w:vAlign w:val="bottom"/>
            <w:tcBorders>
              <w:bottom w:val="single" w:sz="8" w:color="CCEEFF"/>
            </w:tcBorders>
            <w:gridSpan w:val="2"/>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19.23</w:t>
            </w:r>
          </w:p>
        </w:tc>
        <w:tc>
          <w:tcPr>
            <w:tcW w:w="0" w:type="dxa"/>
            <w:vAlign w:val="bottom"/>
          </w:tcPr>
          <w:p>
            <w:pPr>
              <w:spacing w:after="0"/>
              <w:rPr>
                <w:sz w:val="1"/>
                <w:szCs w:val="1"/>
                <w:color w:val="auto"/>
              </w:rPr>
            </w:pPr>
          </w:p>
        </w:tc>
      </w:tr>
      <w:tr>
        <w:trPr>
          <w:trHeight w:val="243"/>
        </w:trPr>
        <w:tc>
          <w:tcPr>
            <w:tcW w:w="2900" w:type="dxa"/>
            <w:vAlign w:val="bottom"/>
          </w:tcPr>
          <w:p>
            <w:pPr>
              <w:ind w:left="320"/>
              <w:spacing w:after="0"/>
              <w:rPr>
                <w:sz w:val="20"/>
                <w:szCs w:val="20"/>
                <w:color w:val="auto"/>
              </w:rPr>
            </w:pPr>
            <w:r>
              <w:rPr>
                <w:rFonts w:ascii="Arial" w:cs="Arial" w:eastAsia="Arial" w:hAnsi="Arial"/>
                <w:sz w:val="18"/>
                <w:szCs w:val="18"/>
                <w:color w:val="auto"/>
              </w:rPr>
              <w:t>Canceled/Forfeited</w:t>
            </w:r>
          </w:p>
        </w:tc>
        <w:tc>
          <w:tcPr>
            <w:tcW w:w="760" w:type="dxa"/>
            <w:vAlign w:val="bottom"/>
          </w:tcPr>
          <w:p>
            <w:pPr>
              <w:jc w:val="right"/>
              <w:ind w:right="13"/>
              <w:spacing w:after="0"/>
              <w:rPr>
                <w:sz w:val="20"/>
                <w:szCs w:val="20"/>
                <w:color w:val="auto"/>
              </w:rPr>
            </w:pPr>
            <w:r>
              <w:rPr>
                <w:rFonts w:ascii="Arial" w:cs="Arial" w:eastAsia="Arial" w:hAnsi="Arial"/>
                <w:sz w:val="18"/>
                <w:szCs w:val="18"/>
                <w:color w:val="auto"/>
              </w:rPr>
              <w:t>(3,661)</w:t>
            </w:r>
          </w:p>
        </w:tc>
        <w:tc>
          <w:tcPr>
            <w:tcW w:w="240" w:type="dxa"/>
            <w:vAlign w:val="bottom"/>
            <w:gridSpan w:val="2"/>
          </w:tcPr>
          <w:p>
            <w:pPr>
              <w:jc w:val="center"/>
              <w:ind w:left="10"/>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ind w:right="74"/>
              <w:spacing w:after="0"/>
              <w:rPr>
                <w:sz w:val="20"/>
                <w:szCs w:val="20"/>
                <w:color w:val="auto"/>
              </w:rPr>
            </w:pPr>
            <w:r>
              <w:rPr>
                <w:rFonts w:ascii="Arial" w:cs="Arial" w:eastAsia="Arial" w:hAnsi="Arial"/>
                <w:sz w:val="18"/>
                <w:szCs w:val="18"/>
                <w:color w:val="auto"/>
              </w:rPr>
              <w:t>20.57</w:t>
            </w:r>
          </w:p>
        </w:tc>
        <w:tc>
          <w:tcPr>
            <w:tcW w:w="100" w:type="dxa"/>
            <w:vAlign w:val="bottom"/>
          </w:tcPr>
          <w:p>
            <w:pPr>
              <w:spacing w:after="0"/>
              <w:rPr>
                <w:sz w:val="21"/>
                <w:szCs w:val="21"/>
                <w:color w:val="auto"/>
              </w:rPr>
            </w:pPr>
          </w:p>
        </w:tc>
        <w:tc>
          <w:tcPr>
            <w:tcW w:w="880" w:type="dxa"/>
            <w:vAlign w:val="bottom"/>
          </w:tcPr>
          <w:p>
            <w:pPr>
              <w:jc w:val="right"/>
              <w:ind w:right="13"/>
              <w:spacing w:after="0"/>
              <w:rPr>
                <w:sz w:val="20"/>
                <w:szCs w:val="20"/>
                <w:color w:val="auto"/>
              </w:rPr>
            </w:pPr>
            <w:r>
              <w:rPr>
                <w:rFonts w:ascii="Arial" w:cs="Arial" w:eastAsia="Arial" w:hAnsi="Arial"/>
                <w:sz w:val="18"/>
                <w:szCs w:val="18"/>
                <w:color w:val="auto"/>
              </w:rPr>
              <w:t>(149)</w:t>
            </w:r>
          </w:p>
        </w:tc>
        <w:tc>
          <w:tcPr>
            <w:tcW w:w="380" w:type="dxa"/>
            <w:vAlign w:val="bottom"/>
          </w:tcPr>
          <w:p>
            <w:pPr>
              <w:spacing w:after="0"/>
              <w:rPr>
                <w:sz w:val="21"/>
                <w:szCs w:val="21"/>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Pr>
          <w:p>
            <w:pPr>
              <w:jc w:val="right"/>
              <w:ind w:right="74"/>
              <w:spacing w:after="0"/>
              <w:rPr>
                <w:sz w:val="20"/>
                <w:szCs w:val="20"/>
                <w:color w:val="auto"/>
              </w:rPr>
            </w:pPr>
            <w:r>
              <w:rPr>
                <w:rFonts w:ascii="Arial" w:cs="Arial" w:eastAsia="Arial" w:hAnsi="Arial"/>
                <w:sz w:val="18"/>
                <w:szCs w:val="18"/>
                <w:color w:val="auto"/>
              </w:rPr>
              <w:t>17.86</w:t>
            </w:r>
          </w:p>
        </w:tc>
        <w:tc>
          <w:tcPr>
            <w:tcW w:w="100" w:type="dxa"/>
            <w:vAlign w:val="bottom"/>
          </w:tcPr>
          <w:p>
            <w:pPr>
              <w:spacing w:after="0"/>
              <w:rPr>
                <w:sz w:val="21"/>
                <w:szCs w:val="21"/>
                <w:color w:val="auto"/>
              </w:rPr>
            </w:pPr>
          </w:p>
        </w:tc>
        <w:tc>
          <w:tcPr>
            <w:tcW w:w="780" w:type="dxa"/>
            <w:vAlign w:val="bottom"/>
          </w:tcPr>
          <w:p>
            <w:pPr>
              <w:jc w:val="right"/>
              <w:ind w:right="33"/>
              <w:spacing w:after="0"/>
              <w:rPr>
                <w:sz w:val="20"/>
                <w:szCs w:val="20"/>
                <w:color w:val="auto"/>
              </w:rPr>
            </w:pPr>
            <w:r>
              <w:rPr>
                <w:rFonts w:ascii="Arial" w:cs="Arial" w:eastAsia="Arial" w:hAnsi="Arial"/>
                <w:sz w:val="18"/>
                <w:szCs w:val="18"/>
                <w:color w:val="auto"/>
              </w:rPr>
              <w:t>(173)</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74"/>
              <w:spacing w:after="0"/>
              <w:rPr>
                <w:sz w:val="20"/>
                <w:szCs w:val="20"/>
                <w:color w:val="auto"/>
              </w:rPr>
            </w:pPr>
            <w:r>
              <w:rPr>
                <w:rFonts w:ascii="Arial" w:cs="Arial" w:eastAsia="Arial" w:hAnsi="Arial"/>
                <w:sz w:val="18"/>
                <w:szCs w:val="18"/>
                <w:color w:val="auto"/>
              </w:rPr>
              <w:t>21.12</w:t>
            </w:r>
          </w:p>
        </w:tc>
        <w:tc>
          <w:tcPr>
            <w:tcW w:w="100" w:type="dxa"/>
            <w:vAlign w:val="bottom"/>
          </w:tcPr>
          <w:p>
            <w:pPr>
              <w:spacing w:after="0"/>
              <w:rPr>
                <w:sz w:val="21"/>
                <w:szCs w:val="21"/>
                <w:color w:val="auto"/>
              </w:rPr>
            </w:pPr>
          </w:p>
        </w:tc>
        <w:tc>
          <w:tcPr>
            <w:tcW w:w="780" w:type="dxa"/>
            <w:vAlign w:val="bottom"/>
          </w:tcPr>
          <w:p>
            <w:pPr>
              <w:jc w:val="right"/>
              <w:ind w:right="32"/>
              <w:spacing w:after="0"/>
              <w:rPr>
                <w:sz w:val="20"/>
                <w:szCs w:val="20"/>
                <w:color w:val="auto"/>
              </w:rPr>
            </w:pPr>
            <w:r>
              <w:rPr>
                <w:rFonts w:ascii="Arial" w:cs="Arial" w:eastAsia="Arial" w:hAnsi="Arial"/>
                <w:sz w:val="18"/>
                <w:szCs w:val="18"/>
                <w:color w:val="auto"/>
              </w:rPr>
              <w:t>(3,983)</w:t>
            </w:r>
          </w:p>
        </w:tc>
        <w:tc>
          <w:tcPr>
            <w:tcW w:w="240" w:type="dxa"/>
            <w:vAlign w:val="bottom"/>
            <w:gridSpan w:val="2"/>
          </w:tcPr>
          <w:p>
            <w:pPr>
              <w:jc w:val="center"/>
              <w:spacing w:after="0"/>
              <w:rPr>
                <w:sz w:val="20"/>
                <w:szCs w:val="20"/>
                <w:color w:val="auto"/>
              </w:rPr>
            </w:pPr>
            <w:r>
              <w:rPr>
                <w:rFonts w:ascii="Arial" w:cs="Arial" w:eastAsia="Arial" w:hAnsi="Arial"/>
                <w:sz w:val="18"/>
                <w:szCs w:val="18"/>
                <w:color w:val="auto"/>
                <w:w w:val="79"/>
              </w:rPr>
              <w:t>$</w:t>
            </w:r>
          </w:p>
        </w:tc>
        <w:tc>
          <w:tcPr>
            <w:tcW w:w="880" w:type="dxa"/>
            <w:vAlign w:val="bottom"/>
          </w:tcPr>
          <w:p>
            <w:pPr>
              <w:jc w:val="right"/>
              <w:ind w:right="54"/>
              <w:spacing w:after="0"/>
              <w:rPr>
                <w:sz w:val="20"/>
                <w:szCs w:val="20"/>
                <w:color w:val="auto"/>
              </w:rPr>
            </w:pPr>
            <w:r>
              <w:rPr>
                <w:rFonts w:ascii="Arial" w:cs="Arial" w:eastAsia="Arial" w:hAnsi="Arial"/>
                <w:sz w:val="18"/>
                <w:szCs w:val="18"/>
                <w:color w:val="auto"/>
              </w:rPr>
              <w:t>20.49</w:t>
            </w:r>
          </w:p>
        </w:tc>
        <w:tc>
          <w:tcPr>
            <w:tcW w:w="0" w:type="dxa"/>
            <w:vAlign w:val="bottom"/>
          </w:tcPr>
          <w:p>
            <w:pPr>
              <w:spacing w:after="0"/>
              <w:rPr>
                <w:sz w:val="1"/>
                <w:szCs w:val="1"/>
                <w:color w:val="auto"/>
              </w:rPr>
            </w:pPr>
          </w:p>
        </w:tc>
      </w:tr>
      <w:tr>
        <w:trPr>
          <w:trHeight w:val="27"/>
        </w:trPr>
        <w:tc>
          <w:tcPr>
            <w:tcW w:w="2900" w:type="dxa"/>
            <w:vAlign w:val="bottom"/>
            <w:tcBorders>
              <w:bottom w:val="single" w:sz="8" w:color="CCEEFF"/>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8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380" w:type="dxa"/>
            <w:vAlign w:val="bottom"/>
            <w:tcBorders>
              <w:bottom w:val="single" w:sz="8" w:color="CCEEFF"/>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86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86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88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29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1, 2020</w:t>
            </w:r>
          </w:p>
        </w:tc>
        <w:tc>
          <w:tcPr>
            <w:tcW w:w="760" w:type="dxa"/>
            <w:vAlign w:val="bottom"/>
            <w:tcBorders>
              <w:bottom w:val="single" w:sz="8" w:color="auto"/>
            </w:tcBorders>
            <w:shd w:val="clear" w:color="auto" w:fill="CCEEFF"/>
          </w:tcPr>
          <w:p>
            <w:pPr>
              <w:jc w:val="right"/>
              <w:ind w:right="73"/>
              <w:spacing w:after="0"/>
              <w:rPr>
                <w:sz w:val="20"/>
                <w:szCs w:val="20"/>
                <w:color w:val="auto"/>
              </w:rPr>
            </w:pPr>
            <w:r>
              <w:rPr>
                <w:rFonts w:ascii="Arial" w:cs="Arial" w:eastAsia="Arial" w:hAnsi="Arial"/>
                <w:sz w:val="18"/>
                <w:szCs w:val="18"/>
                <w:color w:val="auto"/>
              </w:rPr>
              <w:t>15,284</w:t>
            </w:r>
          </w:p>
        </w:tc>
        <w:tc>
          <w:tcPr>
            <w:tcW w:w="24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21.34</w:t>
            </w:r>
          </w:p>
        </w:tc>
        <w:tc>
          <w:tcPr>
            <w:tcW w:w="100" w:type="dxa"/>
            <w:vAlign w:val="bottom"/>
            <w:tcBorders>
              <w:bottom w:val="single" w:sz="8" w:color="CCEEFF"/>
            </w:tcBorders>
            <w:shd w:val="clear" w:color="auto" w:fill="CCEEFF"/>
          </w:tcPr>
          <w:p>
            <w:pPr>
              <w:spacing w:after="0"/>
              <w:rPr>
                <w:sz w:val="24"/>
                <w:szCs w:val="24"/>
                <w:color w:val="auto"/>
              </w:rPr>
            </w:pPr>
          </w:p>
        </w:tc>
        <w:tc>
          <w:tcPr>
            <w:tcW w:w="880" w:type="dxa"/>
            <w:vAlign w:val="bottom"/>
            <w:tcBorders>
              <w:bottom w:val="single" w:sz="8" w:color="auto"/>
            </w:tcBorders>
            <w:shd w:val="clear" w:color="auto" w:fill="CCEEFF"/>
          </w:tcPr>
          <w:p>
            <w:pPr>
              <w:jc w:val="right"/>
              <w:ind w:right="53"/>
              <w:spacing w:after="0"/>
              <w:rPr>
                <w:sz w:val="20"/>
                <w:szCs w:val="20"/>
                <w:color w:val="auto"/>
              </w:rPr>
            </w:pPr>
            <w:r>
              <w:rPr>
                <w:rFonts w:ascii="Arial" w:cs="Arial" w:eastAsia="Arial" w:hAnsi="Arial"/>
                <w:sz w:val="18"/>
                <w:szCs w:val="18"/>
                <w:color w:val="auto"/>
              </w:rPr>
              <w:t>511</w:t>
            </w:r>
          </w:p>
        </w:tc>
        <w:tc>
          <w:tcPr>
            <w:tcW w:w="380" w:type="dxa"/>
            <w:vAlign w:val="bottom"/>
            <w:tcBorders>
              <w:bottom w:val="single" w:sz="8" w:color="CCEEFF"/>
            </w:tcBorders>
            <w:shd w:val="clear" w:color="auto" w:fill="CCEEFF"/>
          </w:tcPr>
          <w:p>
            <w:pPr>
              <w:spacing w:after="0"/>
              <w:rPr>
                <w:sz w:val="24"/>
                <w:szCs w:val="24"/>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17.71</w:t>
            </w:r>
          </w:p>
        </w:tc>
        <w:tc>
          <w:tcPr>
            <w:tcW w:w="100" w:type="dxa"/>
            <w:vAlign w:val="bottom"/>
            <w:tcBorders>
              <w:bottom w:val="single" w:sz="8" w:color="CCEEFF"/>
            </w:tcBorders>
            <w:shd w:val="clear" w:color="auto" w:fill="CCEEFF"/>
          </w:tcPr>
          <w:p>
            <w:pPr>
              <w:spacing w:after="0"/>
              <w:rPr>
                <w:sz w:val="24"/>
                <w:szCs w:val="24"/>
                <w:color w:val="auto"/>
              </w:rPr>
            </w:pPr>
          </w:p>
        </w:tc>
        <w:tc>
          <w:tcPr>
            <w:tcW w:w="780" w:type="dxa"/>
            <w:vAlign w:val="bottom"/>
            <w:tcBorders>
              <w:bottom w:val="single" w:sz="8" w:color="auto"/>
            </w:tcBorders>
            <w:shd w:val="clear" w:color="auto" w:fill="CCEEFF"/>
          </w:tcPr>
          <w:p>
            <w:pPr>
              <w:jc w:val="right"/>
              <w:ind w:right="73"/>
              <w:spacing w:after="0"/>
              <w:rPr>
                <w:sz w:val="20"/>
                <w:szCs w:val="20"/>
                <w:color w:val="auto"/>
              </w:rPr>
            </w:pPr>
            <w:r>
              <w:rPr>
                <w:rFonts w:ascii="Arial" w:cs="Arial" w:eastAsia="Arial" w:hAnsi="Arial"/>
                <w:sz w:val="18"/>
                <w:szCs w:val="18"/>
                <w:color w:val="auto"/>
              </w:rPr>
              <w:t>3,913</w:t>
            </w:r>
          </w:p>
        </w:tc>
        <w:tc>
          <w:tcPr>
            <w:tcW w:w="3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15.83</w:t>
            </w:r>
          </w:p>
        </w:tc>
        <w:tc>
          <w:tcPr>
            <w:tcW w:w="100" w:type="dxa"/>
            <w:vAlign w:val="bottom"/>
            <w:tcBorders>
              <w:bottom w:val="single" w:sz="8" w:color="CCEEFF"/>
            </w:tcBorders>
            <w:shd w:val="clear" w:color="auto" w:fill="CCEEFF"/>
          </w:tcPr>
          <w:p>
            <w:pPr>
              <w:spacing w:after="0"/>
              <w:rPr>
                <w:sz w:val="24"/>
                <w:szCs w:val="24"/>
                <w:color w:val="auto"/>
              </w:rPr>
            </w:pPr>
          </w:p>
        </w:tc>
        <w:tc>
          <w:tcPr>
            <w:tcW w:w="78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rPr>
              <w:t>19,708</w:t>
            </w:r>
          </w:p>
        </w:tc>
        <w:tc>
          <w:tcPr>
            <w:tcW w:w="240" w:type="dxa"/>
            <w:vAlign w:val="bottom"/>
            <w:tcBorders>
              <w:bottom w:val="single" w:sz="8" w:color="CCEEFF"/>
            </w:tcBorders>
            <w:gridSpan w:val="2"/>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20.15</w:t>
            </w:r>
          </w:p>
        </w:tc>
        <w:tc>
          <w:tcPr>
            <w:tcW w:w="0" w:type="dxa"/>
            <w:vAlign w:val="bottom"/>
          </w:tcPr>
          <w:p>
            <w:pPr>
              <w:spacing w:after="0"/>
              <w:rPr>
                <w:sz w:val="1"/>
                <w:szCs w:val="1"/>
                <w:color w:val="auto"/>
              </w:rPr>
            </w:pPr>
          </w:p>
        </w:tc>
      </w:tr>
      <w:tr>
        <w:trPr>
          <w:trHeight w:val="20"/>
        </w:trPr>
        <w:tc>
          <w:tcPr>
            <w:tcW w:w="2900" w:type="dxa"/>
            <w:vAlign w:val="bottom"/>
            <w:tcBorders>
              <w:top w:val="single" w:sz="8" w:color="CCEEFF"/>
            </w:tcBorders>
          </w:tcPr>
          <w:p>
            <w:pPr>
              <w:spacing w:after="0" w:line="20" w:lineRule="exact"/>
              <w:rPr>
                <w:sz w:val="1"/>
                <w:szCs w:val="1"/>
                <w:color w:val="auto"/>
              </w:rPr>
            </w:pPr>
          </w:p>
        </w:tc>
        <w:tc>
          <w:tcPr>
            <w:tcW w:w="7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80" w:type="dxa"/>
            <w:vAlign w:val="bottom"/>
            <w:tcBorders>
              <w:top w:val="single" w:sz="8" w:color="CCEEFF"/>
              <w:bottom w:val="single" w:sz="8" w:color="auto"/>
            </w:tcBorders>
          </w:tcPr>
          <w:p>
            <w:pPr>
              <w:spacing w:after="0" w:line="20" w:lineRule="exact"/>
              <w:rPr>
                <w:sz w:val="1"/>
                <w:szCs w:val="1"/>
                <w:color w:val="auto"/>
              </w:rPr>
            </w:pPr>
          </w:p>
        </w:tc>
        <w:tc>
          <w:tcPr>
            <w:tcW w:w="38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780" w:type="dxa"/>
            <w:vAlign w:val="bottom"/>
            <w:tcBorders>
              <w:top w:val="single" w:sz="8" w:color="CCEEFF"/>
              <w:bottom w:val="single" w:sz="8" w:color="auto"/>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7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8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left="660" w:right="540" w:hanging="652"/>
        <w:spacing w:after="0" w:line="277" w:lineRule="auto"/>
        <w:tabs>
          <w:tab w:leader="none" w:pos="257" w:val="left"/>
        </w:tabs>
        <w:numPr>
          <w:ilvl w:val="0"/>
          <w:numId w:val="36"/>
        </w:numPr>
        <w:rPr>
          <w:rFonts w:ascii="Arial" w:cs="Arial" w:eastAsia="Arial" w:hAnsi="Arial"/>
          <w:sz w:val="18"/>
          <w:szCs w:val="18"/>
          <w:color w:val="auto"/>
        </w:rPr>
      </w:pPr>
      <w:r>
        <w:rPr>
          <w:rFonts w:ascii="Arial" w:cs="Arial" w:eastAsia="Arial" w:hAnsi="Arial"/>
          <w:sz w:val="18"/>
          <w:szCs w:val="18"/>
          <w:color w:val="auto"/>
        </w:rPr>
        <w:t>Amounts represent the target number of restricted stock units at grant date. For awards granted to our executive officers, up to 200% of the target restricted stock units may vest if the maximum level for performance goals is achieved.</w:t>
      </w:r>
    </w:p>
    <w:p>
      <w:pPr>
        <w:spacing w:after="0" w:line="62" w:lineRule="exact"/>
        <w:rPr>
          <w:rFonts w:ascii="Arial" w:cs="Arial" w:eastAsia="Arial" w:hAnsi="Arial"/>
          <w:sz w:val="18"/>
          <w:szCs w:val="18"/>
          <w:color w:val="auto"/>
        </w:rPr>
      </w:pPr>
    </w:p>
    <w:p>
      <w:pPr>
        <w:ind w:left="260" w:hanging="252"/>
        <w:spacing w:after="0"/>
        <w:tabs>
          <w:tab w:leader="none" w:pos="2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Amount represents the number of restricted stock unit goal shares.</w:t>
      </w:r>
    </w:p>
    <w:p>
      <w:pPr>
        <w:spacing w:after="0" w:line="117" w:lineRule="exact"/>
        <w:rPr>
          <w:rFonts w:ascii="Arial" w:cs="Arial" w:eastAsia="Arial" w:hAnsi="Arial"/>
          <w:sz w:val="18"/>
          <w:szCs w:val="18"/>
          <w:color w:val="auto"/>
        </w:rPr>
      </w:pPr>
    </w:p>
    <w:p>
      <w:pPr>
        <w:ind w:left="260" w:hanging="252"/>
        <w:spacing w:after="0"/>
        <w:tabs>
          <w:tab w:leader="none" w:pos="2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Amount represents the target number of restricted stock units at grant date, including 824 TSR RSU shares and 2,797 VCA RSU shares.</w:t>
      </w:r>
    </w:p>
    <w:p>
      <w:pPr>
        <w:sectPr>
          <w:pgSz w:w="11900" w:h="16838" w:orient="portrait"/>
          <w:cols w:equalWidth="0" w:num="1">
            <w:col w:w="11240"/>
          </w:cols>
          <w:pgMar w:left="320" w:top="472" w:right="339" w:bottom="1440" w:gutter="0" w:footer="0" w:header="0"/>
        </w:sect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88" w:name="page89"/>
    <w:bookmarkEnd w:id="88"/>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spacing w:after="0"/>
        <w:rPr>
          <w:sz w:val="20"/>
          <w:szCs w:val="20"/>
          <w:color w:val="auto"/>
        </w:rPr>
      </w:pPr>
      <w:r>
        <w:rPr>
          <w:rFonts w:ascii="Arial" w:cs="Arial" w:eastAsia="Arial" w:hAnsi="Arial"/>
          <w:sz w:val="18"/>
          <w:szCs w:val="18"/>
          <w:color w:val="auto"/>
        </w:rPr>
        <w:t>[4] See “Note 3 - Business Combinations” for additional information.</w:t>
      </w:r>
    </w:p>
    <w:p>
      <w:pPr>
        <w:spacing w:after="0" w:line="117" w:lineRule="exact"/>
        <w:rPr>
          <w:sz w:val="20"/>
          <w:szCs w:val="20"/>
          <w:color w:val="auto"/>
        </w:rPr>
      </w:pPr>
    </w:p>
    <w:p>
      <w:pPr>
        <w:ind w:firstLine="405"/>
        <w:spacing w:after="0" w:line="263" w:lineRule="auto"/>
        <w:rPr>
          <w:sz w:val="20"/>
          <w:szCs w:val="20"/>
          <w:color w:val="auto"/>
        </w:rPr>
      </w:pPr>
      <w:r>
        <w:rPr>
          <w:rFonts w:ascii="Arial" w:cs="Arial" w:eastAsia="Arial" w:hAnsi="Arial"/>
          <w:sz w:val="18"/>
          <w:szCs w:val="18"/>
          <w:color w:val="auto"/>
        </w:rPr>
        <w:t>The aggregate intrinsic value of restricted stock units expected to vest as of February 1, 2020 was $473.8 million. The number of restricted stock units that are expected to vest is 19.7 million shares. The Company’s closing stock price of $24.04 as reported on the Nasdaq Global Select Market as of February 1, 2020 was used to calculate the aggregate intrinsic value for the restricted stock units.</w:t>
      </w:r>
    </w:p>
    <w:p>
      <w:pPr>
        <w:spacing w:after="0" w:line="76" w:lineRule="exact"/>
        <w:rPr>
          <w:sz w:val="20"/>
          <w:szCs w:val="20"/>
          <w:color w:val="auto"/>
        </w:rPr>
      </w:pPr>
    </w:p>
    <w:p>
      <w:pPr>
        <w:ind w:right="160" w:firstLine="405"/>
        <w:spacing w:after="0" w:line="342" w:lineRule="auto"/>
        <w:rPr>
          <w:sz w:val="20"/>
          <w:szCs w:val="20"/>
          <w:color w:val="auto"/>
        </w:rPr>
      </w:pPr>
      <w:r>
        <w:rPr>
          <w:rFonts w:ascii="Arial" w:cs="Arial" w:eastAsia="Arial" w:hAnsi="Arial"/>
          <w:sz w:val="16"/>
          <w:szCs w:val="16"/>
          <w:color w:val="auto"/>
        </w:rPr>
        <w:t>As of February 1, 2020, unamortized compensation expense related to restricted stock units was $335.3 million. The unamortized compensation expense for restricted stock units will be amortized on a straight-line basis and is expected to be recognized over a weighted-average period of 1.93 years.</w:t>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Stock Option Awards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Option Plan and Stock Award Activity</w:t>
      </w:r>
    </w:p>
    <w:p>
      <w:pPr>
        <w:spacing w:after="0" w:line="117" w:lineRule="exact"/>
        <w:rPr>
          <w:sz w:val="20"/>
          <w:szCs w:val="20"/>
          <w:color w:val="auto"/>
        </w:rPr>
      </w:pPr>
    </w:p>
    <w:p>
      <w:pPr>
        <w:ind w:right="20" w:firstLine="405"/>
        <w:spacing w:after="0" w:line="276" w:lineRule="auto"/>
        <w:rPr>
          <w:sz w:val="20"/>
          <w:szCs w:val="20"/>
          <w:color w:val="auto"/>
        </w:rPr>
      </w:pPr>
      <w:r>
        <w:rPr>
          <w:rFonts w:ascii="Arial" w:cs="Arial" w:eastAsia="Arial" w:hAnsi="Arial"/>
          <w:sz w:val="18"/>
          <w:szCs w:val="18"/>
          <w:color w:val="auto"/>
        </w:rPr>
        <w:t>Stock option activity under the Company’s stock option and stock incentive plans is included in the following table (in thousands, except for per share amounts):</w:t>
      </w:r>
    </w:p>
    <w:tbl>
      <w:tblPr>
        <w:tblLayout w:type="fixed"/>
        <w:tblInd w:w="40" w:type="dxa"/>
        <w:tblCellMar>
          <w:top w:w="0" w:type="dxa"/>
          <w:left w:w="0" w:type="dxa"/>
          <w:bottom w:w="0" w:type="dxa"/>
          <w:right w:w="0" w:type="dxa"/>
        </w:tblCellMar>
      </w:tblPr>
      <w:tr>
        <w:trPr>
          <w:trHeight w:val="150"/>
        </w:trPr>
        <w:tc>
          <w:tcPr>
            <w:tcW w:w="6100" w:type="dxa"/>
            <w:vAlign w:val="bottom"/>
          </w:tcPr>
          <w:p>
            <w:pPr>
              <w:spacing w:after="0"/>
              <w:rPr>
                <w:sz w:val="13"/>
                <w:szCs w:val="13"/>
                <w:color w:val="auto"/>
              </w:rPr>
            </w:pPr>
          </w:p>
        </w:tc>
        <w:tc>
          <w:tcPr>
            <w:tcW w:w="16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980" w:type="dxa"/>
            <w:vAlign w:val="bottom"/>
          </w:tcPr>
          <w:p>
            <w:pPr>
              <w:jc w:val="center"/>
              <w:ind w:right="434"/>
              <w:spacing w:after="0" w:line="150" w:lineRule="exact"/>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48"/>
        </w:trPr>
        <w:tc>
          <w:tcPr>
            <w:tcW w:w="6100" w:type="dxa"/>
            <w:vAlign w:val="bottom"/>
          </w:tcPr>
          <w:p>
            <w:pPr>
              <w:spacing w:after="0"/>
              <w:rPr>
                <w:sz w:val="12"/>
                <w:szCs w:val="12"/>
                <w:color w:val="auto"/>
              </w:rPr>
            </w:pPr>
          </w:p>
        </w:tc>
        <w:tc>
          <w:tcPr>
            <w:tcW w:w="1660" w:type="dxa"/>
            <w:vAlign w:val="bottom"/>
            <w:vMerge w:val="restart"/>
          </w:tcPr>
          <w:p>
            <w:pPr>
              <w:jc w:val="center"/>
              <w:ind w:left="728"/>
              <w:spacing w:after="0"/>
              <w:rPr>
                <w:sz w:val="20"/>
                <w:szCs w:val="20"/>
                <w:color w:val="auto"/>
              </w:rPr>
            </w:pPr>
            <w:r>
              <w:rPr>
                <w:rFonts w:ascii="Arial" w:cs="Arial" w:eastAsia="Arial" w:hAnsi="Arial"/>
                <w:sz w:val="14"/>
                <w:szCs w:val="14"/>
                <w:b w:val="1"/>
                <w:bCs w:val="1"/>
                <w:color w:val="auto"/>
                <w:w w:val="94"/>
              </w:rPr>
              <w:t>Number of</w:t>
            </w: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980" w:type="dxa"/>
            <w:vAlign w:val="bottom"/>
          </w:tcPr>
          <w:p>
            <w:pPr>
              <w:jc w:val="center"/>
              <w:ind w:right="434"/>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8"/>
        </w:trPr>
        <w:tc>
          <w:tcPr>
            <w:tcW w:w="6100" w:type="dxa"/>
            <w:vAlign w:val="bottom"/>
          </w:tcPr>
          <w:p>
            <w:pPr>
              <w:spacing w:after="0"/>
              <w:rPr>
                <w:sz w:val="12"/>
                <w:szCs w:val="12"/>
                <w:color w:val="auto"/>
              </w:rPr>
            </w:pPr>
          </w:p>
        </w:tc>
        <w:tc>
          <w:tcPr>
            <w:tcW w:w="1660" w:type="dxa"/>
            <w:vAlign w:val="bottom"/>
            <w:vMerge w:val="continue"/>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980" w:type="dxa"/>
            <w:vAlign w:val="bottom"/>
          </w:tcPr>
          <w:p>
            <w:pPr>
              <w:jc w:val="center"/>
              <w:ind w:right="434"/>
              <w:spacing w:after="0" w:line="149" w:lineRule="exact"/>
              <w:rPr>
                <w:sz w:val="20"/>
                <w:szCs w:val="20"/>
                <w:color w:val="auto"/>
              </w:rPr>
            </w:pPr>
            <w:r>
              <w:rPr>
                <w:rFonts w:ascii="Arial" w:cs="Arial" w:eastAsia="Arial" w:hAnsi="Arial"/>
                <w:sz w:val="14"/>
                <w:szCs w:val="14"/>
                <w:b w:val="1"/>
                <w:bCs w:val="1"/>
                <w:color w:val="auto"/>
                <w:w w:val="86"/>
              </w:rPr>
              <w:t>Exercise</w:t>
            </w:r>
          </w:p>
        </w:tc>
        <w:tc>
          <w:tcPr>
            <w:tcW w:w="0" w:type="dxa"/>
            <w:vAlign w:val="bottom"/>
          </w:tcPr>
          <w:p>
            <w:pPr>
              <w:spacing w:after="0"/>
              <w:rPr>
                <w:sz w:val="1"/>
                <w:szCs w:val="1"/>
                <w:color w:val="auto"/>
              </w:rPr>
            </w:pPr>
          </w:p>
        </w:tc>
      </w:tr>
      <w:tr>
        <w:trPr>
          <w:trHeight w:val="192"/>
        </w:trPr>
        <w:tc>
          <w:tcPr>
            <w:tcW w:w="6100" w:type="dxa"/>
            <w:vAlign w:val="bottom"/>
            <w:tcBorders>
              <w:bottom w:val="single" w:sz="8" w:color="CCEEFF"/>
            </w:tcBorders>
          </w:tcPr>
          <w:p>
            <w:pPr>
              <w:spacing w:after="0"/>
              <w:rPr>
                <w:sz w:val="16"/>
                <w:szCs w:val="16"/>
                <w:color w:val="auto"/>
              </w:rPr>
            </w:pPr>
          </w:p>
        </w:tc>
        <w:tc>
          <w:tcPr>
            <w:tcW w:w="1660" w:type="dxa"/>
            <w:vAlign w:val="bottom"/>
            <w:tcBorders>
              <w:bottom w:val="single" w:sz="8" w:color="auto"/>
            </w:tcBorders>
          </w:tcPr>
          <w:p>
            <w:pPr>
              <w:jc w:val="center"/>
              <w:ind w:left="728"/>
              <w:spacing w:after="0"/>
              <w:rPr>
                <w:sz w:val="20"/>
                <w:szCs w:val="20"/>
                <w:color w:val="auto"/>
              </w:rPr>
            </w:pPr>
            <w:r>
              <w:rPr>
                <w:rFonts w:ascii="Arial" w:cs="Arial" w:eastAsia="Arial" w:hAnsi="Arial"/>
                <w:sz w:val="14"/>
                <w:szCs w:val="14"/>
                <w:b w:val="1"/>
                <w:bCs w:val="1"/>
                <w:color w:val="auto"/>
                <w:w w:val="89"/>
              </w:rPr>
              <w:t>Shares</w:t>
            </w:r>
          </w:p>
        </w:tc>
        <w:tc>
          <w:tcPr>
            <w:tcW w:w="82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520" w:type="dxa"/>
            <w:vAlign w:val="bottom"/>
            <w:tcBorders>
              <w:bottom w:val="single" w:sz="8" w:color="auto"/>
            </w:tcBorders>
          </w:tcPr>
          <w:p>
            <w:pPr>
              <w:spacing w:after="0"/>
              <w:rPr>
                <w:sz w:val="16"/>
                <w:szCs w:val="16"/>
                <w:color w:val="auto"/>
              </w:rPr>
            </w:pPr>
          </w:p>
        </w:tc>
        <w:tc>
          <w:tcPr>
            <w:tcW w:w="1980" w:type="dxa"/>
            <w:vAlign w:val="bottom"/>
            <w:tcBorders>
              <w:bottom w:val="single" w:sz="8" w:color="auto"/>
            </w:tcBorders>
          </w:tcPr>
          <w:p>
            <w:pPr>
              <w:jc w:val="center"/>
              <w:ind w:right="414"/>
              <w:spacing w:after="0"/>
              <w:rPr>
                <w:sz w:val="20"/>
                <w:szCs w:val="20"/>
                <w:color w:val="auto"/>
              </w:rPr>
            </w:pPr>
            <w:r>
              <w:rPr>
                <w:rFonts w:ascii="Arial" w:cs="Arial" w:eastAsia="Arial" w:hAnsi="Arial"/>
                <w:sz w:val="14"/>
                <w:szCs w:val="14"/>
                <w:b w:val="1"/>
                <w:bCs w:val="1"/>
                <w:color w:val="auto"/>
                <w:w w:val="93"/>
              </w:rPr>
              <w:t>Price</w:t>
            </w:r>
          </w:p>
        </w:tc>
        <w:tc>
          <w:tcPr>
            <w:tcW w:w="0" w:type="dxa"/>
            <w:vAlign w:val="bottom"/>
          </w:tcPr>
          <w:p>
            <w:pPr>
              <w:spacing w:after="0"/>
              <w:rPr>
                <w:sz w:val="1"/>
                <w:szCs w:val="1"/>
                <w:color w:val="auto"/>
              </w:rPr>
            </w:pPr>
          </w:p>
        </w:tc>
      </w:tr>
      <w:tr>
        <w:trPr>
          <w:trHeight w:val="250"/>
        </w:trPr>
        <w:tc>
          <w:tcPr>
            <w:tcW w:w="61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28, 2017</w:t>
            </w:r>
          </w:p>
        </w:tc>
        <w:tc>
          <w:tcPr>
            <w:tcW w:w="166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25,096</w:t>
            </w:r>
          </w:p>
        </w:tc>
        <w:tc>
          <w:tcPr>
            <w:tcW w:w="620" w:type="dxa"/>
            <w:vAlign w:val="bottom"/>
            <w:tcBorders>
              <w:bottom w:val="single" w:sz="8" w:color="CCEEFF"/>
            </w:tcBorders>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9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12.61</w:t>
            </w:r>
          </w:p>
        </w:tc>
        <w:tc>
          <w:tcPr>
            <w:tcW w:w="0" w:type="dxa"/>
            <w:vAlign w:val="bottom"/>
          </w:tcPr>
          <w:p>
            <w:pPr>
              <w:spacing w:after="0"/>
              <w:rPr>
                <w:sz w:val="1"/>
                <w:szCs w:val="1"/>
                <w:color w:val="auto"/>
              </w:rPr>
            </w:pPr>
          </w:p>
        </w:tc>
      </w:tr>
      <w:tr>
        <w:trPr>
          <w:trHeight w:val="243"/>
        </w:trPr>
        <w:tc>
          <w:tcPr>
            <w:tcW w:w="7760" w:type="dxa"/>
            <w:vAlign w:val="bottom"/>
            <w:gridSpan w:val="2"/>
          </w:tcPr>
          <w:p>
            <w:pPr>
              <w:ind w:left="320"/>
              <w:spacing w:after="0"/>
              <w:rPr>
                <w:sz w:val="20"/>
                <w:szCs w:val="20"/>
                <w:color w:val="auto"/>
              </w:rPr>
            </w:pPr>
            <w:r>
              <w:rPr>
                <w:rFonts w:ascii="Arial" w:cs="Arial" w:eastAsia="Arial" w:hAnsi="Arial"/>
                <w:sz w:val="18"/>
                <w:szCs w:val="18"/>
                <w:color w:val="auto"/>
              </w:rPr>
              <w:t>Granted</w:t>
            </w:r>
          </w:p>
        </w:tc>
        <w:tc>
          <w:tcPr>
            <w:tcW w:w="82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980" w:type="dxa"/>
            <w:vAlign w:val="bottom"/>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6100" w:type="dxa"/>
            <w:vAlign w:val="bottom"/>
          </w:tcPr>
          <w:p>
            <w:pPr>
              <w:spacing w:after="0"/>
              <w:rPr>
                <w:sz w:val="2"/>
                <w:szCs w:val="2"/>
                <w:color w:val="auto"/>
              </w:rPr>
            </w:pPr>
          </w:p>
        </w:tc>
        <w:tc>
          <w:tcPr>
            <w:tcW w:w="16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20" w:type="dxa"/>
            <w:vAlign w:val="bottom"/>
          </w:tcPr>
          <w:p>
            <w:pPr>
              <w:spacing w:after="0"/>
              <w:rPr>
                <w:sz w:val="2"/>
                <w:szCs w:val="2"/>
                <w:color w:val="auto"/>
              </w:rPr>
            </w:pPr>
          </w:p>
        </w:tc>
        <w:tc>
          <w:tcPr>
            <w:tcW w:w="1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760" w:type="dxa"/>
            <w:vAlign w:val="bottom"/>
            <w:tcBorders>
              <w:bottom w:val="single" w:sz="8" w:color="CCEEFF"/>
            </w:tcBorders>
            <w:gridSpan w:val="2"/>
            <w:shd w:val="clear" w:color="auto" w:fill="CCEEFF"/>
          </w:tcPr>
          <w:p>
            <w:pPr>
              <w:ind w:left="320"/>
              <w:spacing w:after="0"/>
              <w:rPr>
                <w:sz w:val="20"/>
                <w:szCs w:val="20"/>
                <w:color w:val="auto"/>
              </w:rPr>
            </w:pPr>
            <w:r>
              <w:rPr>
                <w:rFonts w:ascii="Arial" w:cs="Arial" w:eastAsia="Arial" w:hAnsi="Arial"/>
                <w:sz w:val="18"/>
                <w:szCs w:val="18"/>
                <w:color w:val="auto"/>
              </w:rPr>
              <w:t>Exercised</w:t>
            </w:r>
          </w:p>
        </w:tc>
        <w:tc>
          <w:tcPr>
            <w:tcW w:w="8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(10,305)</w:t>
            </w:r>
          </w:p>
        </w:tc>
        <w:tc>
          <w:tcPr>
            <w:tcW w:w="620" w:type="dxa"/>
            <w:vAlign w:val="bottom"/>
            <w:tcBorders>
              <w:bottom w:val="single" w:sz="8" w:color="CCEEFF"/>
            </w:tcBorders>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9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12.38</w:t>
            </w:r>
          </w:p>
        </w:tc>
        <w:tc>
          <w:tcPr>
            <w:tcW w:w="0" w:type="dxa"/>
            <w:vAlign w:val="bottom"/>
          </w:tcPr>
          <w:p>
            <w:pPr>
              <w:spacing w:after="0"/>
              <w:rPr>
                <w:sz w:val="1"/>
                <w:szCs w:val="1"/>
                <w:color w:val="auto"/>
              </w:rPr>
            </w:pPr>
          </w:p>
        </w:tc>
      </w:tr>
      <w:tr>
        <w:trPr>
          <w:trHeight w:val="243"/>
        </w:trPr>
        <w:tc>
          <w:tcPr>
            <w:tcW w:w="7760" w:type="dxa"/>
            <w:vAlign w:val="bottom"/>
            <w:gridSpan w:val="2"/>
          </w:tcPr>
          <w:p>
            <w:pPr>
              <w:ind w:left="320"/>
              <w:spacing w:after="0"/>
              <w:rPr>
                <w:sz w:val="20"/>
                <w:szCs w:val="20"/>
                <w:color w:val="auto"/>
              </w:rPr>
            </w:pPr>
            <w:r>
              <w:rPr>
                <w:rFonts w:ascii="Arial" w:cs="Arial" w:eastAsia="Arial" w:hAnsi="Arial"/>
                <w:sz w:val="18"/>
                <w:szCs w:val="18"/>
                <w:color w:val="auto"/>
              </w:rPr>
              <w:t>Canceled/Forfeited</w:t>
            </w:r>
          </w:p>
        </w:tc>
        <w:tc>
          <w:tcPr>
            <w:tcW w:w="820" w:type="dxa"/>
            <w:vAlign w:val="bottom"/>
          </w:tcPr>
          <w:p>
            <w:pPr>
              <w:jc w:val="right"/>
              <w:ind w:right="30"/>
              <w:spacing w:after="0"/>
              <w:rPr>
                <w:sz w:val="20"/>
                <w:szCs w:val="20"/>
                <w:color w:val="auto"/>
              </w:rPr>
            </w:pPr>
            <w:r>
              <w:rPr>
                <w:rFonts w:ascii="Arial" w:cs="Arial" w:eastAsia="Arial" w:hAnsi="Arial"/>
                <w:sz w:val="18"/>
                <w:szCs w:val="18"/>
                <w:color w:val="auto"/>
              </w:rPr>
              <w:t>(3,019)</w:t>
            </w:r>
          </w:p>
        </w:tc>
        <w:tc>
          <w:tcPr>
            <w:tcW w:w="6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980" w:type="dxa"/>
            <w:vAlign w:val="bottom"/>
          </w:tcPr>
          <w:p>
            <w:pPr>
              <w:jc w:val="right"/>
              <w:ind w:right="74"/>
              <w:spacing w:after="0"/>
              <w:rPr>
                <w:sz w:val="20"/>
                <w:szCs w:val="20"/>
                <w:color w:val="auto"/>
              </w:rPr>
            </w:pPr>
            <w:r>
              <w:rPr>
                <w:rFonts w:ascii="Arial" w:cs="Arial" w:eastAsia="Arial" w:hAnsi="Arial"/>
                <w:sz w:val="18"/>
                <w:szCs w:val="18"/>
                <w:color w:val="auto"/>
              </w:rPr>
              <w:t>14.33</w:t>
            </w:r>
          </w:p>
        </w:tc>
        <w:tc>
          <w:tcPr>
            <w:tcW w:w="0" w:type="dxa"/>
            <w:vAlign w:val="bottom"/>
          </w:tcPr>
          <w:p>
            <w:pPr>
              <w:spacing w:after="0"/>
              <w:rPr>
                <w:sz w:val="1"/>
                <w:szCs w:val="1"/>
                <w:color w:val="auto"/>
              </w:rPr>
            </w:pPr>
          </w:p>
        </w:tc>
      </w:tr>
      <w:tr>
        <w:trPr>
          <w:trHeight w:val="27"/>
        </w:trPr>
        <w:tc>
          <w:tcPr>
            <w:tcW w:w="6100" w:type="dxa"/>
            <w:vAlign w:val="bottom"/>
            <w:tcBorders>
              <w:bottom w:val="single" w:sz="8" w:color="CCEEFF"/>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520" w:type="dxa"/>
            <w:vAlign w:val="bottom"/>
            <w:tcBorders>
              <w:bottom w:val="single" w:sz="8" w:color="CCEEFF"/>
            </w:tcBorders>
          </w:tcPr>
          <w:p>
            <w:pPr>
              <w:spacing w:after="0"/>
              <w:rPr>
                <w:sz w:val="2"/>
                <w:szCs w:val="2"/>
                <w:color w:val="auto"/>
              </w:rPr>
            </w:pPr>
          </w:p>
        </w:tc>
        <w:tc>
          <w:tcPr>
            <w:tcW w:w="198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43"/>
        </w:trPr>
        <w:tc>
          <w:tcPr>
            <w:tcW w:w="61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February 3, 2018</w:t>
            </w:r>
          </w:p>
        </w:tc>
        <w:tc>
          <w:tcPr>
            <w:tcW w:w="166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11,772</w:t>
            </w:r>
          </w:p>
        </w:tc>
        <w:tc>
          <w:tcPr>
            <w:tcW w:w="620" w:type="dxa"/>
            <w:vAlign w:val="bottom"/>
            <w:tcBorders>
              <w:bottom w:val="single" w:sz="8" w:color="CCEEFF"/>
            </w:tcBorders>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9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12.36</w:t>
            </w:r>
          </w:p>
        </w:tc>
        <w:tc>
          <w:tcPr>
            <w:tcW w:w="0" w:type="dxa"/>
            <w:vAlign w:val="bottom"/>
          </w:tcPr>
          <w:p>
            <w:pPr>
              <w:spacing w:after="0"/>
              <w:rPr>
                <w:sz w:val="1"/>
                <w:szCs w:val="1"/>
                <w:color w:val="auto"/>
              </w:rPr>
            </w:pPr>
          </w:p>
        </w:tc>
      </w:tr>
      <w:tr>
        <w:trPr>
          <w:trHeight w:val="243"/>
        </w:trPr>
        <w:tc>
          <w:tcPr>
            <w:tcW w:w="7760" w:type="dxa"/>
            <w:vAlign w:val="bottom"/>
            <w:gridSpan w:val="2"/>
          </w:tcPr>
          <w:p>
            <w:pPr>
              <w:ind w:left="320"/>
              <w:spacing w:after="0"/>
              <w:rPr>
                <w:sz w:val="20"/>
                <w:szCs w:val="20"/>
                <w:color w:val="auto"/>
              </w:rPr>
            </w:pPr>
            <w:r>
              <w:rPr>
                <w:rFonts w:ascii="Arial" w:cs="Arial" w:eastAsia="Arial" w:hAnsi="Arial"/>
                <w:sz w:val="18"/>
                <w:szCs w:val="18"/>
                <w:color w:val="auto"/>
              </w:rPr>
              <w:t>Assumed upon acquisition*</w:t>
            </w:r>
          </w:p>
        </w:tc>
        <w:tc>
          <w:tcPr>
            <w:tcW w:w="820" w:type="dxa"/>
            <w:vAlign w:val="bottom"/>
          </w:tcPr>
          <w:p>
            <w:pPr>
              <w:jc w:val="right"/>
              <w:ind w:right="70"/>
              <w:spacing w:after="0"/>
              <w:rPr>
                <w:sz w:val="20"/>
                <w:szCs w:val="20"/>
                <w:color w:val="auto"/>
              </w:rPr>
            </w:pPr>
            <w:r>
              <w:rPr>
                <w:rFonts w:ascii="Arial" w:cs="Arial" w:eastAsia="Arial" w:hAnsi="Arial"/>
                <w:sz w:val="18"/>
                <w:szCs w:val="18"/>
                <w:color w:val="auto"/>
              </w:rPr>
              <w:t>3,026</w:t>
            </w:r>
          </w:p>
        </w:tc>
        <w:tc>
          <w:tcPr>
            <w:tcW w:w="6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980" w:type="dxa"/>
            <w:vAlign w:val="bottom"/>
          </w:tcPr>
          <w:p>
            <w:pPr>
              <w:jc w:val="right"/>
              <w:ind w:right="74"/>
              <w:spacing w:after="0"/>
              <w:rPr>
                <w:sz w:val="20"/>
                <w:szCs w:val="20"/>
                <w:color w:val="auto"/>
              </w:rPr>
            </w:pPr>
            <w:r>
              <w:rPr>
                <w:rFonts w:ascii="Arial" w:cs="Arial" w:eastAsia="Arial" w:hAnsi="Arial"/>
                <w:sz w:val="18"/>
                <w:szCs w:val="18"/>
                <w:color w:val="auto"/>
              </w:rPr>
              <w:t>11.85</w:t>
            </w:r>
          </w:p>
        </w:tc>
        <w:tc>
          <w:tcPr>
            <w:tcW w:w="0" w:type="dxa"/>
            <w:vAlign w:val="bottom"/>
          </w:tcPr>
          <w:p>
            <w:pPr>
              <w:spacing w:after="0"/>
              <w:rPr>
                <w:sz w:val="1"/>
                <w:szCs w:val="1"/>
                <w:color w:val="auto"/>
              </w:rPr>
            </w:pPr>
          </w:p>
        </w:tc>
      </w:tr>
      <w:tr>
        <w:trPr>
          <w:trHeight w:val="27"/>
        </w:trPr>
        <w:tc>
          <w:tcPr>
            <w:tcW w:w="6100" w:type="dxa"/>
            <w:vAlign w:val="bottom"/>
          </w:tcPr>
          <w:p>
            <w:pPr>
              <w:spacing w:after="0"/>
              <w:rPr>
                <w:sz w:val="2"/>
                <w:szCs w:val="2"/>
                <w:color w:val="auto"/>
              </w:rPr>
            </w:pPr>
          </w:p>
        </w:tc>
        <w:tc>
          <w:tcPr>
            <w:tcW w:w="16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20" w:type="dxa"/>
            <w:vAlign w:val="bottom"/>
          </w:tcPr>
          <w:p>
            <w:pPr>
              <w:spacing w:after="0"/>
              <w:rPr>
                <w:sz w:val="2"/>
                <w:szCs w:val="2"/>
                <w:color w:val="auto"/>
              </w:rPr>
            </w:pPr>
          </w:p>
        </w:tc>
        <w:tc>
          <w:tcPr>
            <w:tcW w:w="1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760" w:type="dxa"/>
            <w:vAlign w:val="bottom"/>
            <w:tcBorders>
              <w:bottom w:val="single" w:sz="8" w:color="CCEEFF"/>
            </w:tcBorders>
            <w:gridSpan w:val="2"/>
            <w:shd w:val="clear" w:color="auto" w:fill="CCEEFF"/>
          </w:tcPr>
          <w:p>
            <w:pPr>
              <w:ind w:left="320"/>
              <w:spacing w:after="0"/>
              <w:rPr>
                <w:sz w:val="20"/>
                <w:szCs w:val="20"/>
                <w:color w:val="auto"/>
              </w:rPr>
            </w:pPr>
            <w:r>
              <w:rPr>
                <w:rFonts w:ascii="Arial" w:cs="Arial" w:eastAsia="Arial" w:hAnsi="Arial"/>
                <w:sz w:val="18"/>
                <w:szCs w:val="18"/>
                <w:color w:val="auto"/>
              </w:rPr>
              <w:t>Granted</w:t>
            </w:r>
          </w:p>
        </w:tc>
        <w:tc>
          <w:tcPr>
            <w:tcW w:w="82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620" w:type="dxa"/>
            <w:vAlign w:val="bottom"/>
            <w:tcBorders>
              <w:bottom w:val="single" w:sz="8" w:color="CCEEFF"/>
            </w:tcBorders>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9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7760" w:type="dxa"/>
            <w:vAlign w:val="bottom"/>
            <w:gridSpan w:val="2"/>
          </w:tcPr>
          <w:p>
            <w:pPr>
              <w:ind w:left="320"/>
              <w:spacing w:after="0"/>
              <w:rPr>
                <w:sz w:val="20"/>
                <w:szCs w:val="20"/>
                <w:color w:val="auto"/>
              </w:rPr>
            </w:pPr>
            <w:r>
              <w:rPr>
                <w:rFonts w:ascii="Arial" w:cs="Arial" w:eastAsia="Arial" w:hAnsi="Arial"/>
                <w:sz w:val="18"/>
                <w:szCs w:val="18"/>
                <w:color w:val="auto"/>
              </w:rPr>
              <w:t>Exercised</w:t>
            </w:r>
          </w:p>
        </w:tc>
        <w:tc>
          <w:tcPr>
            <w:tcW w:w="820" w:type="dxa"/>
            <w:vAlign w:val="bottom"/>
          </w:tcPr>
          <w:p>
            <w:pPr>
              <w:jc w:val="right"/>
              <w:ind w:right="30"/>
              <w:spacing w:after="0"/>
              <w:rPr>
                <w:sz w:val="20"/>
                <w:szCs w:val="20"/>
                <w:color w:val="auto"/>
              </w:rPr>
            </w:pPr>
            <w:r>
              <w:rPr>
                <w:rFonts w:ascii="Arial" w:cs="Arial" w:eastAsia="Arial" w:hAnsi="Arial"/>
                <w:sz w:val="18"/>
                <w:szCs w:val="18"/>
                <w:color w:val="auto"/>
              </w:rPr>
              <w:t>(4,812)</w:t>
            </w:r>
          </w:p>
        </w:tc>
        <w:tc>
          <w:tcPr>
            <w:tcW w:w="6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980" w:type="dxa"/>
            <w:vAlign w:val="bottom"/>
          </w:tcPr>
          <w:p>
            <w:pPr>
              <w:jc w:val="right"/>
              <w:ind w:right="74"/>
              <w:spacing w:after="0"/>
              <w:rPr>
                <w:sz w:val="20"/>
                <w:szCs w:val="20"/>
                <w:color w:val="auto"/>
              </w:rPr>
            </w:pPr>
            <w:r>
              <w:rPr>
                <w:rFonts w:ascii="Arial" w:cs="Arial" w:eastAsia="Arial" w:hAnsi="Arial"/>
                <w:sz w:val="18"/>
                <w:szCs w:val="18"/>
                <w:color w:val="auto"/>
              </w:rPr>
              <w:t>10.93</w:t>
            </w:r>
          </w:p>
        </w:tc>
        <w:tc>
          <w:tcPr>
            <w:tcW w:w="0" w:type="dxa"/>
            <w:vAlign w:val="bottom"/>
          </w:tcPr>
          <w:p>
            <w:pPr>
              <w:spacing w:after="0"/>
              <w:rPr>
                <w:sz w:val="1"/>
                <w:szCs w:val="1"/>
                <w:color w:val="auto"/>
              </w:rPr>
            </w:pPr>
          </w:p>
        </w:tc>
      </w:tr>
      <w:tr>
        <w:trPr>
          <w:trHeight w:val="27"/>
        </w:trPr>
        <w:tc>
          <w:tcPr>
            <w:tcW w:w="6100" w:type="dxa"/>
            <w:vAlign w:val="bottom"/>
          </w:tcPr>
          <w:p>
            <w:pPr>
              <w:spacing w:after="0"/>
              <w:rPr>
                <w:sz w:val="2"/>
                <w:szCs w:val="2"/>
                <w:color w:val="auto"/>
              </w:rPr>
            </w:pPr>
          </w:p>
        </w:tc>
        <w:tc>
          <w:tcPr>
            <w:tcW w:w="16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20" w:type="dxa"/>
            <w:vAlign w:val="bottom"/>
          </w:tcPr>
          <w:p>
            <w:pPr>
              <w:spacing w:after="0"/>
              <w:rPr>
                <w:sz w:val="2"/>
                <w:szCs w:val="2"/>
                <w:color w:val="auto"/>
              </w:rPr>
            </w:pPr>
          </w:p>
        </w:tc>
        <w:tc>
          <w:tcPr>
            <w:tcW w:w="1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7760" w:type="dxa"/>
            <w:vAlign w:val="bottom"/>
            <w:tcBorders>
              <w:bottom w:val="single" w:sz="8" w:color="CCEEFF"/>
            </w:tcBorders>
            <w:gridSpan w:val="2"/>
            <w:shd w:val="clear" w:color="auto" w:fill="CCEEFF"/>
          </w:tcPr>
          <w:p>
            <w:pPr>
              <w:ind w:left="320"/>
              <w:spacing w:after="0"/>
              <w:rPr>
                <w:sz w:val="20"/>
                <w:szCs w:val="20"/>
                <w:color w:val="auto"/>
              </w:rPr>
            </w:pPr>
            <w:r>
              <w:rPr>
                <w:rFonts w:ascii="Arial" w:cs="Arial" w:eastAsia="Arial" w:hAnsi="Arial"/>
                <w:sz w:val="18"/>
                <w:szCs w:val="18"/>
                <w:color w:val="auto"/>
              </w:rPr>
              <w:t>Canceled/Forfeited</w:t>
            </w:r>
          </w:p>
        </w:tc>
        <w:tc>
          <w:tcPr>
            <w:tcW w:w="8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(362)</w:t>
            </w:r>
          </w:p>
        </w:tc>
        <w:tc>
          <w:tcPr>
            <w:tcW w:w="620" w:type="dxa"/>
            <w:vAlign w:val="bottom"/>
            <w:tcBorders>
              <w:bottom w:val="single" w:sz="8" w:color="CCEEFF"/>
            </w:tcBorders>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9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13.64</w:t>
            </w:r>
          </w:p>
        </w:tc>
        <w:tc>
          <w:tcPr>
            <w:tcW w:w="0" w:type="dxa"/>
            <w:vAlign w:val="bottom"/>
          </w:tcPr>
          <w:p>
            <w:pPr>
              <w:spacing w:after="0"/>
              <w:rPr>
                <w:sz w:val="1"/>
                <w:szCs w:val="1"/>
                <w:color w:val="auto"/>
              </w:rPr>
            </w:pPr>
          </w:p>
        </w:tc>
      </w:tr>
      <w:tr>
        <w:trPr>
          <w:trHeight w:val="237"/>
        </w:trPr>
        <w:tc>
          <w:tcPr>
            <w:tcW w:w="6100" w:type="dxa"/>
            <w:vAlign w:val="bottom"/>
          </w:tcPr>
          <w:p>
            <w:pPr>
              <w:spacing w:after="0"/>
              <w:rPr>
                <w:sz w:val="20"/>
                <w:szCs w:val="20"/>
                <w:color w:val="auto"/>
              </w:rPr>
            </w:pPr>
            <w:r>
              <w:rPr>
                <w:rFonts w:ascii="Arial" w:cs="Arial" w:eastAsia="Arial" w:hAnsi="Arial"/>
                <w:sz w:val="18"/>
                <w:szCs w:val="18"/>
                <w:color w:val="auto"/>
              </w:rPr>
              <w:t>Balance at February 2, 2019</w:t>
            </w:r>
          </w:p>
        </w:tc>
        <w:tc>
          <w:tcPr>
            <w:tcW w:w="1660" w:type="dxa"/>
            <w:vAlign w:val="bottom"/>
            <w:tcBorders>
              <w:top w:val="single" w:sz="8" w:color="auto"/>
            </w:tcBorders>
          </w:tcPr>
          <w:p>
            <w:pPr>
              <w:spacing w:after="0"/>
              <w:rPr>
                <w:sz w:val="20"/>
                <w:szCs w:val="20"/>
                <w:color w:val="auto"/>
              </w:rPr>
            </w:pPr>
          </w:p>
        </w:tc>
        <w:tc>
          <w:tcPr>
            <w:tcW w:w="82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9,624</w:t>
            </w:r>
          </w:p>
        </w:tc>
        <w:tc>
          <w:tcPr>
            <w:tcW w:w="6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980" w:type="dxa"/>
            <w:vAlign w:val="bottom"/>
          </w:tcPr>
          <w:p>
            <w:pPr>
              <w:jc w:val="right"/>
              <w:ind w:right="74"/>
              <w:spacing w:after="0"/>
              <w:rPr>
                <w:sz w:val="20"/>
                <w:szCs w:val="20"/>
                <w:color w:val="auto"/>
              </w:rPr>
            </w:pPr>
            <w:r>
              <w:rPr>
                <w:rFonts w:ascii="Arial" w:cs="Arial" w:eastAsia="Arial" w:hAnsi="Arial"/>
                <w:sz w:val="18"/>
                <w:szCs w:val="18"/>
                <w:color w:val="auto"/>
              </w:rPr>
              <w:t>12.87</w:t>
            </w:r>
          </w:p>
        </w:tc>
        <w:tc>
          <w:tcPr>
            <w:tcW w:w="0" w:type="dxa"/>
            <w:vAlign w:val="bottom"/>
          </w:tcPr>
          <w:p>
            <w:pPr>
              <w:spacing w:after="0"/>
              <w:rPr>
                <w:sz w:val="1"/>
                <w:szCs w:val="1"/>
                <w:color w:val="auto"/>
              </w:rPr>
            </w:pPr>
          </w:p>
        </w:tc>
      </w:tr>
      <w:tr>
        <w:trPr>
          <w:trHeight w:val="27"/>
        </w:trPr>
        <w:tc>
          <w:tcPr>
            <w:tcW w:w="6100" w:type="dxa"/>
            <w:vAlign w:val="bottom"/>
          </w:tcPr>
          <w:p>
            <w:pPr>
              <w:spacing w:after="0"/>
              <w:rPr>
                <w:sz w:val="2"/>
                <w:szCs w:val="2"/>
                <w:color w:val="auto"/>
              </w:rPr>
            </w:pPr>
          </w:p>
        </w:tc>
        <w:tc>
          <w:tcPr>
            <w:tcW w:w="16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20" w:type="dxa"/>
            <w:vAlign w:val="bottom"/>
          </w:tcPr>
          <w:p>
            <w:pPr>
              <w:spacing w:after="0"/>
              <w:rPr>
                <w:sz w:val="2"/>
                <w:szCs w:val="2"/>
                <w:color w:val="auto"/>
              </w:rPr>
            </w:pPr>
          </w:p>
        </w:tc>
        <w:tc>
          <w:tcPr>
            <w:tcW w:w="1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760" w:type="dxa"/>
            <w:vAlign w:val="bottom"/>
            <w:tcBorders>
              <w:bottom w:val="single" w:sz="8" w:color="CCEEFF"/>
            </w:tcBorders>
            <w:gridSpan w:val="2"/>
            <w:shd w:val="clear" w:color="auto" w:fill="CCEEFF"/>
          </w:tcPr>
          <w:p>
            <w:pPr>
              <w:ind w:left="320"/>
              <w:spacing w:after="0"/>
              <w:rPr>
                <w:sz w:val="20"/>
                <w:szCs w:val="20"/>
                <w:color w:val="auto"/>
              </w:rPr>
            </w:pPr>
            <w:r>
              <w:rPr>
                <w:rFonts w:ascii="Arial" w:cs="Arial" w:eastAsia="Arial" w:hAnsi="Arial"/>
                <w:sz w:val="18"/>
                <w:szCs w:val="18"/>
                <w:color w:val="auto"/>
              </w:rPr>
              <w:t>Assumed upon acquisition*</w:t>
            </w:r>
          </w:p>
        </w:tc>
        <w:tc>
          <w:tcPr>
            <w:tcW w:w="82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808</w:t>
            </w:r>
          </w:p>
        </w:tc>
        <w:tc>
          <w:tcPr>
            <w:tcW w:w="620" w:type="dxa"/>
            <w:vAlign w:val="bottom"/>
            <w:tcBorders>
              <w:bottom w:val="single" w:sz="8" w:color="CCEEFF"/>
            </w:tcBorders>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9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9.20</w:t>
            </w:r>
          </w:p>
        </w:tc>
        <w:tc>
          <w:tcPr>
            <w:tcW w:w="0" w:type="dxa"/>
            <w:vAlign w:val="bottom"/>
          </w:tcPr>
          <w:p>
            <w:pPr>
              <w:spacing w:after="0"/>
              <w:rPr>
                <w:sz w:val="1"/>
                <w:szCs w:val="1"/>
                <w:color w:val="auto"/>
              </w:rPr>
            </w:pPr>
          </w:p>
        </w:tc>
      </w:tr>
      <w:tr>
        <w:trPr>
          <w:trHeight w:val="243"/>
        </w:trPr>
        <w:tc>
          <w:tcPr>
            <w:tcW w:w="7760" w:type="dxa"/>
            <w:vAlign w:val="bottom"/>
            <w:gridSpan w:val="2"/>
          </w:tcPr>
          <w:p>
            <w:pPr>
              <w:ind w:left="320"/>
              <w:spacing w:after="0"/>
              <w:rPr>
                <w:sz w:val="20"/>
                <w:szCs w:val="20"/>
                <w:color w:val="auto"/>
              </w:rPr>
            </w:pPr>
            <w:r>
              <w:rPr>
                <w:rFonts w:ascii="Arial" w:cs="Arial" w:eastAsia="Arial" w:hAnsi="Arial"/>
                <w:sz w:val="18"/>
                <w:szCs w:val="18"/>
                <w:color w:val="auto"/>
              </w:rPr>
              <w:t>Granted</w:t>
            </w:r>
          </w:p>
        </w:tc>
        <w:tc>
          <w:tcPr>
            <w:tcW w:w="82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980" w:type="dxa"/>
            <w:vAlign w:val="bottom"/>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6100" w:type="dxa"/>
            <w:vAlign w:val="bottom"/>
          </w:tcPr>
          <w:p>
            <w:pPr>
              <w:spacing w:after="0"/>
              <w:rPr>
                <w:sz w:val="2"/>
                <w:szCs w:val="2"/>
                <w:color w:val="auto"/>
              </w:rPr>
            </w:pPr>
          </w:p>
        </w:tc>
        <w:tc>
          <w:tcPr>
            <w:tcW w:w="16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20" w:type="dxa"/>
            <w:vAlign w:val="bottom"/>
          </w:tcPr>
          <w:p>
            <w:pPr>
              <w:spacing w:after="0"/>
              <w:rPr>
                <w:sz w:val="2"/>
                <w:szCs w:val="2"/>
                <w:color w:val="auto"/>
              </w:rPr>
            </w:pPr>
          </w:p>
        </w:tc>
        <w:tc>
          <w:tcPr>
            <w:tcW w:w="1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760" w:type="dxa"/>
            <w:vAlign w:val="bottom"/>
            <w:tcBorders>
              <w:bottom w:val="single" w:sz="8" w:color="CCEEFF"/>
            </w:tcBorders>
            <w:gridSpan w:val="2"/>
            <w:shd w:val="clear" w:color="auto" w:fill="CCEEFF"/>
          </w:tcPr>
          <w:p>
            <w:pPr>
              <w:ind w:left="320"/>
              <w:spacing w:after="0"/>
              <w:rPr>
                <w:sz w:val="20"/>
                <w:szCs w:val="20"/>
                <w:color w:val="auto"/>
              </w:rPr>
            </w:pPr>
            <w:r>
              <w:rPr>
                <w:rFonts w:ascii="Arial" w:cs="Arial" w:eastAsia="Arial" w:hAnsi="Arial"/>
                <w:sz w:val="18"/>
                <w:szCs w:val="18"/>
                <w:color w:val="auto"/>
              </w:rPr>
              <w:t>Exercised</w:t>
            </w:r>
          </w:p>
        </w:tc>
        <w:tc>
          <w:tcPr>
            <w:tcW w:w="8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(6,178)</w:t>
            </w:r>
          </w:p>
        </w:tc>
        <w:tc>
          <w:tcPr>
            <w:tcW w:w="620" w:type="dxa"/>
            <w:vAlign w:val="bottom"/>
            <w:tcBorders>
              <w:bottom w:val="single" w:sz="8" w:color="CCEEFF"/>
            </w:tcBorders>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9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12.67</w:t>
            </w:r>
          </w:p>
        </w:tc>
        <w:tc>
          <w:tcPr>
            <w:tcW w:w="0" w:type="dxa"/>
            <w:vAlign w:val="bottom"/>
          </w:tcPr>
          <w:p>
            <w:pPr>
              <w:spacing w:after="0"/>
              <w:rPr>
                <w:sz w:val="1"/>
                <w:szCs w:val="1"/>
                <w:color w:val="auto"/>
              </w:rPr>
            </w:pPr>
          </w:p>
        </w:tc>
      </w:tr>
      <w:tr>
        <w:trPr>
          <w:trHeight w:val="243"/>
        </w:trPr>
        <w:tc>
          <w:tcPr>
            <w:tcW w:w="7760" w:type="dxa"/>
            <w:vAlign w:val="bottom"/>
            <w:gridSpan w:val="2"/>
          </w:tcPr>
          <w:p>
            <w:pPr>
              <w:ind w:left="320"/>
              <w:spacing w:after="0"/>
              <w:rPr>
                <w:sz w:val="20"/>
                <w:szCs w:val="20"/>
                <w:color w:val="auto"/>
              </w:rPr>
            </w:pPr>
            <w:r>
              <w:rPr>
                <w:rFonts w:ascii="Arial" w:cs="Arial" w:eastAsia="Arial" w:hAnsi="Arial"/>
                <w:sz w:val="18"/>
                <w:szCs w:val="18"/>
                <w:color w:val="auto"/>
              </w:rPr>
              <w:t>Canceled/Forfeited</w:t>
            </w:r>
          </w:p>
        </w:tc>
        <w:tc>
          <w:tcPr>
            <w:tcW w:w="820" w:type="dxa"/>
            <w:vAlign w:val="bottom"/>
          </w:tcPr>
          <w:p>
            <w:pPr>
              <w:jc w:val="right"/>
              <w:ind w:right="30"/>
              <w:spacing w:after="0"/>
              <w:rPr>
                <w:sz w:val="20"/>
                <w:szCs w:val="20"/>
                <w:color w:val="auto"/>
              </w:rPr>
            </w:pPr>
            <w:r>
              <w:rPr>
                <w:rFonts w:ascii="Arial" w:cs="Arial" w:eastAsia="Arial" w:hAnsi="Arial"/>
                <w:sz w:val="18"/>
                <w:szCs w:val="18"/>
                <w:color w:val="auto"/>
              </w:rPr>
              <w:t>(37)</w:t>
            </w:r>
          </w:p>
        </w:tc>
        <w:tc>
          <w:tcPr>
            <w:tcW w:w="6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980" w:type="dxa"/>
            <w:vAlign w:val="bottom"/>
          </w:tcPr>
          <w:p>
            <w:pPr>
              <w:jc w:val="right"/>
              <w:ind w:right="74"/>
              <w:spacing w:after="0"/>
              <w:rPr>
                <w:sz w:val="20"/>
                <w:szCs w:val="20"/>
                <w:color w:val="auto"/>
              </w:rPr>
            </w:pPr>
            <w:r>
              <w:rPr>
                <w:rFonts w:ascii="Arial" w:cs="Arial" w:eastAsia="Arial" w:hAnsi="Arial"/>
                <w:sz w:val="18"/>
                <w:szCs w:val="18"/>
                <w:color w:val="auto"/>
              </w:rPr>
              <w:t>13.57</w:t>
            </w:r>
          </w:p>
        </w:tc>
        <w:tc>
          <w:tcPr>
            <w:tcW w:w="0" w:type="dxa"/>
            <w:vAlign w:val="bottom"/>
          </w:tcPr>
          <w:p>
            <w:pPr>
              <w:spacing w:after="0"/>
              <w:rPr>
                <w:sz w:val="1"/>
                <w:szCs w:val="1"/>
                <w:color w:val="auto"/>
              </w:rPr>
            </w:pPr>
          </w:p>
        </w:tc>
      </w:tr>
      <w:tr>
        <w:trPr>
          <w:trHeight w:val="27"/>
        </w:trPr>
        <w:tc>
          <w:tcPr>
            <w:tcW w:w="6100" w:type="dxa"/>
            <w:vAlign w:val="bottom"/>
            <w:tcBorders>
              <w:bottom w:val="single" w:sz="8" w:color="CCEEFF"/>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520" w:type="dxa"/>
            <w:vAlign w:val="bottom"/>
            <w:tcBorders>
              <w:bottom w:val="single" w:sz="8" w:color="CCEEFF"/>
            </w:tcBorders>
          </w:tcPr>
          <w:p>
            <w:pPr>
              <w:spacing w:after="0"/>
              <w:rPr>
                <w:sz w:val="2"/>
                <w:szCs w:val="2"/>
                <w:color w:val="auto"/>
              </w:rPr>
            </w:pPr>
          </w:p>
        </w:tc>
        <w:tc>
          <w:tcPr>
            <w:tcW w:w="198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63"/>
        </w:trPr>
        <w:tc>
          <w:tcPr>
            <w:tcW w:w="61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February 1, 2020</w:t>
            </w:r>
          </w:p>
        </w:tc>
        <w:tc>
          <w:tcPr>
            <w:tcW w:w="1660" w:type="dxa"/>
            <w:vAlign w:val="bottom"/>
            <w:tcBorders>
              <w:bottom w:val="single" w:sz="8" w:color="CCEEFF"/>
            </w:tcBorders>
            <w:shd w:val="clear" w:color="auto" w:fill="CCEEFF"/>
          </w:tcPr>
          <w:p>
            <w:pPr>
              <w:spacing w:after="0"/>
              <w:rPr>
                <w:sz w:val="22"/>
                <w:szCs w:val="22"/>
                <w:color w:val="auto"/>
              </w:rPr>
            </w:pPr>
          </w:p>
        </w:tc>
        <w:tc>
          <w:tcPr>
            <w:tcW w:w="82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4,217</w:t>
            </w:r>
          </w:p>
        </w:tc>
        <w:tc>
          <w:tcPr>
            <w:tcW w:w="620" w:type="dxa"/>
            <w:vAlign w:val="bottom"/>
            <w:tcBorders>
              <w:bottom w:val="single" w:sz="8" w:color="CCEEFF"/>
            </w:tcBorders>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9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12.44</w:t>
            </w:r>
          </w:p>
        </w:tc>
        <w:tc>
          <w:tcPr>
            <w:tcW w:w="0" w:type="dxa"/>
            <w:vAlign w:val="bottom"/>
          </w:tcPr>
          <w:p>
            <w:pPr>
              <w:spacing w:after="0"/>
              <w:rPr>
                <w:sz w:val="1"/>
                <w:szCs w:val="1"/>
                <w:color w:val="auto"/>
              </w:rPr>
            </w:pPr>
          </w:p>
        </w:tc>
      </w:tr>
      <w:tr>
        <w:trPr>
          <w:trHeight w:val="237"/>
        </w:trPr>
        <w:tc>
          <w:tcPr>
            <w:tcW w:w="6100" w:type="dxa"/>
            <w:vAlign w:val="bottom"/>
          </w:tcPr>
          <w:p>
            <w:pPr>
              <w:spacing w:after="0"/>
              <w:rPr>
                <w:sz w:val="20"/>
                <w:szCs w:val="20"/>
                <w:color w:val="auto"/>
              </w:rPr>
            </w:pPr>
            <w:r>
              <w:rPr>
                <w:rFonts w:ascii="Arial" w:cs="Arial" w:eastAsia="Arial" w:hAnsi="Arial"/>
                <w:sz w:val="18"/>
                <w:szCs w:val="18"/>
                <w:color w:val="auto"/>
              </w:rPr>
              <w:t>Vested or expected to vest at February 1, 2020</w:t>
            </w:r>
          </w:p>
        </w:tc>
        <w:tc>
          <w:tcPr>
            <w:tcW w:w="1660" w:type="dxa"/>
            <w:vAlign w:val="bottom"/>
            <w:tcBorders>
              <w:top w:val="single" w:sz="8" w:color="auto"/>
            </w:tcBorders>
          </w:tcPr>
          <w:p>
            <w:pPr>
              <w:spacing w:after="0"/>
              <w:rPr>
                <w:sz w:val="20"/>
                <w:szCs w:val="20"/>
                <w:color w:val="auto"/>
              </w:rPr>
            </w:pPr>
          </w:p>
        </w:tc>
        <w:tc>
          <w:tcPr>
            <w:tcW w:w="82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4,217</w:t>
            </w:r>
          </w:p>
        </w:tc>
        <w:tc>
          <w:tcPr>
            <w:tcW w:w="1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9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6100" w:type="dxa"/>
            <w:vAlign w:val="bottom"/>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520" w:type="dxa"/>
            <w:vAlign w:val="bottom"/>
          </w:tcPr>
          <w:p>
            <w:pPr>
              <w:spacing w:after="0"/>
              <w:rPr>
                <w:sz w:val="2"/>
                <w:szCs w:val="2"/>
                <w:color w:val="auto"/>
              </w:rPr>
            </w:pPr>
          </w:p>
        </w:tc>
        <w:tc>
          <w:tcPr>
            <w:tcW w:w="19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6100" w:type="dxa"/>
            <w:vAlign w:val="bottom"/>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See “Note 3 - Business Combinations” for more information.</w:t>
      </w:r>
    </w:p>
    <w:p>
      <w:pPr>
        <w:spacing w:after="0" w:line="117" w:lineRule="exact"/>
        <w:rPr>
          <w:sz w:val="20"/>
          <w:szCs w:val="20"/>
          <w:color w:val="auto"/>
        </w:rPr>
      </w:pPr>
    </w:p>
    <w:p>
      <w:pPr>
        <w:ind w:right="280" w:firstLine="405"/>
        <w:spacing w:after="0" w:line="301" w:lineRule="auto"/>
        <w:rPr>
          <w:sz w:val="20"/>
          <w:szCs w:val="20"/>
          <w:color w:val="auto"/>
        </w:rPr>
      </w:pPr>
      <w:r>
        <w:rPr>
          <w:rFonts w:ascii="Arial" w:cs="Arial" w:eastAsia="Arial" w:hAnsi="Arial"/>
          <w:sz w:val="16"/>
          <w:szCs w:val="16"/>
          <w:color w:val="auto"/>
        </w:rPr>
        <w:t>For stock options vested and expected to vest at February 1, 2020, the aggregate intrinsic value was $48.9 million. For stock options exercisable at February 1, 2020, the aggregate intrinsic value was $47.5 million. The aggregate intrinsic value of stock options exercised during fiscal 2020, 2019 and 2018 was $70.5 million, $40.6 million and $57.0 million, respectively. The Company’s closing stock price of $24.04 as reported on the Nasdaq Global Select Market as of February 1, 2020 was used to calculate the aggregate intrinsic value for all in-the-money options.</w:t>
      </w:r>
    </w:p>
    <w:p>
      <w:pPr>
        <w:spacing w:after="0" w:line="2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89" w:name="page90"/>
    <w:bookmarkEnd w:id="8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Outstanding options and exercisable options information by range of exercise prices as of February 1, 2020 was as follows:</w:t>
      </w:r>
    </w:p>
    <w:p>
      <w:pPr>
        <w:spacing w:after="0" w:line="5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50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Outstanding Options</w:t>
            </w:r>
          </w:p>
        </w:tc>
        <w:tc>
          <w:tcPr>
            <w:tcW w:w="26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3120" w:type="dxa"/>
            <w:vAlign w:val="bottom"/>
            <w:tcBorders>
              <w:bottom w:val="single" w:sz="8" w:color="auto"/>
            </w:tcBorders>
            <w:gridSpan w:val="3"/>
          </w:tcPr>
          <w:p>
            <w:pPr>
              <w:jc w:val="right"/>
              <w:ind w:right="856"/>
              <w:spacing w:after="0"/>
              <w:rPr>
                <w:sz w:val="20"/>
                <w:szCs w:val="20"/>
                <w:color w:val="auto"/>
              </w:rPr>
            </w:pPr>
            <w:r>
              <w:rPr>
                <w:rFonts w:ascii="Arial" w:cs="Arial" w:eastAsia="Arial" w:hAnsi="Arial"/>
                <w:sz w:val="14"/>
                <w:szCs w:val="14"/>
                <w:b w:val="1"/>
                <w:bCs w:val="1"/>
                <w:color w:val="auto"/>
              </w:rPr>
              <w:t>Exercisable Options</w:t>
            </w:r>
          </w:p>
        </w:tc>
        <w:tc>
          <w:tcPr>
            <w:tcW w:w="0" w:type="dxa"/>
            <w:vAlign w:val="bottom"/>
          </w:tcPr>
          <w:p>
            <w:pPr>
              <w:spacing w:after="0"/>
              <w:rPr>
                <w:sz w:val="1"/>
                <w:szCs w:val="1"/>
                <w:color w:val="auto"/>
              </w:rPr>
            </w:pPr>
          </w:p>
        </w:tc>
      </w:tr>
      <w:tr>
        <w:trPr>
          <w:trHeight w:val="152"/>
        </w:trPr>
        <w:tc>
          <w:tcPr>
            <w:tcW w:w="72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1500" w:type="dxa"/>
            <w:vAlign w:val="bottom"/>
          </w:tcPr>
          <w:p>
            <w:pPr>
              <w:spacing w:after="0"/>
              <w:rPr>
                <w:sz w:val="13"/>
                <w:szCs w:val="13"/>
                <w:color w:val="auto"/>
              </w:rPr>
            </w:pPr>
          </w:p>
        </w:tc>
        <w:tc>
          <w:tcPr>
            <w:tcW w:w="168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1"/>
              </w:rPr>
              <w:t>Weighted-</w:t>
            </w:r>
          </w:p>
        </w:tc>
        <w:tc>
          <w:tcPr>
            <w:tcW w:w="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5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7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5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Number of</w:t>
            </w:r>
          </w:p>
        </w:tc>
        <w:tc>
          <w:tcPr>
            <w:tcW w:w="1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Average</w:t>
            </w:r>
          </w:p>
        </w:tc>
        <w:tc>
          <w:tcPr>
            <w:tcW w:w="260" w:type="dxa"/>
            <w:vAlign w:val="bottom"/>
          </w:tcPr>
          <w:p>
            <w:pPr>
              <w:spacing w:after="0"/>
              <w:rPr>
                <w:sz w:val="12"/>
                <w:szCs w:val="12"/>
                <w:color w:val="auto"/>
              </w:rPr>
            </w:pPr>
          </w:p>
        </w:tc>
        <w:tc>
          <w:tcPr>
            <w:tcW w:w="1420" w:type="dxa"/>
            <w:vAlign w:val="bottom"/>
            <w:gridSpan w:val="2"/>
            <w:vMerge w:val="restart"/>
          </w:tcPr>
          <w:p>
            <w:pPr>
              <w:jc w:val="center"/>
              <w:ind w:right="320"/>
              <w:spacing w:after="0"/>
              <w:rPr>
                <w:sz w:val="20"/>
                <w:szCs w:val="20"/>
                <w:color w:val="auto"/>
              </w:rPr>
            </w:pPr>
            <w:r>
              <w:rPr>
                <w:rFonts w:ascii="Arial" w:cs="Arial" w:eastAsia="Arial" w:hAnsi="Arial"/>
                <w:sz w:val="14"/>
                <w:szCs w:val="14"/>
                <w:b w:val="1"/>
                <w:bCs w:val="1"/>
                <w:color w:val="auto"/>
                <w:w w:val="91"/>
              </w:rPr>
              <w:t>Weighted-</w:t>
            </w:r>
          </w:p>
        </w:tc>
        <w:tc>
          <w:tcPr>
            <w:tcW w:w="15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7"/>
              </w:rPr>
              <w:t>Number of</w:t>
            </w:r>
          </w:p>
        </w:tc>
        <w:tc>
          <w:tcPr>
            <w:tcW w:w="320" w:type="dxa"/>
            <w:vAlign w:val="bottom"/>
          </w:tcPr>
          <w:p>
            <w:pPr>
              <w:spacing w:after="0"/>
              <w:rPr>
                <w:sz w:val="12"/>
                <w:szCs w:val="12"/>
                <w:color w:val="auto"/>
              </w:rPr>
            </w:pPr>
          </w:p>
        </w:tc>
        <w:tc>
          <w:tcPr>
            <w:tcW w:w="1300" w:type="dxa"/>
            <w:vAlign w:val="bottom"/>
            <w:vMerge w:val="restart"/>
          </w:tcPr>
          <w:p>
            <w:pPr>
              <w:jc w:val="center"/>
              <w:ind w:right="136"/>
              <w:spacing w:after="0"/>
              <w:rPr>
                <w:sz w:val="20"/>
                <w:szCs w:val="20"/>
                <w:color w:val="auto"/>
              </w:rPr>
            </w:pPr>
            <w:r>
              <w:rPr>
                <w:rFonts w:ascii="Arial" w:cs="Arial" w:eastAsia="Arial" w:hAnsi="Arial"/>
                <w:sz w:val="14"/>
                <w:szCs w:val="14"/>
                <w:b w:val="1"/>
                <w:bCs w:val="1"/>
                <w:color w:val="auto"/>
                <w:w w:val="94"/>
              </w:rPr>
              <w:t>Weighted-</w:t>
            </w:r>
          </w:p>
        </w:tc>
        <w:tc>
          <w:tcPr>
            <w:tcW w:w="0" w:type="dxa"/>
            <w:vAlign w:val="bottom"/>
          </w:tcPr>
          <w:p>
            <w:pPr>
              <w:spacing w:after="0"/>
              <w:rPr>
                <w:sz w:val="1"/>
                <w:szCs w:val="1"/>
                <w:color w:val="auto"/>
              </w:rPr>
            </w:pPr>
          </w:p>
        </w:tc>
      </w:tr>
      <w:tr>
        <w:trPr>
          <w:trHeight w:val="148"/>
        </w:trPr>
        <w:tc>
          <w:tcPr>
            <w:tcW w:w="720" w:type="dxa"/>
            <w:vAlign w:val="bottom"/>
          </w:tcPr>
          <w:p>
            <w:pPr>
              <w:spacing w:after="0"/>
              <w:rPr>
                <w:sz w:val="12"/>
                <w:szCs w:val="12"/>
                <w:color w:val="auto"/>
              </w:rPr>
            </w:pPr>
          </w:p>
        </w:tc>
        <w:tc>
          <w:tcPr>
            <w:tcW w:w="1520" w:type="dxa"/>
            <w:vAlign w:val="bottom"/>
            <w:gridSpan w:val="2"/>
            <w:vMerge w:val="restart"/>
          </w:tcPr>
          <w:p>
            <w:pPr>
              <w:jc w:val="right"/>
              <w:ind w:right="350"/>
              <w:spacing w:after="0"/>
              <w:rPr>
                <w:sz w:val="20"/>
                <w:szCs w:val="20"/>
                <w:color w:val="auto"/>
              </w:rPr>
            </w:pPr>
            <w:r>
              <w:rPr>
                <w:rFonts w:ascii="Arial" w:cs="Arial" w:eastAsia="Arial" w:hAnsi="Arial"/>
                <w:sz w:val="14"/>
                <w:szCs w:val="14"/>
                <w:b w:val="1"/>
                <w:bCs w:val="1"/>
                <w:color w:val="auto"/>
              </w:rPr>
              <w:t>Range of</w:t>
            </w:r>
          </w:p>
        </w:tc>
        <w:tc>
          <w:tcPr>
            <w:tcW w:w="920" w:type="dxa"/>
            <w:vAlign w:val="bottom"/>
          </w:tcPr>
          <w:p>
            <w:pPr>
              <w:spacing w:after="0"/>
              <w:rPr>
                <w:sz w:val="12"/>
                <w:szCs w:val="12"/>
                <w:color w:val="auto"/>
              </w:rPr>
            </w:pPr>
          </w:p>
        </w:tc>
        <w:tc>
          <w:tcPr>
            <w:tcW w:w="1500" w:type="dxa"/>
            <w:vAlign w:val="bottom"/>
            <w:vMerge w:val="continue"/>
          </w:tcPr>
          <w:p>
            <w:pPr>
              <w:spacing w:after="0"/>
              <w:rPr>
                <w:sz w:val="12"/>
                <w:szCs w:val="12"/>
                <w:color w:val="auto"/>
              </w:rPr>
            </w:pPr>
          </w:p>
        </w:tc>
        <w:tc>
          <w:tcPr>
            <w:tcW w:w="1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Remaining</w:t>
            </w:r>
          </w:p>
        </w:tc>
        <w:tc>
          <w:tcPr>
            <w:tcW w:w="260" w:type="dxa"/>
            <w:vAlign w:val="bottom"/>
          </w:tcPr>
          <w:p>
            <w:pPr>
              <w:spacing w:after="0"/>
              <w:rPr>
                <w:sz w:val="12"/>
                <w:szCs w:val="12"/>
                <w:color w:val="auto"/>
              </w:rPr>
            </w:pPr>
          </w:p>
        </w:tc>
        <w:tc>
          <w:tcPr>
            <w:tcW w:w="1420" w:type="dxa"/>
            <w:vAlign w:val="bottom"/>
            <w:gridSpan w:val="2"/>
            <w:vMerge w:val="continue"/>
          </w:tcPr>
          <w:p>
            <w:pPr>
              <w:spacing w:after="0"/>
              <w:rPr>
                <w:sz w:val="12"/>
                <w:szCs w:val="12"/>
                <w:color w:val="auto"/>
              </w:rPr>
            </w:pPr>
          </w:p>
        </w:tc>
        <w:tc>
          <w:tcPr>
            <w:tcW w:w="1500" w:type="dxa"/>
            <w:vAlign w:val="bottom"/>
            <w:vMerge w:val="continue"/>
          </w:tcPr>
          <w:p>
            <w:pPr>
              <w:spacing w:after="0"/>
              <w:rPr>
                <w:sz w:val="12"/>
                <w:szCs w:val="12"/>
                <w:color w:val="auto"/>
              </w:rPr>
            </w:pPr>
          </w:p>
        </w:tc>
        <w:tc>
          <w:tcPr>
            <w:tcW w:w="320" w:type="dxa"/>
            <w:vAlign w:val="bottom"/>
          </w:tcPr>
          <w:p>
            <w:pPr>
              <w:spacing w:after="0"/>
              <w:rPr>
                <w:sz w:val="12"/>
                <w:szCs w:val="12"/>
                <w:color w:val="auto"/>
              </w:rPr>
            </w:pPr>
          </w:p>
        </w:tc>
        <w:tc>
          <w:tcPr>
            <w:tcW w:w="130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720" w:type="dxa"/>
            <w:vAlign w:val="bottom"/>
          </w:tcPr>
          <w:p>
            <w:pPr>
              <w:spacing w:after="0"/>
              <w:rPr>
                <w:sz w:val="12"/>
                <w:szCs w:val="12"/>
                <w:color w:val="auto"/>
              </w:rPr>
            </w:pPr>
          </w:p>
        </w:tc>
        <w:tc>
          <w:tcPr>
            <w:tcW w:w="1520" w:type="dxa"/>
            <w:vAlign w:val="bottom"/>
            <w:gridSpan w:val="2"/>
            <w:vMerge w:val="continue"/>
          </w:tcPr>
          <w:p>
            <w:pPr>
              <w:spacing w:after="0"/>
              <w:rPr>
                <w:sz w:val="12"/>
                <w:szCs w:val="12"/>
                <w:color w:val="auto"/>
              </w:rPr>
            </w:pPr>
          </w:p>
        </w:tc>
        <w:tc>
          <w:tcPr>
            <w:tcW w:w="920" w:type="dxa"/>
            <w:vAlign w:val="bottom"/>
          </w:tcPr>
          <w:p>
            <w:pPr>
              <w:spacing w:after="0"/>
              <w:rPr>
                <w:sz w:val="12"/>
                <w:szCs w:val="12"/>
                <w:color w:val="auto"/>
              </w:rPr>
            </w:pPr>
          </w:p>
        </w:tc>
        <w:tc>
          <w:tcPr>
            <w:tcW w:w="15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Shares</w:t>
            </w:r>
          </w:p>
        </w:tc>
        <w:tc>
          <w:tcPr>
            <w:tcW w:w="1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Contractual Term</w:t>
            </w:r>
          </w:p>
        </w:tc>
        <w:tc>
          <w:tcPr>
            <w:tcW w:w="260" w:type="dxa"/>
            <w:vAlign w:val="bottom"/>
          </w:tcPr>
          <w:p>
            <w:pPr>
              <w:spacing w:after="0"/>
              <w:rPr>
                <w:sz w:val="12"/>
                <w:szCs w:val="12"/>
                <w:color w:val="auto"/>
              </w:rPr>
            </w:pPr>
          </w:p>
        </w:tc>
        <w:tc>
          <w:tcPr>
            <w:tcW w:w="14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0"/>
              </w:rPr>
              <w:t>Average</w:t>
            </w:r>
          </w:p>
        </w:tc>
        <w:tc>
          <w:tcPr>
            <w:tcW w:w="15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Shares</w:t>
            </w:r>
          </w:p>
        </w:tc>
        <w:tc>
          <w:tcPr>
            <w:tcW w:w="320" w:type="dxa"/>
            <w:vAlign w:val="bottom"/>
          </w:tcPr>
          <w:p>
            <w:pPr>
              <w:spacing w:after="0"/>
              <w:rPr>
                <w:sz w:val="12"/>
                <w:szCs w:val="12"/>
                <w:color w:val="auto"/>
              </w:rPr>
            </w:pPr>
          </w:p>
        </w:tc>
        <w:tc>
          <w:tcPr>
            <w:tcW w:w="1300" w:type="dxa"/>
            <w:vAlign w:val="bottom"/>
          </w:tcPr>
          <w:p>
            <w:pPr>
              <w:jc w:val="center"/>
              <w:ind w:right="116"/>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92"/>
        </w:trPr>
        <w:tc>
          <w:tcPr>
            <w:tcW w:w="720" w:type="dxa"/>
            <w:vAlign w:val="bottom"/>
            <w:tcBorders>
              <w:bottom w:val="single" w:sz="8" w:color="auto"/>
            </w:tcBorders>
          </w:tcPr>
          <w:p>
            <w:pPr>
              <w:spacing w:after="0"/>
              <w:rPr>
                <w:sz w:val="16"/>
                <w:szCs w:val="16"/>
                <w:color w:val="auto"/>
              </w:rPr>
            </w:pPr>
          </w:p>
        </w:tc>
        <w:tc>
          <w:tcPr>
            <w:tcW w:w="1520" w:type="dxa"/>
            <w:vAlign w:val="bottom"/>
            <w:tcBorders>
              <w:bottom w:val="single" w:sz="8" w:color="auto"/>
            </w:tcBorders>
            <w:gridSpan w:val="2"/>
          </w:tcPr>
          <w:p>
            <w:pPr>
              <w:jc w:val="right"/>
              <w:ind w:right="150"/>
              <w:spacing w:after="0"/>
              <w:rPr>
                <w:sz w:val="20"/>
                <w:szCs w:val="20"/>
                <w:color w:val="auto"/>
              </w:rPr>
            </w:pPr>
            <w:r>
              <w:rPr>
                <w:rFonts w:ascii="Arial" w:cs="Arial" w:eastAsia="Arial" w:hAnsi="Arial"/>
                <w:sz w:val="14"/>
                <w:szCs w:val="14"/>
                <w:b w:val="1"/>
                <w:bCs w:val="1"/>
                <w:color w:val="auto"/>
              </w:rPr>
              <w:t>Exercise Prices</w:t>
            </w:r>
          </w:p>
        </w:tc>
        <w:tc>
          <w:tcPr>
            <w:tcW w:w="920" w:type="dxa"/>
            <w:vAlign w:val="bottom"/>
            <w:tcBorders>
              <w:bottom w:val="single" w:sz="8" w:color="auto"/>
            </w:tcBorders>
          </w:tcPr>
          <w:p>
            <w:pPr>
              <w:spacing w:after="0"/>
              <w:rPr>
                <w:sz w:val="16"/>
                <w:szCs w:val="16"/>
                <w:color w:val="auto"/>
              </w:rPr>
            </w:pPr>
          </w:p>
        </w:tc>
        <w:tc>
          <w:tcPr>
            <w:tcW w:w="15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(in thousands)</w:t>
            </w:r>
          </w:p>
        </w:tc>
        <w:tc>
          <w:tcPr>
            <w:tcW w:w="1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(in years)</w:t>
            </w:r>
          </w:p>
        </w:tc>
        <w:tc>
          <w:tcPr>
            <w:tcW w:w="260" w:type="dxa"/>
            <w:vAlign w:val="bottom"/>
            <w:tcBorders>
              <w:bottom w:val="single" w:sz="8" w:color="auto"/>
            </w:tcBorders>
          </w:tcPr>
          <w:p>
            <w:pPr>
              <w:spacing w:after="0"/>
              <w:rPr>
                <w:sz w:val="16"/>
                <w:szCs w:val="16"/>
                <w:color w:val="auto"/>
              </w:rPr>
            </w:pPr>
          </w:p>
        </w:tc>
        <w:tc>
          <w:tcPr>
            <w:tcW w:w="1420" w:type="dxa"/>
            <w:vAlign w:val="bottom"/>
            <w:tcBorders>
              <w:bottom w:val="single" w:sz="8" w:color="auto"/>
            </w:tcBorders>
            <w:gridSpan w:val="2"/>
          </w:tcPr>
          <w:p>
            <w:pPr>
              <w:jc w:val="center"/>
              <w:ind w:right="320"/>
              <w:spacing w:after="0"/>
              <w:rPr>
                <w:sz w:val="20"/>
                <w:szCs w:val="20"/>
                <w:color w:val="auto"/>
              </w:rPr>
            </w:pPr>
            <w:r>
              <w:rPr>
                <w:rFonts w:ascii="Arial" w:cs="Arial" w:eastAsia="Arial" w:hAnsi="Arial"/>
                <w:sz w:val="14"/>
                <w:szCs w:val="14"/>
                <w:b w:val="1"/>
                <w:bCs w:val="1"/>
                <w:color w:val="auto"/>
                <w:w w:val="89"/>
              </w:rPr>
              <w:t>Exercise Price</w:t>
            </w:r>
          </w:p>
        </w:tc>
        <w:tc>
          <w:tcPr>
            <w:tcW w:w="15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(in thousands)</w:t>
            </w:r>
          </w:p>
        </w:tc>
        <w:tc>
          <w:tcPr>
            <w:tcW w:w="32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center"/>
              <w:ind w:right="136"/>
              <w:spacing w:after="0"/>
              <w:rPr>
                <w:sz w:val="20"/>
                <w:szCs w:val="20"/>
                <w:color w:val="auto"/>
              </w:rPr>
            </w:pPr>
            <w:r>
              <w:rPr>
                <w:rFonts w:ascii="Arial" w:cs="Arial" w:eastAsia="Arial" w:hAnsi="Arial"/>
                <w:sz w:val="14"/>
                <w:szCs w:val="14"/>
                <w:b w:val="1"/>
                <w:bCs w:val="1"/>
                <w:color w:val="auto"/>
                <w:w w:val="91"/>
              </w:rPr>
              <w:t>Exercise Price</w:t>
            </w:r>
          </w:p>
        </w:tc>
        <w:tc>
          <w:tcPr>
            <w:tcW w:w="0" w:type="dxa"/>
            <w:vAlign w:val="bottom"/>
          </w:tcPr>
          <w:p>
            <w:pPr>
              <w:spacing w:after="0"/>
              <w:rPr>
                <w:sz w:val="1"/>
                <w:szCs w:val="1"/>
                <w:color w:val="auto"/>
              </w:rPr>
            </w:pPr>
          </w:p>
        </w:tc>
      </w:tr>
      <w:tr>
        <w:trPr>
          <w:trHeight w:val="249"/>
        </w:trPr>
        <w:tc>
          <w:tcPr>
            <w:tcW w:w="7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60" w:type="dxa"/>
            <w:vAlign w:val="bottom"/>
            <w:tcBorders>
              <w:bottom w:val="single" w:sz="8" w:color="CCEEFF"/>
            </w:tcBorders>
            <w:shd w:val="clear" w:color="auto" w:fill="CCEEFF"/>
          </w:tcPr>
          <w:p>
            <w:pPr>
              <w:jc w:val="right"/>
              <w:ind w:right="55"/>
              <w:spacing w:after="0"/>
              <w:rPr>
                <w:sz w:val="20"/>
                <w:szCs w:val="20"/>
                <w:color w:val="auto"/>
              </w:rPr>
            </w:pPr>
            <w:r>
              <w:rPr>
                <w:rFonts w:ascii="Arial" w:cs="Arial" w:eastAsia="Arial" w:hAnsi="Arial"/>
                <w:sz w:val="18"/>
                <w:szCs w:val="18"/>
                <w:color w:val="auto"/>
              </w:rPr>
              <w:t>3.89</w:t>
            </w:r>
          </w:p>
        </w:tc>
        <w:tc>
          <w:tcPr>
            <w:tcW w:w="660" w:type="dxa"/>
            <w:vAlign w:val="bottom"/>
            <w:tcBorders>
              <w:bottom w:val="single" w:sz="8" w:color="CCEEFF"/>
            </w:tcBorders>
            <w:shd w:val="clear" w:color="auto" w:fill="CCEEFF"/>
          </w:tcPr>
          <w:p>
            <w:pPr>
              <w:jc w:val="right"/>
              <w:ind w:right="350"/>
              <w:spacing w:after="0"/>
              <w:rPr>
                <w:sz w:val="20"/>
                <w:szCs w:val="20"/>
                <w:color w:val="auto"/>
              </w:rPr>
            </w:pPr>
            <w:r>
              <w:rPr>
                <w:rFonts w:ascii="Arial" w:cs="Arial" w:eastAsia="Arial" w:hAnsi="Arial"/>
                <w:sz w:val="18"/>
                <w:szCs w:val="18"/>
                <w:color w:val="auto"/>
              </w:rPr>
              <w:t>$</w:t>
            </w:r>
          </w:p>
        </w:tc>
        <w:tc>
          <w:tcPr>
            <w:tcW w:w="92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rPr>
              <w:t>10.31</w:t>
            </w:r>
          </w:p>
        </w:tc>
        <w:tc>
          <w:tcPr>
            <w:tcW w:w="150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678</w:t>
            </w:r>
          </w:p>
        </w:tc>
        <w:tc>
          <w:tcPr>
            <w:tcW w:w="1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5.26</w:t>
            </w:r>
          </w:p>
        </w:tc>
        <w:tc>
          <w:tcPr>
            <w:tcW w:w="2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8.06</w:t>
            </w:r>
          </w:p>
        </w:tc>
        <w:tc>
          <w:tcPr>
            <w:tcW w:w="12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654</w:t>
            </w:r>
          </w:p>
        </w:tc>
        <w:tc>
          <w:tcPr>
            <w:tcW w:w="3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8.03</w:t>
            </w:r>
          </w:p>
        </w:tc>
        <w:tc>
          <w:tcPr>
            <w:tcW w:w="0" w:type="dxa"/>
            <w:vAlign w:val="bottom"/>
          </w:tcPr>
          <w:p>
            <w:pPr>
              <w:spacing w:after="0"/>
              <w:rPr>
                <w:sz w:val="1"/>
                <w:szCs w:val="1"/>
                <w:color w:val="auto"/>
              </w:rPr>
            </w:pPr>
          </w:p>
        </w:tc>
      </w:tr>
      <w:tr>
        <w:trPr>
          <w:trHeight w:val="243"/>
        </w:trPr>
        <w:tc>
          <w:tcPr>
            <w:tcW w:w="720" w:type="dxa"/>
            <w:vAlign w:val="bottom"/>
          </w:tcPr>
          <w:p>
            <w:pPr>
              <w:ind w:left="20"/>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55"/>
              <w:spacing w:after="0"/>
              <w:rPr>
                <w:sz w:val="20"/>
                <w:szCs w:val="20"/>
                <w:color w:val="auto"/>
              </w:rPr>
            </w:pPr>
            <w:r>
              <w:rPr>
                <w:rFonts w:ascii="Arial" w:cs="Arial" w:eastAsia="Arial" w:hAnsi="Arial"/>
                <w:sz w:val="18"/>
                <w:szCs w:val="18"/>
                <w:color w:val="auto"/>
              </w:rPr>
              <w:t>10.76</w:t>
            </w:r>
          </w:p>
        </w:tc>
        <w:tc>
          <w:tcPr>
            <w:tcW w:w="660" w:type="dxa"/>
            <w:vAlign w:val="bottom"/>
          </w:tcPr>
          <w:p>
            <w:pPr>
              <w:jc w:val="right"/>
              <w:ind w:right="350"/>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70"/>
              <w:spacing w:after="0"/>
              <w:rPr>
                <w:sz w:val="20"/>
                <w:szCs w:val="20"/>
                <w:color w:val="auto"/>
              </w:rPr>
            </w:pPr>
            <w:r>
              <w:rPr>
                <w:rFonts w:ascii="Arial" w:cs="Arial" w:eastAsia="Arial" w:hAnsi="Arial"/>
                <w:sz w:val="18"/>
                <w:szCs w:val="18"/>
                <w:color w:val="auto"/>
              </w:rPr>
              <w:t>10.76</w:t>
            </w:r>
          </w:p>
        </w:tc>
        <w:tc>
          <w:tcPr>
            <w:tcW w:w="1500" w:type="dxa"/>
            <w:vAlign w:val="bottom"/>
          </w:tcPr>
          <w:p>
            <w:pPr>
              <w:jc w:val="right"/>
              <w:ind w:right="56"/>
              <w:spacing w:after="0"/>
              <w:rPr>
                <w:sz w:val="20"/>
                <w:szCs w:val="20"/>
                <w:color w:val="auto"/>
              </w:rPr>
            </w:pPr>
            <w:r>
              <w:rPr>
                <w:rFonts w:ascii="Arial" w:cs="Arial" w:eastAsia="Arial" w:hAnsi="Arial"/>
                <w:sz w:val="18"/>
                <w:szCs w:val="18"/>
                <w:color w:val="auto"/>
              </w:rPr>
              <w:t>1,272</w:t>
            </w:r>
          </w:p>
        </w:tc>
        <w:tc>
          <w:tcPr>
            <w:tcW w:w="1680" w:type="dxa"/>
            <w:vAlign w:val="bottom"/>
          </w:tcPr>
          <w:p>
            <w:pPr>
              <w:jc w:val="right"/>
              <w:spacing w:after="0"/>
              <w:rPr>
                <w:sz w:val="20"/>
                <w:szCs w:val="20"/>
                <w:color w:val="auto"/>
              </w:rPr>
            </w:pPr>
            <w:r>
              <w:rPr>
                <w:rFonts w:ascii="Arial" w:cs="Arial" w:eastAsia="Arial" w:hAnsi="Arial"/>
                <w:sz w:val="18"/>
                <w:szCs w:val="18"/>
                <w:color w:val="auto"/>
              </w:rPr>
              <w:t>3.23</w:t>
            </w:r>
          </w:p>
        </w:tc>
        <w:tc>
          <w:tcPr>
            <w:tcW w:w="2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Pr>
          <w:p>
            <w:pPr>
              <w:jc w:val="right"/>
              <w:ind w:right="56"/>
              <w:spacing w:after="0"/>
              <w:rPr>
                <w:sz w:val="20"/>
                <w:szCs w:val="20"/>
                <w:color w:val="auto"/>
              </w:rPr>
            </w:pPr>
            <w:r>
              <w:rPr>
                <w:rFonts w:ascii="Arial" w:cs="Arial" w:eastAsia="Arial" w:hAnsi="Arial"/>
                <w:sz w:val="18"/>
                <w:szCs w:val="18"/>
                <w:color w:val="auto"/>
              </w:rPr>
              <w:t>10.76</w:t>
            </w:r>
          </w:p>
        </w:tc>
        <w:tc>
          <w:tcPr>
            <w:tcW w:w="120" w:type="dxa"/>
            <w:vAlign w:val="bottom"/>
          </w:tcPr>
          <w:p>
            <w:pPr>
              <w:spacing w:after="0"/>
              <w:rPr>
                <w:sz w:val="21"/>
                <w:szCs w:val="21"/>
                <w:color w:val="auto"/>
              </w:rPr>
            </w:pPr>
          </w:p>
        </w:tc>
        <w:tc>
          <w:tcPr>
            <w:tcW w:w="1500" w:type="dxa"/>
            <w:vAlign w:val="bottom"/>
          </w:tcPr>
          <w:p>
            <w:pPr>
              <w:jc w:val="right"/>
              <w:ind w:right="77"/>
              <w:spacing w:after="0"/>
              <w:rPr>
                <w:sz w:val="20"/>
                <w:szCs w:val="20"/>
                <w:color w:val="auto"/>
              </w:rPr>
            </w:pPr>
            <w:r>
              <w:rPr>
                <w:rFonts w:ascii="Arial" w:cs="Arial" w:eastAsia="Arial" w:hAnsi="Arial"/>
                <w:sz w:val="18"/>
                <w:szCs w:val="18"/>
                <w:color w:val="auto"/>
              </w:rPr>
              <w:t>1,272</w:t>
            </w:r>
          </w:p>
        </w:tc>
        <w:tc>
          <w:tcPr>
            <w:tcW w:w="3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300" w:type="dxa"/>
            <w:vAlign w:val="bottom"/>
          </w:tcPr>
          <w:p>
            <w:pPr>
              <w:jc w:val="right"/>
              <w:ind w:right="56"/>
              <w:spacing w:after="0"/>
              <w:rPr>
                <w:sz w:val="20"/>
                <w:szCs w:val="20"/>
                <w:color w:val="auto"/>
              </w:rPr>
            </w:pPr>
            <w:r>
              <w:rPr>
                <w:rFonts w:ascii="Arial" w:cs="Arial" w:eastAsia="Arial" w:hAnsi="Arial"/>
                <w:sz w:val="18"/>
                <w:szCs w:val="18"/>
                <w:color w:val="auto"/>
              </w:rPr>
              <w:t>10.76</w:t>
            </w:r>
          </w:p>
        </w:tc>
        <w:tc>
          <w:tcPr>
            <w:tcW w:w="0" w:type="dxa"/>
            <w:vAlign w:val="bottom"/>
          </w:tcPr>
          <w:p>
            <w:pPr>
              <w:spacing w:after="0"/>
              <w:rPr>
                <w:sz w:val="1"/>
                <w:szCs w:val="1"/>
                <w:color w:val="auto"/>
              </w:rPr>
            </w:pPr>
          </w:p>
        </w:tc>
      </w:tr>
      <w:tr>
        <w:trPr>
          <w:trHeight w:val="27"/>
        </w:trPr>
        <w:tc>
          <w:tcPr>
            <w:tcW w:w="720" w:type="dxa"/>
            <w:vAlign w:val="bottom"/>
          </w:tcPr>
          <w:p>
            <w:pPr>
              <w:spacing w:after="0"/>
              <w:rPr>
                <w:sz w:val="2"/>
                <w:szCs w:val="2"/>
                <w:color w:val="auto"/>
              </w:rPr>
            </w:pPr>
          </w:p>
        </w:tc>
        <w:tc>
          <w:tcPr>
            <w:tcW w:w="860" w:type="dxa"/>
            <w:vAlign w:val="bottom"/>
          </w:tcPr>
          <w:p>
            <w:pPr>
              <w:spacing w:after="0"/>
              <w:rPr>
                <w:sz w:val="2"/>
                <w:szCs w:val="2"/>
                <w:color w:val="auto"/>
              </w:rPr>
            </w:pPr>
          </w:p>
        </w:tc>
        <w:tc>
          <w:tcPr>
            <w:tcW w:w="6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6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60" w:type="dxa"/>
            <w:vAlign w:val="bottom"/>
            <w:tcBorders>
              <w:bottom w:val="single" w:sz="8" w:color="CCEEFF"/>
            </w:tcBorders>
            <w:shd w:val="clear" w:color="auto" w:fill="CCEEFF"/>
          </w:tcPr>
          <w:p>
            <w:pPr>
              <w:jc w:val="right"/>
              <w:ind w:right="55"/>
              <w:spacing w:after="0"/>
              <w:rPr>
                <w:sz w:val="20"/>
                <w:szCs w:val="20"/>
                <w:color w:val="auto"/>
              </w:rPr>
            </w:pPr>
            <w:r>
              <w:rPr>
                <w:rFonts w:ascii="Arial" w:cs="Arial" w:eastAsia="Arial" w:hAnsi="Arial"/>
                <w:sz w:val="18"/>
                <w:szCs w:val="18"/>
                <w:color w:val="auto"/>
              </w:rPr>
              <w:t>10.89</w:t>
            </w:r>
          </w:p>
        </w:tc>
        <w:tc>
          <w:tcPr>
            <w:tcW w:w="660" w:type="dxa"/>
            <w:vAlign w:val="bottom"/>
            <w:tcBorders>
              <w:bottom w:val="single" w:sz="8" w:color="CCEEFF"/>
            </w:tcBorders>
            <w:shd w:val="clear" w:color="auto" w:fill="CCEEFF"/>
          </w:tcPr>
          <w:p>
            <w:pPr>
              <w:jc w:val="right"/>
              <w:ind w:right="350"/>
              <w:spacing w:after="0"/>
              <w:rPr>
                <w:sz w:val="20"/>
                <w:szCs w:val="20"/>
                <w:color w:val="auto"/>
              </w:rPr>
            </w:pPr>
            <w:r>
              <w:rPr>
                <w:rFonts w:ascii="Arial" w:cs="Arial" w:eastAsia="Arial" w:hAnsi="Arial"/>
                <w:sz w:val="18"/>
                <w:szCs w:val="18"/>
                <w:color w:val="auto"/>
              </w:rPr>
              <w:t>$</w:t>
            </w:r>
          </w:p>
        </w:tc>
        <w:tc>
          <w:tcPr>
            <w:tcW w:w="92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rPr>
              <w:t>14.35</w:t>
            </w:r>
          </w:p>
        </w:tc>
        <w:tc>
          <w:tcPr>
            <w:tcW w:w="150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1,145</w:t>
            </w:r>
          </w:p>
        </w:tc>
        <w:tc>
          <w:tcPr>
            <w:tcW w:w="1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5.10</w:t>
            </w:r>
          </w:p>
        </w:tc>
        <w:tc>
          <w:tcPr>
            <w:tcW w:w="2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13.65</w:t>
            </w:r>
          </w:p>
        </w:tc>
        <w:tc>
          <w:tcPr>
            <w:tcW w:w="12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1,062</w:t>
            </w:r>
          </w:p>
        </w:tc>
        <w:tc>
          <w:tcPr>
            <w:tcW w:w="3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13.65</w:t>
            </w:r>
          </w:p>
        </w:tc>
        <w:tc>
          <w:tcPr>
            <w:tcW w:w="0" w:type="dxa"/>
            <w:vAlign w:val="bottom"/>
          </w:tcPr>
          <w:p>
            <w:pPr>
              <w:spacing w:after="0"/>
              <w:rPr>
                <w:sz w:val="1"/>
                <w:szCs w:val="1"/>
                <w:color w:val="auto"/>
              </w:rPr>
            </w:pPr>
          </w:p>
        </w:tc>
      </w:tr>
      <w:tr>
        <w:trPr>
          <w:trHeight w:val="243"/>
        </w:trPr>
        <w:tc>
          <w:tcPr>
            <w:tcW w:w="720" w:type="dxa"/>
            <w:vAlign w:val="bottom"/>
          </w:tcPr>
          <w:p>
            <w:pPr>
              <w:ind w:left="20"/>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55"/>
              <w:spacing w:after="0"/>
              <w:rPr>
                <w:sz w:val="20"/>
                <w:szCs w:val="20"/>
                <w:color w:val="auto"/>
              </w:rPr>
            </w:pPr>
            <w:r>
              <w:rPr>
                <w:rFonts w:ascii="Arial" w:cs="Arial" w:eastAsia="Arial" w:hAnsi="Arial"/>
                <w:sz w:val="18"/>
                <w:szCs w:val="18"/>
                <w:color w:val="auto"/>
              </w:rPr>
              <w:t>14.45</w:t>
            </w:r>
          </w:p>
        </w:tc>
        <w:tc>
          <w:tcPr>
            <w:tcW w:w="660" w:type="dxa"/>
            <w:vAlign w:val="bottom"/>
          </w:tcPr>
          <w:p>
            <w:pPr>
              <w:jc w:val="right"/>
              <w:ind w:right="350"/>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70"/>
              <w:spacing w:after="0"/>
              <w:rPr>
                <w:sz w:val="20"/>
                <w:szCs w:val="20"/>
                <w:color w:val="auto"/>
              </w:rPr>
            </w:pPr>
            <w:r>
              <w:rPr>
                <w:rFonts w:ascii="Arial" w:cs="Arial" w:eastAsia="Arial" w:hAnsi="Arial"/>
                <w:sz w:val="18"/>
                <w:szCs w:val="18"/>
                <w:color w:val="auto"/>
              </w:rPr>
              <w:t>15.87</w:t>
            </w:r>
          </w:p>
        </w:tc>
        <w:tc>
          <w:tcPr>
            <w:tcW w:w="1500" w:type="dxa"/>
            <w:vAlign w:val="bottom"/>
          </w:tcPr>
          <w:p>
            <w:pPr>
              <w:jc w:val="right"/>
              <w:ind w:right="56"/>
              <w:spacing w:after="0"/>
              <w:rPr>
                <w:sz w:val="20"/>
                <w:szCs w:val="20"/>
                <w:color w:val="auto"/>
              </w:rPr>
            </w:pPr>
            <w:r>
              <w:rPr>
                <w:rFonts w:ascii="Arial" w:cs="Arial" w:eastAsia="Arial" w:hAnsi="Arial"/>
                <w:sz w:val="18"/>
                <w:szCs w:val="18"/>
                <w:color w:val="auto"/>
              </w:rPr>
              <w:t>966</w:t>
            </w:r>
          </w:p>
        </w:tc>
        <w:tc>
          <w:tcPr>
            <w:tcW w:w="1680" w:type="dxa"/>
            <w:vAlign w:val="bottom"/>
          </w:tcPr>
          <w:p>
            <w:pPr>
              <w:jc w:val="right"/>
              <w:spacing w:after="0"/>
              <w:rPr>
                <w:sz w:val="20"/>
                <w:szCs w:val="20"/>
                <w:color w:val="auto"/>
              </w:rPr>
            </w:pPr>
            <w:r>
              <w:rPr>
                <w:rFonts w:ascii="Arial" w:cs="Arial" w:eastAsia="Arial" w:hAnsi="Arial"/>
                <w:sz w:val="18"/>
                <w:szCs w:val="18"/>
                <w:color w:val="auto"/>
              </w:rPr>
              <w:t>3.57</w:t>
            </w:r>
          </w:p>
        </w:tc>
        <w:tc>
          <w:tcPr>
            <w:tcW w:w="2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Pr>
          <w:p>
            <w:pPr>
              <w:jc w:val="right"/>
              <w:ind w:right="56"/>
              <w:spacing w:after="0"/>
              <w:rPr>
                <w:sz w:val="20"/>
                <w:szCs w:val="20"/>
                <w:color w:val="auto"/>
              </w:rPr>
            </w:pPr>
            <w:r>
              <w:rPr>
                <w:rFonts w:ascii="Arial" w:cs="Arial" w:eastAsia="Arial" w:hAnsi="Arial"/>
                <w:sz w:val="18"/>
                <w:szCs w:val="18"/>
                <w:color w:val="auto"/>
              </w:rPr>
              <w:t>15.58</w:t>
            </w:r>
          </w:p>
        </w:tc>
        <w:tc>
          <w:tcPr>
            <w:tcW w:w="120" w:type="dxa"/>
            <w:vAlign w:val="bottom"/>
          </w:tcPr>
          <w:p>
            <w:pPr>
              <w:spacing w:after="0"/>
              <w:rPr>
                <w:sz w:val="21"/>
                <w:szCs w:val="21"/>
                <w:color w:val="auto"/>
              </w:rPr>
            </w:pPr>
          </w:p>
        </w:tc>
        <w:tc>
          <w:tcPr>
            <w:tcW w:w="1500" w:type="dxa"/>
            <w:vAlign w:val="bottom"/>
          </w:tcPr>
          <w:p>
            <w:pPr>
              <w:jc w:val="right"/>
              <w:ind w:right="77"/>
              <w:spacing w:after="0"/>
              <w:rPr>
                <w:sz w:val="20"/>
                <w:szCs w:val="20"/>
                <w:color w:val="auto"/>
              </w:rPr>
            </w:pPr>
            <w:r>
              <w:rPr>
                <w:rFonts w:ascii="Arial" w:cs="Arial" w:eastAsia="Arial" w:hAnsi="Arial"/>
                <w:sz w:val="18"/>
                <w:szCs w:val="18"/>
                <w:color w:val="auto"/>
              </w:rPr>
              <w:t>965</w:t>
            </w:r>
          </w:p>
        </w:tc>
        <w:tc>
          <w:tcPr>
            <w:tcW w:w="3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300" w:type="dxa"/>
            <w:vAlign w:val="bottom"/>
          </w:tcPr>
          <w:p>
            <w:pPr>
              <w:jc w:val="right"/>
              <w:ind w:right="56"/>
              <w:spacing w:after="0"/>
              <w:rPr>
                <w:sz w:val="20"/>
                <w:szCs w:val="20"/>
                <w:color w:val="auto"/>
              </w:rPr>
            </w:pPr>
            <w:r>
              <w:rPr>
                <w:rFonts w:ascii="Arial" w:cs="Arial" w:eastAsia="Arial" w:hAnsi="Arial"/>
                <w:sz w:val="18"/>
                <w:szCs w:val="18"/>
                <w:color w:val="auto"/>
              </w:rPr>
              <w:t>15.58</w:t>
            </w:r>
          </w:p>
        </w:tc>
        <w:tc>
          <w:tcPr>
            <w:tcW w:w="0" w:type="dxa"/>
            <w:vAlign w:val="bottom"/>
          </w:tcPr>
          <w:p>
            <w:pPr>
              <w:spacing w:after="0"/>
              <w:rPr>
                <w:sz w:val="1"/>
                <w:szCs w:val="1"/>
                <w:color w:val="auto"/>
              </w:rPr>
            </w:pPr>
          </w:p>
        </w:tc>
      </w:tr>
      <w:tr>
        <w:trPr>
          <w:trHeight w:val="27"/>
        </w:trPr>
        <w:tc>
          <w:tcPr>
            <w:tcW w:w="720" w:type="dxa"/>
            <w:vAlign w:val="bottom"/>
          </w:tcPr>
          <w:p>
            <w:pPr>
              <w:spacing w:after="0"/>
              <w:rPr>
                <w:sz w:val="2"/>
                <w:szCs w:val="2"/>
                <w:color w:val="auto"/>
              </w:rPr>
            </w:pPr>
          </w:p>
        </w:tc>
        <w:tc>
          <w:tcPr>
            <w:tcW w:w="860" w:type="dxa"/>
            <w:vAlign w:val="bottom"/>
          </w:tcPr>
          <w:p>
            <w:pPr>
              <w:spacing w:after="0"/>
              <w:rPr>
                <w:sz w:val="2"/>
                <w:szCs w:val="2"/>
                <w:color w:val="auto"/>
              </w:rPr>
            </w:pPr>
          </w:p>
        </w:tc>
        <w:tc>
          <w:tcPr>
            <w:tcW w:w="6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6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7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60" w:type="dxa"/>
            <w:vAlign w:val="bottom"/>
            <w:tcBorders>
              <w:bottom w:val="single" w:sz="8" w:color="CCEEFF"/>
            </w:tcBorders>
            <w:shd w:val="clear" w:color="auto" w:fill="CCEEFF"/>
          </w:tcPr>
          <w:p>
            <w:pPr>
              <w:jc w:val="right"/>
              <w:ind w:right="55"/>
              <w:spacing w:after="0"/>
              <w:rPr>
                <w:sz w:val="20"/>
                <w:szCs w:val="20"/>
                <w:color w:val="auto"/>
              </w:rPr>
            </w:pPr>
            <w:r>
              <w:rPr>
                <w:rFonts w:ascii="Arial" w:cs="Arial" w:eastAsia="Arial" w:hAnsi="Arial"/>
                <w:sz w:val="18"/>
                <w:szCs w:val="18"/>
                <w:color w:val="auto"/>
              </w:rPr>
              <w:t>15.91</w:t>
            </w:r>
          </w:p>
        </w:tc>
        <w:tc>
          <w:tcPr>
            <w:tcW w:w="660" w:type="dxa"/>
            <w:vAlign w:val="bottom"/>
            <w:tcBorders>
              <w:bottom w:val="single" w:sz="8" w:color="CCEEFF"/>
            </w:tcBorders>
            <w:shd w:val="clear" w:color="auto" w:fill="CCEEFF"/>
          </w:tcPr>
          <w:p>
            <w:pPr>
              <w:jc w:val="right"/>
              <w:ind w:right="350"/>
              <w:spacing w:after="0"/>
              <w:rPr>
                <w:sz w:val="20"/>
                <w:szCs w:val="20"/>
                <w:color w:val="auto"/>
              </w:rPr>
            </w:pPr>
            <w:r>
              <w:rPr>
                <w:rFonts w:ascii="Arial" w:cs="Arial" w:eastAsia="Arial" w:hAnsi="Arial"/>
                <w:sz w:val="18"/>
                <w:szCs w:val="18"/>
                <w:color w:val="auto"/>
              </w:rPr>
              <w:t>$</w:t>
            </w:r>
          </w:p>
        </w:tc>
        <w:tc>
          <w:tcPr>
            <w:tcW w:w="92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rPr>
              <w:t>22.27</w:t>
            </w:r>
          </w:p>
        </w:tc>
        <w:tc>
          <w:tcPr>
            <w:tcW w:w="150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156</w:t>
            </w:r>
          </w:p>
        </w:tc>
        <w:tc>
          <w:tcPr>
            <w:tcW w:w="1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4.20</w:t>
            </w:r>
          </w:p>
        </w:tc>
        <w:tc>
          <w:tcPr>
            <w:tcW w:w="2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16.99</w:t>
            </w:r>
          </w:p>
        </w:tc>
        <w:tc>
          <w:tcPr>
            <w:tcW w:w="120" w:type="dxa"/>
            <w:vAlign w:val="bottom"/>
            <w:tcBorders>
              <w:bottom w:val="single" w:sz="8" w:color="CCEEFF"/>
            </w:tcBorders>
            <w:shd w:val="clear" w:color="auto" w:fill="CCEEFF"/>
          </w:tcPr>
          <w:p>
            <w:pPr>
              <w:spacing w:after="0"/>
              <w:rPr>
                <w:sz w:val="23"/>
                <w:szCs w:val="23"/>
                <w:color w:val="auto"/>
              </w:rPr>
            </w:pPr>
          </w:p>
        </w:tc>
        <w:tc>
          <w:tcPr>
            <w:tcW w:w="150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129</w:t>
            </w:r>
          </w:p>
        </w:tc>
        <w:tc>
          <w:tcPr>
            <w:tcW w:w="3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16.91</w:t>
            </w:r>
          </w:p>
        </w:tc>
        <w:tc>
          <w:tcPr>
            <w:tcW w:w="0" w:type="dxa"/>
            <w:vAlign w:val="bottom"/>
          </w:tcPr>
          <w:p>
            <w:pPr>
              <w:spacing w:after="0"/>
              <w:rPr>
                <w:sz w:val="1"/>
                <w:szCs w:val="1"/>
                <w:color w:val="auto"/>
              </w:rPr>
            </w:pPr>
          </w:p>
        </w:tc>
      </w:tr>
      <w:tr>
        <w:trPr>
          <w:trHeight w:val="263"/>
        </w:trPr>
        <w:tc>
          <w:tcPr>
            <w:tcW w:w="720" w:type="dxa"/>
            <w:vAlign w:val="bottom"/>
          </w:tcPr>
          <w:p>
            <w:pPr>
              <w:ind w:left="20"/>
              <w:spacing w:after="0"/>
              <w:rPr>
                <w:sz w:val="20"/>
                <w:szCs w:val="20"/>
                <w:color w:val="auto"/>
              </w:rPr>
            </w:pPr>
            <w:r>
              <w:rPr>
                <w:rFonts w:ascii="Arial" w:cs="Arial" w:eastAsia="Arial" w:hAnsi="Arial"/>
                <w:sz w:val="18"/>
                <w:szCs w:val="18"/>
                <w:color w:val="auto"/>
              </w:rPr>
              <w:t>Total</w:t>
            </w:r>
          </w:p>
        </w:tc>
        <w:tc>
          <w:tcPr>
            <w:tcW w:w="86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1500" w:type="dxa"/>
            <w:vAlign w:val="bottom"/>
            <w:tcBorders>
              <w:top w:val="single" w:sz="8" w:color="auto"/>
              <w:bottom w:val="single" w:sz="8" w:color="auto"/>
            </w:tcBorders>
          </w:tcPr>
          <w:p>
            <w:pPr>
              <w:jc w:val="right"/>
              <w:ind w:right="56"/>
              <w:spacing w:after="0"/>
              <w:rPr>
                <w:sz w:val="20"/>
                <w:szCs w:val="20"/>
                <w:color w:val="auto"/>
              </w:rPr>
            </w:pPr>
            <w:r>
              <w:rPr>
                <w:rFonts w:ascii="Arial" w:cs="Arial" w:eastAsia="Arial" w:hAnsi="Arial"/>
                <w:sz w:val="18"/>
                <w:szCs w:val="18"/>
                <w:color w:val="auto"/>
              </w:rPr>
              <w:t>4,217</w:t>
            </w:r>
          </w:p>
        </w:tc>
        <w:tc>
          <w:tcPr>
            <w:tcW w:w="1680" w:type="dxa"/>
            <w:vAlign w:val="bottom"/>
          </w:tcPr>
          <w:p>
            <w:pPr>
              <w:jc w:val="right"/>
              <w:spacing w:after="0"/>
              <w:rPr>
                <w:sz w:val="20"/>
                <w:szCs w:val="20"/>
                <w:color w:val="auto"/>
              </w:rPr>
            </w:pPr>
            <w:r>
              <w:rPr>
                <w:rFonts w:ascii="Arial" w:cs="Arial" w:eastAsia="Arial" w:hAnsi="Arial"/>
                <w:sz w:val="18"/>
                <w:szCs w:val="18"/>
                <w:color w:val="auto"/>
              </w:rPr>
              <w:t>4.18</w:t>
            </w:r>
          </w:p>
        </w:tc>
        <w:tc>
          <w:tcPr>
            <w:tcW w:w="2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Pr>
          <w:p>
            <w:pPr>
              <w:jc w:val="right"/>
              <w:ind w:right="56"/>
              <w:spacing w:after="0"/>
              <w:rPr>
                <w:sz w:val="20"/>
                <w:szCs w:val="20"/>
                <w:color w:val="auto"/>
              </w:rPr>
            </w:pPr>
            <w:r>
              <w:rPr>
                <w:rFonts w:ascii="Arial" w:cs="Arial" w:eastAsia="Arial" w:hAnsi="Arial"/>
                <w:sz w:val="18"/>
                <w:szCs w:val="18"/>
                <w:color w:val="auto"/>
              </w:rPr>
              <w:t>12.44</w:t>
            </w:r>
          </w:p>
        </w:tc>
        <w:tc>
          <w:tcPr>
            <w:tcW w:w="120" w:type="dxa"/>
            <w:vAlign w:val="bottom"/>
          </w:tcPr>
          <w:p>
            <w:pPr>
              <w:spacing w:after="0"/>
              <w:rPr>
                <w:sz w:val="22"/>
                <w:szCs w:val="22"/>
                <w:color w:val="auto"/>
              </w:rPr>
            </w:pPr>
          </w:p>
        </w:tc>
        <w:tc>
          <w:tcPr>
            <w:tcW w:w="1500" w:type="dxa"/>
            <w:vAlign w:val="bottom"/>
            <w:tcBorders>
              <w:top w:val="single" w:sz="8" w:color="auto"/>
              <w:bottom w:val="single" w:sz="8" w:color="auto"/>
            </w:tcBorders>
          </w:tcPr>
          <w:p>
            <w:pPr>
              <w:jc w:val="right"/>
              <w:ind w:right="77"/>
              <w:spacing w:after="0"/>
              <w:rPr>
                <w:sz w:val="20"/>
                <w:szCs w:val="20"/>
                <w:color w:val="auto"/>
              </w:rPr>
            </w:pPr>
            <w:r>
              <w:rPr>
                <w:rFonts w:ascii="Arial" w:cs="Arial" w:eastAsia="Arial" w:hAnsi="Arial"/>
                <w:sz w:val="18"/>
                <w:szCs w:val="18"/>
                <w:color w:val="auto"/>
              </w:rPr>
              <w:t>4,082</w:t>
            </w:r>
          </w:p>
        </w:tc>
        <w:tc>
          <w:tcPr>
            <w:tcW w:w="3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300" w:type="dxa"/>
            <w:vAlign w:val="bottom"/>
          </w:tcPr>
          <w:p>
            <w:pPr>
              <w:jc w:val="right"/>
              <w:ind w:right="56"/>
              <w:spacing w:after="0"/>
              <w:rPr>
                <w:sz w:val="20"/>
                <w:szCs w:val="20"/>
                <w:color w:val="auto"/>
              </w:rPr>
            </w:pPr>
            <w:r>
              <w:rPr>
                <w:rFonts w:ascii="Arial" w:cs="Arial" w:eastAsia="Arial" w:hAnsi="Arial"/>
                <w:sz w:val="18"/>
                <w:szCs w:val="18"/>
                <w:color w:val="auto"/>
              </w:rPr>
              <w:t>12.41</w:t>
            </w:r>
          </w:p>
        </w:tc>
        <w:tc>
          <w:tcPr>
            <w:tcW w:w="0" w:type="dxa"/>
            <w:vAlign w:val="bottom"/>
          </w:tcPr>
          <w:p>
            <w:pPr>
              <w:spacing w:after="0"/>
              <w:rPr>
                <w:sz w:val="1"/>
                <w:szCs w:val="1"/>
                <w:color w:val="auto"/>
              </w:rPr>
            </w:pPr>
          </w:p>
        </w:tc>
      </w:tr>
      <w:tr>
        <w:trPr>
          <w:trHeight w:val="21"/>
        </w:trPr>
        <w:tc>
          <w:tcPr>
            <w:tcW w:w="7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right="480" w:firstLine="405"/>
        <w:spacing w:after="0" w:line="308" w:lineRule="auto"/>
        <w:rPr>
          <w:sz w:val="20"/>
          <w:szCs w:val="20"/>
          <w:color w:val="auto"/>
        </w:rPr>
      </w:pPr>
      <w:r>
        <w:rPr>
          <w:rFonts w:ascii="Arial" w:cs="Arial" w:eastAsia="Arial" w:hAnsi="Arial"/>
          <w:sz w:val="17"/>
          <w:szCs w:val="17"/>
          <w:color w:val="auto"/>
        </w:rPr>
        <w:t>As of February 1, 2020, the unamortized compensation expense for stock options was $1.4 million. The unamortized compensation expense for options will be amortized on a straight-line basis and is expected to be recognized over a weighted-average period of 1.19 years.</w:t>
      </w:r>
    </w:p>
    <w:p>
      <w:pPr>
        <w:spacing w:after="0" w:line="38" w:lineRule="exact"/>
        <w:rPr>
          <w:sz w:val="20"/>
          <w:szCs w:val="20"/>
          <w:color w:val="auto"/>
        </w:rPr>
      </w:pPr>
    </w:p>
    <w:p>
      <w:pPr>
        <w:ind w:left="40"/>
        <w:spacing w:after="0"/>
        <w:rPr>
          <w:sz w:val="20"/>
          <w:szCs w:val="20"/>
          <w:color w:val="auto"/>
        </w:rPr>
      </w:pPr>
      <w:r>
        <w:rPr>
          <w:rFonts w:ascii="Arial" w:cs="Arial" w:eastAsia="Arial" w:hAnsi="Arial"/>
          <w:sz w:val="18"/>
          <w:szCs w:val="18"/>
          <w:b w:val="1"/>
          <w:bCs w:val="1"/>
          <w:i w:val="1"/>
          <w:iCs w:val="1"/>
          <w:color w:val="auto"/>
        </w:rPr>
        <w:t>Valuation of Employee Share-Based Awards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expected volatility for awards granted during fiscal 2020, 2019 and 2018 was based on historical stock price volatility.</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expected dividend yield is calculated by dividing the current annualized dividend by the closing stock price on the date of grant of the option.</w:t>
      </w:r>
    </w:p>
    <w:p>
      <w:pPr>
        <w:spacing w:after="0" w:line="140" w:lineRule="exact"/>
        <w:rPr>
          <w:sz w:val="20"/>
          <w:szCs w:val="20"/>
          <w:color w:val="auto"/>
        </w:rPr>
      </w:pPr>
    </w:p>
    <w:p>
      <w:pPr>
        <w:ind w:right="740" w:firstLine="405"/>
        <w:spacing w:after="0" w:line="277" w:lineRule="auto"/>
        <w:rPr>
          <w:sz w:val="20"/>
          <w:szCs w:val="20"/>
          <w:color w:val="auto"/>
        </w:rPr>
      </w:pPr>
      <w:r>
        <w:rPr>
          <w:rFonts w:ascii="Arial" w:cs="Arial" w:eastAsia="Arial" w:hAnsi="Arial"/>
          <w:sz w:val="18"/>
          <w:szCs w:val="18"/>
          <w:color w:val="auto"/>
        </w:rPr>
        <w:t>There were no options granted in fiscal 2020, 2019 and 2018 except for the ones we assumed from the Cavium and Aquantia acquisitions as described above.</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weighted-average assumptions were used for each respective period to calculate the fair value of common shares to be issued under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ESPP on the date of grant using the Black-Scholes option pricing model:</w:t>
      </w:r>
    </w:p>
    <w:p>
      <w:pPr>
        <w:spacing w:after="0" w:line="4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6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r>
      <w:tr>
        <w:trPr>
          <w:trHeight w:val="152"/>
        </w:trPr>
        <w:tc>
          <w:tcPr>
            <w:tcW w:w="66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000" w:type="dxa"/>
            <w:vAlign w:val="bottom"/>
          </w:tcPr>
          <w:p>
            <w:pPr>
              <w:jc w:val="right"/>
              <w:ind w:right="75"/>
              <w:spacing w:after="0" w:line="153" w:lineRule="exact"/>
              <w:rPr>
                <w:sz w:val="20"/>
                <w:szCs w:val="20"/>
                <w:color w:val="auto"/>
              </w:rPr>
            </w:pPr>
            <w:r>
              <w:rPr>
                <w:rFonts w:ascii="Arial" w:cs="Arial" w:eastAsia="Arial" w:hAnsi="Arial"/>
                <w:sz w:val="14"/>
                <w:szCs w:val="14"/>
                <w:b w:val="1"/>
                <w:bCs w:val="1"/>
                <w:color w:val="auto"/>
              </w:rPr>
              <w:t>February 1,</w:t>
            </w:r>
          </w:p>
        </w:tc>
        <w:tc>
          <w:tcPr>
            <w:tcW w:w="2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02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5"/>
              </w:rPr>
              <w:t>February 2,</w:t>
            </w:r>
          </w:p>
        </w:tc>
        <w:tc>
          <w:tcPr>
            <w:tcW w:w="2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020" w:type="dxa"/>
            <w:vAlign w:val="bottom"/>
          </w:tcPr>
          <w:p>
            <w:pPr>
              <w:jc w:val="right"/>
              <w:ind w:right="75"/>
              <w:spacing w:after="0" w:line="153" w:lineRule="exact"/>
              <w:rPr>
                <w:sz w:val="20"/>
                <w:szCs w:val="20"/>
                <w:color w:val="auto"/>
              </w:rPr>
            </w:pPr>
            <w:r>
              <w:rPr>
                <w:rFonts w:ascii="Arial" w:cs="Arial" w:eastAsia="Arial" w:hAnsi="Arial"/>
                <w:sz w:val="14"/>
                <w:szCs w:val="14"/>
                <w:b w:val="1"/>
                <w:bCs w:val="1"/>
                <w:color w:val="auto"/>
              </w:rPr>
              <w:t>February 3,</w:t>
            </w:r>
          </w:p>
        </w:tc>
        <w:tc>
          <w:tcPr>
            <w:tcW w:w="200" w:type="dxa"/>
            <w:vAlign w:val="bottom"/>
          </w:tcPr>
          <w:p>
            <w:pPr>
              <w:spacing w:after="0"/>
              <w:rPr>
                <w:sz w:val="13"/>
                <w:szCs w:val="13"/>
                <w:color w:val="auto"/>
              </w:rPr>
            </w:pPr>
          </w:p>
        </w:tc>
      </w:tr>
      <w:tr>
        <w:trPr>
          <w:trHeight w:val="192"/>
        </w:trPr>
        <w:tc>
          <w:tcPr>
            <w:tcW w:w="66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295"/>
              <w:spacing w:after="0"/>
              <w:rPr>
                <w:sz w:val="20"/>
                <w:szCs w:val="20"/>
                <w:color w:val="auto"/>
              </w:rPr>
            </w:pPr>
            <w:r>
              <w:rPr>
                <w:rFonts w:ascii="Arial" w:cs="Arial" w:eastAsia="Arial" w:hAnsi="Arial"/>
                <w:sz w:val="14"/>
                <w:szCs w:val="14"/>
                <w:b w:val="1"/>
                <w:bCs w:val="1"/>
                <w:color w:val="auto"/>
              </w:rPr>
              <w:t>2020</w:t>
            </w:r>
          </w:p>
        </w:tc>
        <w:tc>
          <w:tcPr>
            <w:tcW w:w="20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2019</w:t>
            </w:r>
          </w:p>
        </w:tc>
        <w:tc>
          <w:tcPr>
            <w:tcW w:w="2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right"/>
              <w:ind w:right="295"/>
              <w:spacing w:after="0"/>
              <w:rPr>
                <w:sz w:val="20"/>
                <w:szCs w:val="20"/>
                <w:color w:val="auto"/>
              </w:rPr>
            </w:pPr>
            <w:r>
              <w:rPr>
                <w:rFonts w:ascii="Arial" w:cs="Arial" w:eastAsia="Arial" w:hAnsi="Arial"/>
                <w:sz w:val="14"/>
                <w:szCs w:val="14"/>
                <w:b w:val="1"/>
                <w:bCs w:val="1"/>
                <w:color w:val="auto"/>
              </w:rPr>
              <w:t>2018</w:t>
            </w:r>
          </w:p>
        </w:tc>
        <w:tc>
          <w:tcPr>
            <w:tcW w:w="200" w:type="dxa"/>
            <w:vAlign w:val="bottom"/>
            <w:tcBorders>
              <w:bottom w:val="single" w:sz="8" w:color="auto"/>
            </w:tcBorders>
          </w:tcPr>
          <w:p>
            <w:pPr>
              <w:spacing w:after="0"/>
              <w:rPr>
                <w:sz w:val="16"/>
                <w:szCs w:val="16"/>
                <w:color w:val="auto"/>
              </w:rPr>
            </w:pPr>
          </w:p>
        </w:tc>
      </w:tr>
      <w:tr>
        <w:trPr>
          <w:trHeight w:val="236"/>
        </w:trPr>
        <w:tc>
          <w:tcPr>
            <w:tcW w:w="6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Employee Stock Purchase Plan:</w:t>
            </w:r>
          </w:p>
        </w:tc>
        <w:tc>
          <w:tcPr>
            <w:tcW w:w="24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r>
      <w:tr>
        <w:trPr>
          <w:trHeight w:val="243"/>
        </w:trPr>
        <w:tc>
          <w:tcPr>
            <w:tcW w:w="6660" w:type="dxa"/>
            <w:vAlign w:val="bottom"/>
          </w:tcPr>
          <w:p>
            <w:pPr>
              <w:ind w:left="20"/>
              <w:spacing w:after="0"/>
              <w:rPr>
                <w:sz w:val="20"/>
                <w:szCs w:val="20"/>
                <w:color w:val="auto"/>
              </w:rPr>
            </w:pPr>
            <w:r>
              <w:rPr>
                <w:rFonts w:ascii="Arial" w:cs="Arial" w:eastAsia="Arial" w:hAnsi="Arial"/>
                <w:sz w:val="18"/>
                <w:szCs w:val="18"/>
                <w:color w:val="auto"/>
              </w:rPr>
              <w:t>Estimated fair value</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7.06</w:t>
            </w:r>
          </w:p>
        </w:tc>
        <w:tc>
          <w:tcPr>
            <w:tcW w:w="56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4.91</w:t>
            </w:r>
          </w:p>
        </w:tc>
        <w:tc>
          <w:tcPr>
            <w:tcW w:w="540" w:type="dxa"/>
            <w:vAlign w:val="bottom"/>
            <w:gridSpan w:val="3"/>
          </w:tcPr>
          <w:p>
            <w:pPr>
              <w:jc w:val="right"/>
              <w:ind w:right="120"/>
              <w:spacing w:after="0"/>
              <w:rPr>
                <w:sz w:val="20"/>
                <w:szCs w:val="20"/>
                <w:color w:val="auto"/>
              </w:rPr>
            </w:pPr>
            <w:r>
              <w:rPr>
                <w:rFonts w:ascii="Arial" w:cs="Arial" w:eastAsia="Arial" w:hAnsi="Arial"/>
                <w:sz w:val="18"/>
                <w:szCs w:val="18"/>
                <w:color w:val="auto"/>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6.03</w:t>
            </w:r>
          </w:p>
        </w:tc>
        <w:tc>
          <w:tcPr>
            <w:tcW w:w="200" w:type="dxa"/>
            <w:vAlign w:val="bottom"/>
          </w:tcPr>
          <w:p>
            <w:pPr>
              <w:spacing w:after="0"/>
              <w:rPr>
                <w:sz w:val="21"/>
                <w:szCs w:val="21"/>
                <w:color w:val="auto"/>
              </w:rPr>
            </w:pPr>
          </w:p>
        </w:tc>
      </w:tr>
      <w:tr>
        <w:trPr>
          <w:trHeight w:val="27"/>
        </w:trPr>
        <w:tc>
          <w:tcPr>
            <w:tcW w:w="66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200" w:type="dxa"/>
            <w:vAlign w:val="bottom"/>
          </w:tcPr>
          <w:p>
            <w:pPr>
              <w:spacing w:after="0"/>
              <w:rPr>
                <w:sz w:val="2"/>
                <w:szCs w:val="2"/>
                <w:color w:val="auto"/>
              </w:rPr>
            </w:pPr>
          </w:p>
        </w:tc>
      </w:tr>
      <w:tr>
        <w:trPr>
          <w:trHeight w:val="250"/>
        </w:trPr>
        <w:tc>
          <w:tcPr>
            <w:tcW w:w="6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Expected volatility</w:t>
            </w:r>
          </w:p>
        </w:tc>
        <w:tc>
          <w:tcPr>
            <w:tcW w:w="2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r>
      <w:tr>
        <w:trPr>
          <w:trHeight w:val="243"/>
        </w:trPr>
        <w:tc>
          <w:tcPr>
            <w:tcW w:w="6660" w:type="dxa"/>
            <w:vAlign w:val="bottom"/>
          </w:tcPr>
          <w:p>
            <w:pPr>
              <w:ind w:left="20"/>
              <w:spacing w:after="0"/>
              <w:rPr>
                <w:sz w:val="20"/>
                <w:szCs w:val="20"/>
                <w:color w:val="auto"/>
              </w:rPr>
            </w:pPr>
            <w:r>
              <w:rPr>
                <w:rFonts w:ascii="Arial" w:cs="Arial" w:eastAsia="Arial" w:hAnsi="Arial"/>
                <w:sz w:val="18"/>
                <w:szCs w:val="18"/>
                <w:color w:val="auto"/>
              </w:rPr>
              <w:t>Expected term (in years)</w:t>
            </w:r>
          </w:p>
        </w:tc>
        <w:tc>
          <w:tcPr>
            <w:tcW w:w="240" w:type="dxa"/>
            <w:vAlign w:val="bottom"/>
          </w:tcPr>
          <w:p>
            <w:pPr>
              <w:spacing w:after="0"/>
              <w:rPr>
                <w:sz w:val="21"/>
                <w:szCs w:val="21"/>
                <w:color w:val="auto"/>
              </w:rPr>
            </w:pPr>
          </w:p>
        </w:tc>
        <w:tc>
          <w:tcPr>
            <w:tcW w:w="1200" w:type="dxa"/>
            <w:vAlign w:val="bottom"/>
            <w:gridSpan w:val="2"/>
          </w:tcPr>
          <w:p>
            <w:pPr>
              <w:jc w:val="right"/>
              <w:spacing w:after="0"/>
              <w:rPr>
                <w:sz w:val="20"/>
                <w:szCs w:val="20"/>
                <w:color w:val="auto"/>
              </w:rPr>
            </w:pPr>
            <w:r>
              <w:rPr>
                <w:rFonts w:ascii="Arial" w:cs="Arial" w:eastAsia="Arial" w:hAnsi="Arial"/>
                <w:sz w:val="18"/>
                <w:szCs w:val="18"/>
                <w:color w:val="auto"/>
              </w:rPr>
              <w:t>1.2</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gridSpan w:val="2"/>
          </w:tcPr>
          <w:p>
            <w:pPr>
              <w:jc w:val="right"/>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gridSpan w:val="2"/>
          </w:tcPr>
          <w:p>
            <w:pPr>
              <w:jc w:val="right"/>
              <w:spacing w:after="0"/>
              <w:rPr>
                <w:sz w:val="20"/>
                <w:szCs w:val="20"/>
                <w:color w:val="auto"/>
              </w:rPr>
            </w:pPr>
            <w:r>
              <w:rPr>
                <w:rFonts w:ascii="Arial" w:cs="Arial" w:eastAsia="Arial" w:hAnsi="Arial"/>
                <w:sz w:val="18"/>
                <w:szCs w:val="18"/>
                <w:color w:val="auto"/>
              </w:rPr>
              <w:t>1.2</w:t>
            </w:r>
          </w:p>
        </w:tc>
      </w:tr>
      <w:tr>
        <w:trPr>
          <w:trHeight w:val="27"/>
        </w:trPr>
        <w:tc>
          <w:tcPr>
            <w:tcW w:w="66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200" w:type="dxa"/>
            <w:vAlign w:val="bottom"/>
          </w:tcPr>
          <w:p>
            <w:pPr>
              <w:spacing w:after="0"/>
              <w:rPr>
                <w:sz w:val="2"/>
                <w:szCs w:val="2"/>
                <w:color w:val="auto"/>
              </w:rPr>
            </w:pPr>
          </w:p>
        </w:tc>
      </w:tr>
      <w:tr>
        <w:trPr>
          <w:trHeight w:val="250"/>
        </w:trPr>
        <w:tc>
          <w:tcPr>
            <w:tcW w:w="66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Risk-free interest rate</w:t>
            </w:r>
          </w:p>
        </w:tc>
        <w:tc>
          <w:tcPr>
            <w:tcW w:w="2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r>
      <w:tr>
        <w:trPr>
          <w:trHeight w:val="243"/>
        </w:trPr>
        <w:tc>
          <w:tcPr>
            <w:tcW w:w="6660" w:type="dxa"/>
            <w:vAlign w:val="bottom"/>
          </w:tcPr>
          <w:p>
            <w:pPr>
              <w:ind w:left="20"/>
              <w:spacing w:after="0"/>
              <w:rPr>
                <w:sz w:val="20"/>
                <w:szCs w:val="20"/>
                <w:color w:val="auto"/>
              </w:rPr>
            </w:pPr>
            <w:r>
              <w:rPr>
                <w:rFonts w:ascii="Arial" w:cs="Arial" w:eastAsia="Arial" w:hAnsi="Arial"/>
                <w:sz w:val="18"/>
                <w:szCs w:val="18"/>
                <w:color w:val="auto"/>
              </w:rPr>
              <w:t>Expected dividend yield</w:t>
            </w:r>
          </w:p>
        </w:tc>
        <w:tc>
          <w:tcPr>
            <w:tcW w:w="24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1.0</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1.4</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1.1</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r>
    </w:tbl>
    <w:p>
      <w:pPr>
        <w:spacing w:after="0" w:line="121"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weighted-average assumptions were used for each respective period to calculate the fair value of common shares to be issued under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Total Shareholder Return performance awards on the date of grant using the Monte Carlo pricing model:</w:t>
      </w:r>
    </w:p>
    <w:p>
      <w:pPr>
        <w:spacing w:after="0" w:line="4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00" w:type="dxa"/>
            <w:vAlign w:val="bottom"/>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left="117"/>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r>
      <w:tr>
        <w:trPr>
          <w:trHeight w:val="152"/>
        </w:trPr>
        <w:tc>
          <w:tcPr>
            <w:tcW w:w="6700" w:type="dxa"/>
            <w:vAlign w:val="bottom"/>
          </w:tcPr>
          <w:p>
            <w:pPr>
              <w:spacing w:after="0"/>
              <w:rPr>
                <w:sz w:val="13"/>
                <w:szCs w:val="13"/>
                <w:color w:val="auto"/>
              </w:rPr>
            </w:pPr>
          </w:p>
        </w:tc>
        <w:tc>
          <w:tcPr>
            <w:tcW w:w="1240" w:type="dxa"/>
            <w:vAlign w:val="bottom"/>
          </w:tcPr>
          <w:p>
            <w:pPr>
              <w:jc w:val="right"/>
              <w:ind w:right="75"/>
              <w:spacing w:after="0" w:line="153" w:lineRule="exact"/>
              <w:rPr>
                <w:sz w:val="20"/>
                <w:szCs w:val="20"/>
                <w:color w:val="auto"/>
              </w:rPr>
            </w:pPr>
            <w:r>
              <w:rPr>
                <w:rFonts w:ascii="Arial" w:cs="Arial" w:eastAsia="Arial" w:hAnsi="Arial"/>
                <w:sz w:val="14"/>
                <w:szCs w:val="14"/>
                <w:b w:val="1"/>
                <w:bCs w:val="1"/>
                <w:color w:val="auto"/>
              </w:rPr>
              <w:t>February 1,</w:t>
            </w:r>
          </w:p>
        </w:tc>
        <w:tc>
          <w:tcPr>
            <w:tcW w:w="2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240" w:type="dxa"/>
            <w:vAlign w:val="bottom"/>
          </w:tcPr>
          <w:p>
            <w:pPr>
              <w:jc w:val="center"/>
              <w:ind w:left="117"/>
              <w:spacing w:after="0" w:line="153" w:lineRule="exact"/>
              <w:rPr>
                <w:sz w:val="20"/>
                <w:szCs w:val="20"/>
                <w:color w:val="auto"/>
              </w:rPr>
            </w:pPr>
            <w:r>
              <w:rPr>
                <w:rFonts w:ascii="Arial" w:cs="Arial" w:eastAsia="Arial" w:hAnsi="Arial"/>
                <w:sz w:val="14"/>
                <w:szCs w:val="14"/>
                <w:b w:val="1"/>
                <w:bCs w:val="1"/>
                <w:color w:val="auto"/>
                <w:w w:val="95"/>
              </w:rPr>
              <w:t>February 2,</w:t>
            </w:r>
          </w:p>
        </w:tc>
        <w:tc>
          <w:tcPr>
            <w:tcW w:w="2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40" w:type="dxa"/>
            <w:vAlign w:val="bottom"/>
          </w:tcPr>
          <w:p>
            <w:pPr>
              <w:jc w:val="right"/>
              <w:ind w:right="75"/>
              <w:spacing w:after="0" w:line="153" w:lineRule="exact"/>
              <w:rPr>
                <w:sz w:val="20"/>
                <w:szCs w:val="20"/>
                <w:color w:val="auto"/>
              </w:rPr>
            </w:pPr>
            <w:r>
              <w:rPr>
                <w:rFonts w:ascii="Arial" w:cs="Arial" w:eastAsia="Arial" w:hAnsi="Arial"/>
                <w:sz w:val="14"/>
                <w:szCs w:val="14"/>
                <w:b w:val="1"/>
                <w:bCs w:val="1"/>
                <w:color w:val="auto"/>
              </w:rPr>
              <w:t>February 3,</w:t>
            </w:r>
          </w:p>
        </w:tc>
        <w:tc>
          <w:tcPr>
            <w:tcW w:w="200" w:type="dxa"/>
            <w:vAlign w:val="bottom"/>
          </w:tcPr>
          <w:p>
            <w:pPr>
              <w:spacing w:after="0"/>
              <w:rPr>
                <w:sz w:val="13"/>
                <w:szCs w:val="13"/>
                <w:color w:val="auto"/>
              </w:rPr>
            </w:pPr>
          </w:p>
        </w:tc>
      </w:tr>
      <w:tr>
        <w:trPr>
          <w:trHeight w:val="192"/>
        </w:trPr>
        <w:tc>
          <w:tcPr>
            <w:tcW w:w="6700" w:type="dxa"/>
            <w:vAlign w:val="bottom"/>
            <w:tcBorders>
              <w:bottom w:val="single" w:sz="8" w:color="CCEEFF"/>
            </w:tcBorders>
          </w:tcPr>
          <w:p>
            <w:pPr>
              <w:spacing w:after="0"/>
              <w:rPr>
                <w:sz w:val="16"/>
                <w:szCs w:val="16"/>
                <w:color w:val="auto"/>
              </w:rPr>
            </w:pPr>
          </w:p>
        </w:tc>
        <w:tc>
          <w:tcPr>
            <w:tcW w:w="1240" w:type="dxa"/>
            <w:vAlign w:val="bottom"/>
            <w:tcBorders>
              <w:bottom w:val="single" w:sz="8" w:color="auto"/>
            </w:tcBorders>
          </w:tcPr>
          <w:p>
            <w:pPr>
              <w:jc w:val="right"/>
              <w:ind w:right="295"/>
              <w:spacing w:after="0"/>
              <w:rPr>
                <w:sz w:val="20"/>
                <w:szCs w:val="20"/>
                <w:color w:val="auto"/>
              </w:rPr>
            </w:pPr>
            <w:r>
              <w:rPr>
                <w:rFonts w:ascii="Arial" w:cs="Arial" w:eastAsia="Arial" w:hAnsi="Arial"/>
                <w:sz w:val="14"/>
                <w:szCs w:val="14"/>
                <w:b w:val="1"/>
                <w:bCs w:val="1"/>
                <w:color w:val="auto"/>
              </w:rPr>
              <w:t>2020</w:t>
            </w:r>
          </w:p>
        </w:tc>
        <w:tc>
          <w:tcPr>
            <w:tcW w:w="2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240" w:type="dxa"/>
            <w:vAlign w:val="bottom"/>
            <w:tcBorders>
              <w:bottom w:val="single" w:sz="8" w:color="auto"/>
            </w:tcBorders>
          </w:tcPr>
          <w:p>
            <w:pPr>
              <w:jc w:val="center"/>
              <w:ind w:left="117"/>
              <w:spacing w:after="0"/>
              <w:rPr>
                <w:sz w:val="20"/>
                <w:szCs w:val="20"/>
                <w:color w:val="auto"/>
              </w:rPr>
            </w:pPr>
            <w:r>
              <w:rPr>
                <w:rFonts w:ascii="Arial" w:cs="Arial" w:eastAsia="Arial" w:hAnsi="Arial"/>
                <w:sz w:val="14"/>
                <w:szCs w:val="14"/>
                <w:b w:val="1"/>
                <w:bCs w:val="1"/>
                <w:color w:val="auto"/>
                <w:w w:val="89"/>
              </w:rPr>
              <w:t>2019</w:t>
            </w:r>
          </w:p>
        </w:tc>
        <w:tc>
          <w:tcPr>
            <w:tcW w:w="20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240" w:type="dxa"/>
            <w:vAlign w:val="bottom"/>
            <w:tcBorders>
              <w:bottom w:val="single" w:sz="8" w:color="auto"/>
            </w:tcBorders>
          </w:tcPr>
          <w:p>
            <w:pPr>
              <w:jc w:val="right"/>
              <w:ind w:right="295"/>
              <w:spacing w:after="0"/>
              <w:rPr>
                <w:sz w:val="20"/>
                <w:szCs w:val="20"/>
                <w:color w:val="auto"/>
              </w:rPr>
            </w:pPr>
            <w:r>
              <w:rPr>
                <w:rFonts w:ascii="Arial" w:cs="Arial" w:eastAsia="Arial" w:hAnsi="Arial"/>
                <w:sz w:val="14"/>
                <w:szCs w:val="14"/>
                <w:b w:val="1"/>
                <w:bCs w:val="1"/>
                <w:color w:val="auto"/>
              </w:rPr>
              <w:t>2018</w:t>
            </w:r>
          </w:p>
        </w:tc>
        <w:tc>
          <w:tcPr>
            <w:tcW w:w="200" w:type="dxa"/>
            <w:vAlign w:val="bottom"/>
            <w:tcBorders>
              <w:bottom w:val="single" w:sz="8" w:color="auto"/>
            </w:tcBorders>
          </w:tcPr>
          <w:p>
            <w:pPr>
              <w:spacing w:after="0"/>
              <w:rPr>
                <w:sz w:val="16"/>
                <w:szCs w:val="16"/>
                <w:color w:val="auto"/>
              </w:rPr>
            </w:pPr>
          </w:p>
        </w:tc>
      </w:tr>
      <w:tr>
        <w:trPr>
          <w:trHeight w:val="236"/>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Total Shareholder Return Awards:</w:t>
            </w:r>
          </w:p>
        </w:tc>
        <w:tc>
          <w:tcPr>
            <w:tcW w:w="12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r>
      <w:tr>
        <w:trPr>
          <w:trHeight w:val="243"/>
        </w:trPr>
        <w:tc>
          <w:tcPr>
            <w:tcW w:w="6700" w:type="dxa"/>
            <w:vAlign w:val="bottom"/>
          </w:tcPr>
          <w:p>
            <w:pPr>
              <w:ind w:left="20"/>
              <w:spacing w:after="0"/>
              <w:rPr>
                <w:sz w:val="20"/>
                <w:szCs w:val="20"/>
                <w:color w:val="auto"/>
              </w:rPr>
            </w:pPr>
            <w:r>
              <w:rPr>
                <w:rFonts w:ascii="Arial" w:cs="Arial" w:eastAsia="Arial" w:hAnsi="Arial"/>
                <w:sz w:val="18"/>
                <w:szCs w:val="18"/>
                <w:color w:val="auto"/>
              </w:rPr>
              <w:t>Expected term (in years)</w:t>
            </w:r>
          </w:p>
        </w:tc>
        <w:tc>
          <w:tcPr>
            <w:tcW w:w="1440" w:type="dxa"/>
            <w:vAlign w:val="bottom"/>
            <w:gridSpan w:val="2"/>
          </w:tcPr>
          <w:p>
            <w:pPr>
              <w:jc w:val="right"/>
              <w:spacing w:after="0"/>
              <w:rPr>
                <w:sz w:val="20"/>
                <w:szCs w:val="20"/>
                <w:color w:val="auto"/>
              </w:rPr>
            </w:pPr>
            <w:r>
              <w:rPr>
                <w:rFonts w:ascii="Arial" w:cs="Arial" w:eastAsia="Arial" w:hAnsi="Arial"/>
                <w:sz w:val="18"/>
                <w:szCs w:val="18"/>
                <w:color w:val="auto"/>
              </w:rPr>
              <w:t>3.0</w:t>
            </w:r>
          </w:p>
        </w:tc>
        <w:tc>
          <w:tcPr>
            <w:tcW w:w="100" w:type="dxa"/>
            <w:vAlign w:val="bottom"/>
          </w:tcPr>
          <w:p>
            <w:pPr>
              <w:spacing w:after="0"/>
              <w:rPr>
                <w:sz w:val="21"/>
                <w:szCs w:val="21"/>
                <w:color w:val="auto"/>
              </w:rPr>
            </w:pPr>
          </w:p>
        </w:tc>
        <w:tc>
          <w:tcPr>
            <w:tcW w:w="1440" w:type="dxa"/>
            <w:vAlign w:val="bottom"/>
            <w:gridSpan w:val="2"/>
          </w:tcPr>
          <w:p>
            <w:pPr>
              <w:jc w:val="right"/>
              <w:spacing w:after="0"/>
              <w:rPr>
                <w:sz w:val="20"/>
                <w:szCs w:val="20"/>
                <w:color w:val="auto"/>
              </w:rPr>
            </w:pPr>
            <w:r>
              <w:rPr>
                <w:rFonts w:ascii="Arial" w:cs="Arial" w:eastAsia="Arial" w:hAnsi="Arial"/>
                <w:sz w:val="18"/>
                <w:szCs w:val="18"/>
                <w:color w:val="auto"/>
              </w:rPr>
              <w:t>2.9</w:t>
            </w:r>
          </w:p>
        </w:tc>
        <w:tc>
          <w:tcPr>
            <w:tcW w:w="120" w:type="dxa"/>
            <w:vAlign w:val="bottom"/>
          </w:tcPr>
          <w:p>
            <w:pPr>
              <w:spacing w:after="0"/>
              <w:rPr>
                <w:sz w:val="21"/>
                <w:szCs w:val="21"/>
                <w:color w:val="auto"/>
              </w:rPr>
            </w:pPr>
          </w:p>
        </w:tc>
        <w:tc>
          <w:tcPr>
            <w:tcW w:w="1440" w:type="dxa"/>
            <w:vAlign w:val="bottom"/>
            <w:gridSpan w:val="2"/>
          </w:tcPr>
          <w:p>
            <w:pPr>
              <w:jc w:val="right"/>
              <w:spacing w:after="0"/>
              <w:rPr>
                <w:sz w:val="20"/>
                <w:szCs w:val="20"/>
                <w:color w:val="auto"/>
              </w:rPr>
            </w:pPr>
            <w:r>
              <w:rPr>
                <w:rFonts w:ascii="Arial" w:cs="Arial" w:eastAsia="Arial" w:hAnsi="Arial"/>
                <w:sz w:val="18"/>
                <w:szCs w:val="18"/>
                <w:color w:val="auto"/>
              </w:rPr>
              <w:t>2.9</w:t>
            </w:r>
          </w:p>
        </w:tc>
      </w:tr>
      <w:tr>
        <w:trPr>
          <w:trHeight w:val="27"/>
        </w:trPr>
        <w:tc>
          <w:tcPr>
            <w:tcW w:w="67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00" w:type="dxa"/>
            <w:vAlign w:val="bottom"/>
          </w:tcPr>
          <w:p>
            <w:pPr>
              <w:spacing w:after="0"/>
              <w:rPr>
                <w:sz w:val="2"/>
                <w:szCs w:val="2"/>
                <w:color w:val="auto"/>
              </w:rPr>
            </w:pPr>
          </w:p>
        </w:tc>
      </w:tr>
      <w:tr>
        <w:trPr>
          <w:trHeight w:val="250"/>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Expected volatility</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r>
      <w:tr>
        <w:trPr>
          <w:trHeight w:val="243"/>
        </w:trPr>
        <w:tc>
          <w:tcPr>
            <w:tcW w:w="6700" w:type="dxa"/>
            <w:vAlign w:val="bottom"/>
          </w:tcPr>
          <w:p>
            <w:pPr>
              <w:ind w:left="20"/>
              <w:spacing w:after="0"/>
              <w:rPr>
                <w:sz w:val="20"/>
                <w:szCs w:val="20"/>
                <w:color w:val="auto"/>
              </w:rPr>
            </w:pPr>
            <w:r>
              <w:rPr>
                <w:rFonts w:ascii="Arial" w:cs="Arial" w:eastAsia="Arial" w:hAnsi="Arial"/>
                <w:sz w:val="18"/>
                <w:szCs w:val="18"/>
                <w:color w:val="auto"/>
              </w:rPr>
              <w:t>Average correlation coefficient of peer companies</w:t>
            </w:r>
          </w:p>
        </w:tc>
        <w:tc>
          <w:tcPr>
            <w:tcW w:w="1240" w:type="dxa"/>
            <w:vAlign w:val="bottom"/>
          </w:tcPr>
          <w:p>
            <w:pPr>
              <w:jc w:val="right"/>
              <w:spacing w:after="0"/>
              <w:rPr>
                <w:sz w:val="20"/>
                <w:szCs w:val="20"/>
                <w:color w:val="auto"/>
              </w:rPr>
            </w:pPr>
            <w:r>
              <w:rPr>
                <w:rFonts w:ascii="Arial" w:cs="Arial" w:eastAsia="Arial" w:hAnsi="Arial"/>
                <w:sz w:val="18"/>
                <w:szCs w:val="18"/>
                <w:color w:val="auto"/>
              </w:rPr>
              <w:t>0.5</w:t>
            </w: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0.5</w:t>
            </w:r>
          </w:p>
        </w:tc>
        <w:tc>
          <w:tcPr>
            <w:tcW w:w="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0.5</w:t>
            </w:r>
          </w:p>
        </w:tc>
        <w:tc>
          <w:tcPr>
            <w:tcW w:w="200" w:type="dxa"/>
            <w:vAlign w:val="bottom"/>
          </w:tcPr>
          <w:p>
            <w:pPr>
              <w:spacing w:after="0"/>
              <w:rPr>
                <w:sz w:val="21"/>
                <w:szCs w:val="21"/>
                <w:color w:val="auto"/>
              </w:rPr>
            </w:pPr>
          </w:p>
        </w:tc>
      </w:tr>
      <w:tr>
        <w:trPr>
          <w:trHeight w:val="27"/>
        </w:trPr>
        <w:tc>
          <w:tcPr>
            <w:tcW w:w="67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00" w:type="dxa"/>
            <w:vAlign w:val="bottom"/>
          </w:tcPr>
          <w:p>
            <w:pPr>
              <w:spacing w:after="0"/>
              <w:rPr>
                <w:sz w:val="2"/>
                <w:szCs w:val="2"/>
                <w:color w:val="auto"/>
              </w:rPr>
            </w:pPr>
          </w:p>
        </w:tc>
      </w:tr>
      <w:tr>
        <w:trPr>
          <w:trHeight w:val="250"/>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Risk-free interest rate</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r>
      <w:tr>
        <w:trPr>
          <w:trHeight w:val="243"/>
        </w:trPr>
        <w:tc>
          <w:tcPr>
            <w:tcW w:w="6700" w:type="dxa"/>
            <w:vAlign w:val="bottom"/>
          </w:tcPr>
          <w:p>
            <w:pPr>
              <w:ind w:left="20"/>
              <w:spacing w:after="0"/>
              <w:rPr>
                <w:sz w:val="20"/>
                <w:szCs w:val="20"/>
                <w:color w:val="auto"/>
              </w:rPr>
            </w:pPr>
            <w:r>
              <w:rPr>
                <w:rFonts w:ascii="Arial" w:cs="Arial" w:eastAsia="Arial" w:hAnsi="Arial"/>
                <w:sz w:val="18"/>
                <w:szCs w:val="18"/>
                <w:color w:val="auto"/>
              </w:rPr>
              <w:t>Expected dividend yield</w:t>
            </w:r>
          </w:p>
        </w:tc>
        <w:tc>
          <w:tcPr>
            <w:tcW w:w="1240" w:type="dxa"/>
            <w:vAlign w:val="bottom"/>
          </w:tcPr>
          <w:p>
            <w:pPr>
              <w:jc w:val="right"/>
              <w:spacing w:after="0"/>
              <w:rPr>
                <w:sz w:val="20"/>
                <w:szCs w:val="20"/>
                <w:color w:val="auto"/>
              </w:rPr>
            </w:pPr>
            <w:r>
              <w:rPr>
                <w:rFonts w:ascii="Arial" w:cs="Arial" w:eastAsia="Arial" w:hAnsi="Arial"/>
                <w:sz w:val="18"/>
                <w:szCs w:val="18"/>
                <w:color w:val="auto"/>
              </w:rPr>
              <w:t>1.0</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1.1</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1.6</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r>
    </w:tbl>
    <w:p>
      <w:pPr>
        <w:spacing w:after="0" w:line="121" w:lineRule="exact"/>
        <w:rPr>
          <w:sz w:val="20"/>
          <w:szCs w:val="20"/>
          <w:color w:val="auto"/>
        </w:rPr>
      </w:pPr>
    </w:p>
    <w:p>
      <w:pPr>
        <w:ind w:right="100" w:firstLine="405"/>
        <w:spacing w:after="0" w:line="277" w:lineRule="auto"/>
        <w:rPr>
          <w:sz w:val="20"/>
          <w:szCs w:val="20"/>
          <w:color w:val="auto"/>
        </w:rPr>
      </w:pPr>
      <w:r>
        <w:rPr>
          <w:rFonts w:ascii="Arial" w:cs="Arial" w:eastAsia="Arial" w:hAnsi="Arial"/>
          <w:sz w:val="18"/>
          <w:szCs w:val="18"/>
          <w:color w:val="auto"/>
        </w:rPr>
        <w:t>The correlation coefficients are calculated based upon the price data used to calculate the historical volatilities and is used to model the way in which each entity tends to move in relation to its peers.</w:t>
      </w: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0" w:name="page91"/>
    <w:bookmarkEnd w:id="9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100" w:firstLine="405"/>
        <w:spacing w:after="0" w:line="276" w:lineRule="auto"/>
        <w:rPr>
          <w:sz w:val="20"/>
          <w:szCs w:val="20"/>
          <w:color w:val="auto"/>
        </w:rPr>
      </w:pPr>
      <w:r>
        <w:rPr>
          <w:rFonts w:ascii="Arial" w:cs="Arial" w:eastAsia="Arial" w:hAnsi="Arial"/>
          <w:sz w:val="18"/>
          <w:szCs w:val="18"/>
          <w:color w:val="auto"/>
        </w:rPr>
        <w:t>The following weighted-average assumptions were used for estimating the fair value of common shares to be issued under VCA RSUs on the date of grant using the Monte Carlo pricing model:</w:t>
      </w:r>
    </w:p>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9780" w:type="dxa"/>
            <w:vAlign w:val="bottom"/>
          </w:tcPr>
          <w:p>
            <w:pPr>
              <w:spacing w:after="0"/>
              <w:rPr>
                <w:sz w:val="16"/>
                <w:szCs w:val="16"/>
                <w:color w:val="auto"/>
              </w:rPr>
            </w:pPr>
          </w:p>
        </w:tc>
        <w:tc>
          <w:tcPr>
            <w:tcW w:w="1260" w:type="dxa"/>
            <w:vAlign w:val="bottom"/>
            <w:tcBorders>
              <w:bottom w:val="single" w:sz="8" w:color="auto"/>
            </w:tcBorders>
          </w:tcPr>
          <w:p>
            <w:pPr>
              <w:jc w:val="center"/>
              <w:ind w:left="138"/>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Borders>
              <w:bottom w:val="single" w:sz="8" w:color="auto"/>
            </w:tcBorders>
          </w:tcPr>
          <w:p>
            <w:pPr>
              <w:spacing w:after="0"/>
              <w:rPr>
                <w:sz w:val="16"/>
                <w:szCs w:val="16"/>
                <w:color w:val="auto"/>
              </w:rPr>
            </w:pPr>
          </w:p>
        </w:tc>
      </w:tr>
      <w:tr>
        <w:trPr>
          <w:trHeight w:val="152"/>
        </w:trPr>
        <w:tc>
          <w:tcPr>
            <w:tcW w:w="9780" w:type="dxa"/>
            <w:vAlign w:val="bottom"/>
          </w:tcPr>
          <w:p>
            <w:pPr>
              <w:spacing w:after="0"/>
              <w:rPr>
                <w:sz w:val="13"/>
                <w:szCs w:val="13"/>
                <w:color w:val="auto"/>
              </w:rPr>
            </w:pPr>
          </w:p>
        </w:tc>
        <w:tc>
          <w:tcPr>
            <w:tcW w:w="1260" w:type="dxa"/>
            <w:vAlign w:val="bottom"/>
          </w:tcPr>
          <w:p>
            <w:pPr>
              <w:jc w:val="center"/>
              <w:ind w:left="118"/>
              <w:spacing w:after="0" w:line="153" w:lineRule="exact"/>
              <w:rPr>
                <w:sz w:val="20"/>
                <w:szCs w:val="20"/>
                <w:color w:val="auto"/>
              </w:rPr>
            </w:pPr>
            <w:r>
              <w:rPr>
                <w:rFonts w:ascii="Arial" w:cs="Arial" w:eastAsia="Arial" w:hAnsi="Arial"/>
                <w:sz w:val="14"/>
                <w:szCs w:val="14"/>
                <w:b w:val="1"/>
                <w:bCs w:val="1"/>
                <w:color w:val="auto"/>
                <w:w w:val="97"/>
              </w:rPr>
              <w:t>February 1,</w:t>
            </w:r>
          </w:p>
        </w:tc>
        <w:tc>
          <w:tcPr>
            <w:tcW w:w="200" w:type="dxa"/>
            <w:vAlign w:val="bottom"/>
          </w:tcPr>
          <w:p>
            <w:pPr>
              <w:spacing w:after="0"/>
              <w:rPr>
                <w:sz w:val="13"/>
                <w:szCs w:val="13"/>
                <w:color w:val="auto"/>
              </w:rPr>
            </w:pPr>
          </w:p>
        </w:tc>
      </w:tr>
      <w:tr>
        <w:trPr>
          <w:trHeight w:val="192"/>
        </w:trPr>
        <w:tc>
          <w:tcPr>
            <w:tcW w:w="9780" w:type="dxa"/>
            <w:vAlign w:val="bottom"/>
            <w:tcBorders>
              <w:bottom w:val="single" w:sz="8" w:color="CCEEFF"/>
            </w:tcBorders>
          </w:tcPr>
          <w:p>
            <w:pPr>
              <w:spacing w:after="0"/>
              <w:rPr>
                <w:sz w:val="16"/>
                <w:szCs w:val="16"/>
                <w:color w:val="auto"/>
              </w:rPr>
            </w:pPr>
          </w:p>
        </w:tc>
        <w:tc>
          <w:tcPr>
            <w:tcW w:w="1260" w:type="dxa"/>
            <w:vAlign w:val="bottom"/>
            <w:tcBorders>
              <w:bottom w:val="single" w:sz="8" w:color="auto"/>
            </w:tcBorders>
          </w:tcPr>
          <w:p>
            <w:pPr>
              <w:jc w:val="center"/>
              <w:ind w:left="118"/>
              <w:spacing w:after="0"/>
              <w:rPr>
                <w:sz w:val="20"/>
                <w:szCs w:val="20"/>
                <w:color w:val="auto"/>
              </w:rPr>
            </w:pPr>
            <w:r>
              <w:rPr>
                <w:rFonts w:ascii="Arial" w:cs="Arial" w:eastAsia="Arial" w:hAnsi="Arial"/>
                <w:sz w:val="14"/>
                <w:szCs w:val="14"/>
                <w:b w:val="1"/>
                <w:bCs w:val="1"/>
                <w:color w:val="auto"/>
                <w:w w:val="96"/>
              </w:rPr>
              <w:t>2020</w:t>
            </w:r>
          </w:p>
        </w:tc>
        <w:tc>
          <w:tcPr>
            <w:tcW w:w="200" w:type="dxa"/>
            <w:vAlign w:val="bottom"/>
            <w:tcBorders>
              <w:bottom w:val="single" w:sz="8" w:color="auto"/>
            </w:tcBorders>
          </w:tcPr>
          <w:p>
            <w:pPr>
              <w:spacing w:after="0"/>
              <w:rPr>
                <w:sz w:val="16"/>
                <w:szCs w:val="16"/>
                <w:color w:val="auto"/>
              </w:rPr>
            </w:pPr>
          </w:p>
        </w:tc>
      </w:tr>
      <w:tr>
        <w:trPr>
          <w:trHeight w:val="236"/>
        </w:trPr>
        <w:tc>
          <w:tcPr>
            <w:tcW w:w="97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Value Creation Awards:</w:t>
            </w:r>
          </w:p>
        </w:tc>
        <w:tc>
          <w:tcPr>
            <w:tcW w:w="126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r>
      <w:tr>
        <w:trPr>
          <w:trHeight w:val="243"/>
        </w:trPr>
        <w:tc>
          <w:tcPr>
            <w:tcW w:w="9780" w:type="dxa"/>
            <w:vAlign w:val="bottom"/>
          </w:tcPr>
          <w:p>
            <w:pPr>
              <w:ind w:left="20"/>
              <w:spacing w:after="0"/>
              <w:rPr>
                <w:sz w:val="20"/>
                <w:szCs w:val="20"/>
                <w:color w:val="auto"/>
              </w:rPr>
            </w:pPr>
            <w:r>
              <w:rPr>
                <w:rFonts w:ascii="Arial" w:cs="Arial" w:eastAsia="Arial" w:hAnsi="Arial"/>
                <w:sz w:val="18"/>
                <w:szCs w:val="18"/>
                <w:color w:val="auto"/>
              </w:rPr>
              <w:t>Expected term (in years)</w:t>
            </w:r>
          </w:p>
        </w:tc>
        <w:tc>
          <w:tcPr>
            <w:tcW w:w="1460" w:type="dxa"/>
            <w:vAlign w:val="bottom"/>
            <w:gridSpan w:val="2"/>
          </w:tcPr>
          <w:p>
            <w:pPr>
              <w:jc w:val="right"/>
              <w:spacing w:after="0"/>
              <w:rPr>
                <w:sz w:val="20"/>
                <w:szCs w:val="20"/>
                <w:color w:val="auto"/>
              </w:rPr>
            </w:pPr>
            <w:r>
              <w:rPr>
                <w:rFonts w:ascii="Arial" w:cs="Arial" w:eastAsia="Arial" w:hAnsi="Arial"/>
                <w:sz w:val="18"/>
                <w:szCs w:val="18"/>
                <w:color w:val="auto"/>
              </w:rPr>
              <w:t>4.66</w:t>
            </w:r>
          </w:p>
        </w:tc>
      </w:tr>
      <w:tr>
        <w:trPr>
          <w:trHeight w:val="27"/>
        </w:trPr>
        <w:tc>
          <w:tcPr>
            <w:tcW w:w="97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00" w:type="dxa"/>
            <w:vAlign w:val="bottom"/>
          </w:tcPr>
          <w:p>
            <w:pPr>
              <w:spacing w:after="0"/>
              <w:rPr>
                <w:sz w:val="2"/>
                <w:szCs w:val="2"/>
                <w:color w:val="auto"/>
              </w:rPr>
            </w:pPr>
          </w:p>
        </w:tc>
      </w:tr>
      <w:tr>
        <w:trPr>
          <w:trHeight w:val="250"/>
        </w:trPr>
        <w:tc>
          <w:tcPr>
            <w:tcW w:w="97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Expected volatility</w:t>
            </w: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r>
      <w:tr>
        <w:trPr>
          <w:trHeight w:val="243"/>
        </w:trPr>
        <w:tc>
          <w:tcPr>
            <w:tcW w:w="9780" w:type="dxa"/>
            <w:vAlign w:val="bottom"/>
          </w:tcPr>
          <w:p>
            <w:pPr>
              <w:ind w:left="20"/>
              <w:spacing w:after="0"/>
              <w:rPr>
                <w:sz w:val="20"/>
                <w:szCs w:val="20"/>
                <w:color w:val="auto"/>
              </w:rPr>
            </w:pPr>
            <w:r>
              <w:rPr>
                <w:rFonts w:ascii="Arial" w:cs="Arial" w:eastAsia="Arial" w:hAnsi="Arial"/>
                <w:sz w:val="18"/>
                <w:szCs w:val="18"/>
                <w:color w:val="auto"/>
              </w:rPr>
              <w:t>Risk-free interest rate</w:t>
            </w:r>
          </w:p>
        </w:tc>
        <w:tc>
          <w:tcPr>
            <w:tcW w:w="1260" w:type="dxa"/>
            <w:vAlign w:val="bottom"/>
          </w:tcPr>
          <w:p>
            <w:pPr>
              <w:jc w:val="right"/>
              <w:spacing w:after="0"/>
              <w:rPr>
                <w:sz w:val="20"/>
                <w:szCs w:val="20"/>
                <w:color w:val="auto"/>
              </w:rPr>
            </w:pPr>
            <w:r>
              <w:rPr>
                <w:rFonts w:ascii="Arial" w:cs="Arial" w:eastAsia="Arial" w:hAnsi="Arial"/>
                <w:sz w:val="18"/>
                <w:szCs w:val="18"/>
                <w:color w:val="auto"/>
              </w:rPr>
              <w:t>1.8</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r>
      <w:tr>
        <w:trPr>
          <w:trHeight w:val="27"/>
        </w:trPr>
        <w:tc>
          <w:tcPr>
            <w:tcW w:w="97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00" w:type="dxa"/>
            <w:vAlign w:val="bottom"/>
          </w:tcPr>
          <w:p>
            <w:pPr>
              <w:spacing w:after="0"/>
              <w:rPr>
                <w:sz w:val="2"/>
                <w:szCs w:val="2"/>
                <w:color w:val="auto"/>
              </w:rPr>
            </w:pPr>
          </w:p>
        </w:tc>
      </w:tr>
      <w:tr>
        <w:trPr>
          <w:trHeight w:val="243"/>
        </w:trPr>
        <w:tc>
          <w:tcPr>
            <w:tcW w:w="9780" w:type="dxa"/>
            <w:vAlign w:val="bottom"/>
            <w:shd w:val="clear" w:color="auto" w:fill="CCEEFF"/>
          </w:tcPr>
          <w:p>
            <w:pPr>
              <w:ind w:left="20"/>
              <w:spacing w:after="0"/>
              <w:rPr>
                <w:sz w:val="20"/>
                <w:szCs w:val="20"/>
                <w:color w:val="auto"/>
              </w:rPr>
            </w:pPr>
            <w:r>
              <w:rPr>
                <w:rFonts w:ascii="Arial" w:cs="Arial" w:eastAsia="Arial" w:hAnsi="Arial"/>
                <w:sz w:val="18"/>
                <w:szCs w:val="18"/>
                <w:color w:val="auto"/>
              </w:rPr>
              <w:t>Expected dividend yield</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r>
      <w:tr>
        <w:trPr>
          <w:trHeight w:val="27"/>
        </w:trPr>
        <w:tc>
          <w:tcPr>
            <w:tcW w:w="9780" w:type="dxa"/>
            <w:vAlign w:val="bottom"/>
            <w:shd w:val="clear" w:color="auto" w:fill="CCEEFF"/>
          </w:tcPr>
          <w:p>
            <w:pPr>
              <w:spacing w:after="0"/>
              <w:rPr>
                <w:sz w:val="2"/>
                <w:szCs w:val="2"/>
                <w:color w:val="auto"/>
              </w:rPr>
            </w:pPr>
          </w:p>
        </w:tc>
        <w:tc>
          <w:tcPr>
            <w:tcW w:w="126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r>
    </w:tbl>
    <w:p>
      <w:pPr>
        <w:spacing w:after="0" w:line="200" w:lineRule="exact"/>
        <w:rPr>
          <w:sz w:val="20"/>
          <w:szCs w:val="20"/>
          <w:color w:val="auto"/>
        </w:rPr>
      </w:pPr>
    </w:p>
    <w:p>
      <w:pPr>
        <w:spacing w:after="0" w:line="245" w:lineRule="exact"/>
        <w:rPr>
          <w:sz w:val="20"/>
          <w:szCs w:val="20"/>
          <w:color w:val="auto"/>
        </w:rPr>
      </w:pPr>
    </w:p>
    <w:p>
      <w:pPr>
        <w:ind w:left="40"/>
        <w:spacing w:after="0"/>
        <w:rPr>
          <w:sz w:val="20"/>
          <w:szCs w:val="20"/>
          <w:color w:val="auto"/>
        </w:rPr>
      </w:pPr>
      <w:r>
        <w:rPr>
          <w:rFonts w:ascii="Arial" w:cs="Arial" w:eastAsia="Arial" w:hAnsi="Arial"/>
          <w:sz w:val="18"/>
          <w:szCs w:val="18"/>
          <w:b w:val="1"/>
          <w:bCs w:val="1"/>
          <w:i w:val="1"/>
          <w:iCs w:val="1"/>
          <w:color w:val="auto"/>
        </w:rPr>
        <w:t>Employee 401(k) Plans</w:t>
      </w:r>
    </w:p>
    <w:p>
      <w:pPr>
        <w:spacing w:after="0" w:line="117"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The Company sponsors a 401(k) savings and investment plan that allows eligible U.S. employees to participate by making pre-tax contributions to the 401(k) plan ranging from 1% to 50% of eligible earnings subject to a required annual limit. The Company currently matches 100% of the first 4% of the employee’s contribution and 50% of the next 2%, up to a $4,000 maximum contribution effective from January 1, 2018. The Company made matching contributions to employees of $11.0 million in fiscal 2020, $8.6 million in fiscal 2019 and $4.6 million in fiscal 2018. As of February 1, 2020, the 401(k) plan offers a variety of investment alternatives, representing different asset classes. Employees may not invest in the Company’s common shares through the 401(k) plan.</w:t>
      </w:r>
    </w:p>
    <w:p>
      <w:pPr>
        <w:spacing w:after="0" w:line="84" w:lineRule="exact"/>
        <w:rPr>
          <w:sz w:val="20"/>
          <w:szCs w:val="20"/>
          <w:color w:val="auto"/>
        </w:rPr>
      </w:pPr>
    </w:p>
    <w:p>
      <w:pPr>
        <w:ind w:right="600" w:firstLine="405"/>
        <w:spacing w:after="0" w:line="342" w:lineRule="auto"/>
        <w:rPr>
          <w:sz w:val="20"/>
          <w:szCs w:val="20"/>
          <w:color w:val="auto"/>
        </w:rPr>
      </w:pPr>
      <w:r>
        <w:rPr>
          <w:rFonts w:ascii="Arial" w:cs="Arial" w:eastAsia="Arial" w:hAnsi="Arial"/>
          <w:sz w:val="16"/>
          <w:szCs w:val="16"/>
          <w:color w:val="auto"/>
        </w:rPr>
        <w:t>The Company also has voluntary defined contribution plans in various non-U.S. locations. In connection with these plans, the Company made contributions on behalf of employees totaling $9.6 million, $16.8 million and $12.3 million during fiscal 2020, 2019 and 2018, respectively.</w:t>
      </w:r>
    </w:p>
    <w:p>
      <w:pPr>
        <w:spacing w:after="0" w:line="3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16 — Income Taxes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U.S. and non-U.S. components of income (loss) from continuing operations before income taxes consist of the following (in thousands):</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7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30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7"/>
              </w:rPr>
              <w:t>February 1,</w:t>
            </w:r>
          </w:p>
        </w:tc>
        <w:tc>
          <w:tcPr>
            <w:tcW w:w="240" w:type="dxa"/>
            <w:vAlign w:val="bottom"/>
          </w:tcPr>
          <w:p>
            <w:pPr>
              <w:spacing w:after="0"/>
              <w:rPr>
                <w:sz w:val="13"/>
                <w:szCs w:val="13"/>
                <w:color w:val="auto"/>
              </w:rPr>
            </w:pPr>
          </w:p>
        </w:tc>
        <w:tc>
          <w:tcPr>
            <w:tcW w:w="1300" w:type="dxa"/>
            <w:vAlign w:val="bottom"/>
            <w:gridSpan w:val="2"/>
          </w:tcPr>
          <w:p>
            <w:pPr>
              <w:jc w:val="center"/>
              <w:ind w:right="340"/>
              <w:spacing w:after="0" w:line="153" w:lineRule="exact"/>
              <w:rPr>
                <w:sz w:val="20"/>
                <w:szCs w:val="20"/>
                <w:color w:val="auto"/>
              </w:rPr>
            </w:pPr>
            <w:r>
              <w:rPr>
                <w:rFonts w:ascii="Arial" w:cs="Arial" w:eastAsia="Arial" w:hAnsi="Arial"/>
                <w:sz w:val="14"/>
                <w:szCs w:val="14"/>
                <w:b w:val="1"/>
                <w:bCs w:val="1"/>
                <w:color w:val="auto"/>
                <w:w w:val="95"/>
              </w:rPr>
              <w:t>February 2,</w:t>
            </w:r>
          </w:p>
        </w:tc>
        <w:tc>
          <w:tcPr>
            <w:tcW w:w="240" w:type="dxa"/>
            <w:vAlign w:val="bottom"/>
          </w:tcPr>
          <w:p>
            <w:pPr>
              <w:spacing w:after="0"/>
              <w:rPr>
                <w:sz w:val="13"/>
                <w:szCs w:val="13"/>
                <w:color w:val="auto"/>
              </w:rPr>
            </w:pPr>
          </w:p>
        </w:tc>
        <w:tc>
          <w:tcPr>
            <w:tcW w:w="1200" w:type="dxa"/>
            <w:vAlign w:val="bottom"/>
          </w:tcPr>
          <w:p>
            <w:pPr>
              <w:jc w:val="center"/>
              <w:ind w:right="155"/>
              <w:spacing w:after="0" w:line="153" w:lineRule="exact"/>
              <w:rPr>
                <w:sz w:val="20"/>
                <w:szCs w:val="20"/>
                <w:color w:val="auto"/>
              </w:rPr>
            </w:pPr>
            <w:r>
              <w:rPr>
                <w:rFonts w:ascii="Arial" w:cs="Arial" w:eastAsia="Arial" w:hAnsi="Arial"/>
                <w:sz w:val="14"/>
                <w:szCs w:val="14"/>
                <w:b w:val="1"/>
                <w:bCs w:val="1"/>
                <w:color w:val="auto"/>
                <w:w w:val="95"/>
              </w:rPr>
              <w:t>February 3,</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35"/>
              <w:spacing w:after="0"/>
              <w:rPr>
                <w:sz w:val="20"/>
                <w:szCs w:val="20"/>
                <w:color w:val="auto"/>
              </w:rPr>
            </w:pPr>
            <w:r>
              <w:rPr>
                <w:rFonts w:ascii="Arial" w:cs="Arial" w:eastAsia="Arial" w:hAnsi="Arial"/>
                <w:sz w:val="14"/>
                <w:szCs w:val="14"/>
                <w:b w:val="1"/>
                <w:bCs w:val="1"/>
                <w:color w:val="auto"/>
                <w:w w:val="96"/>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6"/>
              <w:spacing w:after="0"/>
              <w:rPr>
                <w:sz w:val="20"/>
                <w:szCs w:val="20"/>
                <w:color w:val="auto"/>
              </w:rPr>
            </w:pPr>
            <w:r>
              <w:rPr>
                <w:rFonts w:ascii="Arial" w:cs="Arial" w:eastAsia="Arial" w:hAnsi="Arial"/>
                <w:sz w:val="14"/>
                <w:szCs w:val="14"/>
                <w:b w:val="1"/>
                <w:bCs w:val="1"/>
                <w:color w:val="auto"/>
                <w:w w:val="89"/>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5"/>
              <w:spacing w:after="0"/>
              <w:rPr>
                <w:sz w:val="20"/>
                <w:szCs w:val="20"/>
                <w:color w:val="auto"/>
              </w:rPr>
            </w:pPr>
            <w:r>
              <w:rPr>
                <w:rFonts w:ascii="Arial" w:cs="Arial" w:eastAsia="Arial" w:hAnsi="Arial"/>
                <w:sz w:val="14"/>
                <w:szCs w:val="14"/>
                <w:b w:val="1"/>
                <w:bCs w:val="1"/>
                <w:color w:val="auto"/>
                <w:w w:val="89"/>
              </w:rPr>
              <w:t>2018</w:t>
            </w: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U.S. operations</w:t>
            </w: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(95,884)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666,508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24,377</w:t>
            </w:r>
          </w:p>
        </w:tc>
        <w:tc>
          <w:tcPr>
            <w:tcW w:w="0" w:type="dxa"/>
            <w:vAlign w:val="bottom"/>
          </w:tcPr>
          <w:p>
            <w:pPr>
              <w:spacing w:after="0"/>
              <w:rPr>
                <w:sz w:val="1"/>
                <w:szCs w:val="1"/>
                <w:color w:val="auto"/>
              </w:rPr>
            </w:pPr>
          </w:p>
        </w:tc>
      </w:tr>
      <w:tr>
        <w:trPr>
          <w:trHeight w:val="243"/>
        </w:trPr>
        <w:tc>
          <w:tcPr>
            <w:tcW w:w="6740" w:type="dxa"/>
            <w:vAlign w:val="bottom"/>
          </w:tcPr>
          <w:p>
            <w:pPr>
              <w:ind w:left="20"/>
              <w:spacing w:after="0"/>
              <w:rPr>
                <w:sz w:val="20"/>
                <w:szCs w:val="20"/>
                <w:color w:val="auto"/>
              </w:rPr>
            </w:pPr>
            <w:r>
              <w:rPr>
                <w:rFonts w:ascii="Arial" w:cs="Arial" w:eastAsia="Arial" w:hAnsi="Arial"/>
                <w:sz w:val="18"/>
                <w:szCs w:val="18"/>
                <w:color w:val="auto"/>
              </w:rPr>
              <w:t>Non-U.S. operations</w:t>
            </w:r>
          </w:p>
        </w:tc>
        <w:tc>
          <w:tcPr>
            <w:tcW w:w="220" w:type="dxa"/>
            <w:vAlign w:val="bottom"/>
          </w:tcPr>
          <w:p>
            <w:pPr>
              <w:spacing w:after="0"/>
              <w:rPr>
                <w:sz w:val="21"/>
                <w:szCs w:val="21"/>
                <w:color w:val="auto"/>
              </w:rPr>
            </w:pP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894,267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16"/>
              <w:spacing w:after="0"/>
              <w:rPr>
                <w:sz w:val="20"/>
                <w:szCs w:val="20"/>
                <w:color w:val="auto"/>
              </w:rPr>
            </w:pPr>
            <w:r>
              <w:rPr>
                <w:rFonts w:ascii="Arial" w:cs="Arial" w:eastAsia="Arial" w:hAnsi="Arial"/>
                <w:sz w:val="18"/>
                <w:szCs w:val="18"/>
                <w:color w:val="auto"/>
              </w:rPr>
              <w:t>(671,155)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426,827</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674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798,383</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(4,647)</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451,204</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20"/>
              <w:spacing w:after="0"/>
              <w:rPr>
                <w:sz w:val="20"/>
                <w:szCs w:val="20"/>
                <w:color w:val="auto"/>
              </w:rPr>
            </w:pPr>
            <w:r>
              <w:rPr>
                <w:rFonts w:ascii="Arial" w:cs="Arial" w:eastAsia="Arial" w:hAnsi="Arial"/>
                <w:sz w:val="18"/>
                <w:szCs w:val="18"/>
                <w:color w:val="auto"/>
                <w:w w:val="99"/>
              </w:rPr>
              <w:t>The provision (benefit) for income taxes consists of the following (in thousands):</w:t>
            </w: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98"/>
        </w:trPr>
        <w:tc>
          <w:tcPr>
            <w:tcW w:w="674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2"/>
        </w:trPr>
        <w:tc>
          <w:tcPr>
            <w:tcW w:w="6740" w:type="dxa"/>
            <w:vAlign w:val="bottom"/>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2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30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24"/>
                <w:szCs w:val="24"/>
                <w:color w:val="auto"/>
              </w:rPr>
            </w:pPr>
          </w:p>
        </w:tc>
        <w:tc>
          <w:tcPr>
            <w:tcW w:w="12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52"/>
        </w:trPr>
        <w:tc>
          <w:tcPr>
            <w:tcW w:w="67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30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7"/>
              </w:rPr>
              <w:t>February 1,</w:t>
            </w:r>
          </w:p>
        </w:tc>
        <w:tc>
          <w:tcPr>
            <w:tcW w:w="240" w:type="dxa"/>
            <w:vAlign w:val="bottom"/>
          </w:tcPr>
          <w:p>
            <w:pPr>
              <w:spacing w:after="0"/>
              <w:rPr>
                <w:sz w:val="13"/>
                <w:szCs w:val="13"/>
                <w:color w:val="auto"/>
              </w:rPr>
            </w:pPr>
          </w:p>
        </w:tc>
        <w:tc>
          <w:tcPr>
            <w:tcW w:w="1300" w:type="dxa"/>
            <w:vAlign w:val="bottom"/>
            <w:gridSpan w:val="2"/>
          </w:tcPr>
          <w:p>
            <w:pPr>
              <w:jc w:val="center"/>
              <w:ind w:right="340"/>
              <w:spacing w:after="0" w:line="153" w:lineRule="exact"/>
              <w:rPr>
                <w:sz w:val="20"/>
                <w:szCs w:val="20"/>
                <w:color w:val="auto"/>
              </w:rPr>
            </w:pPr>
            <w:r>
              <w:rPr>
                <w:rFonts w:ascii="Arial" w:cs="Arial" w:eastAsia="Arial" w:hAnsi="Arial"/>
                <w:sz w:val="14"/>
                <w:szCs w:val="14"/>
                <w:b w:val="1"/>
                <w:bCs w:val="1"/>
                <w:color w:val="auto"/>
                <w:w w:val="95"/>
              </w:rPr>
              <w:t>February 2,</w:t>
            </w:r>
          </w:p>
        </w:tc>
        <w:tc>
          <w:tcPr>
            <w:tcW w:w="240" w:type="dxa"/>
            <w:vAlign w:val="bottom"/>
          </w:tcPr>
          <w:p>
            <w:pPr>
              <w:spacing w:after="0"/>
              <w:rPr>
                <w:sz w:val="13"/>
                <w:szCs w:val="13"/>
                <w:color w:val="auto"/>
              </w:rPr>
            </w:pPr>
          </w:p>
        </w:tc>
        <w:tc>
          <w:tcPr>
            <w:tcW w:w="1200" w:type="dxa"/>
            <w:vAlign w:val="bottom"/>
          </w:tcPr>
          <w:p>
            <w:pPr>
              <w:jc w:val="center"/>
              <w:ind w:right="155"/>
              <w:spacing w:after="0" w:line="153" w:lineRule="exact"/>
              <w:rPr>
                <w:sz w:val="20"/>
                <w:szCs w:val="20"/>
                <w:color w:val="auto"/>
              </w:rPr>
            </w:pPr>
            <w:r>
              <w:rPr>
                <w:rFonts w:ascii="Arial" w:cs="Arial" w:eastAsia="Arial" w:hAnsi="Arial"/>
                <w:sz w:val="14"/>
                <w:szCs w:val="14"/>
                <w:b w:val="1"/>
                <w:bCs w:val="1"/>
                <w:color w:val="auto"/>
                <w:w w:val="95"/>
              </w:rPr>
              <w:t>February 3,</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35"/>
              <w:spacing w:after="0"/>
              <w:rPr>
                <w:sz w:val="20"/>
                <w:szCs w:val="20"/>
                <w:color w:val="auto"/>
              </w:rPr>
            </w:pPr>
            <w:r>
              <w:rPr>
                <w:rFonts w:ascii="Arial" w:cs="Arial" w:eastAsia="Arial" w:hAnsi="Arial"/>
                <w:sz w:val="14"/>
                <w:szCs w:val="14"/>
                <w:b w:val="1"/>
                <w:bCs w:val="1"/>
                <w:color w:val="auto"/>
                <w:w w:val="96"/>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6"/>
              <w:spacing w:after="0"/>
              <w:rPr>
                <w:sz w:val="20"/>
                <w:szCs w:val="20"/>
                <w:color w:val="auto"/>
              </w:rPr>
            </w:pPr>
            <w:r>
              <w:rPr>
                <w:rFonts w:ascii="Arial" w:cs="Arial" w:eastAsia="Arial" w:hAnsi="Arial"/>
                <w:sz w:val="14"/>
                <w:szCs w:val="14"/>
                <w:b w:val="1"/>
                <w:bCs w:val="1"/>
                <w:color w:val="auto"/>
                <w:w w:val="89"/>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5"/>
              <w:spacing w:after="0"/>
              <w:rPr>
                <w:sz w:val="20"/>
                <w:szCs w:val="20"/>
                <w:color w:val="auto"/>
              </w:rPr>
            </w:pPr>
            <w:r>
              <w:rPr>
                <w:rFonts w:ascii="Arial" w:cs="Arial" w:eastAsia="Arial" w:hAnsi="Arial"/>
                <w:sz w:val="14"/>
                <w:szCs w:val="14"/>
                <w:b w:val="1"/>
                <w:bCs w:val="1"/>
                <w:color w:val="auto"/>
                <w:w w:val="89"/>
              </w:rPr>
              <w:t>2018</w:t>
            </w:r>
          </w:p>
        </w:tc>
        <w:tc>
          <w:tcPr>
            <w:tcW w:w="0" w:type="dxa"/>
            <w:vAlign w:val="bottom"/>
          </w:tcPr>
          <w:p>
            <w:pPr>
              <w:spacing w:after="0"/>
              <w:rPr>
                <w:sz w:val="1"/>
                <w:szCs w:val="1"/>
                <w:color w:val="auto"/>
              </w:rPr>
            </w:pPr>
          </w:p>
        </w:tc>
      </w:tr>
      <w:tr>
        <w:trPr>
          <w:trHeight w:val="236"/>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Current income tax provision (benefit):</w:t>
            </w:r>
          </w:p>
        </w:tc>
        <w:tc>
          <w:tcPr>
            <w:tcW w:w="22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6740" w:type="dxa"/>
            <w:vAlign w:val="bottom"/>
          </w:tcPr>
          <w:p>
            <w:pPr>
              <w:ind w:left="340"/>
              <w:spacing w:after="0"/>
              <w:rPr>
                <w:sz w:val="20"/>
                <w:szCs w:val="20"/>
                <w:color w:val="auto"/>
              </w:rPr>
            </w:pPr>
            <w:r>
              <w:rPr>
                <w:rFonts w:ascii="Arial" w:cs="Arial" w:eastAsia="Arial" w:hAnsi="Arial"/>
                <w:sz w:val="18"/>
                <w:szCs w:val="18"/>
                <w:color w:val="auto"/>
              </w:rPr>
              <w:t>Federal</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5,223</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6"/>
              <w:spacing w:after="0"/>
              <w:rPr>
                <w:sz w:val="20"/>
                <w:szCs w:val="20"/>
                <w:color w:val="auto"/>
              </w:rPr>
            </w:pPr>
            <w:r>
              <w:rPr>
                <w:rFonts w:ascii="Arial" w:cs="Arial" w:eastAsia="Arial" w:hAnsi="Arial"/>
                <w:sz w:val="18"/>
                <w:szCs w:val="18"/>
                <w:color w:val="auto"/>
              </w:rPr>
              <w:t>46,519</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776</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State</w:t>
            </w: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(1,937)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5,959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43"/>
        </w:trPr>
        <w:tc>
          <w:tcPr>
            <w:tcW w:w="6740" w:type="dxa"/>
            <w:vAlign w:val="bottom"/>
          </w:tcPr>
          <w:p>
            <w:pPr>
              <w:ind w:left="340"/>
              <w:spacing w:after="0"/>
              <w:rPr>
                <w:sz w:val="20"/>
                <w:szCs w:val="20"/>
                <w:color w:val="auto"/>
              </w:rPr>
            </w:pPr>
            <w:r>
              <w:rPr>
                <w:rFonts w:ascii="Arial" w:cs="Arial" w:eastAsia="Arial" w:hAnsi="Arial"/>
                <w:sz w:val="18"/>
                <w:szCs w:val="18"/>
                <w:color w:val="auto"/>
              </w:rPr>
              <w:t>Foreign</w:t>
            </w:r>
          </w:p>
        </w:tc>
        <w:tc>
          <w:tcPr>
            <w:tcW w:w="220" w:type="dxa"/>
            <w:vAlign w:val="bottom"/>
          </w:tcPr>
          <w:p>
            <w:pPr>
              <w:spacing w:after="0"/>
              <w:rPr>
                <w:sz w:val="21"/>
                <w:szCs w:val="21"/>
                <w:color w:val="auto"/>
              </w:rPr>
            </w:pPr>
          </w:p>
        </w:tc>
        <w:tc>
          <w:tcPr>
            <w:tcW w:w="1200" w:type="dxa"/>
            <w:vAlign w:val="bottom"/>
          </w:tcPr>
          <w:p>
            <w:pPr>
              <w:jc w:val="right"/>
              <w:ind w:right="15"/>
              <w:spacing w:after="0"/>
              <w:rPr>
                <w:sz w:val="20"/>
                <w:szCs w:val="20"/>
                <w:color w:val="auto"/>
              </w:rPr>
            </w:pPr>
            <w:r>
              <w:rPr>
                <w:rFonts w:ascii="Arial" w:cs="Arial" w:eastAsia="Arial" w:hAnsi="Arial"/>
                <w:sz w:val="18"/>
                <w:szCs w:val="18"/>
                <w:color w:val="auto"/>
              </w:rPr>
              <w:t>(4,137)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6"/>
              <w:spacing w:after="0"/>
              <w:rPr>
                <w:sz w:val="20"/>
                <w:szCs w:val="20"/>
                <w:color w:val="auto"/>
              </w:rPr>
            </w:pPr>
            <w:r>
              <w:rPr>
                <w:rFonts w:ascii="Arial" w:cs="Arial" w:eastAsia="Arial" w:hAnsi="Arial"/>
                <w:sz w:val="18"/>
                <w:szCs w:val="18"/>
                <w:color w:val="auto"/>
              </w:rPr>
              <w:t>3,322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15"/>
              <w:spacing w:after="0"/>
              <w:rPr>
                <w:sz w:val="20"/>
                <w:szCs w:val="20"/>
                <w:color w:val="auto"/>
              </w:rPr>
            </w:pPr>
            <w:r>
              <w:rPr>
                <w:rFonts w:ascii="Arial" w:cs="Arial" w:eastAsia="Arial" w:hAnsi="Arial"/>
                <w:sz w:val="18"/>
                <w:szCs w:val="18"/>
                <w:color w:val="auto"/>
              </w:rPr>
              <w:t>(2,541)</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3"/>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current income tax provision (benefit)</w:t>
            </w:r>
          </w:p>
        </w:tc>
        <w:tc>
          <w:tcPr>
            <w:tcW w:w="22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(851)</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55,800</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(1,763)</w:t>
            </w:r>
          </w:p>
        </w:tc>
        <w:tc>
          <w:tcPr>
            <w:tcW w:w="0" w:type="dxa"/>
            <w:vAlign w:val="bottom"/>
          </w:tcPr>
          <w:p>
            <w:pPr>
              <w:spacing w:after="0"/>
              <w:rPr>
                <w:sz w:val="1"/>
                <w:szCs w:val="1"/>
                <w:color w:val="auto"/>
              </w:rPr>
            </w:pPr>
          </w:p>
        </w:tc>
      </w:tr>
      <w:tr>
        <w:trPr>
          <w:trHeight w:val="223"/>
        </w:trPr>
        <w:tc>
          <w:tcPr>
            <w:tcW w:w="6740" w:type="dxa"/>
            <w:vAlign w:val="bottom"/>
          </w:tcPr>
          <w:p>
            <w:pPr>
              <w:ind w:left="20"/>
              <w:spacing w:after="0"/>
              <w:rPr>
                <w:sz w:val="20"/>
                <w:szCs w:val="20"/>
                <w:color w:val="auto"/>
              </w:rPr>
            </w:pPr>
            <w:r>
              <w:rPr>
                <w:rFonts w:ascii="Arial" w:cs="Arial" w:eastAsia="Arial" w:hAnsi="Arial"/>
                <w:sz w:val="18"/>
                <w:szCs w:val="18"/>
                <w:color w:val="auto"/>
              </w:rPr>
              <w:t>Deferred income tax provision (benefit):</w:t>
            </w:r>
          </w:p>
        </w:tc>
        <w:tc>
          <w:tcPr>
            <w:tcW w:w="220" w:type="dxa"/>
            <w:vAlign w:val="bottom"/>
            <w:tcBorders>
              <w:top w:val="single" w:sz="8" w:color="auto"/>
            </w:tcBorders>
          </w:tcPr>
          <w:p>
            <w:pPr>
              <w:spacing w:after="0"/>
              <w:rPr>
                <w:sz w:val="19"/>
                <w:szCs w:val="19"/>
                <w:color w:val="auto"/>
              </w:rPr>
            </w:pPr>
          </w:p>
        </w:tc>
        <w:tc>
          <w:tcPr>
            <w:tcW w:w="120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0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00" w:type="dxa"/>
            <w:vAlign w:val="bottom"/>
            <w:tcBorders>
              <w:top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Federal</w:t>
            </w: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(125,892)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134,336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10,136</w:t>
            </w:r>
          </w:p>
        </w:tc>
        <w:tc>
          <w:tcPr>
            <w:tcW w:w="0" w:type="dxa"/>
            <w:vAlign w:val="bottom"/>
          </w:tcPr>
          <w:p>
            <w:pPr>
              <w:spacing w:after="0"/>
              <w:rPr>
                <w:sz w:val="1"/>
                <w:szCs w:val="1"/>
                <w:color w:val="auto"/>
              </w:rPr>
            </w:pPr>
          </w:p>
        </w:tc>
      </w:tr>
      <w:tr>
        <w:trPr>
          <w:trHeight w:val="243"/>
        </w:trPr>
        <w:tc>
          <w:tcPr>
            <w:tcW w:w="6740" w:type="dxa"/>
            <w:vAlign w:val="bottom"/>
          </w:tcPr>
          <w:p>
            <w:pPr>
              <w:ind w:left="340"/>
              <w:spacing w:after="0"/>
              <w:rPr>
                <w:sz w:val="20"/>
                <w:szCs w:val="20"/>
                <w:color w:val="auto"/>
              </w:rPr>
            </w:pPr>
            <w:r>
              <w:rPr>
                <w:rFonts w:ascii="Arial" w:cs="Arial" w:eastAsia="Arial" w:hAnsi="Arial"/>
                <w:sz w:val="18"/>
                <w:szCs w:val="18"/>
                <w:color w:val="auto"/>
              </w:rPr>
              <w:t>State</w:t>
            </w:r>
          </w:p>
        </w:tc>
        <w:tc>
          <w:tcPr>
            <w:tcW w:w="220" w:type="dxa"/>
            <w:vAlign w:val="bottom"/>
          </w:tcPr>
          <w:p>
            <w:pPr>
              <w:spacing w:after="0"/>
              <w:rPr>
                <w:sz w:val="21"/>
                <w:szCs w:val="21"/>
                <w:color w:val="auto"/>
              </w:rPr>
            </w:pPr>
          </w:p>
        </w:tc>
        <w:tc>
          <w:tcPr>
            <w:tcW w:w="1200" w:type="dxa"/>
            <w:vAlign w:val="bottom"/>
          </w:tcPr>
          <w:p>
            <w:pPr>
              <w:jc w:val="right"/>
              <w:ind w:right="15"/>
              <w:spacing w:after="0"/>
              <w:rPr>
                <w:sz w:val="20"/>
                <w:szCs w:val="20"/>
                <w:color w:val="auto"/>
              </w:rPr>
            </w:pPr>
            <w:r>
              <w:rPr>
                <w:rFonts w:ascii="Arial" w:cs="Arial" w:eastAsia="Arial" w:hAnsi="Arial"/>
                <w:sz w:val="18"/>
                <w:szCs w:val="18"/>
                <w:color w:val="auto"/>
              </w:rPr>
              <w:t>(9,382)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16"/>
              <w:spacing w:after="0"/>
              <w:rPr>
                <w:sz w:val="20"/>
                <w:szCs w:val="20"/>
                <w:color w:val="auto"/>
              </w:rPr>
            </w:pPr>
            <w:r>
              <w:rPr>
                <w:rFonts w:ascii="Arial" w:cs="Arial" w:eastAsia="Arial" w:hAnsi="Arial"/>
                <w:sz w:val="18"/>
                <w:szCs w:val="18"/>
                <w:color w:val="auto"/>
              </w:rPr>
              <w:t>(6,567)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83</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Foreign</w:t>
            </w:r>
          </w:p>
        </w:tc>
        <w:tc>
          <w:tcPr>
            <w:tcW w:w="22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(649,884)</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(9,122)</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9,606</w:t>
            </w:r>
          </w:p>
        </w:tc>
        <w:tc>
          <w:tcPr>
            <w:tcW w:w="0" w:type="dxa"/>
            <w:vAlign w:val="bottom"/>
          </w:tcPr>
          <w:p>
            <w:pPr>
              <w:spacing w:after="0"/>
              <w:rPr>
                <w:sz w:val="1"/>
                <w:szCs w:val="1"/>
                <w:color w:val="auto"/>
              </w:rPr>
            </w:pPr>
          </w:p>
        </w:tc>
      </w:tr>
      <w:tr>
        <w:trPr>
          <w:trHeight w:val="236"/>
        </w:trPr>
        <w:tc>
          <w:tcPr>
            <w:tcW w:w="6740" w:type="dxa"/>
            <w:vAlign w:val="bottom"/>
          </w:tcPr>
          <w:p>
            <w:pPr>
              <w:ind w:left="20"/>
              <w:spacing w:after="0"/>
              <w:rPr>
                <w:sz w:val="20"/>
                <w:szCs w:val="20"/>
                <w:color w:val="auto"/>
              </w:rPr>
            </w:pPr>
            <w:r>
              <w:rPr>
                <w:rFonts w:ascii="Arial" w:cs="Arial" w:eastAsia="Arial" w:hAnsi="Arial"/>
                <w:sz w:val="18"/>
                <w:szCs w:val="18"/>
                <w:color w:val="auto"/>
              </w:rPr>
              <w:t>Total deferred income tax provision (benefit)</w:t>
            </w:r>
          </w:p>
        </w:tc>
        <w:tc>
          <w:tcPr>
            <w:tcW w:w="22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(785,158)</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118,647</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5"/>
              <w:spacing w:after="0"/>
              <w:rPr>
                <w:sz w:val="20"/>
                <w:szCs w:val="20"/>
                <w:color w:val="auto"/>
              </w:rPr>
            </w:pPr>
            <w:r>
              <w:rPr>
                <w:rFonts w:ascii="Arial" w:cs="Arial" w:eastAsia="Arial" w:hAnsi="Arial"/>
                <w:sz w:val="18"/>
                <w:szCs w:val="18"/>
                <w:color w:val="auto"/>
              </w:rPr>
              <w:t>19,825</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9"/>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provision (benefit) for income taxes</w:t>
            </w: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(786,009)</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174,447</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18,062</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40"/>
          </w:cols>
          <w:pgMar w:left="320" w:top="472" w:right="339" w:bottom="1440" w:gutter="0" w:footer="0" w:header="0"/>
        </w:sectPr>
      </w:pPr>
    </w:p>
    <w:p>
      <w:pPr>
        <w:spacing w:after="0" w:line="200" w:lineRule="exact"/>
        <w:rPr>
          <w:sz w:val="20"/>
          <w:szCs w:val="20"/>
          <w:color w:val="auto"/>
        </w:rPr>
      </w:pP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88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91" w:name="page92"/>
    <w:bookmarkEnd w:id="9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The Company consists of a Bermuda parent holding company with various foreign and U.S. subsidiaries. The applicable statutory rate in Bermuda is zero for the Company for fiscal 2020, 2019, and 2018. For purposes of the reconciliation between the provision (benefit) for income taxes at the statutory rate and the effective tax rate, a U.S. statutory tax rate of 21% for fiscal years 2020 and 2019, and a notional rate of 33.7% for fiscal 2018 is applied as follows:</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gridSpan w:val="2"/>
          </w:tcPr>
          <w:p>
            <w:pPr>
              <w:jc w:val="center"/>
              <w:ind w:right="300"/>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r>
      <w:tr>
        <w:trPr>
          <w:trHeight w:val="152"/>
        </w:trPr>
        <w:tc>
          <w:tcPr>
            <w:tcW w:w="69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26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February 1,</w:t>
            </w:r>
          </w:p>
        </w:tc>
        <w:tc>
          <w:tcPr>
            <w:tcW w:w="200" w:type="dxa"/>
            <w:vAlign w:val="bottom"/>
          </w:tcPr>
          <w:p>
            <w:pPr>
              <w:spacing w:after="0"/>
              <w:rPr>
                <w:sz w:val="13"/>
                <w:szCs w:val="13"/>
                <w:color w:val="auto"/>
              </w:rPr>
            </w:pPr>
          </w:p>
        </w:tc>
        <w:tc>
          <w:tcPr>
            <w:tcW w:w="12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7"/>
              </w:rPr>
              <w:t>February 2,</w:t>
            </w:r>
          </w:p>
        </w:tc>
        <w:tc>
          <w:tcPr>
            <w:tcW w:w="220" w:type="dxa"/>
            <w:vAlign w:val="bottom"/>
          </w:tcPr>
          <w:p>
            <w:pPr>
              <w:spacing w:after="0"/>
              <w:rPr>
                <w:sz w:val="13"/>
                <w:szCs w:val="13"/>
                <w:color w:val="auto"/>
              </w:rPr>
            </w:pPr>
          </w:p>
        </w:tc>
        <w:tc>
          <w:tcPr>
            <w:tcW w:w="1160" w:type="dxa"/>
            <w:vAlign w:val="bottom"/>
          </w:tcPr>
          <w:p>
            <w:pPr>
              <w:jc w:val="right"/>
              <w:ind w:right="233"/>
              <w:spacing w:after="0" w:line="153" w:lineRule="exact"/>
              <w:rPr>
                <w:sz w:val="20"/>
                <w:szCs w:val="20"/>
                <w:color w:val="auto"/>
              </w:rPr>
            </w:pPr>
            <w:r>
              <w:rPr>
                <w:rFonts w:ascii="Arial" w:cs="Arial" w:eastAsia="Arial" w:hAnsi="Arial"/>
                <w:sz w:val="14"/>
                <w:szCs w:val="14"/>
                <w:b w:val="1"/>
                <w:bCs w:val="1"/>
                <w:color w:val="auto"/>
              </w:rPr>
              <w:t>February 3,</w:t>
            </w:r>
          </w:p>
        </w:tc>
      </w:tr>
      <w:tr>
        <w:trPr>
          <w:trHeight w:val="192"/>
        </w:trPr>
        <w:tc>
          <w:tcPr>
            <w:tcW w:w="69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96"/>
              </w:rPr>
              <w:t>2019</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2018</w:t>
            </w:r>
          </w:p>
        </w:tc>
      </w:tr>
      <w:tr>
        <w:trPr>
          <w:trHeight w:val="249"/>
        </w:trPr>
        <w:tc>
          <w:tcPr>
            <w:tcW w:w="6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Provision at U.S. statutory rate</w:t>
            </w: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167,660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(976)</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152,134</w:t>
            </w:r>
          </w:p>
        </w:tc>
      </w:tr>
      <w:tr>
        <w:trPr>
          <w:trHeight w:val="243"/>
        </w:trPr>
        <w:tc>
          <w:tcPr>
            <w:tcW w:w="6920" w:type="dxa"/>
            <w:vAlign w:val="bottom"/>
          </w:tcPr>
          <w:p>
            <w:pPr>
              <w:ind w:left="20"/>
              <w:spacing w:after="0"/>
              <w:rPr>
                <w:sz w:val="20"/>
                <w:szCs w:val="20"/>
                <w:color w:val="auto"/>
              </w:rPr>
            </w:pPr>
            <w:r>
              <w:rPr>
                <w:rFonts w:ascii="Arial" w:cs="Arial" w:eastAsia="Arial" w:hAnsi="Arial"/>
                <w:sz w:val="18"/>
                <w:szCs w:val="18"/>
                <w:color w:val="auto"/>
              </w:rPr>
              <w:t>State taxes, net of federal benefit</w:t>
            </w:r>
          </w:p>
        </w:tc>
        <w:tc>
          <w:tcPr>
            <w:tcW w:w="220" w:type="dxa"/>
            <w:vAlign w:val="bottom"/>
          </w:tcPr>
          <w:p>
            <w:pPr>
              <w:spacing w:after="0"/>
              <w:rPr>
                <w:sz w:val="21"/>
                <w:szCs w:val="21"/>
                <w:color w:val="auto"/>
              </w:rPr>
            </w:pPr>
          </w:p>
        </w:tc>
        <w:tc>
          <w:tcPr>
            <w:tcW w:w="1140" w:type="dxa"/>
            <w:vAlign w:val="bottom"/>
          </w:tcPr>
          <w:p>
            <w:pPr>
              <w:jc w:val="right"/>
              <w:ind w:right="13"/>
              <w:spacing w:after="0"/>
              <w:rPr>
                <w:sz w:val="20"/>
                <w:szCs w:val="20"/>
                <w:color w:val="auto"/>
              </w:rPr>
            </w:pPr>
            <w:r>
              <w:rPr>
                <w:rFonts w:ascii="Arial" w:cs="Arial" w:eastAsia="Arial" w:hAnsi="Arial"/>
                <w:sz w:val="18"/>
                <w:szCs w:val="18"/>
                <w:color w:val="auto"/>
              </w:rPr>
              <w:t>(9,878)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4"/>
              <w:spacing w:after="0"/>
              <w:rPr>
                <w:sz w:val="20"/>
                <w:szCs w:val="20"/>
                <w:color w:val="auto"/>
              </w:rPr>
            </w:pPr>
            <w:r>
              <w:rPr>
                <w:rFonts w:ascii="Arial" w:cs="Arial" w:eastAsia="Arial" w:hAnsi="Arial"/>
                <w:sz w:val="18"/>
                <w:szCs w:val="18"/>
                <w:color w:val="auto"/>
              </w:rPr>
              <w:t>(9,652)</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w:t>
            </w:r>
          </w:p>
        </w:tc>
      </w:tr>
      <w:tr>
        <w:trPr>
          <w:trHeight w:val="27"/>
        </w:trPr>
        <w:tc>
          <w:tcPr>
            <w:tcW w:w="6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6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Difference in U.S. and non-U.S. tax rates</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(181,625)</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46,988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(137,419)</w:t>
            </w:r>
          </w:p>
        </w:tc>
      </w:tr>
      <w:tr>
        <w:trPr>
          <w:trHeight w:val="243"/>
        </w:trPr>
        <w:tc>
          <w:tcPr>
            <w:tcW w:w="6920" w:type="dxa"/>
            <w:vAlign w:val="bottom"/>
          </w:tcPr>
          <w:p>
            <w:pPr>
              <w:ind w:left="20"/>
              <w:spacing w:after="0"/>
              <w:rPr>
                <w:sz w:val="20"/>
                <w:szCs w:val="20"/>
                <w:color w:val="auto"/>
              </w:rPr>
            </w:pPr>
            <w:r>
              <w:rPr>
                <w:rFonts w:ascii="Arial" w:cs="Arial" w:eastAsia="Arial" w:hAnsi="Arial"/>
                <w:sz w:val="18"/>
                <w:szCs w:val="18"/>
                <w:color w:val="auto"/>
              </w:rPr>
              <w:t>Foreign income inclusion in U.S.</w:t>
            </w:r>
          </w:p>
        </w:tc>
        <w:tc>
          <w:tcPr>
            <w:tcW w:w="220" w:type="dxa"/>
            <w:vAlign w:val="bottom"/>
          </w:tcPr>
          <w:p>
            <w:pPr>
              <w:spacing w:after="0"/>
              <w:rPr>
                <w:sz w:val="21"/>
                <w:szCs w:val="21"/>
                <w:color w:val="auto"/>
              </w:rPr>
            </w:pPr>
          </w:p>
        </w:tc>
        <w:tc>
          <w:tcPr>
            <w:tcW w:w="1140" w:type="dxa"/>
            <w:vAlign w:val="bottom"/>
          </w:tcPr>
          <w:p>
            <w:pPr>
              <w:jc w:val="right"/>
              <w:ind w:right="53"/>
              <w:spacing w:after="0"/>
              <w:rPr>
                <w:sz w:val="20"/>
                <w:szCs w:val="20"/>
                <w:color w:val="auto"/>
              </w:rPr>
            </w:pPr>
            <w:r>
              <w:rPr>
                <w:rFonts w:ascii="Arial" w:cs="Arial" w:eastAsia="Arial" w:hAnsi="Arial"/>
                <w:sz w:val="18"/>
                <w:szCs w:val="18"/>
                <w:color w:val="auto"/>
              </w:rPr>
              <w:t>13,736</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74"/>
              <w:spacing w:after="0"/>
              <w:rPr>
                <w:sz w:val="20"/>
                <w:szCs w:val="20"/>
                <w:color w:val="auto"/>
              </w:rPr>
            </w:pPr>
            <w:r>
              <w:rPr>
                <w:rFonts w:ascii="Arial" w:cs="Arial" w:eastAsia="Arial" w:hAnsi="Arial"/>
                <w:sz w:val="18"/>
                <w:szCs w:val="18"/>
                <w:color w:val="auto"/>
              </w:rPr>
              <w:t>167,093</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w:t>
            </w:r>
          </w:p>
        </w:tc>
      </w:tr>
      <w:tr>
        <w:trPr>
          <w:trHeight w:val="27"/>
        </w:trPr>
        <w:tc>
          <w:tcPr>
            <w:tcW w:w="6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6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Non-deductible compensation</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6,196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13,215</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w:t>
            </w:r>
          </w:p>
        </w:tc>
      </w:tr>
      <w:tr>
        <w:trPr>
          <w:trHeight w:val="243"/>
        </w:trPr>
        <w:tc>
          <w:tcPr>
            <w:tcW w:w="6920" w:type="dxa"/>
            <w:vAlign w:val="bottom"/>
          </w:tcPr>
          <w:p>
            <w:pPr>
              <w:ind w:left="20"/>
              <w:spacing w:after="0"/>
              <w:rPr>
                <w:sz w:val="20"/>
                <w:szCs w:val="20"/>
                <w:color w:val="auto"/>
              </w:rPr>
            </w:pPr>
            <w:r>
              <w:rPr>
                <w:rFonts w:ascii="Arial" w:cs="Arial" w:eastAsia="Arial" w:hAnsi="Arial"/>
                <w:sz w:val="18"/>
                <w:szCs w:val="18"/>
                <w:color w:val="auto"/>
              </w:rPr>
              <w:t>Intellectual property transaction</w:t>
            </w:r>
          </w:p>
        </w:tc>
        <w:tc>
          <w:tcPr>
            <w:tcW w:w="220" w:type="dxa"/>
            <w:vAlign w:val="bottom"/>
          </w:tcPr>
          <w:p>
            <w:pPr>
              <w:spacing w:after="0"/>
              <w:rPr>
                <w:sz w:val="21"/>
                <w:szCs w:val="21"/>
                <w:color w:val="auto"/>
              </w:rPr>
            </w:pPr>
          </w:p>
        </w:tc>
        <w:tc>
          <w:tcPr>
            <w:tcW w:w="1140" w:type="dxa"/>
            <w:vAlign w:val="bottom"/>
          </w:tcPr>
          <w:p>
            <w:pPr>
              <w:jc w:val="right"/>
              <w:ind w:right="13"/>
              <w:spacing w:after="0"/>
              <w:rPr>
                <w:sz w:val="20"/>
                <w:szCs w:val="20"/>
                <w:color w:val="auto"/>
              </w:rPr>
            </w:pPr>
            <w:r>
              <w:rPr>
                <w:rFonts w:ascii="Arial" w:cs="Arial" w:eastAsia="Arial" w:hAnsi="Arial"/>
                <w:sz w:val="18"/>
                <w:szCs w:val="18"/>
                <w:color w:val="auto"/>
              </w:rPr>
              <w:t>(762,933)</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74"/>
              <w:spacing w:after="0"/>
              <w:rPr>
                <w:sz w:val="20"/>
                <w:szCs w:val="20"/>
                <w:color w:val="auto"/>
              </w:rPr>
            </w:pPr>
            <w:r>
              <w:rPr>
                <w:rFonts w:ascii="Arial" w:cs="Arial" w:eastAsia="Arial" w:hAnsi="Arial"/>
                <w:sz w:val="18"/>
                <w:szCs w:val="18"/>
                <w:color w:val="auto"/>
              </w:rPr>
              <w:t>93,777</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w:t>
            </w:r>
          </w:p>
        </w:tc>
      </w:tr>
      <w:tr>
        <w:trPr>
          <w:trHeight w:val="27"/>
        </w:trPr>
        <w:tc>
          <w:tcPr>
            <w:tcW w:w="6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6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Federal research and development credits</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(42,604)</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(29,503)</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(21,620)</w:t>
            </w:r>
          </w:p>
        </w:tc>
      </w:tr>
      <w:tr>
        <w:trPr>
          <w:trHeight w:val="243"/>
        </w:trPr>
        <w:tc>
          <w:tcPr>
            <w:tcW w:w="6920" w:type="dxa"/>
            <w:vAlign w:val="bottom"/>
          </w:tcPr>
          <w:p>
            <w:pPr>
              <w:ind w:left="20"/>
              <w:spacing w:after="0"/>
              <w:rPr>
                <w:sz w:val="20"/>
                <w:szCs w:val="20"/>
                <w:color w:val="auto"/>
              </w:rPr>
            </w:pPr>
            <w:r>
              <w:rPr>
                <w:rFonts w:ascii="Arial" w:cs="Arial" w:eastAsia="Arial" w:hAnsi="Arial"/>
                <w:sz w:val="18"/>
                <w:szCs w:val="18"/>
                <w:color w:val="auto"/>
              </w:rPr>
              <w:t>Uncertain tax positions</w:t>
            </w:r>
          </w:p>
        </w:tc>
        <w:tc>
          <w:tcPr>
            <w:tcW w:w="220" w:type="dxa"/>
            <w:vAlign w:val="bottom"/>
          </w:tcPr>
          <w:p>
            <w:pPr>
              <w:spacing w:after="0"/>
              <w:rPr>
                <w:sz w:val="21"/>
                <w:szCs w:val="21"/>
                <w:color w:val="auto"/>
              </w:rPr>
            </w:pPr>
          </w:p>
        </w:tc>
        <w:tc>
          <w:tcPr>
            <w:tcW w:w="1140" w:type="dxa"/>
            <w:vAlign w:val="bottom"/>
          </w:tcPr>
          <w:p>
            <w:pPr>
              <w:jc w:val="right"/>
              <w:ind w:right="13"/>
              <w:spacing w:after="0"/>
              <w:rPr>
                <w:sz w:val="20"/>
                <w:szCs w:val="20"/>
                <w:color w:val="auto"/>
              </w:rPr>
            </w:pPr>
            <w:r>
              <w:rPr>
                <w:rFonts w:ascii="Arial" w:cs="Arial" w:eastAsia="Arial" w:hAnsi="Arial"/>
                <w:sz w:val="18"/>
                <w:szCs w:val="18"/>
                <w:color w:val="auto"/>
              </w:rPr>
              <w:t>(3,913)</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74"/>
              <w:spacing w:after="0"/>
              <w:rPr>
                <w:sz w:val="20"/>
                <w:szCs w:val="20"/>
                <w:color w:val="auto"/>
              </w:rPr>
            </w:pPr>
            <w:r>
              <w:rPr>
                <w:rFonts w:ascii="Arial" w:cs="Arial" w:eastAsia="Arial" w:hAnsi="Arial"/>
                <w:sz w:val="18"/>
                <w:szCs w:val="18"/>
                <w:color w:val="auto"/>
              </w:rPr>
              <w:t>4,238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w:t>
            </w:r>
          </w:p>
        </w:tc>
      </w:tr>
      <w:tr>
        <w:trPr>
          <w:trHeight w:val="27"/>
        </w:trPr>
        <w:tc>
          <w:tcPr>
            <w:tcW w:w="6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6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Change in valuation allowance</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26,971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(110,921)</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21,339</w:t>
            </w:r>
          </w:p>
        </w:tc>
      </w:tr>
      <w:tr>
        <w:trPr>
          <w:trHeight w:val="243"/>
        </w:trPr>
        <w:tc>
          <w:tcPr>
            <w:tcW w:w="6920" w:type="dxa"/>
            <w:vAlign w:val="bottom"/>
          </w:tcPr>
          <w:p>
            <w:pPr>
              <w:ind w:left="20"/>
              <w:spacing w:after="0"/>
              <w:rPr>
                <w:sz w:val="20"/>
                <w:szCs w:val="20"/>
                <w:color w:val="auto"/>
              </w:rPr>
            </w:pPr>
            <w:r>
              <w:rPr>
                <w:rFonts w:ascii="Arial" w:cs="Arial" w:eastAsia="Arial" w:hAnsi="Arial"/>
                <w:sz w:val="18"/>
                <w:szCs w:val="18"/>
                <w:color w:val="auto"/>
              </w:rPr>
              <w:t>Other</w:t>
            </w:r>
          </w:p>
        </w:tc>
        <w:tc>
          <w:tcPr>
            <w:tcW w:w="220" w:type="dxa"/>
            <w:vAlign w:val="bottom"/>
          </w:tcPr>
          <w:p>
            <w:pPr>
              <w:spacing w:after="0"/>
              <w:rPr>
                <w:sz w:val="21"/>
                <w:szCs w:val="21"/>
                <w:color w:val="auto"/>
              </w:rPr>
            </w:pPr>
          </w:p>
        </w:tc>
        <w:tc>
          <w:tcPr>
            <w:tcW w:w="1140" w:type="dxa"/>
            <w:vAlign w:val="bottom"/>
          </w:tcPr>
          <w:p>
            <w:pPr>
              <w:jc w:val="right"/>
              <w:ind w:right="53"/>
              <w:spacing w:after="0"/>
              <w:rPr>
                <w:sz w:val="20"/>
                <w:szCs w:val="20"/>
                <w:color w:val="auto"/>
              </w:rPr>
            </w:pPr>
            <w:r>
              <w:rPr>
                <w:rFonts w:ascii="Arial" w:cs="Arial" w:eastAsia="Arial" w:hAnsi="Arial"/>
                <w:sz w:val="18"/>
                <w:szCs w:val="18"/>
                <w:color w:val="auto"/>
              </w:rPr>
              <w:t>381</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74"/>
              <w:spacing w:after="0"/>
              <w:rPr>
                <w:sz w:val="20"/>
                <w:szCs w:val="20"/>
                <w:color w:val="auto"/>
              </w:rPr>
            </w:pPr>
            <w:r>
              <w:rPr>
                <w:rFonts w:ascii="Arial" w:cs="Arial" w:eastAsia="Arial" w:hAnsi="Arial"/>
                <w:sz w:val="18"/>
                <w:szCs w:val="18"/>
                <w:color w:val="auto"/>
              </w:rPr>
              <w:t>188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3,628</w:t>
            </w:r>
          </w:p>
        </w:tc>
      </w:tr>
      <w:tr>
        <w:trPr>
          <w:trHeight w:val="27"/>
        </w:trPr>
        <w:tc>
          <w:tcPr>
            <w:tcW w:w="69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88"/>
        </w:trPr>
        <w:tc>
          <w:tcPr>
            <w:tcW w:w="6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Income tax provision (benefit)</w:t>
            </w: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(786,009)</w:t>
            </w:r>
          </w:p>
        </w:tc>
        <w:tc>
          <w:tcPr>
            <w:tcW w:w="12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174,447</w:t>
            </w:r>
          </w:p>
        </w:tc>
        <w:tc>
          <w:tcPr>
            <w:tcW w:w="10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18,062</w:t>
            </w:r>
          </w:p>
        </w:tc>
      </w:tr>
      <w:tr>
        <w:trPr>
          <w:trHeight w:val="20"/>
        </w:trPr>
        <w:tc>
          <w:tcPr>
            <w:tcW w:w="69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right="20" w:firstLine="405"/>
        <w:spacing w:after="0" w:line="290" w:lineRule="auto"/>
        <w:rPr>
          <w:sz w:val="20"/>
          <w:szCs w:val="20"/>
          <w:color w:val="auto"/>
        </w:rPr>
      </w:pPr>
      <w:r>
        <w:rPr>
          <w:rFonts w:ascii="Arial" w:cs="Arial" w:eastAsia="Arial" w:hAnsi="Arial"/>
          <w:sz w:val="16"/>
          <w:szCs w:val="16"/>
          <w:color w:val="auto"/>
        </w:rPr>
        <w:t>The current year income tax benefit is primarily related to the recognition of a $763.0 million tax benefit for the intra-entity transfer of the majority of our intellectual property to a subsidiary in Singapore. This resulted in the recognition of a deferred tax asset and tax benefit of $659.0 million related to the Singapore tax basis in the intellectual property. In addition, the Company recognized $104.0 million of income tax benefit from the reversal of deferred tax liabilities primarily related to previously acquired intangible assets. The income tax expense for fiscal 2019 was primarily the result of restructurings involving the transfer of certain assets and intellectual property used in the business among various subsidiaries and represented the estimated U.S. tax to be paid currently and in future years on income generated from the intellectual property transfer. These transactions align the global economic ownership of the Company's intellectual property rights with its current and future business operations. The Company continues to evaluate potential changes to its legal entity structure in response to guidelines and requirements in various international tax jurisdictions where it conducts business.</w:t>
      </w:r>
    </w:p>
    <w:p>
      <w:pPr>
        <w:spacing w:after="0" w:line="5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Deferred tax assets consist of the following (in thousands):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32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1,</w:t>
            </w:r>
          </w:p>
        </w:tc>
        <w:tc>
          <w:tcPr>
            <w:tcW w:w="240" w:type="dxa"/>
            <w:vAlign w:val="bottom"/>
          </w:tcPr>
          <w:p>
            <w:pPr>
              <w:spacing w:after="0"/>
              <w:rPr>
                <w:sz w:val="14"/>
                <w:szCs w:val="14"/>
                <w:color w:val="auto"/>
              </w:rPr>
            </w:pPr>
          </w:p>
        </w:tc>
        <w:tc>
          <w:tcPr>
            <w:tcW w:w="1200" w:type="dxa"/>
            <w:vAlign w:val="bottom"/>
          </w:tcPr>
          <w:p>
            <w:pPr>
              <w:jc w:val="right"/>
              <w:ind w:right="272"/>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826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2019</w:t>
            </w:r>
          </w:p>
        </w:tc>
      </w:tr>
      <w:tr>
        <w:trPr>
          <w:trHeight w:val="236"/>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22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r>
      <w:tr>
        <w:trPr>
          <w:trHeight w:val="243"/>
        </w:trPr>
        <w:tc>
          <w:tcPr>
            <w:tcW w:w="8260" w:type="dxa"/>
            <w:vAlign w:val="bottom"/>
          </w:tcPr>
          <w:p>
            <w:pPr>
              <w:ind w:left="340"/>
              <w:spacing w:after="0"/>
              <w:rPr>
                <w:sz w:val="20"/>
                <w:szCs w:val="20"/>
                <w:color w:val="auto"/>
              </w:rPr>
            </w:pPr>
            <w:r>
              <w:rPr>
                <w:rFonts w:ascii="Arial" w:cs="Arial" w:eastAsia="Arial" w:hAnsi="Arial"/>
                <w:sz w:val="18"/>
                <w:szCs w:val="18"/>
                <w:color w:val="auto"/>
              </w:rPr>
              <w:t>Net operating losses</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ind w:right="52"/>
              <w:spacing w:after="0"/>
              <w:rPr>
                <w:sz w:val="20"/>
                <w:szCs w:val="20"/>
                <w:color w:val="auto"/>
              </w:rPr>
            </w:pPr>
            <w:r>
              <w:rPr>
                <w:rFonts w:ascii="Arial" w:cs="Arial" w:eastAsia="Arial" w:hAnsi="Arial"/>
                <w:sz w:val="18"/>
                <w:szCs w:val="18"/>
                <w:color w:val="auto"/>
              </w:rPr>
              <w:t>105,925</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2"/>
              <w:spacing w:after="0"/>
              <w:rPr>
                <w:sz w:val="20"/>
                <w:szCs w:val="20"/>
                <w:color w:val="auto"/>
              </w:rPr>
            </w:pPr>
            <w:r>
              <w:rPr>
                <w:rFonts w:ascii="Arial" w:cs="Arial" w:eastAsia="Arial" w:hAnsi="Arial"/>
                <w:sz w:val="18"/>
                <w:szCs w:val="18"/>
                <w:color w:val="auto"/>
              </w:rPr>
              <w:t>134,598</w:t>
            </w:r>
          </w:p>
        </w:tc>
      </w:tr>
      <w:tr>
        <w:trPr>
          <w:trHeight w:val="27"/>
        </w:trPr>
        <w:tc>
          <w:tcPr>
            <w:tcW w:w="8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Federal and California income tax credits</w:t>
            </w: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631,805</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557,333</w:t>
            </w:r>
          </w:p>
        </w:tc>
      </w:tr>
      <w:tr>
        <w:trPr>
          <w:trHeight w:val="243"/>
        </w:trPr>
        <w:tc>
          <w:tcPr>
            <w:tcW w:w="8260" w:type="dxa"/>
            <w:vAlign w:val="bottom"/>
          </w:tcPr>
          <w:p>
            <w:pPr>
              <w:ind w:left="340"/>
              <w:spacing w:after="0"/>
              <w:rPr>
                <w:sz w:val="20"/>
                <w:szCs w:val="20"/>
                <w:color w:val="auto"/>
              </w:rPr>
            </w:pPr>
            <w:r>
              <w:rPr>
                <w:rFonts w:ascii="Arial" w:cs="Arial" w:eastAsia="Arial" w:hAnsi="Arial"/>
                <w:sz w:val="18"/>
                <w:szCs w:val="18"/>
                <w:color w:val="auto"/>
              </w:rPr>
              <w:t>Intangible assets</w:t>
            </w:r>
          </w:p>
        </w:tc>
        <w:tc>
          <w:tcPr>
            <w:tcW w:w="220" w:type="dxa"/>
            <w:vAlign w:val="bottom"/>
          </w:tcPr>
          <w:p>
            <w:pPr>
              <w:spacing w:after="0"/>
              <w:rPr>
                <w:sz w:val="21"/>
                <w:szCs w:val="21"/>
                <w:color w:val="auto"/>
              </w:rPr>
            </w:pPr>
          </w:p>
        </w:tc>
        <w:tc>
          <w:tcPr>
            <w:tcW w:w="1200" w:type="dxa"/>
            <w:vAlign w:val="bottom"/>
          </w:tcPr>
          <w:p>
            <w:pPr>
              <w:jc w:val="right"/>
              <w:ind w:right="52"/>
              <w:spacing w:after="0"/>
              <w:rPr>
                <w:sz w:val="20"/>
                <w:szCs w:val="20"/>
                <w:color w:val="auto"/>
              </w:rPr>
            </w:pPr>
            <w:r>
              <w:rPr>
                <w:rFonts w:ascii="Arial" w:cs="Arial" w:eastAsia="Arial" w:hAnsi="Arial"/>
                <w:sz w:val="18"/>
                <w:szCs w:val="18"/>
                <w:color w:val="auto"/>
              </w:rPr>
              <w:t>632,537</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2"/>
              <w:spacing w:after="0"/>
              <w:rPr>
                <w:sz w:val="20"/>
                <w:szCs w:val="20"/>
                <w:color w:val="auto"/>
              </w:rPr>
            </w:pPr>
            <w:r>
              <w:rPr>
                <w:rFonts w:ascii="Arial" w:cs="Arial" w:eastAsia="Arial" w:hAnsi="Arial"/>
                <w:sz w:val="18"/>
                <w:szCs w:val="18"/>
                <w:color w:val="auto"/>
              </w:rPr>
              <w:t>—</w:t>
            </w:r>
          </w:p>
        </w:tc>
      </w:tr>
      <w:tr>
        <w:trPr>
          <w:trHeight w:val="27"/>
        </w:trPr>
        <w:tc>
          <w:tcPr>
            <w:tcW w:w="8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Reserves and accruals</w:t>
            </w: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22,719</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18,404</w:t>
            </w:r>
          </w:p>
        </w:tc>
      </w:tr>
      <w:tr>
        <w:trPr>
          <w:trHeight w:val="243"/>
        </w:trPr>
        <w:tc>
          <w:tcPr>
            <w:tcW w:w="826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220" w:type="dxa"/>
            <w:vAlign w:val="bottom"/>
          </w:tcPr>
          <w:p>
            <w:pPr>
              <w:spacing w:after="0"/>
              <w:rPr>
                <w:sz w:val="21"/>
                <w:szCs w:val="21"/>
                <w:color w:val="auto"/>
              </w:rPr>
            </w:pPr>
          </w:p>
        </w:tc>
        <w:tc>
          <w:tcPr>
            <w:tcW w:w="1200" w:type="dxa"/>
            <w:vAlign w:val="bottom"/>
          </w:tcPr>
          <w:p>
            <w:pPr>
              <w:jc w:val="right"/>
              <w:ind w:right="52"/>
              <w:spacing w:after="0"/>
              <w:rPr>
                <w:sz w:val="20"/>
                <w:szCs w:val="20"/>
                <w:color w:val="auto"/>
              </w:rPr>
            </w:pPr>
            <w:r>
              <w:rPr>
                <w:rFonts w:ascii="Arial" w:cs="Arial" w:eastAsia="Arial" w:hAnsi="Arial"/>
                <w:sz w:val="18"/>
                <w:szCs w:val="18"/>
                <w:color w:val="auto"/>
              </w:rPr>
              <w:t>4,117</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2"/>
              <w:spacing w:after="0"/>
              <w:rPr>
                <w:sz w:val="20"/>
                <w:szCs w:val="20"/>
                <w:color w:val="auto"/>
              </w:rPr>
            </w:pPr>
            <w:r>
              <w:rPr>
                <w:rFonts w:ascii="Arial" w:cs="Arial" w:eastAsia="Arial" w:hAnsi="Arial"/>
                <w:sz w:val="18"/>
                <w:szCs w:val="18"/>
                <w:color w:val="auto"/>
              </w:rPr>
              <w:t>5,213</w:t>
            </w:r>
          </w:p>
        </w:tc>
      </w:tr>
      <w:tr>
        <w:trPr>
          <w:trHeight w:val="27"/>
        </w:trPr>
        <w:tc>
          <w:tcPr>
            <w:tcW w:w="8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2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Lease liabilities</w:t>
            </w:r>
          </w:p>
        </w:tc>
        <w:tc>
          <w:tcPr>
            <w:tcW w:w="22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32,120</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w:t>
            </w:r>
          </w:p>
        </w:tc>
      </w:tr>
      <w:tr>
        <w:trPr>
          <w:trHeight w:val="237"/>
        </w:trPr>
        <w:tc>
          <w:tcPr>
            <w:tcW w:w="8260" w:type="dxa"/>
            <w:vAlign w:val="bottom"/>
          </w:tcPr>
          <w:p>
            <w:pPr>
              <w:ind w:left="20"/>
              <w:spacing w:after="0"/>
              <w:rPr>
                <w:sz w:val="20"/>
                <w:szCs w:val="20"/>
                <w:color w:val="auto"/>
              </w:rPr>
            </w:pPr>
            <w:r>
              <w:rPr>
                <w:rFonts w:ascii="Arial" w:cs="Arial" w:eastAsia="Arial" w:hAnsi="Arial"/>
                <w:sz w:val="18"/>
                <w:szCs w:val="18"/>
                <w:color w:val="auto"/>
              </w:rPr>
              <w:t>Gross deferred tax assets</w:t>
            </w:r>
          </w:p>
        </w:tc>
        <w:tc>
          <w:tcPr>
            <w:tcW w:w="22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52"/>
              <w:spacing w:after="0"/>
              <w:rPr>
                <w:sz w:val="20"/>
                <w:szCs w:val="20"/>
                <w:color w:val="auto"/>
              </w:rPr>
            </w:pPr>
            <w:r>
              <w:rPr>
                <w:rFonts w:ascii="Arial" w:cs="Arial" w:eastAsia="Arial" w:hAnsi="Arial"/>
                <w:sz w:val="18"/>
                <w:szCs w:val="18"/>
                <w:color w:val="auto"/>
              </w:rPr>
              <w:t>1,429,223</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715,548</w:t>
            </w:r>
          </w:p>
        </w:tc>
      </w:tr>
      <w:tr>
        <w:trPr>
          <w:trHeight w:val="27"/>
        </w:trPr>
        <w:tc>
          <w:tcPr>
            <w:tcW w:w="8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2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Valuation allowance</w:t>
            </w:r>
          </w:p>
        </w:tc>
        <w:tc>
          <w:tcPr>
            <w:tcW w:w="22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(676,780)</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(597,829)</w:t>
            </w:r>
          </w:p>
        </w:tc>
      </w:tr>
      <w:tr>
        <w:trPr>
          <w:trHeight w:val="237"/>
        </w:trPr>
        <w:tc>
          <w:tcPr>
            <w:tcW w:w="8260" w:type="dxa"/>
            <w:vAlign w:val="bottom"/>
          </w:tcPr>
          <w:p>
            <w:pPr>
              <w:ind w:left="20"/>
              <w:spacing w:after="0"/>
              <w:rPr>
                <w:sz w:val="20"/>
                <w:szCs w:val="20"/>
                <w:color w:val="auto"/>
              </w:rPr>
            </w:pPr>
            <w:r>
              <w:rPr>
                <w:rFonts w:ascii="Arial" w:cs="Arial" w:eastAsia="Arial" w:hAnsi="Arial"/>
                <w:sz w:val="18"/>
                <w:szCs w:val="18"/>
                <w:color w:val="auto"/>
              </w:rPr>
              <w:t>Total deferred tax assets</w:t>
            </w:r>
          </w:p>
        </w:tc>
        <w:tc>
          <w:tcPr>
            <w:tcW w:w="22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52"/>
              <w:spacing w:after="0"/>
              <w:rPr>
                <w:sz w:val="20"/>
                <w:szCs w:val="20"/>
                <w:color w:val="auto"/>
              </w:rPr>
            </w:pPr>
            <w:r>
              <w:rPr>
                <w:rFonts w:ascii="Arial" w:cs="Arial" w:eastAsia="Arial" w:hAnsi="Arial"/>
                <w:sz w:val="18"/>
                <w:szCs w:val="18"/>
                <w:color w:val="auto"/>
              </w:rPr>
              <w:t>752,443</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72"/>
              <w:spacing w:after="0"/>
              <w:rPr>
                <w:sz w:val="20"/>
                <w:szCs w:val="20"/>
                <w:color w:val="auto"/>
              </w:rPr>
            </w:pPr>
            <w:r>
              <w:rPr>
                <w:rFonts w:ascii="Arial" w:cs="Arial" w:eastAsia="Arial" w:hAnsi="Arial"/>
                <w:sz w:val="18"/>
                <w:szCs w:val="18"/>
                <w:color w:val="auto"/>
              </w:rPr>
              <w:t>117,719</w:t>
            </w:r>
          </w:p>
        </w:tc>
      </w:tr>
      <w:tr>
        <w:trPr>
          <w:trHeight w:val="27"/>
        </w:trPr>
        <w:tc>
          <w:tcPr>
            <w:tcW w:w="8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Deferred tax liabilities:</w:t>
            </w: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8260" w:type="dxa"/>
            <w:vAlign w:val="bottom"/>
          </w:tcPr>
          <w:p>
            <w:pPr>
              <w:ind w:left="340"/>
              <w:spacing w:after="0"/>
              <w:rPr>
                <w:sz w:val="20"/>
                <w:szCs w:val="20"/>
                <w:color w:val="auto"/>
              </w:rPr>
            </w:pPr>
            <w:r>
              <w:rPr>
                <w:rFonts w:ascii="Arial" w:cs="Arial" w:eastAsia="Arial" w:hAnsi="Arial"/>
                <w:sz w:val="18"/>
                <w:szCs w:val="18"/>
                <w:color w:val="auto"/>
              </w:rPr>
              <w:t>Intangible assets</w:t>
            </w:r>
          </w:p>
        </w:tc>
        <w:tc>
          <w:tcPr>
            <w:tcW w:w="22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(69,771)</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(185,973)</w:t>
            </w:r>
          </w:p>
        </w:tc>
      </w:tr>
      <w:tr>
        <w:trPr>
          <w:trHeight w:val="27"/>
        </w:trPr>
        <w:tc>
          <w:tcPr>
            <w:tcW w:w="8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Fixed assets</w:t>
            </w: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(27,540)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(13,370)</w:t>
            </w:r>
          </w:p>
        </w:tc>
      </w:tr>
      <w:tr>
        <w:trPr>
          <w:trHeight w:val="243"/>
        </w:trPr>
        <w:tc>
          <w:tcPr>
            <w:tcW w:w="8260" w:type="dxa"/>
            <w:vAlign w:val="bottom"/>
          </w:tcPr>
          <w:p>
            <w:pPr>
              <w:ind w:left="340"/>
              <w:spacing w:after="0"/>
              <w:rPr>
                <w:sz w:val="20"/>
                <w:szCs w:val="20"/>
                <w:color w:val="auto"/>
              </w:rPr>
            </w:pPr>
            <w:r>
              <w:rPr>
                <w:rFonts w:ascii="Arial" w:cs="Arial" w:eastAsia="Arial" w:hAnsi="Arial"/>
                <w:sz w:val="18"/>
                <w:szCs w:val="18"/>
                <w:color w:val="auto"/>
              </w:rPr>
              <w:t>Unremitted earnings of non-U.S. subsidiaries</w:t>
            </w:r>
          </w:p>
        </w:tc>
        <w:tc>
          <w:tcPr>
            <w:tcW w:w="22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(21,284)</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(52,828)</w:t>
            </w:r>
          </w:p>
        </w:tc>
      </w:tr>
      <w:tr>
        <w:trPr>
          <w:trHeight w:val="27"/>
        </w:trPr>
        <w:tc>
          <w:tcPr>
            <w:tcW w:w="8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Royalty income</w:t>
            </w:r>
          </w:p>
        </w:tc>
        <w:tc>
          <w:tcPr>
            <w:tcW w:w="22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(99,340)</w:t>
            </w:r>
          </w:p>
        </w:tc>
      </w:tr>
      <w:tr>
        <w:trPr>
          <w:trHeight w:val="243"/>
        </w:trPr>
        <w:tc>
          <w:tcPr>
            <w:tcW w:w="8260" w:type="dxa"/>
            <w:vAlign w:val="bottom"/>
          </w:tcPr>
          <w:p>
            <w:pPr>
              <w:ind w:left="340"/>
              <w:spacing w:after="0"/>
              <w:rPr>
                <w:sz w:val="20"/>
                <w:szCs w:val="20"/>
                <w:color w:val="auto"/>
              </w:rPr>
            </w:pPr>
            <w:r>
              <w:rPr>
                <w:rFonts w:ascii="Arial" w:cs="Arial" w:eastAsia="Arial" w:hAnsi="Arial"/>
                <w:sz w:val="18"/>
                <w:szCs w:val="18"/>
                <w:color w:val="auto"/>
              </w:rPr>
              <w:t>Right of use assets</w:t>
            </w:r>
          </w:p>
        </w:tc>
        <w:tc>
          <w:tcPr>
            <w:tcW w:w="22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(25,290)</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2"/>
              <w:spacing w:after="0"/>
              <w:rPr>
                <w:sz w:val="20"/>
                <w:szCs w:val="20"/>
                <w:color w:val="auto"/>
              </w:rPr>
            </w:pPr>
            <w:r>
              <w:rPr>
                <w:rFonts w:ascii="Arial" w:cs="Arial" w:eastAsia="Arial" w:hAnsi="Arial"/>
                <w:sz w:val="18"/>
                <w:szCs w:val="18"/>
                <w:color w:val="auto"/>
              </w:rPr>
              <w:t>—</w:t>
            </w:r>
          </w:p>
        </w:tc>
      </w:tr>
      <w:tr>
        <w:trPr>
          <w:trHeight w:val="27"/>
        </w:trPr>
        <w:tc>
          <w:tcPr>
            <w:tcW w:w="82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4"/>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deferred tax liabilities</w:t>
            </w:r>
          </w:p>
        </w:tc>
        <w:tc>
          <w:tcPr>
            <w:tcW w:w="22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(143,885)</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(351,511)</w:t>
            </w:r>
          </w:p>
        </w:tc>
      </w:tr>
      <w:tr>
        <w:trPr>
          <w:trHeight w:val="236"/>
        </w:trPr>
        <w:tc>
          <w:tcPr>
            <w:tcW w:w="8260" w:type="dxa"/>
            <w:vAlign w:val="bottom"/>
          </w:tcPr>
          <w:p>
            <w:pPr>
              <w:ind w:left="20"/>
              <w:spacing w:after="0"/>
              <w:rPr>
                <w:sz w:val="20"/>
                <w:szCs w:val="20"/>
                <w:color w:val="auto"/>
              </w:rPr>
            </w:pPr>
            <w:r>
              <w:rPr>
                <w:rFonts w:ascii="Arial" w:cs="Arial" w:eastAsia="Arial" w:hAnsi="Arial"/>
                <w:sz w:val="18"/>
                <w:szCs w:val="18"/>
                <w:color w:val="auto"/>
              </w:rPr>
              <w:t>Net deferred tax assets (liabilities)</w:t>
            </w:r>
          </w:p>
        </w:tc>
        <w:tc>
          <w:tcPr>
            <w:tcW w:w="2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top w:val="single" w:sz="8" w:color="auto"/>
            </w:tcBorders>
          </w:tcPr>
          <w:p>
            <w:pPr>
              <w:jc w:val="right"/>
              <w:ind w:right="52"/>
              <w:spacing w:after="0"/>
              <w:rPr>
                <w:sz w:val="20"/>
                <w:szCs w:val="20"/>
                <w:color w:val="auto"/>
              </w:rPr>
            </w:pPr>
            <w:r>
              <w:rPr>
                <w:rFonts w:ascii="Arial" w:cs="Arial" w:eastAsia="Arial" w:hAnsi="Arial"/>
                <w:sz w:val="18"/>
                <w:szCs w:val="18"/>
                <w:color w:val="auto"/>
              </w:rPr>
              <w:t>608,558</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(233,792)</w:t>
            </w:r>
          </w:p>
        </w:tc>
      </w:tr>
      <w:tr>
        <w:trPr>
          <w:trHeight w:val="27"/>
        </w:trPr>
        <w:tc>
          <w:tcPr>
            <w:tcW w:w="826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0"/>
        </w:trPr>
        <w:tc>
          <w:tcPr>
            <w:tcW w:w="82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40"/>
          </w:cols>
          <w:pgMar w:left="320" w:top="472" w:right="339" w:bottom="1440" w:gutter="0" w:footer="0" w:header="0"/>
        </w:sectPr>
      </w:pPr>
    </w:p>
    <w:p>
      <w:pPr>
        <w:spacing w:after="0" w:line="200" w:lineRule="exact"/>
        <w:rPr>
          <w:sz w:val="20"/>
          <w:szCs w:val="20"/>
          <w:color w:val="auto"/>
        </w:rPr>
      </w:pP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92" w:name="page93"/>
    <w:bookmarkEnd w:id="9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4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deferred tax assets and liabilities based on tax jurisdictions are presented on our Consolidated Balance Sheet as follows:</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5"/>
              </w:rPr>
              <w:t>February 1,</w:t>
            </w:r>
          </w:p>
        </w:tc>
        <w:tc>
          <w:tcPr>
            <w:tcW w:w="240" w:type="dxa"/>
            <w:vAlign w:val="bottom"/>
          </w:tcPr>
          <w:p>
            <w:pPr>
              <w:spacing w:after="0"/>
              <w:rPr>
                <w:sz w:val="14"/>
                <w:szCs w:val="14"/>
                <w:color w:val="auto"/>
              </w:rPr>
            </w:pPr>
          </w:p>
        </w:tc>
        <w:tc>
          <w:tcPr>
            <w:tcW w:w="1200" w:type="dxa"/>
            <w:vAlign w:val="bottom"/>
          </w:tcPr>
          <w:p>
            <w:pPr>
              <w:jc w:val="right"/>
              <w:ind w:right="277"/>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2019</w:t>
            </w:r>
          </w:p>
        </w:tc>
      </w:tr>
      <w:tr>
        <w:trPr>
          <w:trHeight w:val="250"/>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Non-current deferred tax assets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639,791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12,460</w:t>
            </w:r>
          </w:p>
        </w:tc>
      </w:tr>
      <w:tr>
        <w:trPr>
          <w:trHeight w:val="243"/>
        </w:trPr>
        <w:tc>
          <w:tcPr>
            <w:tcW w:w="8260" w:type="dxa"/>
            <w:vAlign w:val="bottom"/>
          </w:tcPr>
          <w:p>
            <w:pPr>
              <w:ind w:left="20"/>
              <w:spacing w:after="0"/>
              <w:rPr>
                <w:sz w:val="20"/>
                <w:szCs w:val="20"/>
                <w:color w:val="auto"/>
              </w:rPr>
            </w:pPr>
            <w:r>
              <w:rPr>
                <w:rFonts w:ascii="Arial" w:cs="Arial" w:eastAsia="Arial" w:hAnsi="Arial"/>
                <w:sz w:val="18"/>
                <w:szCs w:val="18"/>
                <w:color w:val="auto"/>
              </w:rPr>
              <w:t>Non-current deferred tax liabilities</w:t>
            </w:r>
          </w:p>
        </w:tc>
        <w:tc>
          <w:tcPr>
            <w:tcW w:w="240" w:type="dxa"/>
            <w:vAlign w:val="bottom"/>
          </w:tcPr>
          <w:p>
            <w:pPr>
              <w:spacing w:after="0"/>
              <w:rPr>
                <w:sz w:val="21"/>
                <w:szCs w:val="21"/>
                <w:color w:val="auto"/>
              </w:rPr>
            </w:pPr>
          </w:p>
        </w:tc>
        <w:tc>
          <w:tcPr>
            <w:tcW w:w="1200" w:type="dxa"/>
            <w:vAlign w:val="bottom"/>
          </w:tcPr>
          <w:p>
            <w:pPr>
              <w:ind w:left="480"/>
              <w:spacing w:after="0"/>
              <w:rPr>
                <w:sz w:val="20"/>
                <w:szCs w:val="20"/>
                <w:color w:val="auto"/>
              </w:rPr>
            </w:pPr>
            <w:r>
              <w:rPr>
                <w:rFonts w:ascii="Arial" w:cs="Arial" w:eastAsia="Arial" w:hAnsi="Arial"/>
                <w:sz w:val="18"/>
                <w:szCs w:val="18"/>
                <w:color w:val="auto"/>
              </w:rPr>
              <w:t>(31,233)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17"/>
              <w:spacing w:after="0"/>
              <w:rPr>
                <w:sz w:val="20"/>
                <w:szCs w:val="20"/>
                <w:color w:val="auto"/>
              </w:rPr>
            </w:pPr>
            <w:r>
              <w:rPr>
                <w:rFonts w:ascii="Arial" w:cs="Arial" w:eastAsia="Arial" w:hAnsi="Arial"/>
                <w:sz w:val="18"/>
                <w:szCs w:val="18"/>
                <w:color w:val="auto"/>
              </w:rPr>
              <w:t>(246,252)</w:t>
            </w:r>
          </w:p>
        </w:tc>
      </w:tr>
      <w:tr>
        <w:trPr>
          <w:trHeight w:val="27"/>
        </w:trPr>
        <w:tc>
          <w:tcPr>
            <w:tcW w:w="826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88"/>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deferred tax assets (liabilities)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ind w:left="460"/>
              <w:spacing w:after="0"/>
              <w:rPr>
                <w:sz w:val="20"/>
                <w:szCs w:val="20"/>
                <w:color w:val="auto"/>
              </w:rPr>
            </w:pPr>
            <w:r>
              <w:rPr>
                <w:rFonts w:ascii="Arial" w:cs="Arial" w:eastAsia="Arial" w:hAnsi="Arial"/>
                <w:sz w:val="18"/>
                <w:szCs w:val="18"/>
                <w:color w:val="auto"/>
              </w:rPr>
              <w:t>608,558</w:t>
            </w:r>
          </w:p>
        </w:tc>
        <w:tc>
          <w:tcPr>
            <w:tcW w:w="100" w:type="dxa"/>
            <w:vAlign w:val="bottom"/>
            <w:tcBorders>
              <w:bottom w:val="single" w:sz="8" w:color="CCEEFF"/>
            </w:tcBorders>
            <w:shd w:val="clear" w:color="auto" w:fill="CCEEFF"/>
          </w:tcPr>
          <w:p>
            <w:pPr>
              <w:spacing w:after="0"/>
              <w:rPr>
                <w:sz w:val="24"/>
                <w:szCs w:val="24"/>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ind w:right="17"/>
              <w:spacing w:after="0"/>
              <w:rPr>
                <w:sz w:val="20"/>
                <w:szCs w:val="20"/>
                <w:color w:val="auto"/>
              </w:rPr>
            </w:pPr>
            <w:r>
              <w:rPr>
                <w:rFonts w:ascii="Arial" w:cs="Arial" w:eastAsia="Arial" w:hAnsi="Arial"/>
                <w:sz w:val="18"/>
                <w:szCs w:val="18"/>
                <w:color w:val="auto"/>
              </w:rPr>
              <w:t>(233,792)</w:t>
            </w:r>
          </w:p>
        </w:tc>
      </w:tr>
      <w:tr>
        <w:trPr>
          <w:trHeight w:val="20"/>
        </w:trPr>
        <w:tc>
          <w:tcPr>
            <w:tcW w:w="826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left="420"/>
        <w:spacing w:after="0"/>
        <w:rPr>
          <w:sz w:val="20"/>
          <w:szCs w:val="20"/>
          <w:color w:val="auto"/>
        </w:rPr>
      </w:pPr>
      <w:r>
        <w:rPr>
          <w:rFonts w:ascii="Arial" w:cs="Arial" w:eastAsia="Arial" w:hAnsi="Arial"/>
          <w:sz w:val="16"/>
          <w:szCs w:val="16"/>
          <w:color w:val="auto"/>
        </w:rPr>
        <w:t>In assessing the realization of deferred tax assets across all jurisdictions, management considers whether it is more likely than not that some portion or</w:t>
      </w:r>
    </w:p>
    <w:p>
      <w:pPr>
        <w:spacing w:after="0" w:line="73" w:lineRule="exact"/>
        <w:rPr>
          <w:sz w:val="20"/>
          <w:szCs w:val="20"/>
          <w:color w:val="auto"/>
        </w:rPr>
      </w:pPr>
    </w:p>
    <w:p>
      <w:pPr>
        <w:ind w:right="80"/>
        <w:spacing w:after="0" w:line="272" w:lineRule="auto"/>
        <w:rPr>
          <w:sz w:val="20"/>
          <w:szCs w:val="20"/>
          <w:color w:val="auto"/>
        </w:rPr>
      </w:pPr>
      <w:r>
        <w:rPr>
          <w:rFonts w:ascii="Arial" w:cs="Arial" w:eastAsia="Arial" w:hAnsi="Arial"/>
          <w:sz w:val="17"/>
          <w:szCs w:val="17"/>
          <w:color w:val="auto"/>
        </w:rPr>
        <w:t>all of the deferred assets will be realized. The ultimate realization of the deferred tax assets is dependent upon the generation of future taxable income during the periods in which those temporary differences become deductible. As of February 1, 2020, the Company recorded a valuation allowance of $676.8 million which is an increase of $79.0 million from fiscal 2019. The Company provided a full valuation allowance against its federal and state research and development and other tax credits. Based on the available objectively verifiable positive and negative evidence, the Company determined that it is more likely than not that these tax credits and a limited amount of net operating losses will not be realized in the future. The Company also provided a valuation allowance against the deferred tax assets of a portion of its operations in Israel, which has cumulative losses in recent years and is not projecting sufficient future taxable income to realize the benefit of its deferred tax assets.</w:t>
      </w:r>
    </w:p>
    <w:p>
      <w:pPr>
        <w:spacing w:after="0" w:line="69" w:lineRule="exact"/>
        <w:rPr>
          <w:sz w:val="20"/>
          <w:szCs w:val="20"/>
          <w:color w:val="auto"/>
        </w:rPr>
      </w:pPr>
    </w:p>
    <w:p>
      <w:pPr>
        <w:ind w:right="40" w:firstLine="405"/>
        <w:spacing w:after="0" w:line="272" w:lineRule="auto"/>
        <w:rPr>
          <w:sz w:val="20"/>
          <w:szCs w:val="20"/>
          <w:color w:val="auto"/>
        </w:rPr>
      </w:pPr>
      <w:r>
        <w:rPr>
          <w:rFonts w:ascii="Arial" w:cs="Arial" w:eastAsia="Arial" w:hAnsi="Arial"/>
          <w:sz w:val="17"/>
          <w:szCs w:val="17"/>
          <w:color w:val="auto"/>
        </w:rPr>
        <w:t>As of February 1, 2020, the Company had net operating loss carryforwards available to offset future taxable income of approximately $932.1 million, $597.4 million and $514.8 million for U.S. federal, state of California and foreign purposes, respectively. The federal carryforwards will begin to expire in fiscal year 2022, and the California carryforwards will begin to expire in fiscal year 2028, if not utilized before these years. The majority of the Company’s foreign losses carry forward indefinitely. The Company also had federal research and other tax credit carryforwards of approximately $310.7 million which will begin to expire in fiscal 2021. As of February 1, 2020, the Company also had California research tax credit carryforwards of approximately $440.5 million, which can be carried forward indefinitely. The Company also has research and other tax credit carryforwards of approximately $26.0 million in other U.S. states which will begin to expire in fiscal 2021 due to the statutes of limitation.</w:t>
      </w:r>
    </w:p>
    <w:p>
      <w:pPr>
        <w:spacing w:after="0" w:line="69" w:lineRule="exact"/>
        <w:rPr>
          <w:sz w:val="20"/>
          <w:szCs w:val="20"/>
          <w:color w:val="auto"/>
        </w:rPr>
      </w:pPr>
    </w:p>
    <w:p>
      <w:pPr>
        <w:ind w:right="20" w:firstLine="405"/>
        <w:spacing w:after="0" w:line="273" w:lineRule="auto"/>
        <w:rPr>
          <w:sz w:val="20"/>
          <w:szCs w:val="20"/>
          <w:color w:val="auto"/>
        </w:rPr>
      </w:pPr>
      <w:r>
        <w:rPr>
          <w:rFonts w:ascii="Arial" w:cs="Arial" w:eastAsia="Arial" w:hAnsi="Arial"/>
          <w:sz w:val="17"/>
          <w:szCs w:val="17"/>
          <w:color w:val="auto"/>
        </w:rPr>
        <w:t>Utilization of the Company's U.S. federal and state net operating loss and credit carryforwards may be subject to annual limitations due to ownership change provisions by the Internal Revenue Code of 1986, as amended, and similar state provisions. The annual limitation may result in the expiration of net operating losses and credits before utilization. Future changes in the Company's stock ownership, some of which are outside of the Company's control, could result in an ownership change under Section 382 and result in a limitation on US tax attributes. As of February 1, 2020, the Company had approximately $718.5 million and $120.4 million of federal net operating loss and tax credit carryforwards, respectively, in the U.S. subject to an annual limitation. The Company does not expect these limitations to result in any permanent loss of its tax benefits.</w:t>
      </w:r>
    </w:p>
    <w:p>
      <w:pPr>
        <w:spacing w:after="0" w:line="70"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reflects changes in the unrecognized tax benefits (in thousands):</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r>
      <w:tr>
        <w:trPr>
          <w:trHeight w:val="152"/>
        </w:trPr>
        <w:tc>
          <w:tcPr>
            <w:tcW w:w="69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2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1,</w:t>
            </w:r>
          </w:p>
        </w:tc>
        <w:tc>
          <w:tcPr>
            <w:tcW w:w="220" w:type="dxa"/>
            <w:vAlign w:val="bottom"/>
          </w:tcPr>
          <w:p>
            <w:pPr>
              <w:spacing w:after="0"/>
              <w:rPr>
                <w:sz w:val="13"/>
                <w:szCs w:val="13"/>
                <w:color w:val="auto"/>
              </w:rPr>
            </w:pPr>
          </w:p>
        </w:tc>
        <w:tc>
          <w:tcPr>
            <w:tcW w:w="12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7"/>
              </w:rPr>
              <w:t>February 2,</w:t>
            </w:r>
          </w:p>
        </w:tc>
        <w:tc>
          <w:tcPr>
            <w:tcW w:w="200" w:type="dxa"/>
            <w:vAlign w:val="bottom"/>
          </w:tcPr>
          <w:p>
            <w:pPr>
              <w:spacing w:after="0"/>
              <w:rPr>
                <w:sz w:val="13"/>
                <w:szCs w:val="13"/>
                <w:color w:val="auto"/>
              </w:rPr>
            </w:pPr>
          </w:p>
        </w:tc>
        <w:tc>
          <w:tcPr>
            <w:tcW w:w="1160" w:type="dxa"/>
            <w:vAlign w:val="bottom"/>
          </w:tcPr>
          <w:p>
            <w:pPr>
              <w:jc w:val="right"/>
              <w:ind w:right="233"/>
              <w:spacing w:after="0" w:line="153" w:lineRule="exact"/>
              <w:rPr>
                <w:sz w:val="20"/>
                <w:szCs w:val="20"/>
                <w:color w:val="auto"/>
              </w:rPr>
            </w:pPr>
            <w:r>
              <w:rPr>
                <w:rFonts w:ascii="Arial" w:cs="Arial" w:eastAsia="Arial" w:hAnsi="Arial"/>
                <w:sz w:val="14"/>
                <w:szCs w:val="14"/>
                <w:b w:val="1"/>
                <w:bCs w:val="1"/>
                <w:color w:val="auto"/>
              </w:rPr>
              <w:t>February 3,</w:t>
            </w:r>
          </w:p>
        </w:tc>
      </w:tr>
      <w:tr>
        <w:trPr>
          <w:trHeight w:val="192"/>
        </w:trPr>
        <w:tc>
          <w:tcPr>
            <w:tcW w:w="69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115"/>
              <w:spacing w:after="0"/>
              <w:rPr>
                <w:sz w:val="20"/>
                <w:szCs w:val="20"/>
                <w:color w:val="auto"/>
              </w:rPr>
            </w:pPr>
            <w:r>
              <w:rPr>
                <w:rFonts w:ascii="Arial" w:cs="Arial" w:eastAsia="Arial" w:hAnsi="Arial"/>
                <w:sz w:val="14"/>
                <w:szCs w:val="14"/>
                <w:b w:val="1"/>
                <w:bCs w:val="1"/>
                <w:color w:val="auto"/>
                <w:w w:val="96"/>
              </w:rPr>
              <w:t>2019</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2018</w:t>
            </w:r>
          </w:p>
        </w:tc>
      </w:tr>
      <w:tr>
        <w:trPr>
          <w:trHeight w:val="250"/>
        </w:trPr>
        <w:tc>
          <w:tcPr>
            <w:tcW w:w="6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Unrecognized tax benefits as of the beginning of the period</w:t>
            </w: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158,323</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55"/>
              <w:spacing w:after="0"/>
              <w:rPr>
                <w:sz w:val="20"/>
                <w:szCs w:val="20"/>
                <w:color w:val="auto"/>
              </w:rPr>
            </w:pPr>
            <w:r>
              <w:rPr>
                <w:rFonts w:ascii="Arial" w:cs="Arial" w:eastAsia="Arial" w:hAnsi="Arial"/>
                <w:sz w:val="18"/>
                <w:szCs w:val="18"/>
                <w:color w:val="auto"/>
              </w:rPr>
              <w:t>23,252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23,793</w:t>
            </w:r>
          </w:p>
        </w:tc>
      </w:tr>
      <w:tr>
        <w:trPr>
          <w:trHeight w:val="243"/>
        </w:trPr>
        <w:tc>
          <w:tcPr>
            <w:tcW w:w="6940" w:type="dxa"/>
            <w:vAlign w:val="bottom"/>
          </w:tcPr>
          <w:p>
            <w:pPr>
              <w:ind w:left="20"/>
              <w:spacing w:after="0"/>
              <w:rPr>
                <w:sz w:val="20"/>
                <w:szCs w:val="20"/>
                <w:color w:val="auto"/>
              </w:rPr>
            </w:pPr>
            <w:r>
              <w:rPr>
                <w:rFonts w:ascii="Arial" w:cs="Arial" w:eastAsia="Arial" w:hAnsi="Arial"/>
                <w:sz w:val="18"/>
                <w:szCs w:val="18"/>
                <w:color w:val="auto"/>
              </w:rPr>
              <w:t>Increases related to acquired tax positions</w:t>
            </w:r>
          </w:p>
        </w:tc>
        <w:tc>
          <w:tcPr>
            <w:tcW w:w="20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9,215</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55"/>
              <w:spacing w:after="0"/>
              <w:rPr>
                <w:sz w:val="20"/>
                <w:szCs w:val="20"/>
                <w:color w:val="auto"/>
              </w:rPr>
            </w:pPr>
            <w:r>
              <w:rPr>
                <w:rFonts w:ascii="Arial" w:cs="Arial" w:eastAsia="Arial" w:hAnsi="Arial"/>
                <w:sz w:val="18"/>
                <w:szCs w:val="18"/>
                <w:color w:val="auto"/>
              </w:rPr>
              <w:t>131,631</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w:t>
            </w:r>
          </w:p>
        </w:tc>
      </w:tr>
      <w:tr>
        <w:trPr>
          <w:trHeight w:val="27"/>
        </w:trPr>
        <w:tc>
          <w:tcPr>
            <w:tcW w:w="69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6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Increases related to prior year tax positions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1,789</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55"/>
              <w:spacing w:after="0"/>
              <w:rPr>
                <w:sz w:val="20"/>
                <w:szCs w:val="20"/>
                <w:color w:val="auto"/>
              </w:rPr>
            </w:pPr>
            <w:r>
              <w:rPr>
                <w:rFonts w:ascii="Arial" w:cs="Arial" w:eastAsia="Arial" w:hAnsi="Arial"/>
                <w:sz w:val="18"/>
                <w:szCs w:val="18"/>
                <w:color w:val="auto"/>
              </w:rPr>
              <w:t>1,836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w:t>
            </w:r>
          </w:p>
        </w:tc>
      </w:tr>
      <w:tr>
        <w:trPr>
          <w:trHeight w:val="243"/>
        </w:trPr>
        <w:tc>
          <w:tcPr>
            <w:tcW w:w="6940" w:type="dxa"/>
            <w:vAlign w:val="bottom"/>
          </w:tcPr>
          <w:p>
            <w:pPr>
              <w:ind w:left="20"/>
              <w:spacing w:after="0"/>
              <w:rPr>
                <w:sz w:val="20"/>
                <w:szCs w:val="20"/>
                <w:color w:val="auto"/>
              </w:rPr>
            </w:pPr>
            <w:r>
              <w:rPr>
                <w:rFonts w:ascii="Arial" w:cs="Arial" w:eastAsia="Arial" w:hAnsi="Arial"/>
                <w:sz w:val="18"/>
                <w:szCs w:val="18"/>
                <w:color w:val="auto"/>
              </w:rPr>
              <w:t>Decreases related to prior year tax positions</w:t>
            </w:r>
          </w:p>
        </w:tc>
        <w:tc>
          <w:tcPr>
            <w:tcW w:w="200" w:type="dxa"/>
            <w:vAlign w:val="bottom"/>
          </w:tcPr>
          <w:p>
            <w:pPr>
              <w:spacing w:after="0"/>
              <w:rPr>
                <w:sz w:val="21"/>
                <w:szCs w:val="21"/>
                <w:color w:val="auto"/>
              </w:rPr>
            </w:pPr>
          </w:p>
        </w:tc>
        <w:tc>
          <w:tcPr>
            <w:tcW w:w="1160" w:type="dxa"/>
            <w:vAlign w:val="bottom"/>
          </w:tcPr>
          <w:p>
            <w:pPr>
              <w:jc w:val="right"/>
              <w:ind w:right="33"/>
              <w:spacing w:after="0"/>
              <w:rPr>
                <w:sz w:val="20"/>
                <w:szCs w:val="20"/>
                <w:color w:val="auto"/>
              </w:rPr>
            </w:pPr>
            <w:r>
              <w:rPr>
                <w:rFonts w:ascii="Arial" w:cs="Arial" w:eastAsia="Arial" w:hAnsi="Arial"/>
                <w:sz w:val="18"/>
                <w:szCs w:val="18"/>
                <w:color w:val="auto"/>
              </w:rPr>
              <w:t>(6,747)</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5"/>
              <w:spacing w:after="0"/>
              <w:rPr>
                <w:sz w:val="20"/>
                <w:szCs w:val="20"/>
                <w:color w:val="auto"/>
              </w:rPr>
            </w:pPr>
            <w:r>
              <w:rPr>
                <w:rFonts w:ascii="Arial" w:cs="Arial" w:eastAsia="Arial" w:hAnsi="Arial"/>
                <w:sz w:val="18"/>
                <w:szCs w:val="18"/>
                <w:color w:val="auto"/>
              </w:rPr>
              <w:t>(6,259)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w:t>
            </w:r>
          </w:p>
        </w:tc>
      </w:tr>
      <w:tr>
        <w:trPr>
          <w:trHeight w:val="27"/>
        </w:trPr>
        <w:tc>
          <w:tcPr>
            <w:tcW w:w="69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6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Increases related to current year tax positions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7,614</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55"/>
              <w:spacing w:after="0"/>
              <w:rPr>
                <w:sz w:val="20"/>
                <w:szCs w:val="20"/>
                <w:color w:val="auto"/>
              </w:rPr>
            </w:pPr>
            <w:r>
              <w:rPr>
                <w:rFonts w:ascii="Arial" w:cs="Arial" w:eastAsia="Arial" w:hAnsi="Arial"/>
                <w:sz w:val="18"/>
                <w:szCs w:val="18"/>
                <w:color w:val="auto"/>
              </w:rPr>
              <w:t>11,154</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2,776</w:t>
            </w:r>
          </w:p>
        </w:tc>
      </w:tr>
      <w:tr>
        <w:trPr>
          <w:trHeight w:val="243"/>
        </w:trPr>
        <w:tc>
          <w:tcPr>
            <w:tcW w:w="6940" w:type="dxa"/>
            <w:vAlign w:val="bottom"/>
          </w:tcPr>
          <w:p>
            <w:pPr>
              <w:ind w:left="20"/>
              <w:spacing w:after="0"/>
              <w:rPr>
                <w:sz w:val="20"/>
                <w:szCs w:val="20"/>
                <w:color w:val="auto"/>
              </w:rPr>
            </w:pPr>
            <w:r>
              <w:rPr>
                <w:rFonts w:ascii="Arial" w:cs="Arial" w:eastAsia="Arial" w:hAnsi="Arial"/>
                <w:sz w:val="18"/>
                <w:szCs w:val="18"/>
                <w:color w:val="auto"/>
              </w:rPr>
              <w:t>Settlements</w:t>
            </w:r>
          </w:p>
        </w:tc>
        <w:tc>
          <w:tcPr>
            <w:tcW w:w="200" w:type="dxa"/>
            <w:vAlign w:val="bottom"/>
          </w:tcPr>
          <w:p>
            <w:pPr>
              <w:spacing w:after="0"/>
              <w:rPr>
                <w:sz w:val="21"/>
                <w:szCs w:val="21"/>
                <w:color w:val="auto"/>
              </w:rPr>
            </w:pPr>
          </w:p>
        </w:tc>
        <w:tc>
          <w:tcPr>
            <w:tcW w:w="1160" w:type="dxa"/>
            <w:vAlign w:val="bottom"/>
          </w:tcPr>
          <w:p>
            <w:pPr>
              <w:jc w:val="right"/>
              <w:ind w:right="33"/>
              <w:spacing w:after="0"/>
              <w:rPr>
                <w:sz w:val="20"/>
                <w:szCs w:val="20"/>
                <w:color w:val="auto"/>
              </w:rPr>
            </w:pPr>
            <w:r>
              <w:rPr>
                <w:rFonts w:ascii="Arial" w:cs="Arial" w:eastAsia="Arial" w:hAnsi="Arial"/>
                <w:sz w:val="18"/>
                <w:szCs w:val="18"/>
                <w:color w:val="auto"/>
              </w:rPr>
              <w:t>(443)</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w:t>
            </w:r>
          </w:p>
        </w:tc>
      </w:tr>
      <w:tr>
        <w:trPr>
          <w:trHeight w:val="27"/>
        </w:trPr>
        <w:tc>
          <w:tcPr>
            <w:tcW w:w="69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6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Lapse in the statute of limitations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(4,044)</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(3,198)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(3,341)</w:t>
            </w:r>
          </w:p>
        </w:tc>
      </w:tr>
      <w:tr>
        <w:trPr>
          <w:trHeight w:val="243"/>
        </w:trPr>
        <w:tc>
          <w:tcPr>
            <w:tcW w:w="6940" w:type="dxa"/>
            <w:vAlign w:val="bottom"/>
          </w:tcPr>
          <w:p>
            <w:pPr>
              <w:ind w:left="20"/>
              <w:spacing w:after="0"/>
              <w:rPr>
                <w:sz w:val="20"/>
                <w:szCs w:val="20"/>
                <w:color w:val="auto"/>
              </w:rPr>
            </w:pPr>
            <w:r>
              <w:rPr>
                <w:rFonts w:ascii="Arial" w:cs="Arial" w:eastAsia="Arial" w:hAnsi="Arial"/>
                <w:sz w:val="18"/>
                <w:szCs w:val="18"/>
                <w:color w:val="auto"/>
              </w:rPr>
              <w:t>Foreign exchange (gain) loss</w:t>
            </w:r>
          </w:p>
        </w:tc>
        <w:tc>
          <w:tcPr>
            <w:tcW w:w="20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1,121</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5"/>
              <w:spacing w:after="0"/>
              <w:rPr>
                <w:sz w:val="20"/>
                <w:szCs w:val="20"/>
                <w:color w:val="auto"/>
              </w:rPr>
            </w:pPr>
            <w:r>
              <w:rPr>
                <w:rFonts w:ascii="Arial" w:cs="Arial" w:eastAsia="Arial" w:hAnsi="Arial"/>
                <w:sz w:val="18"/>
                <w:szCs w:val="18"/>
                <w:color w:val="auto"/>
              </w:rPr>
              <w:t>(93)</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24</w:t>
            </w:r>
          </w:p>
        </w:tc>
      </w:tr>
      <w:tr>
        <w:trPr>
          <w:trHeight w:val="27"/>
        </w:trPr>
        <w:tc>
          <w:tcPr>
            <w:tcW w:w="694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88"/>
        </w:trPr>
        <w:tc>
          <w:tcPr>
            <w:tcW w:w="6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Gross amounts of unrecognized tax benefits as of the end of the period</w:t>
            </w: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166,828</w:t>
            </w:r>
          </w:p>
        </w:tc>
        <w:tc>
          <w:tcPr>
            <w:tcW w:w="10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55"/>
              <w:spacing w:after="0"/>
              <w:rPr>
                <w:sz w:val="20"/>
                <w:szCs w:val="20"/>
                <w:color w:val="auto"/>
              </w:rPr>
            </w:pPr>
            <w:r>
              <w:rPr>
                <w:rFonts w:ascii="Arial" w:cs="Arial" w:eastAsia="Arial" w:hAnsi="Arial"/>
                <w:sz w:val="18"/>
                <w:szCs w:val="18"/>
                <w:color w:val="auto"/>
              </w:rPr>
              <w:t>158,323</w:t>
            </w:r>
          </w:p>
        </w:tc>
        <w:tc>
          <w:tcPr>
            <w:tcW w:w="12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23,252</w:t>
            </w:r>
          </w:p>
        </w:tc>
      </w:tr>
      <w:tr>
        <w:trPr>
          <w:trHeight w:val="20"/>
        </w:trPr>
        <w:tc>
          <w:tcPr>
            <w:tcW w:w="69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3" w:name="page94"/>
    <w:bookmarkEnd w:id="93"/>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1" w:lineRule="exact"/>
        <w:rPr>
          <w:sz w:val="20"/>
          <w:szCs w:val="20"/>
          <w:color w:val="auto"/>
        </w:rPr>
      </w:pPr>
    </w:p>
    <w:p>
      <w:pPr>
        <w:ind w:right="380" w:firstLine="405"/>
        <w:spacing w:after="0" w:line="286" w:lineRule="auto"/>
        <w:rPr>
          <w:sz w:val="20"/>
          <w:szCs w:val="20"/>
          <w:color w:val="auto"/>
        </w:rPr>
      </w:pPr>
      <w:r>
        <w:rPr>
          <w:rFonts w:ascii="Arial" w:cs="Arial" w:eastAsia="Arial" w:hAnsi="Arial"/>
          <w:sz w:val="17"/>
          <w:szCs w:val="17"/>
          <w:color w:val="auto"/>
        </w:rPr>
        <w:t>Included in the balances as of February 1, 2020 is $127.3 million of unrecognized tax benefit that would affect the effective income tax rate if recognized. Also, $146.6 million, $135.6 million and $8.6 million of the gross unrecognized tax benefits presented in the table above are offset against deferred tax assets in the consolidated balance sheets as of February 1, 2020, February 2, 2019 and February 3, 2018, respectively.</w:t>
      </w:r>
    </w:p>
    <w:p>
      <w:pPr>
        <w:spacing w:after="0" w:line="57" w:lineRule="exact"/>
        <w:rPr>
          <w:sz w:val="20"/>
          <w:szCs w:val="20"/>
          <w:color w:val="auto"/>
        </w:rPr>
      </w:pPr>
    </w:p>
    <w:p>
      <w:pPr>
        <w:ind w:right="180" w:firstLine="405"/>
        <w:spacing w:after="0" w:line="301" w:lineRule="auto"/>
        <w:rPr>
          <w:sz w:val="20"/>
          <w:szCs w:val="20"/>
          <w:color w:val="auto"/>
        </w:rPr>
      </w:pPr>
      <w:r>
        <w:rPr>
          <w:rFonts w:ascii="Arial" w:cs="Arial" w:eastAsia="Arial" w:hAnsi="Arial"/>
          <w:sz w:val="16"/>
          <w:szCs w:val="16"/>
          <w:color w:val="auto"/>
        </w:rPr>
        <w:t>The amounts in the table above do not include the related interest and penalties. The amount of interest and penalties accrued was approximately $12.4 million, $15.1 million, and $17.2 million as of February 1, 2020, February 2, 2019, and February 3, 2018, respectively. The Company’s policy is to recognize these interest and penalties as a component of income tax expense. The consolidated statements of operations for fiscal 2020, 2019, and 2018 included $1.4 million, $2.7 million, and $2.3 million, respectively, of interest and penalties related to the unrecognized tax benefits.</w:t>
      </w:r>
    </w:p>
    <w:p>
      <w:pPr>
        <w:spacing w:after="0" w:line="49" w:lineRule="exact"/>
        <w:rPr>
          <w:sz w:val="20"/>
          <w:szCs w:val="20"/>
          <w:color w:val="auto"/>
        </w:rPr>
      </w:pPr>
    </w:p>
    <w:p>
      <w:pPr>
        <w:ind w:right="140" w:firstLine="405"/>
        <w:spacing w:after="0" w:line="257" w:lineRule="auto"/>
        <w:rPr>
          <w:sz w:val="20"/>
          <w:szCs w:val="20"/>
          <w:color w:val="auto"/>
        </w:rPr>
      </w:pPr>
      <w:r>
        <w:rPr>
          <w:rFonts w:ascii="Arial" w:cs="Arial" w:eastAsia="Arial" w:hAnsi="Arial"/>
          <w:sz w:val="18"/>
          <w:szCs w:val="18"/>
          <w:color w:val="auto"/>
        </w:rPr>
        <w:t>The Company's major tax jurisdictions are the United States, the states of California and Massachusetts, China, India, Israel, Singapore, and Switzerland. The Company is subject to income tax audits by the respective tax authorities in all of the jurisdictions in which it operates. The examination of tax liabilities in each of these jurisdictions requires the interpretation and application of complex and sometimes uncertain tax laws and regulations. As of February 1, 2020, the Company is currently under examination in material jurisdictions including China, India, Israel, Singapore, and the United States for fiscal years 2008 through 2018.</w:t>
      </w:r>
    </w:p>
    <w:p>
      <w:pPr>
        <w:spacing w:after="0" w:line="80" w:lineRule="exact"/>
        <w:rPr>
          <w:sz w:val="20"/>
          <w:szCs w:val="20"/>
          <w:color w:val="auto"/>
        </w:rPr>
      </w:pPr>
    </w:p>
    <w:p>
      <w:pPr>
        <w:ind w:right="60" w:firstLine="405"/>
        <w:spacing w:after="0" w:line="301" w:lineRule="auto"/>
        <w:rPr>
          <w:sz w:val="20"/>
          <w:szCs w:val="20"/>
          <w:color w:val="auto"/>
        </w:rPr>
      </w:pPr>
      <w:r>
        <w:rPr>
          <w:rFonts w:ascii="Arial" w:cs="Arial" w:eastAsia="Arial" w:hAnsi="Arial"/>
          <w:sz w:val="16"/>
          <w:szCs w:val="16"/>
          <w:color w:val="auto"/>
        </w:rPr>
        <w:t>The Company will continue to review its tax positions and provide for or reverse unrecognized tax benefits as issues arise. During the next 12 months,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$15.2 million from the lapse of the statutes of limitation in various jurisdictions during the next 12 months.</w:t>
      </w:r>
    </w:p>
    <w:p>
      <w:pPr>
        <w:spacing w:after="0" w:line="49" w:lineRule="exact"/>
        <w:rPr>
          <w:sz w:val="20"/>
          <w:szCs w:val="20"/>
          <w:color w:val="auto"/>
        </w:rPr>
      </w:pPr>
    </w:p>
    <w:p>
      <w:pPr>
        <w:ind w:right="320" w:firstLine="405"/>
        <w:spacing w:after="0" w:line="272" w:lineRule="auto"/>
        <w:rPr>
          <w:sz w:val="20"/>
          <w:szCs w:val="20"/>
          <w:color w:val="auto"/>
        </w:rPr>
      </w:pPr>
      <w:r>
        <w:rPr>
          <w:rFonts w:ascii="Arial" w:cs="Arial" w:eastAsia="Arial" w:hAnsi="Arial"/>
          <w:sz w:val="17"/>
          <w:szCs w:val="17"/>
          <w:color w:val="auto"/>
        </w:rPr>
        <w:t>The Singapore Economic Development Board (“EDB”) initially granted a 10-year Pioneer Status in July 1999 to the Company’s Singapore subsidiary. In October 2004, the Company’s subsidiary in Singapore was granted a second incentive known as the Develop and Expansion Incentive (“DEI”), and in June 2006, the EDB agreed to extend the Pioneer status for 15 years to June 2014. The Company renegotiated with the Singapore government and in fiscal 2015, they extended the DEI tax credits to the Company until June 2019. The Company renegotiated again with the Singapore government and during the second quarter of fiscal 2020, they extended the DEI tax credits to the Company until June 2024. In order to retain these tax benefits in Singapore, the Company must meet certain operating conditions relating to, among other things, maintenance of a regional headquarters function, and research and development activities in Singapore.</w:t>
      </w:r>
    </w:p>
    <w:p>
      <w:pPr>
        <w:spacing w:after="0" w:line="69"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Under the Israeli Encouragement law of “approved or benefited enterprise,” two branches of Marvell Israel (M.I.S.L) Ltd., the GTL branch and the cellular branch (formerly Marvell DSPC), are entitled to approved and benefited tax programs that include reduced tax rates and exemption of certain income, subject to various operating and other conditions. Income from the approved or benefited enterprises, with the exception of capital gains, is eligible up to fiscal 2027.</w:t>
      </w:r>
    </w:p>
    <w:p>
      <w:pPr>
        <w:spacing w:after="0" w:line="79" w:lineRule="exact"/>
        <w:rPr>
          <w:sz w:val="20"/>
          <w:szCs w:val="20"/>
          <w:color w:val="auto"/>
        </w:rPr>
      </w:pPr>
    </w:p>
    <w:p>
      <w:pPr>
        <w:ind w:right="60" w:firstLine="405"/>
        <w:spacing w:after="0" w:line="257" w:lineRule="auto"/>
        <w:rPr>
          <w:sz w:val="20"/>
          <w:szCs w:val="20"/>
          <w:color w:val="auto"/>
        </w:rPr>
      </w:pPr>
      <w:r>
        <w:rPr>
          <w:rFonts w:ascii="Arial" w:cs="Arial" w:eastAsia="Arial" w:hAnsi="Arial"/>
          <w:sz w:val="18"/>
          <w:szCs w:val="18"/>
          <w:color w:val="auto"/>
        </w:rPr>
        <w:t>The Company’s principal source of liquidity as of February 1, 2020 consisted of approximately $648 million of cash, cash equivalents and short-term investments, of which approximately $421 million was held by subsidiaries outside of Bermuda. The Company has not recognized a deferred tax liability on $176 million of these assets as those amounts are deemed to be indefinitely reinvested. The Company plans to use such amounts to fund various activities outside of Bermuda, including working capital requirements, capital expenditures for expansion, funding of future acquisitions or other financing activities.</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4" w:name="page95"/>
    <w:bookmarkEnd w:id="9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17 — Net Income (Loss) Per Share</w:t>
      </w:r>
    </w:p>
    <w:p>
      <w:pPr>
        <w:spacing w:after="0" w:line="121" w:lineRule="exact"/>
        <w:rPr>
          <w:sz w:val="20"/>
          <w:szCs w:val="20"/>
          <w:color w:val="auto"/>
        </w:rPr>
      </w:pPr>
    </w:p>
    <w:p>
      <w:pPr>
        <w:jc w:val="both"/>
        <w:ind w:right="100" w:firstLine="405"/>
        <w:spacing w:after="0" w:line="259" w:lineRule="auto"/>
        <w:rPr>
          <w:sz w:val="20"/>
          <w:szCs w:val="20"/>
          <w:color w:val="auto"/>
        </w:rPr>
      </w:pPr>
      <w:r>
        <w:rPr>
          <w:rFonts w:ascii="Arial" w:cs="Arial" w:eastAsia="Arial" w:hAnsi="Arial"/>
          <w:sz w:val="18"/>
          <w:szCs w:val="18"/>
          <w:color w:val="auto"/>
        </w:rPr>
        <w:t>The Company reports both basic net income (loss) per share, which is based on the weighted-average number of common shares outstanding during the period, and diluted net income (loss) per share, which is based on the weighted-average number of common shares outstanding and potentially dilutive shares outstanding during the period. The computations of basic and diluted net income (loss) per share are presented in the following table (in thousands, except per share amounts):</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9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2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1,</w:t>
            </w:r>
          </w:p>
        </w:tc>
        <w:tc>
          <w:tcPr>
            <w:tcW w:w="220" w:type="dxa"/>
            <w:vAlign w:val="bottom"/>
          </w:tcPr>
          <w:p>
            <w:pPr>
              <w:spacing w:after="0"/>
              <w:rPr>
                <w:sz w:val="13"/>
                <w:szCs w:val="13"/>
                <w:color w:val="auto"/>
              </w:rPr>
            </w:pPr>
          </w:p>
        </w:tc>
        <w:tc>
          <w:tcPr>
            <w:tcW w:w="12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7"/>
              </w:rPr>
              <w:t>February 2,</w:t>
            </w:r>
          </w:p>
        </w:tc>
        <w:tc>
          <w:tcPr>
            <w:tcW w:w="200" w:type="dxa"/>
            <w:vAlign w:val="bottom"/>
          </w:tcPr>
          <w:p>
            <w:pPr>
              <w:spacing w:after="0"/>
              <w:rPr>
                <w:sz w:val="13"/>
                <w:szCs w:val="13"/>
                <w:color w:val="auto"/>
              </w:rPr>
            </w:pPr>
          </w:p>
        </w:tc>
        <w:tc>
          <w:tcPr>
            <w:tcW w:w="1160" w:type="dxa"/>
            <w:vAlign w:val="bottom"/>
          </w:tcPr>
          <w:p>
            <w:pPr>
              <w:jc w:val="right"/>
              <w:ind w:right="233"/>
              <w:spacing w:after="0" w:line="153" w:lineRule="exact"/>
              <w:rPr>
                <w:sz w:val="20"/>
                <w:szCs w:val="20"/>
                <w:color w:val="auto"/>
              </w:rPr>
            </w:pPr>
            <w:r>
              <w:rPr>
                <w:rFonts w:ascii="Arial" w:cs="Arial" w:eastAsia="Arial" w:hAnsi="Arial"/>
                <w:sz w:val="14"/>
                <w:szCs w:val="14"/>
                <w:b w:val="1"/>
                <w:bCs w:val="1"/>
                <w:color w:val="auto"/>
              </w:rPr>
              <w:t>February 3,</w:t>
            </w:r>
          </w:p>
        </w:tc>
        <w:tc>
          <w:tcPr>
            <w:tcW w:w="0" w:type="dxa"/>
            <w:vAlign w:val="bottom"/>
          </w:tcPr>
          <w:p>
            <w:pPr>
              <w:spacing w:after="0"/>
              <w:rPr>
                <w:sz w:val="1"/>
                <w:szCs w:val="1"/>
                <w:color w:val="auto"/>
              </w:rPr>
            </w:pPr>
          </w:p>
        </w:tc>
      </w:tr>
      <w:tr>
        <w:trPr>
          <w:trHeight w:val="192"/>
        </w:trPr>
        <w:tc>
          <w:tcPr>
            <w:tcW w:w="69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114"/>
              <w:spacing w:after="0"/>
              <w:rPr>
                <w:sz w:val="20"/>
                <w:szCs w:val="20"/>
                <w:color w:val="auto"/>
              </w:rPr>
            </w:pPr>
            <w:r>
              <w:rPr>
                <w:rFonts w:ascii="Arial" w:cs="Arial" w:eastAsia="Arial" w:hAnsi="Arial"/>
                <w:sz w:val="14"/>
                <w:szCs w:val="14"/>
                <w:b w:val="1"/>
                <w:bCs w:val="1"/>
                <w:color w:val="auto"/>
                <w:w w:val="96"/>
              </w:rPr>
              <w:t>2019</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2018</w:t>
            </w:r>
          </w:p>
        </w:tc>
        <w:tc>
          <w:tcPr>
            <w:tcW w:w="0" w:type="dxa"/>
            <w:vAlign w:val="bottom"/>
          </w:tcPr>
          <w:p>
            <w:pPr>
              <w:spacing w:after="0"/>
              <w:rPr>
                <w:sz w:val="1"/>
                <w:szCs w:val="1"/>
                <w:color w:val="auto"/>
              </w:rPr>
            </w:pPr>
          </w:p>
        </w:tc>
      </w:tr>
      <w:tr>
        <w:trPr>
          <w:trHeight w:val="236"/>
        </w:trPr>
        <w:tc>
          <w:tcPr>
            <w:tcW w:w="6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Numerator:</w:t>
            </w: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6940" w:type="dxa"/>
            <w:vAlign w:val="bottom"/>
          </w:tcPr>
          <w:p>
            <w:pPr>
              <w:ind w:left="20"/>
              <w:spacing w:after="0"/>
              <w:rPr>
                <w:sz w:val="20"/>
                <w:szCs w:val="20"/>
                <w:color w:val="auto"/>
              </w:rPr>
            </w:pPr>
            <w:r>
              <w:rPr>
                <w:rFonts w:ascii="Arial" w:cs="Arial" w:eastAsia="Arial" w:hAnsi="Arial"/>
                <w:sz w:val="18"/>
                <w:szCs w:val="18"/>
                <w:color w:val="auto"/>
              </w:rPr>
              <w:t>Income (loss) from continuing operations, net of tax</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1,584,391</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14"/>
              <w:spacing w:after="0"/>
              <w:rPr>
                <w:sz w:val="20"/>
                <w:szCs w:val="20"/>
                <w:color w:val="auto"/>
              </w:rPr>
            </w:pPr>
            <w:r>
              <w:rPr>
                <w:rFonts w:ascii="Arial" w:cs="Arial" w:eastAsia="Arial" w:hAnsi="Arial"/>
                <w:sz w:val="18"/>
                <w:szCs w:val="18"/>
                <w:color w:val="auto"/>
              </w:rPr>
              <w:t>(179,094)</w:t>
            </w:r>
          </w:p>
        </w:tc>
        <w:tc>
          <w:tcPr>
            <w:tcW w:w="120" w:type="dxa"/>
            <w:vAlign w:val="bottom"/>
          </w:tcPr>
          <w:p>
            <w:pPr>
              <w:spacing w:after="0"/>
              <w:rPr>
                <w:sz w:val="21"/>
                <w:szCs w:val="21"/>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433,142</w:t>
            </w:r>
          </w:p>
        </w:tc>
        <w:tc>
          <w:tcPr>
            <w:tcW w:w="0" w:type="dxa"/>
            <w:vAlign w:val="bottom"/>
          </w:tcPr>
          <w:p>
            <w:pPr>
              <w:spacing w:after="0"/>
              <w:rPr>
                <w:sz w:val="1"/>
                <w:szCs w:val="1"/>
                <w:color w:val="auto"/>
              </w:rPr>
            </w:pPr>
          </w:p>
        </w:tc>
      </w:tr>
      <w:tr>
        <w:trPr>
          <w:trHeight w:val="27"/>
        </w:trPr>
        <w:tc>
          <w:tcPr>
            <w:tcW w:w="69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Income from discontinued operations, net of tax</w:t>
            </w:r>
          </w:p>
        </w:tc>
        <w:tc>
          <w:tcPr>
            <w:tcW w:w="20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87,689</w:t>
            </w:r>
          </w:p>
        </w:tc>
        <w:tc>
          <w:tcPr>
            <w:tcW w:w="0" w:type="dxa"/>
            <w:vAlign w:val="bottom"/>
          </w:tcPr>
          <w:p>
            <w:pPr>
              <w:spacing w:after="0"/>
              <w:rPr>
                <w:sz w:val="1"/>
                <w:szCs w:val="1"/>
                <w:color w:val="auto"/>
              </w:rPr>
            </w:pPr>
          </w:p>
        </w:tc>
      </w:tr>
      <w:tr>
        <w:trPr>
          <w:trHeight w:val="237"/>
        </w:trPr>
        <w:tc>
          <w:tcPr>
            <w:tcW w:w="6940" w:type="dxa"/>
            <w:vAlign w:val="bottom"/>
          </w:tcPr>
          <w:p>
            <w:pPr>
              <w:ind w:left="20"/>
              <w:spacing w:after="0"/>
              <w:rPr>
                <w:sz w:val="20"/>
                <w:szCs w:val="20"/>
                <w:color w:val="auto"/>
              </w:rPr>
            </w:pPr>
            <w:r>
              <w:rPr>
                <w:rFonts w:ascii="Arial" w:cs="Arial" w:eastAsia="Arial" w:hAnsi="Arial"/>
                <w:sz w:val="18"/>
                <w:szCs w:val="18"/>
                <w:color w:val="auto"/>
              </w:rPr>
              <w:t>Net income (loss)</w:t>
            </w:r>
          </w:p>
        </w:tc>
        <w:tc>
          <w:tcPr>
            <w:tcW w:w="2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1,584,391</w:t>
            </w: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(179,094)</w:t>
            </w: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520,831</w:t>
            </w:r>
          </w:p>
        </w:tc>
        <w:tc>
          <w:tcPr>
            <w:tcW w:w="0" w:type="dxa"/>
            <w:vAlign w:val="bottom"/>
          </w:tcPr>
          <w:p>
            <w:pPr>
              <w:spacing w:after="0"/>
              <w:rPr>
                <w:sz w:val="1"/>
                <w:szCs w:val="1"/>
                <w:color w:val="auto"/>
              </w:rPr>
            </w:pPr>
          </w:p>
        </w:tc>
      </w:tr>
      <w:tr>
        <w:trPr>
          <w:trHeight w:val="27"/>
        </w:trPr>
        <w:tc>
          <w:tcPr>
            <w:tcW w:w="694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69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6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Denominator:</w:t>
            </w:r>
          </w:p>
        </w:tc>
        <w:tc>
          <w:tcPr>
            <w:tcW w:w="200" w:type="dxa"/>
            <w:vAlign w:val="bottom"/>
            <w:tcBorders>
              <w:bottom w:val="single" w:sz="8" w:color="CCEEFF"/>
            </w:tcBorders>
            <w:shd w:val="clear" w:color="auto" w:fill="CCEEFF"/>
          </w:tcPr>
          <w:p>
            <w:pPr>
              <w:spacing w:after="0"/>
              <w:rPr>
                <w:sz w:val="18"/>
                <w:szCs w:val="18"/>
                <w:color w:val="auto"/>
              </w:rPr>
            </w:pPr>
          </w:p>
        </w:tc>
        <w:tc>
          <w:tcPr>
            <w:tcW w:w="116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114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CCEEFF"/>
            </w:tcBorders>
            <w:shd w:val="clear" w:color="auto" w:fill="CCEEFF"/>
          </w:tcPr>
          <w:p>
            <w:pPr>
              <w:spacing w:after="0"/>
              <w:rPr>
                <w:sz w:val="18"/>
                <w:szCs w:val="18"/>
                <w:color w:val="auto"/>
              </w:rPr>
            </w:pPr>
          </w:p>
        </w:tc>
        <w:tc>
          <w:tcPr>
            <w:tcW w:w="116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43"/>
        </w:trPr>
        <w:tc>
          <w:tcPr>
            <w:tcW w:w="6940" w:type="dxa"/>
            <w:vAlign w:val="bottom"/>
          </w:tcPr>
          <w:p>
            <w:pPr>
              <w:ind w:left="20"/>
              <w:spacing w:after="0"/>
              <w:rPr>
                <w:sz w:val="20"/>
                <w:szCs w:val="20"/>
                <w:color w:val="auto"/>
              </w:rPr>
            </w:pPr>
            <w:r>
              <w:rPr>
                <w:rFonts w:ascii="Arial" w:cs="Arial" w:eastAsia="Arial" w:hAnsi="Arial"/>
                <w:sz w:val="18"/>
                <w:szCs w:val="18"/>
                <w:color w:val="auto"/>
              </w:rPr>
              <w:t>Weighted-average shares — basic</w:t>
            </w:r>
          </w:p>
        </w:tc>
        <w:tc>
          <w:tcPr>
            <w:tcW w:w="20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664,709</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54"/>
              <w:spacing w:after="0"/>
              <w:rPr>
                <w:sz w:val="20"/>
                <w:szCs w:val="20"/>
                <w:color w:val="auto"/>
              </w:rPr>
            </w:pPr>
            <w:r>
              <w:rPr>
                <w:rFonts w:ascii="Arial" w:cs="Arial" w:eastAsia="Arial" w:hAnsi="Arial"/>
                <w:sz w:val="18"/>
                <w:szCs w:val="18"/>
                <w:color w:val="auto"/>
              </w:rPr>
              <w:t>591,232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498,008</w:t>
            </w:r>
          </w:p>
        </w:tc>
        <w:tc>
          <w:tcPr>
            <w:tcW w:w="0" w:type="dxa"/>
            <w:vAlign w:val="bottom"/>
          </w:tcPr>
          <w:p>
            <w:pPr>
              <w:spacing w:after="0"/>
              <w:rPr>
                <w:sz w:val="1"/>
                <w:szCs w:val="1"/>
                <w:color w:val="auto"/>
              </w:rPr>
            </w:pPr>
          </w:p>
        </w:tc>
      </w:tr>
      <w:tr>
        <w:trPr>
          <w:trHeight w:val="27"/>
        </w:trPr>
        <w:tc>
          <w:tcPr>
            <w:tcW w:w="69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Effect of dilutive securities: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940" w:type="dxa"/>
            <w:vAlign w:val="bottom"/>
          </w:tcPr>
          <w:p>
            <w:pPr>
              <w:ind w:left="20"/>
              <w:spacing w:after="0"/>
              <w:rPr>
                <w:sz w:val="20"/>
                <w:szCs w:val="20"/>
                <w:color w:val="auto"/>
              </w:rPr>
            </w:pPr>
            <w:r>
              <w:rPr>
                <w:rFonts w:ascii="Arial" w:cs="Arial" w:eastAsia="Arial" w:hAnsi="Arial"/>
                <w:sz w:val="18"/>
                <w:szCs w:val="18"/>
                <w:color w:val="auto"/>
              </w:rPr>
              <w:t>Share-based awards</w:t>
            </w:r>
          </w:p>
        </w:tc>
        <w:tc>
          <w:tcPr>
            <w:tcW w:w="20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11,385</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11,659</w:t>
            </w:r>
          </w:p>
        </w:tc>
        <w:tc>
          <w:tcPr>
            <w:tcW w:w="0" w:type="dxa"/>
            <w:vAlign w:val="bottom"/>
          </w:tcPr>
          <w:p>
            <w:pPr>
              <w:spacing w:after="0"/>
              <w:rPr>
                <w:sz w:val="1"/>
                <w:szCs w:val="1"/>
                <w:color w:val="auto"/>
              </w:rPr>
            </w:pPr>
          </w:p>
        </w:tc>
      </w:tr>
      <w:tr>
        <w:trPr>
          <w:trHeight w:val="27"/>
        </w:trPr>
        <w:tc>
          <w:tcPr>
            <w:tcW w:w="694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88"/>
        </w:trPr>
        <w:tc>
          <w:tcPr>
            <w:tcW w:w="6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Weighted-average shares — diluted</w:t>
            </w:r>
          </w:p>
        </w:tc>
        <w:tc>
          <w:tcPr>
            <w:tcW w:w="200" w:type="dxa"/>
            <w:vAlign w:val="bottom"/>
            <w:tcBorders>
              <w:bottom w:val="single" w:sz="8" w:color="CCEEFF"/>
            </w:tcBorders>
            <w:shd w:val="clear" w:color="auto" w:fill="CCEEFF"/>
          </w:tcPr>
          <w:p>
            <w:pPr>
              <w:spacing w:after="0"/>
              <w:rPr>
                <w:sz w:val="24"/>
                <w:szCs w:val="24"/>
                <w:color w:val="auto"/>
              </w:rPr>
            </w:pP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676,094</w:t>
            </w:r>
          </w:p>
        </w:tc>
        <w:tc>
          <w:tcPr>
            <w:tcW w:w="10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spacing w:after="0"/>
              <w:rPr>
                <w:sz w:val="24"/>
                <w:szCs w:val="24"/>
                <w:color w:val="auto"/>
              </w:rPr>
            </w:pPr>
          </w:p>
        </w:tc>
        <w:tc>
          <w:tcPr>
            <w:tcW w:w="114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591,232</w:t>
            </w:r>
          </w:p>
        </w:tc>
        <w:tc>
          <w:tcPr>
            <w:tcW w:w="120" w:type="dxa"/>
            <w:vAlign w:val="bottom"/>
            <w:tcBorders>
              <w:bottom w:val="single" w:sz="8" w:color="CCEEFF"/>
            </w:tcBorders>
            <w:shd w:val="clear" w:color="auto" w:fill="CCEEFF"/>
          </w:tcPr>
          <w:p>
            <w:pPr>
              <w:spacing w:after="0"/>
              <w:rPr>
                <w:sz w:val="24"/>
                <w:szCs w:val="24"/>
                <w:color w:val="auto"/>
              </w:rPr>
            </w:pPr>
          </w:p>
        </w:tc>
        <w:tc>
          <w:tcPr>
            <w:tcW w:w="200" w:type="dxa"/>
            <w:vAlign w:val="bottom"/>
            <w:tcBorders>
              <w:bottom w:val="single" w:sz="8" w:color="CCEEFF"/>
            </w:tcBorders>
            <w:shd w:val="clear" w:color="auto" w:fill="CCEEFF"/>
          </w:tcPr>
          <w:p>
            <w:pPr>
              <w:spacing w:after="0"/>
              <w:rPr>
                <w:sz w:val="24"/>
                <w:szCs w:val="24"/>
                <w:color w:val="auto"/>
              </w:rPr>
            </w:pP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509,667</w:t>
            </w:r>
          </w:p>
        </w:tc>
        <w:tc>
          <w:tcPr>
            <w:tcW w:w="0" w:type="dxa"/>
            <w:vAlign w:val="bottom"/>
          </w:tcPr>
          <w:p>
            <w:pPr>
              <w:spacing w:after="0"/>
              <w:rPr>
                <w:sz w:val="1"/>
                <w:szCs w:val="1"/>
                <w:color w:val="auto"/>
              </w:rPr>
            </w:pPr>
          </w:p>
        </w:tc>
      </w:tr>
      <w:tr>
        <w:trPr>
          <w:trHeight w:val="20"/>
        </w:trPr>
        <w:tc>
          <w:tcPr>
            <w:tcW w:w="694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color w:val="auto"/>
              </w:rPr>
              <w:t>Income (loss) from continuing operations per share:</w:t>
            </w: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6940" w:type="dxa"/>
            <w:vAlign w:val="bottom"/>
            <w:vMerge w:val="continue"/>
          </w:tcPr>
          <w:p>
            <w:pPr>
              <w:spacing w:after="0"/>
              <w:rPr>
                <w:sz w:val="16"/>
                <w:szCs w:val="16"/>
                <w:color w:val="auto"/>
              </w:rPr>
            </w:pPr>
          </w:p>
        </w:tc>
        <w:tc>
          <w:tcPr>
            <w:tcW w:w="20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7"/>
        </w:trPr>
        <w:tc>
          <w:tcPr>
            <w:tcW w:w="69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94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Basic</w:t>
            </w: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2.38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(0.30)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0.87</w:t>
            </w:r>
          </w:p>
        </w:tc>
        <w:tc>
          <w:tcPr>
            <w:tcW w:w="0" w:type="dxa"/>
            <w:vAlign w:val="bottom"/>
          </w:tcPr>
          <w:p>
            <w:pPr>
              <w:spacing w:after="0"/>
              <w:rPr>
                <w:sz w:val="1"/>
                <w:szCs w:val="1"/>
                <w:color w:val="auto"/>
              </w:rPr>
            </w:pPr>
          </w:p>
        </w:tc>
      </w:tr>
      <w:tr>
        <w:trPr>
          <w:trHeight w:val="243"/>
        </w:trPr>
        <w:tc>
          <w:tcPr>
            <w:tcW w:w="6940" w:type="dxa"/>
            <w:vAlign w:val="bottom"/>
          </w:tcPr>
          <w:p>
            <w:pPr>
              <w:ind w:left="260"/>
              <w:spacing w:after="0"/>
              <w:rPr>
                <w:sz w:val="20"/>
                <w:szCs w:val="20"/>
                <w:color w:val="auto"/>
              </w:rPr>
            </w:pPr>
            <w:r>
              <w:rPr>
                <w:rFonts w:ascii="Arial" w:cs="Arial" w:eastAsia="Arial" w:hAnsi="Arial"/>
                <w:sz w:val="18"/>
                <w:szCs w:val="18"/>
                <w:color w:val="auto"/>
              </w:rPr>
              <w:t>Diluted</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2.34</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14"/>
              <w:spacing w:after="0"/>
              <w:rPr>
                <w:sz w:val="20"/>
                <w:szCs w:val="20"/>
                <w:color w:val="auto"/>
              </w:rPr>
            </w:pPr>
            <w:r>
              <w:rPr>
                <w:rFonts w:ascii="Arial" w:cs="Arial" w:eastAsia="Arial" w:hAnsi="Arial"/>
                <w:sz w:val="18"/>
                <w:szCs w:val="18"/>
                <w:color w:val="auto"/>
              </w:rPr>
              <w:t>(0.30)</w:t>
            </w:r>
          </w:p>
        </w:tc>
        <w:tc>
          <w:tcPr>
            <w:tcW w:w="120" w:type="dxa"/>
            <w:vAlign w:val="bottom"/>
          </w:tcPr>
          <w:p>
            <w:pPr>
              <w:spacing w:after="0"/>
              <w:rPr>
                <w:sz w:val="21"/>
                <w:szCs w:val="21"/>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0.85</w:t>
            </w:r>
          </w:p>
        </w:tc>
        <w:tc>
          <w:tcPr>
            <w:tcW w:w="0" w:type="dxa"/>
            <w:vAlign w:val="bottom"/>
          </w:tcPr>
          <w:p>
            <w:pPr>
              <w:spacing w:after="0"/>
              <w:rPr>
                <w:sz w:val="1"/>
                <w:szCs w:val="1"/>
                <w:color w:val="auto"/>
              </w:rPr>
            </w:pPr>
          </w:p>
        </w:tc>
      </w:tr>
      <w:tr>
        <w:trPr>
          <w:trHeight w:val="27"/>
        </w:trPr>
        <w:tc>
          <w:tcPr>
            <w:tcW w:w="69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Income (loss) from discontinued operations per share:</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940" w:type="dxa"/>
            <w:vAlign w:val="bottom"/>
          </w:tcPr>
          <w:p>
            <w:pPr>
              <w:ind w:left="260"/>
              <w:spacing w:after="0"/>
              <w:rPr>
                <w:sz w:val="20"/>
                <w:szCs w:val="20"/>
                <w:color w:val="auto"/>
              </w:rPr>
            </w:pPr>
            <w:r>
              <w:rPr>
                <w:rFonts w:ascii="Arial" w:cs="Arial" w:eastAsia="Arial" w:hAnsi="Arial"/>
                <w:sz w:val="18"/>
                <w:szCs w:val="18"/>
                <w:color w:val="auto"/>
              </w:rPr>
              <w:t>Basic</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2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0.18</w:t>
            </w:r>
          </w:p>
        </w:tc>
        <w:tc>
          <w:tcPr>
            <w:tcW w:w="0" w:type="dxa"/>
            <w:vAlign w:val="bottom"/>
          </w:tcPr>
          <w:p>
            <w:pPr>
              <w:spacing w:after="0"/>
              <w:rPr>
                <w:sz w:val="1"/>
                <w:szCs w:val="1"/>
                <w:color w:val="auto"/>
              </w:rPr>
            </w:pPr>
          </w:p>
        </w:tc>
      </w:tr>
      <w:tr>
        <w:trPr>
          <w:trHeight w:val="27"/>
        </w:trPr>
        <w:tc>
          <w:tcPr>
            <w:tcW w:w="69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94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Diluted</w:t>
            </w: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0.17</w:t>
            </w:r>
          </w:p>
        </w:tc>
        <w:tc>
          <w:tcPr>
            <w:tcW w:w="0" w:type="dxa"/>
            <w:vAlign w:val="bottom"/>
          </w:tcPr>
          <w:p>
            <w:pPr>
              <w:spacing w:after="0"/>
              <w:rPr>
                <w:sz w:val="1"/>
                <w:szCs w:val="1"/>
                <w:color w:val="auto"/>
              </w:rPr>
            </w:pPr>
          </w:p>
        </w:tc>
      </w:tr>
      <w:tr>
        <w:trPr>
          <w:trHeight w:val="243"/>
        </w:trPr>
        <w:tc>
          <w:tcPr>
            <w:tcW w:w="6940" w:type="dxa"/>
            <w:vAlign w:val="bottom"/>
          </w:tcPr>
          <w:p>
            <w:pPr>
              <w:ind w:left="20"/>
              <w:spacing w:after="0"/>
              <w:rPr>
                <w:sz w:val="20"/>
                <w:szCs w:val="20"/>
                <w:color w:val="auto"/>
              </w:rPr>
            </w:pPr>
            <w:r>
              <w:rPr>
                <w:rFonts w:ascii="Arial" w:cs="Arial" w:eastAsia="Arial" w:hAnsi="Arial"/>
                <w:sz w:val="18"/>
                <w:szCs w:val="18"/>
                <w:color w:val="auto"/>
              </w:rPr>
              <w:t>Net income (loss) per share:</w:t>
            </w: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9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94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Basic</w:t>
            </w: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2.38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(0.30)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1.05</w:t>
            </w:r>
          </w:p>
        </w:tc>
        <w:tc>
          <w:tcPr>
            <w:tcW w:w="0" w:type="dxa"/>
            <w:vAlign w:val="bottom"/>
          </w:tcPr>
          <w:p>
            <w:pPr>
              <w:spacing w:after="0"/>
              <w:rPr>
                <w:sz w:val="1"/>
                <w:szCs w:val="1"/>
                <w:color w:val="auto"/>
              </w:rPr>
            </w:pPr>
          </w:p>
        </w:tc>
      </w:tr>
      <w:tr>
        <w:trPr>
          <w:trHeight w:val="243"/>
        </w:trPr>
        <w:tc>
          <w:tcPr>
            <w:tcW w:w="6940" w:type="dxa"/>
            <w:vAlign w:val="bottom"/>
          </w:tcPr>
          <w:p>
            <w:pPr>
              <w:ind w:left="260"/>
              <w:spacing w:after="0"/>
              <w:rPr>
                <w:sz w:val="20"/>
                <w:szCs w:val="20"/>
                <w:color w:val="auto"/>
              </w:rPr>
            </w:pPr>
            <w:r>
              <w:rPr>
                <w:rFonts w:ascii="Arial" w:cs="Arial" w:eastAsia="Arial" w:hAnsi="Arial"/>
                <w:sz w:val="18"/>
                <w:szCs w:val="18"/>
                <w:color w:val="auto"/>
              </w:rPr>
              <w:t>Diluted</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2.34</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14"/>
              <w:spacing w:after="0"/>
              <w:rPr>
                <w:sz w:val="20"/>
                <w:szCs w:val="20"/>
                <w:color w:val="auto"/>
              </w:rPr>
            </w:pPr>
            <w:r>
              <w:rPr>
                <w:rFonts w:ascii="Arial" w:cs="Arial" w:eastAsia="Arial" w:hAnsi="Arial"/>
                <w:sz w:val="18"/>
                <w:szCs w:val="18"/>
                <w:color w:val="auto"/>
              </w:rPr>
              <w:t>(0.30)</w:t>
            </w:r>
          </w:p>
        </w:tc>
        <w:tc>
          <w:tcPr>
            <w:tcW w:w="120" w:type="dxa"/>
            <w:vAlign w:val="bottom"/>
          </w:tcPr>
          <w:p>
            <w:pPr>
              <w:spacing w:after="0"/>
              <w:rPr>
                <w:sz w:val="21"/>
                <w:szCs w:val="21"/>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1.02</w:t>
            </w:r>
          </w:p>
        </w:tc>
        <w:tc>
          <w:tcPr>
            <w:tcW w:w="0" w:type="dxa"/>
            <w:vAlign w:val="bottom"/>
          </w:tcPr>
          <w:p>
            <w:pPr>
              <w:spacing w:after="0"/>
              <w:rPr>
                <w:sz w:val="1"/>
                <w:szCs w:val="1"/>
                <w:color w:val="auto"/>
              </w:rPr>
            </w:pPr>
          </w:p>
        </w:tc>
      </w:tr>
    </w:tbl>
    <w:p>
      <w:pPr>
        <w:spacing w:after="0" w:line="121" w:lineRule="exact"/>
        <w:rPr>
          <w:sz w:val="20"/>
          <w:szCs w:val="20"/>
          <w:color w:val="auto"/>
        </w:rPr>
      </w:pPr>
    </w:p>
    <w:p>
      <w:pPr>
        <w:ind w:right="120" w:firstLine="405"/>
        <w:spacing w:after="0" w:line="263"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7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80" w:type="dxa"/>
            <w:vAlign w:val="bottom"/>
          </w:tcPr>
          <w:p>
            <w:pPr>
              <w:spacing w:after="0"/>
              <w:rPr>
                <w:sz w:val="16"/>
                <w:szCs w:val="16"/>
                <w:color w:val="auto"/>
              </w:rPr>
            </w:pPr>
          </w:p>
        </w:tc>
        <w:tc>
          <w:tcPr>
            <w:tcW w:w="13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440" w:type="dxa"/>
            <w:vAlign w:val="bottom"/>
            <w:tcBorders>
              <w:bottom w:val="single" w:sz="8" w:color="auto"/>
            </w:tcBorders>
            <w:gridSpan w:val="2"/>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1360" w:type="dxa"/>
            <w:vAlign w:val="bottom"/>
            <w:tcBorders>
              <w:bottom w:val="single" w:sz="8" w:color="auto"/>
            </w:tcBorders>
          </w:tcPr>
          <w:p>
            <w:pPr>
              <w:spacing w:after="0"/>
              <w:rPr>
                <w:sz w:val="16"/>
                <w:szCs w:val="16"/>
                <w:color w:val="auto"/>
              </w:rPr>
            </w:pPr>
          </w:p>
        </w:tc>
      </w:tr>
      <w:tr>
        <w:trPr>
          <w:trHeight w:val="152"/>
        </w:trPr>
        <w:tc>
          <w:tcPr>
            <w:tcW w:w="6980" w:type="dxa"/>
            <w:vAlign w:val="bottom"/>
          </w:tcPr>
          <w:p>
            <w:pPr>
              <w:spacing w:after="0"/>
              <w:rPr>
                <w:sz w:val="13"/>
                <w:szCs w:val="13"/>
                <w:color w:val="auto"/>
              </w:rPr>
            </w:pPr>
          </w:p>
        </w:tc>
        <w:tc>
          <w:tcPr>
            <w:tcW w:w="1460" w:type="dxa"/>
            <w:vAlign w:val="bottom"/>
            <w:gridSpan w:val="2"/>
          </w:tcPr>
          <w:p>
            <w:pPr>
              <w:jc w:val="center"/>
              <w:ind w:right="120"/>
              <w:spacing w:after="0" w:line="153" w:lineRule="exact"/>
              <w:rPr>
                <w:sz w:val="20"/>
                <w:szCs w:val="20"/>
                <w:color w:val="auto"/>
              </w:rPr>
            </w:pPr>
            <w:r>
              <w:rPr>
                <w:rFonts w:ascii="Arial" w:cs="Arial" w:eastAsia="Arial" w:hAnsi="Arial"/>
                <w:sz w:val="14"/>
                <w:szCs w:val="14"/>
                <w:b w:val="1"/>
                <w:bCs w:val="1"/>
                <w:color w:val="auto"/>
                <w:w w:val="97"/>
              </w:rPr>
              <w:t>February 1,</w:t>
            </w:r>
          </w:p>
        </w:tc>
        <w:tc>
          <w:tcPr>
            <w:tcW w:w="1440" w:type="dxa"/>
            <w:vAlign w:val="bottom"/>
            <w:gridSpan w:val="2"/>
          </w:tcPr>
          <w:p>
            <w:pPr>
              <w:jc w:val="center"/>
              <w:ind w:right="100"/>
              <w:spacing w:after="0" w:line="153" w:lineRule="exact"/>
              <w:rPr>
                <w:sz w:val="20"/>
                <w:szCs w:val="20"/>
                <w:color w:val="auto"/>
              </w:rPr>
            </w:pPr>
            <w:r>
              <w:rPr>
                <w:rFonts w:ascii="Arial" w:cs="Arial" w:eastAsia="Arial" w:hAnsi="Arial"/>
                <w:sz w:val="14"/>
                <w:szCs w:val="14"/>
                <w:b w:val="1"/>
                <w:bCs w:val="1"/>
                <w:color w:val="auto"/>
                <w:w w:val="97"/>
              </w:rPr>
              <w:t>February 2,</w:t>
            </w:r>
          </w:p>
        </w:tc>
        <w:tc>
          <w:tcPr>
            <w:tcW w:w="136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5"/>
              </w:rPr>
              <w:t>February 3,</w:t>
            </w:r>
          </w:p>
        </w:tc>
      </w:tr>
      <w:tr>
        <w:trPr>
          <w:trHeight w:val="192"/>
        </w:trPr>
        <w:tc>
          <w:tcPr>
            <w:tcW w:w="6980" w:type="dxa"/>
            <w:vAlign w:val="bottom"/>
            <w:tcBorders>
              <w:bottom w:val="single" w:sz="8" w:color="CCEEFF"/>
            </w:tcBorders>
          </w:tcPr>
          <w:p>
            <w:pPr>
              <w:spacing w:after="0"/>
              <w:rPr>
                <w:sz w:val="16"/>
                <w:szCs w:val="16"/>
                <w:color w:val="auto"/>
              </w:rPr>
            </w:pPr>
          </w:p>
        </w:tc>
        <w:tc>
          <w:tcPr>
            <w:tcW w:w="1340" w:type="dxa"/>
            <w:vAlign w:val="bottom"/>
            <w:tcBorders>
              <w:bottom w:val="single" w:sz="8" w:color="auto"/>
            </w:tcBorders>
          </w:tcPr>
          <w:p>
            <w:pPr>
              <w:jc w:val="right"/>
              <w:ind w:right="442"/>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13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2019</w:t>
            </w:r>
          </w:p>
        </w:tc>
        <w:tc>
          <w:tcPr>
            <w:tcW w:w="100" w:type="dxa"/>
            <w:vAlign w:val="bottom"/>
            <w:tcBorders>
              <w:bottom w:val="single" w:sz="8" w:color="CCEEFF"/>
            </w:tcBorders>
          </w:tcPr>
          <w:p>
            <w:pPr>
              <w:spacing w:after="0"/>
              <w:rPr>
                <w:sz w:val="16"/>
                <w:szCs w:val="16"/>
                <w:color w:val="auto"/>
              </w:rPr>
            </w:pPr>
          </w:p>
        </w:tc>
        <w:tc>
          <w:tcPr>
            <w:tcW w:w="1360" w:type="dxa"/>
            <w:vAlign w:val="bottom"/>
            <w:tcBorders>
              <w:bottom w:val="single" w:sz="8" w:color="auto"/>
            </w:tcBorders>
          </w:tcPr>
          <w:p>
            <w:pPr>
              <w:jc w:val="right"/>
              <w:ind w:right="462"/>
              <w:spacing w:after="0"/>
              <w:rPr>
                <w:sz w:val="20"/>
                <w:szCs w:val="20"/>
                <w:color w:val="auto"/>
              </w:rPr>
            </w:pPr>
            <w:r>
              <w:rPr>
                <w:rFonts w:ascii="Arial" w:cs="Arial" w:eastAsia="Arial" w:hAnsi="Arial"/>
                <w:sz w:val="14"/>
                <w:szCs w:val="14"/>
                <w:b w:val="1"/>
                <w:bCs w:val="1"/>
                <w:color w:val="auto"/>
              </w:rPr>
              <w:t>2018</w:t>
            </w:r>
          </w:p>
        </w:tc>
      </w:tr>
      <w:tr>
        <w:trPr>
          <w:trHeight w:val="236"/>
        </w:trPr>
        <w:tc>
          <w:tcPr>
            <w:tcW w:w="69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Weighted-average shares outstanding:</w:t>
            </w:r>
          </w:p>
        </w:tc>
        <w:tc>
          <w:tcPr>
            <w:tcW w:w="13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360" w:type="dxa"/>
            <w:vAlign w:val="bottom"/>
            <w:tcBorders>
              <w:bottom w:val="single" w:sz="8" w:color="CCEEFF"/>
            </w:tcBorders>
            <w:shd w:val="clear" w:color="auto" w:fill="CCEEFF"/>
          </w:tcPr>
          <w:p>
            <w:pPr>
              <w:spacing w:after="0"/>
              <w:rPr>
                <w:sz w:val="20"/>
                <w:szCs w:val="20"/>
                <w:color w:val="auto"/>
              </w:rPr>
            </w:pPr>
          </w:p>
        </w:tc>
      </w:tr>
      <w:tr>
        <w:trPr>
          <w:trHeight w:val="243"/>
        </w:trPr>
        <w:tc>
          <w:tcPr>
            <w:tcW w:w="6980" w:type="dxa"/>
            <w:vAlign w:val="bottom"/>
          </w:tcPr>
          <w:p>
            <w:pPr>
              <w:ind w:left="20"/>
              <w:spacing w:after="0"/>
              <w:rPr>
                <w:sz w:val="20"/>
                <w:szCs w:val="20"/>
                <w:color w:val="auto"/>
              </w:rPr>
            </w:pPr>
            <w:r>
              <w:rPr>
                <w:rFonts w:ascii="Arial" w:cs="Arial" w:eastAsia="Arial" w:hAnsi="Arial"/>
                <w:sz w:val="18"/>
                <w:szCs w:val="18"/>
                <w:color w:val="auto"/>
              </w:rPr>
              <w:t>Share-based awards</w:t>
            </w:r>
          </w:p>
        </w:tc>
        <w:tc>
          <w:tcPr>
            <w:tcW w:w="1340" w:type="dxa"/>
            <w:vAlign w:val="bottom"/>
          </w:tcPr>
          <w:p>
            <w:pPr>
              <w:jc w:val="right"/>
              <w:ind w:right="62"/>
              <w:spacing w:after="0"/>
              <w:rPr>
                <w:sz w:val="20"/>
                <w:szCs w:val="20"/>
                <w:color w:val="auto"/>
              </w:rPr>
            </w:pPr>
            <w:r>
              <w:rPr>
                <w:rFonts w:ascii="Arial" w:cs="Arial" w:eastAsia="Arial" w:hAnsi="Arial"/>
                <w:sz w:val="18"/>
                <w:szCs w:val="18"/>
                <w:color w:val="auto"/>
              </w:rPr>
              <w:t>1,124</w:t>
            </w:r>
          </w:p>
        </w:tc>
        <w:tc>
          <w:tcPr>
            <w:tcW w:w="120" w:type="dxa"/>
            <w:vAlign w:val="bottom"/>
          </w:tcPr>
          <w:p>
            <w:pPr>
              <w:spacing w:after="0"/>
              <w:rPr>
                <w:sz w:val="21"/>
                <w:szCs w:val="21"/>
                <w:color w:val="auto"/>
              </w:rPr>
            </w:pPr>
          </w:p>
        </w:tc>
        <w:tc>
          <w:tcPr>
            <w:tcW w:w="1340" w:type="dxa"/>
            <w:vAlign w:val="bottom"/>
          </w:tcPr>
          <w:p>
            <w:pPr>
              <w:jc w:val="right"/>
              <w:ind w:right="84"/>
              <w:spacing w:after="0"/>
              <w:rPr>
                <w:sz w:val="20"/>
                <w:szCs w:val="20"/>
                <w:color w:val="auto"/>
              </w:rPr>
            </w:pPr>
            <w:r>
              <w:rPr>
                <w:rFonts w:ascii="Arial" w:cs="Arial" w:eastAsia="Arial" w:hAnsi="Arial"/>
                <w:sz w:val="18"/>
                <w:szCs w:val="18"/>
                <w:color w:val="auto"/>
              </w:rPr>
              <w:t>20,435</w:t>
            </w:r>
          </w:p>
        </w:tc>
        <w:tc>
          <w:tcPr>
            <w:tcW w:w="100" w:type="dxa"/>
            <w:vAlign w:val="bottom"/>
          </w:tcPr>
          <w:p>
            <w:pPr>
              <w:spacing w:after="0"/>
              <w:rPr>
                <w:sz w:val="21"/>
                <w:szCs w:val="21"/>
                <w:color w:val="auto"/>
              </w:rPr>
            </w:pPr>
          </w:p>
        </w:tc>
        <w:tc>
          <w:tcPr>
            <w:tcW w:w="1360" w:type="dxa"/>
            <w:vAlign w:val="bottom"/>
          </w:tcPr>
          <w:p>
            <w:pPr>
              <w:jc w:val="right"/>
              <w:ind w:right="82"/>
              <w:spacing w:after="0"/>
              <w:rPr>
                <w:sz w:val="20"/>
                <w:szCs w:val="20"/>
                <w:color w:val="auto"/>
              </w:rPr>
            </w:pPr>
            <w:r>
              <w:rPr>
                <w:rFonts w:ascii="Arial" w:cs="Arial" w:eastAsia="Arial" w:hAnsi="Arial"/>
                <w:sz w:val="18"/>
                <w:szCs w:val="18"/>
                <w:color w:val="auto"/>
              </w:rPr>
              <w:t>412</w:t>
            </w:r>
          </w:p>
        </w:tc>
      </w:tr>
      <w:tr>
        <w:trPr>
          <w:trHeight w:val="27"/>
        </w:trPr>
        <w:tc>
          <w:tcPr>
            <w:tcW w:w="6980" w:type="dxa"/>
            <w:vAlign w:val="bottom"/>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20"/>
        </w:trPr>
        <w:tc>
          <w:tcPr>
            <w:tcW w:w="698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share-based awards are also excluded from the calculation of diluted earnings per share for the year ended February 2, 2019 due to the net loss reported in that period.</w:t>
      </w:r>
    </w:p>
    <w:p>
      <w:pPr>
        <w:spacing w:after="0" w:line="200" w:lineRule="exact"/>
        <w:rPr>
          <w:sz w:val="20"/>
          <w:szCs w:val="20"/>
          <w:color w:val="auto"/>
        </w:rPr>
      </w:pPr>
    </w:p>
    <w:p>
      <w:pPr>
        <w:spacing w:after="0" w:line="36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5" w:name="page96"/>
    <w:bookmarkEnd w:id="9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18 — Segment and Geographic Information</w:t>
      </w:r>
    </w:p>
    <w:p>
      <w:pPr>
        <w:spacing w:after="0" w:line="121" w:lineRule="exact"/>
        <w:rPr>
          <w:sz w:val="20"/>
          <w:szCs w:val="20"/>
          <w:color w:val="auto"/>
        </w:rPr>
      </w:pPr>
    </w:p>
    <w:p>
      <w:pPr>
        <w:ind w:right="300" w:firstLine="405"/>
        <w:spacing w:after="0" w:line="311" w:lineRule="auto"/>
        <w:rPr>
          <w:sz w:val="20"/>
          <w:szCs w:val="20"/>
          <w:color w:val="auto"/>
        </w:rPr>
      </w:pPr>
      <w:r>
        <w:rPr>
          <w:rFonts w:ascii="Arial" w:cs="Arial" w:eastAsia="Arial" w:hAnsi="Arial"/>
          <w:sz w:val="16"/>
          <w:szCs w:val="16"/>
          <w:color w:val="auto"/>
        </w:rPr>
        <w:t>The Company operates in one reportable segment — the design, development and sale of integrated circuits. The chief executive officer was identified as the chief operating decision maker (“CODM”) and is ultimately responsible for and actively involved in the allocation of resources and the assessment of the Company’s performance. The fact that the Company operates in only one reportable segment is based on the following:</w:t>
      </w:r>
    </w:p>
    <w:p>
      <w:pPr>
        <w:spacing w:after="0" w:line="41" w:lineRule="exact"/>
        <w:rPr>
          <w:sz w:val="20"/>
          <w:szCs w:val="20"/>
          <w:color w:val="auto"/>
        </w:rPr>
      </w:pPr>
    </w:p>
    <w:p>
      <w:pPr>
        <w:ind w:left="660" w:right="60" w:hanging="328"/>
        <w:spacing w:after="0" w:line="255" w:lineRule="auto"/>
        <w:tabs>
          <w:tab w:leader="none" w:pos="655"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Company uses a highly-integrated approach in developing its products in that discrete technologies developed by the Company are frequently integrated across many of its products. Substantially all of the Company’s integrated circuits are manufactured under similar manufacturing processes.</w:t>
      </w:r>
    </w:p>
    <w:p>
      <w:pPr>
        <w:spacing w:after="0" w:line="2" w:lineRule="exact"/>
        <w:rPr>
          <w:rFonts w:ascii="Arial" w:cs="Arial" w:eastAsia="Arial" w:hAnsi="Arial"/>
          <w:sz w:val="18"/>
          <w:szCs w:val="18"/>
          <w:color w:val="auto"/>
        </w:rPr>
      </w:pPr>
    </w:p>
    <w:p>
      <w:pPr>
        <w:ind w:left="660" w:right="260" w:hanging="328"/>
        <w:spacing w:after="0" w:line="250" w:lineRule="auto"/>
        <w:tabs>
          <w:tab w:leader="none" w:pos="655"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Company’s organizational structure is based along functional lines. Each of the functional department heads reports directly to the CODM. Shared resources in the Company also report directly to the CODM or to a direct report of the CODM.</w:t>
      </w:r>
    </w:p>
    <w:p>
      <w:pPr>
        <w:ind w:left="660" w:right="180" w:hanging="328"/>
        <w:spacing w:after="0" w:line="250" w:lineRule="auto"/>
        <w:tabs>
          <w:tab w:leader="none" w:pos="655"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assessments of performance across the Company, including assessment of the Company’s incentive compensation plan, are based largely on operational performance and consolidated financial performance.</w:t>
      </w:r>
    </w:p>
    <w:p>
      <w:pPr>
        <w:ind w:left="660" w:right="680" w:hanging="328"/>
        <w:spacing w:after="0" w:line="260" w:lineRule="auto"/>
        <w:tabs>
          <w:tab w:leader="none" w:pos="655"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decisions on allocation of resources and other operational decisions are made by the CODM based on his direct involvement with the Company’s operations and product development.</w:t>
      </w:r>
    </w:p>
    <w:p>
      <w:pPr>
        <w:spacing w:after="0" w:line="7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following table presents long-lived asset information based on the physical location of the assets by geographic region (in thousands):</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1,</w:t>
            </w:r>
          </w:p>
        </w:tc>
        <w:tc>
          <w:tcPr>
            <w:tcW w:w="240" w:type="dxa"/>
            <w:vAlign w:val="bottom"/>
          </w:tcPr>
          <w:p>
            <w:pPr>
              <w:spacing w:after="0"/>
              <w:rPr>
                <w:sz w:val="14"/>
                <w:szCs w:val="14"/>
                <w:color w:val="auto"/>
              </w:rPr>
            </w:pPr>
          </w:p>
        </w:tc>
        <w:tc>
          <w:tcPr>
            <w:tcW w:w="1200" w:type="dxa"/>
            <w:vAlign w:val="bottom"/>
          </w:tcPr>
          <w:p>
            <w:pPr>
              <w:jc w:val="right"/>
              <w:ind w:right="274"/>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2019</w:t>
            </w:r>
          </w:p>
        </w:tc>
      </w:tr>
      <w:tr>
        <w:trPr>
          <w:trHeight w:val="236"/>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Property and equipment, net:</w:t>
            </w: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r>
      <w:tr>
        <w:trPr>
          <w:trHeight w:val="243"/>
        </w:trPr>
        <w:tc>
          <w:tcPr>
            <w:tcW w:w="8260" w:type="dxa"/>
            <w:vAlign w:val="bottom"/>
          </w:tcPr>
          <w:p>
            <w:pPr>
              <w:ind w:left="20"/>
              <w:spacing w:after="0"/>
              <w:rPr>
                <w:sz w:val="20"/>
                <w:szCs w:val="20"/>
                <w:color w:val="auto"/>
              </w:rPr>
            </w:pPr>
            <w:r>
              <w:rPr>
                <w:rFonts w:ascii="Arial" w:cs="Arial" w:eastAsia="Arial" w:hAnsi="Arial"/>
                <w:sz w:val="18"/>
                <w:szCs w:val="18"/>
                <w:color w:val="auto"/>
              </w:rPr>
              <w:t>United States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4"/>
              <w:spacing w:after="0"/>
              <w:rPr>
                <w:sz w:val="20"/>
                <w:szCs w:val="20"/>
                <w:color w:val="auto"/>
              </w:rPr>
            </w:pPr>
            <w:r>
              <w:rPr>
                <w:rFonts w:ascii="Arial" w:cs="Arial" w:eastAsia="Arial" w:hAnsi="Arial"/>
                <w:sz w:val="18"/>
                <w:szCs w:val="18"/>
                <w:color w:val="auto"/>
              </w:rPr>
              <w:t>265,685</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74"/>
              <w:spacing w:after="0"/>
              <w:rPr>
                <w:sz w:val="20"/>
                <w:szCs w:val="20"/>
                <w:color w:val="auto"/>
              </w:rPr>
            </w:pPr>
            <w:r>
              <w:rPr>
                <w:rFonts w:ascii="Arial" w:cs="Arial" w:eastAsia="Arial" w:hAnsi="Arial"/>
                <w:sz w:val="18"/>
                <w:szCs w:val="18"/>
                <w:color w:val="auto"/>
              </w:rPr>
              <w:t>228,744</w:t>
            </w:r>
          </w:p>
        </w:tc>
      </w:tr>
      <w:tr>
        <w:trPr>
          <w:trHeight w:val="27"/>
        </w:trPr>
        <w:tc>
          <w:tcPr>
            <w:tcW w:w="8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Singapore</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37,717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21,929</w:t>
            </w:r>
          </w:p>
        </w:tc>
      </w:tr>
      <w:tr>
        <w:trPr>
          <w:trHeight w:val="243"/>
        </w:trPr>
        <w:tc>
          <w:tcPr>
            <w:tcW w:w="8260" w:type="dxa"/>
            <w:vAlign w:val="bottom"/>
          </w:tcPr>
          <w:p>
            <w:pPr>
              <w:ind w:left="20"/>
              <w:spacing w:after="0"/>
              <w:rPr>
                <w:sz w:val="20"/>
                <w:szCs w:val="20"/>
                <w:color w:val="auto"/>
              </w:rPr>
            </w:pPr>
            <w:r>
              <w:rPr>
                <w:rFonts w:ascii="Arial" w:cs="Arial" w:eastAsia="Arial" w:hAnsi="Arial"/>
                <w:sz w:val="18"/>
                <w:szCs w:val="18"/>
                <w:color w:val="auto"/>
              </w:rPr>
              <w:t>India</w:t>
            </w:r>
          </w:p>
        </w:tc>
        <w:tc>
          <w:tcPr>
            <w:tcW w:w="240" w:type="dxa"/>
            <w:vAlign w:val="bottom"/>
          </w:tcPr>
          <w:p>
            <w:pPr>
              <w:spacing w:after="0"/>
              <w:rPr>
                <w:sz w:val="21"/>
                <w:szCs w:val="21"/>
                <w:color w:val="auto"/>
              </w:rPr>
            </w:pPr>
          </w:p>
        </w:tc>
        <w:tc>
          <w:tcPr>
            <w:tcW w:w="1200" w:type="dxa"/>
            <w:vAlign w:val="bottom"/>
          </w:tcPr>
          <w:p>
            <w:pPr>
              <w:jc w:val="right"/>
              <w:ind w:right="74"/>
              <w:spacing w:after="0"/>
              <w:rPr>
                <w:sz w:val="20"/>
                <w:szCs w:val="20"/>
                <w:color w:val="auto"/>
              </w:rPr>
            </w:pPr>
            <w:r>
              <w:rPr>
                <w:rFonts w:ascii="Arial" w:cs="Arial" w:eastAsia="Arial" w:hAnsi="Arial"/>
                <w:sz w:val="18"/>
                <w:szCs w:val="18"/>
                <w:color w:val="auto"/>
              </w:rPr>
              <w:t>20,815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4"/>
              <w:spacing w:after="0"/>
              <w:rPr>
                <w:sz w:val="20"/>
                <w:szCs w:val="20"/>
                <w:color w:val="auto"/>
              </w:rPr>
            </w:pPr>
            <w:r>
              <w:rPr>
                <w:rFonts w:ascii="Arial" w:cs="Arial" w:eastAsia="Arial" w:hAnsi="Arial"/>
                <w:sz w:val="18"/>
                <w:szCs w:val="18"/>
                <w:color w:val="auto"/>
              </w:rPr>
              <w:t>15,322</w:t>
            </w:r>
          </w:p>
        </w:tc>
      </w:tr>
      <w:tr>
        <w:trPr>
          <w:trHeight w:val="27"/>
        </w:trPr>
        <w:tc>
          <w:tcPr>
            <w:tcW w:w="8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Israel</w:t>
            </w: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15,808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18,754</w:t>
            </w:r>
          </w:p>
        </w:tc>
      </w:tr>
      <w:tr>
        <w:trPr>
          <w:trHeight w:val="243"/>
        </w:trPr>
        <w:tc>
          <w:tcPr>
            <w:tcW w:w="8260" w:type="dxa"/>
            <w:vAlign w:val="bottom"/>
          </w:tcPr>
          <w:p>
            <w:pPr>
              <w:ind w:left="20"/>
              <w:spacing w:after="0"/>
              <w:rPr>
                <w:sz w:val="20"/>
                <w:szCs w:val="20"/>
                <w:color w:val="auto"/>
              </w:rPr>
            </w:pPr>
            <w:r>
              <w:rPr>
                <w:rFonts w:ascii="Arial" w:cs="Arial" w:eastAsia="Arial" w:hAnsi="Arial"/>
                <w:sz w:val="18"/>
                <w:szCs w:val="18"/>
                <w:color w:val="auto"/>
              </w:rPr>
              <w:t>China</w:t>
            </w:r>
          </w:p>
        </w:tc>
        <w:tc>
          <w:tcPr>
            <w:tcW w:w="240" w:type="dxa"/>
            <w:vAlign w:val="bottom"/>
          </w:tcPr>
          <w:p>
            <w:pPr>
              <w:spacing w:after="0"/>
              <w:rPr>
                <w:sz w:val="21"/>
                <w:szCs w:val="21"/>
                <w:color w:val="auto"/>
              </w:rPr>
            </w:pPr>
          </w:p>
        </w:tc>
        <w:tc>
          <w:tcPr>
            <w:tcW w:w="1200" w:type="dxa"/>
            <w:vAlign w:val="bottom"/>
          </w:tcPr>
          <w:p>
            <w:pPr>
              <w:jc w:val="right"/>
              <w:ind w:right="74"/>
              <w:spacing w:after="0"/>
              <w:rPr>
                <w:sz w:val="20"/>
                <w:szCs w:val="20"/>
                <w:color w:val="auto"/>
              </w:rPr>
            </w:pPr>
            <w:r>
              <w:rPr>
                <w:rFonts w:ascii="Arial" w:cs="Arial" w:eastAsia="Arial" w:hAnsi="Arial"/>
                <w:sz w:val="18"/>
                <w:szCs w:val="18"/>
                <w:color w:val="auto"/>
              </w:rPr>
              <w:t>11,979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ind w:right="74"/>
              <w:spacing w:after="0"/>
              <w:rPr>
                <w:sz w:val="20"/>
                <w:szCs w:val="20"/>
                <w:color w:val="auto"/>
              </w:rPr>
            </w:pPr>
            <w:r>
              <w:rPr>
                <w:rFonts w:ascii="Arial" w:cs="Arial" w:eastAsia="Arial" w:hAnsi="Arial"/>
                <w:sz w:val="18"/>
                <w:szCs w:val="18"/>
                <w:color w:val="auto"/>
              </w:rPr>
              <w:t>9,950</w:t>
            </w:r>
          </w:p>
        </w:tc>
      </w:tr>
      <w:tr>
        <w:trPr>
          <w:trHeight w:val="27"/>
        </w:trPr>
        <w:tc>
          <w:tcPr>
            <w:tcW w:w="8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Others</w:t>
            </w: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5,088</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24,279</w:t>
            </w:r>
          </w:p>
        </w:tc>
      </w:tr>
      <w:tr>
        <w:trPr>
          <w:trHeight w:val="237"/>
        </w:trPr>
        <w:tc>
          <w:tcPr>
            <w:tcW w:w="826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4"/>
              <w:spacing w:after="0"/>
              <w:rPr>
                <w:sz w:val="20"/>
                <w:szCs w:val="20"/>
                <w:color w:val="auto"/>
              </w:rPr>
            </w:pPr>
            <w:r>
              <w:rPr>
                <w:rFonts w:ascii="Arial" w:cs="Arial" w:eastAsia="Arial" w:hAnsi="Arial"/>
                <w:sz w:val="18"/>
                <w:szCs w:val="18"/>
                <w:color w:val="auto"/>
              </w:rPr>
              <w:t>357,092</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74"/>
              <w:spacing w:after="0"/>
              <w:rPr>
                <w:sz w:val="20"/>
                <w:szCs w:val="20"/>
                <w:color w:val="auto"/>
              </w:rPr>
            </w:pPr>
            <w:r>
              <w:rPr>
                <w:rFonts w:ascii="Arial" w:cs="Arial" w:eastAsia="Arial" w:hAnsi="Arial"/>
                <w:sz w:val="18"/>
                <w:szCs w:val="18"/>
                <w:color w:val="auto"/>
              </w:rPr>
              <w:t>318,978</w:t>
            </w:r>
          </w:p>
        </w:tc>
      </w:tr>
      <w:tr>
        <w:trPr>
          <w:trHeight w:val="27"/>
        </w:trPr>
        <w:tc>
          <w:tcPr>
            <w:tcW w:w="826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1"/>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SUPPLEMENTARY DATA</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21" w:lineRule="exact"/>
        <w:rPr>
          <w:sz w:val="20"/>
          <w:szCs w:val="20"/>
          <w:color w:val="auto"/>
        </w:rPr>
      </w:pPr>
    </w:p>
    <w:p>
      <w:pPr>
        <w:jc w:val="center"/>
        <w:ind w:right="-179"/>
        <w:spacing w:after="0"/>
        <w:rPr>
          <w:sz w:val="20"/>
          <w:szCs w:val="20"/>
          <w:color w:val="auto"/>
        </w:rPr>
      </w:pPr>
      <w:r>
        <w:rPr>
          <w:rFonts w:ascii="Arial" w:cs="Arial" w:eastAsia="Arial" w:hAnsi="Arial"/>
          <w:sz w:val="16"/>
          <w:szCs w:val="16"/>
          <w:color w:val="auto"/>
        </w:rPr>
        <w:t>The following table presents the unaudited consolidated statements of operations data for each of the four quarters in the periods ended February 1,</w:t>
      </w:r>
    </w:p>
    <w:p>
      <w:pPr>
        <w:spacing w:after="0" w:line="46" w:lineRule="exact"/>
        <w:rPr>
          <w:sz w:val="20"/>
          <w:szCs w:val="20"/>
          <w:color w:val="auto"/>
        </w:rPr>
      </w:pPr>
    </w:p>
    <w:p>
      <w:pPr>
        <w:jc w:val="both"/>
        <w:ind w:right="40"/>
        <w:spacing w:after="0" w:line="255" w:lineRule="auto"/>
        <w:rPr>
          <w:sz w:val="20"/>
          <w:szCs w:val="20"/>
          <w:color w:val="auto"/>
        </w:rPr>
      </w:pPr>
      <w:r>
        <w:rPr>
          <w:rFonts w:ascii="Arial" w:cs="Arial" w:eastAsia="Arial" w:hAnsi="Arial"/>
          <w:sz w:val="18"/>
          <w:szCs w:val="18"/>
          <w:color w:val="auto"/>
        </w:rPr>
        <w:t>2020 and February 1, 2019. On December 6, 2019, the Company completed the sale of its Wi-Fi Connectivity business to NXP. On November 5, 2019, the Company completed the acquisition of Avera. On September 19, 2019, the Company completed the acquisition of Aquantia. On July 6, 2018, the Company completed the acquisition of Cavium.</w:t>
      </w:r>
    </w:p>
    <w:p>
      <w:pPr>
        <w:spacing w:after="0" w:line="82" w:lineRule="exact"/>
        <w:rPr>
          <w:sz w:val="20"/>
          <w:szCs w:val="20"/>
          <w:color w:val="auto"/>
        </w:rPr>
      </w:pPr>
    </w:p>
    <w:p>
      <w:pPr>
        <w:ind w:right="120" w:firstLine="405"/>
        <w:spacing w:after="0" w:line="296" w:lineRule="auto"/>
        <w:rPr>
          <w:sz w:val="20"/>
          <w:szCs w:val="20"/>
          <w:color w:val="auto"/>
        </w:rPr>
      </w:pPr>
      <w:r>
        <w:rPr>
          <w:rFonts w:ascii="Arial" w:cs="Arial" w:eastAsia="Arial" w:hAnsi="Arial"/>
          <w:sz w:val="16"/>
          <w:szCs w:val="16"/>
          <w:color w:val="auto"/>
        </w:rPr>
        <w:t>In management’s opinion, this information has been presented on the same basis as the audited consolidated financial statements included in a separate section of this Annual Report on Form 10-K, and all necessary adjustments, consisting only of normal recurring adjustments, have been included in the amounts below to fairly state the unaudited quarterly results when read in conjunction with the audited consolidated financial statements and related notes. The operating results for any period should not be considered indicative of results to be expected in any future period. The Company expects the quarterly operating results to fluctuate in future periods due to a variety of reasons, including those discussed in Part I, Item 1A, “Risk Factors.”</w:t>
      </w:r>
    </w:p>
    <w:p>
      <w:pPr>
        <w:spacing w:after="0" w:line="2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6" w:name="page97"/>
    <w:bookmarkEnd w:id="96"/>
    <w:p>
      <w:pPr>
        <w:spacing w:after="0"/>
        <w:rPr>
          <w:rFonts w:ascii="Arial" w:cs="Arial" w:eastAsia="Arial" w:hAnsi="Arial"/>
          <w:sz w:val="14"/>
          <w:szCs w:val="14"/>
          <w:b w:val="1"/>
          <w:bCs w:val="1"/>
          <w:u w:val="single" w:color="auto"/>
          <w:color w:val="0000FF"/>
        </w:rPr>
      </w:pPr>
      <w:hyperlink w:anchor="page2">
        <w:r>
          <w:rPr>
            <w:rFonts w:ascii="Arial" w:cs="Arial" w:eastAsia="Arial" w:hAnsi="Arial"/>
            <w:sz w:val="14"/>
            <w:szCs w:val="14"/>
            <w:b w:val="1"/>
            <w:bCs w:val="1"/>
            <w:u w:val="single" w:color="auto"/>
            <w:color w:val="0000FF"/>
          </w:rPr>
          <w:t>Table of Contents</w:t>
        </w:r>
      </w:hyperlink>
    </w:p>
    <w:p>
      <w:pPr>
        <w:spacing w:after="0" w:line="24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00" w:lineRule="exact"/>
        <w:rPr>
          <w:sz w:val="20"/>
          <w:szCs w:val="20"/>
          <w:color w:val="auto"/>
        </w:rPr>
      </w:pPr>
    </w:p>
    <w:p>
      <w:pPr>
        <w:spacing w:after="0" w:line="39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0" w:type="dxa"/>
            <w:vAlign w:val="bottom"/>
          </w:tcPr>
          <w:p>
            <w:pPr>
              <w:spacing w:after="0"/>
              <w:rPr>
                <w:sz w:val="16"/>
                <w:szCs w:val="16"/>
                <w:color w:val="auto"/>
              </w:rPr>
            </w:pPr>
          </w:p>
        </w:tc>
        <w:tc>
          <w:tcPr>
            <w:tcW w:w="51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3"/>
          </w:tcPr>
          <w:p>
            <w:pPr>
              <w:jc w:val="center"/>
              <w:ind w:right="75"/>
              <w:spacing w:after="0"/>
              <w:rPr>
                <w:sz w:val="20"/>
                <w:szCs w:val="20"/>
                <w:color w:val="auto"/>
              </w:rPr>
            </w:pPr>
            <w:r>
              <w:rPr>
                <w:rFonts w:ascii="Arial" w:cs="Arial" w:eastAsia="Arial" w:hAnsi="Arial"/>
                <w:sz w:val="14"/>
                <w:szCs w:val="14"/>
                <w:b w:val="1"/>
                <w:bCs w:val="1"/>
                <w:color w:val="auto"/>
                <w:w w:val="90"/>
              </w:rPr>
              <w:t>Fiscal 2020</w:t>
            </w:r>
          </w:p>
        </w:tc>
        <w:tc>
          <w:tcPr>
            <w:tcW w:w="28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r>
      <w:tr>
        <w:trPr>
          <w:trHeight w:val="152"/>
        </w:trPr>
        <w:tc>
          <w:tcPr>
            <w:tcW w:w="40" w:type="dxa"/>
            <w:vAlign w:val="bottom"/>
          </w:tcPr>
          <w:p>
            <w:pPr>
              <w:spacing w:after="0"/>
              <w:rPr>
                <w:sz w:val="13"/>
                <w:szCs w:val="13"/>
                <w:color w:val="auto"/>
              </w:rPr>
            </w:pPr>
          </w:p>
        </w:tc>
        <w:tc>
          <w:tcPr>
            <w:tcW w:w="51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00" w:type="dxa"/>
            <w:vAlign w:val="bottom"/>
          </w:tcPr>
          <w:p>
            <w:pPr>
              <w:jc w:val="center"/>
              <w:ind w:right="175"/>
              <w:spacing w:after="0" w:line="153" w:lineRule="exact"/>
              <w:rPr>
                <w:sz w:val="20"/>
                <w:szCs w:val="20"/>
                <w:color w:val="auto"/>
              </w:rPr>
            </w:pPr>
            <w:r>
              <w:rPr>
                <w:rFonts w:ascii="Arial" w:cs="Arial" w:eastAsia="Arial" w:hAnsi="Arial"/>
                <w:sz w:val="14"/>
                <w:szCs w:val="14"/>
                <w:b w:val="1"/>
                <w:bCs w:val="1"/>
                <w:color w:val="auto"/>
                <w:w w:val="98"/>
              </w:rPr>
              <w:t>First</w:t>
            </w:r>
          </w:p>
        </w:tc>
        <w:tc>
          <w:tcPr>
            <w:tcW w:w="260" w:type="dxa"/>
            <w:vAlign w:val="bottom"/>
          </w:tcPr>
          <w:p>
            <w:pPr>
              <w:spacing w:after="0"/>
              <w:rPr>
                <w:sz w:val="13"/>
                <w:szCs w:val="13"/>
                <w:color w:val="auto"/>
              </w:rPr>
            </w:pPr>
          </w:p>
        </w:tc>
        <w:tc>
          <w:tcPr>
            <w:tcW w:w="1260" w:type="dxa"/>
            <w:vAlign w:val="bottom"/>
          </w:tcPr>
          <w:p>
            <w:pPr>
              <w:jc w:val="center"/>
              <w:ind w:right="98"/>
              <w:spacing w:after="0" w:line="153" w:lineRule="exact"/>
              <w:rPr>
                <w:sz w:val="20"/>
                <w:szCs w:val="20"/>
                <w:color w:val="auto"/>
              </w:rPr>
            </w:pPr>
            <w:r>
              <w:rPr>
                <w:rFonts w:ascii="Arial" w:cs="Arial" w:eastAsia="Arial" w:hAnsi="Arial"/>
                <w:sz w:val="14"/>
                <w:szCs w:val="14"/>
                <w:b w:val="1"/>
                <w:bCs w:val="1"/>
                <w:color w:val="auto"/>
                <w:w w:val="86"/>
              </w:rPr>
              <w:t>Second</w:t>
            </w:r>
          </w:p>
        </w:tc>
        <w:tc>
          <w:tcPr>
            <w:tcW w:w="280" w:type="dxa"/>
            <w:vAlign w:val="bottom"/>
          </w:tcPr>
          <w:p>
            <w:pPr>
              <w:spacing w:after="0"/>
              <w:rPr>
                <w:sz w:val="13"/>
                <w:szCs w:val="13"/>
                <w:color w:val="auto"/>
              </w:rPr>
            </w:pPr>
          </w:p>
        </w:tc>
        <w:tc>
          <w:tcPr>
            <w:tcW w:w="1260" w:type="dxa"/>
            <w:vAlign w:val="bottom"/>
          </w:tcPr>
          <w:p>
            <w:pPr>
              <w:jc w:val="right"/>
              <w:ind w:right="455"/>
              <w:spacing w:after="0" w:line="153" w:lineRule="exact"/>
              <w:rPr>
                <w:sz w:val="20"/>
                <w:szCs w:val="20"/>
                <w:color w:val="auto"/>
              </w:rPr>
            </w:pPr>
            <w:r>
              <w:rPr>
                <w:rFonts w:ascii="Arial" w:cs="Arial" w:eastAsia="Arial" w:hAnsi="Arial"/>
                <w:sz w:val="14"/>
                <w:szCs w:val="14"/>
                <w:b w:val="1"/>
                <w:bCs w:val="1"/>
                <w:color w:val="auto"/>
              </w:rPr>
              <w:t>Third</w:t>
            </w:r>
          </w:p>
        </w:tc>
        <w:tc>
          <w:tcPr>
            <w:tcW w:w="280" w:type="dxa"/>
            <w:vAlign w:val="bottom"/>
          </w:tcPr>
          <w:p>
            <w:pPr>
              <w:spacing w:after="0"/>
              <w:rPr>
                <w:sz w:val="13"/>
                <w:szCs w:val="13"/>
                <w:color w:val="auto"/>
              </w:rPr>
            </w:pPr>
          </w:p>
        </w:tc>
        <w:tc>
          <w:tcPr>
            <w:tcW w:w="1260" w:type="dxa"/>
            <w:vAlign w:val="bottom"/>
            <w:gridSpan w:val="2"/>
          </w:tcPr>
          <w:p>
            <w:pPr>
              <w:jc w:val="center"/>
              <w:ind w:right="180"/>
              <w:spacing w:after="0" w:line="153" w:lineRule="exact"/>
              <w:rPr>
                <w:sz w:val="20"/>
                <w:szCs w:val="20"/>
                <w:color w:val="auto"/>
              </w:rPr>
            </w:pPr>
            <w:r>
              <w:rPr>
                <w:rFonts w:ascii="Arial" w:cs="Arial" w:eastAsia="Arial" w:hAnsi="Arial"/>
                <w:sz w:val="14"/>
                <w:szCs w:val="14"/>
                <w:b w:val="1"/>
                <w:bCs w:val="1"/>
                <w:color w:val="auto"/>
                <w:w w:val="99"/>
              </w:rPr>
              <w:t>Fourth</w:t>
            </w:r>
          </w:p>
        </w:tc>
      </w:tr>
      <w:tr>
        <w:trPr>
          <w:trHeight w:val="192"/>
        </w:trPr>
        <w:tc>
          <w:tcPr>
            <w:tcW w:w="40" w:type="dxa"/>
            <w:vAlign w:val="bottom"/>
          </w:tcPr>
          <w:p>
            <w:pPr>
              <w:spacing w:after="0"/>
              <w:rPr>
                <w:sz w:val="16"/>
                <w:szCs w:val="16"/>
                <w:color w:val="auto"/>
              </w:rPr>
            </w:pPr>
          </w:p>
        </w:tc>
        <w:tc>
          <w:tcPr>
            <w:tcW w:w="51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75"/>
              <w:spacing w:after="0"/>
              <w:rPr>
                <w:sz w:val="20"/>
                <w:szCs w:val="20"/>
                <w:color w:val="auto"/>
              </w:rPr>
            </w:pPr>
            <w:r>
              <w:rPr>
                <w:rFonts w:ascii="Arial" w:cs="Arial" w:eastAsia="Arial" w:hAnsi="Arial"/>
                <w:sz w:val="14"/>
                <w:szCs w:val="14"/>
                <w:b w:val="1"/>
                <w:bCs w:val="1"/>
                <w:color w:val="auto"/>
                <w:w w:val="97"/>
              </w:rPr>
              <w:t>Quarter (1)</w:t>
            </w: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78"/>
              <w:spacing w:after="0"/>
              <w:rPr>
                <w:sz w:val="20"/>
                <w:szCs w:val="20"/>
                <w:color w:val="auto"/>
              </w:rPr>
            </w:pPr>
            <w:r>
              <w:rPr>
                <w:rFonts w:ascii="Arial" w:cs="Arial" w:eastAsia="Arial" w:hAnsi="Arial"/>
                <w:sz w:val="14"/>
                <w:szCs w:val="14"/>
                <w:b w:val="1"/>
                <w:bCs w:val="1"/>
                <w:color w:val="auto"/>
                <w:w w:val="97"/>
              </w:rPr>
              <w:t>Quarter (1)</w:t>
            </w:r>
          </w:p>
        </w:tc>
        <w:tc>
          <w:tcPr>
            <w:tcW w:w="28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Quarter (1) (3)</w:t>
            </w:r>
          </w:p>
        </w:tc>
        <w:tc>
          <w:tcPr>
            <w:tcW w:w="1540" w:type="dxa"/>
            <w:vAlign w:val="bottom"/>
            <w:tcBorders>
              <w:bottom w:val="single" w:sz="8" w:color="auto"/>
            </w:tcBorders>
            <w:gridSpan w:val="3"/>
          </w:tcPr>
          <w:p>
            <w:pPr>
              <w:jc w:val="center"/>
              <w:ind w:left="12"/>
              <w:spacing w:after="0"/>
              <w:rPr>
                <w:sz w:val="20"/>
                <w:szCs w:val="20"/>
                <w:color w:val="auto"/>
              </w:rPr>
            </w:pPr>
            <w:r>
              <w:rPr>
                <w:rFonts w:ascii="Arial" w:cs="Arial" w:eastAsia="Arial" w:hAnsi="Arial"/>
                <w:sz w:val="14"/>
                <w:szCs w:val="14"/>
                <w:b w:val="1"/>
                <w:bCs w:val="1"/>
                <w:color w:val="auto"/>
                <w:w w:val="98"/>
              </w:rPr>
              <w:t>Quarter (1) (2) (3) (4)</w:t>
            </w:r>
          </w:p>
        </w:tc>
      </w:tr>
      <w:tr>
        <w:trPr>
          <w:trHeight w:val="196"/>
        </w:trPr>
        <w:tc>
          <w:tcPr>
            <w:tcW w:w="40" w:type="dxa"/>
            <w:vAlign w:val="bottom"/>
          </w:tcPr>
          <w:p>
            <w:pPr>
              <w:spacing w:after="0"/>
              <w:rPr>
                <w:sz w:val="17"/>
                <w:szCs w:val="17"/>
                <w:color w:val="auto"/>
              </w:rPr>
            </w:pPr>
          </w:p>
        </w:tc>
        <w:tc>
          <w:tcPr>
            <w:tcW w:w="51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800" w:type="dxa"/>
            <w:vAlign w:val="bottom"/>
            <w:gridSpan w:val="3"/>
          </w:tcPr>
          <w:p>
            <w:pPr>
              <w:jc w:val="center"/>
              <w:ind w:right="75"/>
              <w:spacing w:after="0"/>
              <w:rPr>
                <w:sz w:val="20"/>
                <w:szCs w:val="20"/>
                <w:color w:val="auto"/>
              </w:rPr>
            </w:pPr>
            <w:r>
              <w:rPr>
                <w:rFonts w:ascii="Arial" w:cs="Arial" w:eastAsia="Arial" w:hAnsi="Arial"/>
                <w:sz w:val="14"/>
                <w:szCs w:val="14"/>
                <w:b w:val="1"/>
                <w:bCs w:val="1"/>
                <w:color w:val="auto"/>
                <w:w w:val="90"/>
              </w:rPr>
              <w:t>(In thousands, except per share amounts)</w:t>
            </w:r>
          </w:p>
        </w:tc>
        <w:tc>
          <w:tcPr>
            <w:tcW w:w="28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256"/>
        </w:trPr>
        <w:tc>
          <w:tcPr>
            <w:tcW w:w="520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662,452</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78"/>
              <w:spacing w:after="0"/>
              <w:rPr>
                <w:sz w:val="20"/>
                <w:szCs w:val="20"/>
                <w:color w:val="auto"/>
              </w:rPr>
            </w:pPr>
            <w:r>
              <w:rPr>
                <w:rFonts w:ascii="Arial" w:cs="Arial" w:eastAsia="Arial" w:hAnsi="Arial"/>
                <w:sz w:val="18"/>
                <w:szCs w:val="18"/>
                <w:color w:val="auto"/>
              </w:rPr>
              <w:t>656,568</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662,470</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717,671</w:t>
            </w:r>
          </w:p>
        </w:tc>
        <w:tc>
          <w:tcPr>
            <w:tcW w:w="20" w:type="dxa"/>
            <w:vAlign w:val="bottom"/>
            <w:tcBorders>
              <w:bottom w:val="single" w:sz="8" w:color="CCEEFF"/>
            </w:tcBorders>
            <w:shd w:val="clear" w:color="auto" w:fill="CCEEFF"/>
          </w:tcPr>
          <w:p>
            <w:pPr>
              <w:spacing w:after="0"/>
              <w:rPr>
                <w:sz w:val="22"/>
                <w:szCs w:val="22"/>
                <w:color w:val="auto"/>
              </w:rPr>
            </w:pPr>
          </w:p>
        </w:tc>
      </w:tr>
      <w:tr>
        <w:trPr>
          <w:trHeight w:val="243"/>
        </w:trPr>
        <w:tc>
          <w:tcPr>
            <w:tcW w:w="5200" w:type="dxa"/>
            <w:vAlign w:val="bottom"/>
            <w:gridSpan w:val="2"/>
          </w:tcPr>
          <w:p>
            <w:pPr>
              <w:ind w:left="20"/>
              <w:spacing w:after="0"/>
              <w:rPr>
                <w:sz w:val="20"/>
                <w:szCs w:val="20"/>
                <w:color w:val="auto"/>
              </w:rPr>
            </w:pPr>
            <w:r>
              <w:rPr>
                <w:rFonts w:ascii="Arial" w:cs="Arial" w:eastAsia="Arial" w:hAnsi="Arial"/>
                <w:sz w:val="18"/>
                <w:szCs w:val="18"/>
                <w:color w:val="auto"/>
              </w:rPr>
              <w:t>Gross profit</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361,428</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260" w:type="dxa"/>
            <w:vAlign w:val="bottom"/>
          </w:tcPr>
          <w:p>
            <w:pPr>
              <w:jc w:val="right"/>
              <w:ind w:right="78"/>
              <w:spacing w:after="0"/>
              <w:rPr>
                <w:sz w:val="20"/>
                <w:szCs w:val="20"/>
                <w:color w:val="auto"/>
              </w:rPr>
            </w:pPr>
            <w:r>
              <w:rPr>
                <w:rFonts w:ascii="Arial" w:cs="Arial" w:eastAsia="Arial" w:hAnsi="Arial"/>
                <w:sz w:val="18"/>
                <w:szCs w:val="18"/>
                <w:color w:val="auto"/>
              </w:rPr>
              <w:t>350,702</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1260" w:type="dxa"/>
            <w:vAlign w:val="bottom"/>
          </w:tcPr>
          <w:p>
            <w:pPr>
              <w:jc w:val="right"/>
              <w:ind w:right="75"/>
              <w:spacing w:after="0"/>
              <w:rPr>
                <w:sz w:val="20"/>
                <w:szCs w:val="20"/>
                <w:color w:val="auto"/>
              </w:rPr>
            </w:pPr>
            <w:r>
              <w:rPr>
                <w:rFonts w:ascii="Arial" w:cs="Arial" w:eastAsia="Arial" w:hAnsi="Arial"/>
                <w:sz w:val="18"/>
                <w:szCs w:val="18"/>
                <w:color w:val="auto"/>
              </w:rPr>
              <w:t>340,067</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1240" w:type="dxa"/>
            <w:vAlign w:val="bottom"/>
          </w:tcPr>
          <w:p>
            <w:pPr>
              <w:jc w:val="right"/>
              <w:ind w:right="54"/>
              <w:spacing w:after="0"/>
              <w:rPr>
                <w:sz w:val="20"/>
                <w:szCs w:val="20"/>
                <w:color w:val="auto"/>
              </w:rPr>
            </w:pPr>
            <w:r>
              <w:rPr>
                <w:rFonts w:ascii="Arial" w:cs="Arial" w:eastAsia="Arial" w:hAnsi="Arial"/>
                <w:sz w:val="18"/>
                <w:szCs w:val="18"/>
                <w:color w:val="auto"/>
              </w:rPr>
              <w:t>304,744</w:t>
            </w: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520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Net income (loss)</w:t>
            </w: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(48,450)</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18"/>
              <w:spacing w:after="0"/>
              <w:rPr>
                <w:sz w:val="20"/>
                <w:szCs w:val="20"/>
                <w:color w:val="auto"/>
              </w:rPr>
            </w:pPr>
            <w:r>
              <w:rPr>
                <w:rFonts w:ascii="Arial" w:cs="Arial" w:eastAsia="Arial" w:hAnsi="Arial"/>
                <w:sz w:val="18"/>
                <w:szCs w:val="18"/>
                <w:color w:val="auto"/>
              </w:rPr>
              <w:t>(57,331)</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(82,501)</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1,772,673</w:t>
            </w:r>
          </w:p>
        </w:tc>
        <w:tc>
          <w:tcPr>
            <w:tcW w:w="20" w:type="dxa"/>
            <w:vAlign w:val="bottom"/>
            <w:tcBorders>
              <w:bottom w:val="single" w:sz="8" w:color="CCEEFF"/>
            </w:tcBorders>
            <w:shd w:val="clear" w:color="auto" w:fill="CCEEFF"/>
          </w:tcPr>
          <w:p>
            <w:pPr>
              <w:spacing w:after="0"/>
              <w:rPr>
                <w:sz w:val="21"/>
                <w:szCs w:val="21"/>
                <w:color w:val="auto"/>
              </w:rPr>
            </w:pPr>
          </w:p>
        </w:tc>
      </w:tr>
      <w:tr>
        <w:trPr>
          <w:trHeight w:val="243"/>
        </w:trPr>
        <w:tc>
          <w:tcPr>
            <w:tcW w:w="5200" w:type="dxa"/>
            <w:vAlign w:val="bottom"/>
            <w:gridSpan w:val="2"/>
          </w:tcPr>
          <w:p>
            <w:pPr>
              <w:ind w:left="20"/>
              <w:spacing w:after="0"/>
              <w:rPr>
                <w:sz w:val="20"/>
                <w:szCs w:val="20"/>
                <w:color w:val="auto"/>
              </w:rPr>
            </w:pPr>
            <w:r>
              <w:rPr>
                <w:rFonts w:ascii="Arial" w:cs="Arial" w:eastAsia="Arial" w:hAnsi="Arial"/>
                <w:sz w:val="18"/>
                <w:szCs w:val="18"/>
                <w:color w:val="auto"/>
              </w:rPr>
              <w:t>Net income (loss) per share:</w:t>
            </w:r>
          </w:p>
        </w:tc>
        <w:tc>
          <w:tcPr>
            <w:tcW w:w="2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40" w:type="dxa"/>
            <w:vAlign w:val="bottom"/>
            <w:tcBorders>
              <w:bottom w:val="single" w:sz="8" w:color="CCEEFF"/>
            </w:tcBorders>
            <w:shd w:val="clear" w:color="auto" w:fill="CCEEFF"/>
          </w:tcPr>
          <w:p>
            <w:pPr>
              <w:spacing w:after="0"/>
              <w:rPr>
                <w:sz w:val="21"/>
                <w:szCs w:val="21"/>
                <w:color w:val="auto"/>
              </w:rPr>
            </w:pPr>
          </w:p>
        </w:tc>
        <w:tc>
          <w:tcPr>
            <w:tcW w:w="516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Basic</w:t>
            </w: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(0.07)</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18"/>
              <w:spacing w:after="0"/>
              <w:rPr>
                <w:sz w:val="20"/>
                <w:szCs w:val="20"/>
                <w:color w:val="auto"/>
              </w:rPr>
            </w:pPr>
            <w:r>
              <w:rPr>
                <w:rFonts w:ascii="Arial" w:cs="Arial" w:eastAsia="Arial" w:hAnsi="Arial"/>
                <w:sz w:val="18"/>
                <w:szCs w:val="18"/>
                <w:color w:val="auto"/>
              </w:rPr>
              <w:t>(0.09)</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(0.12)</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2.66</w:t>
            </w:r>
          </w:p>
        </w:tc>
        <w:tc>
          <w:tcPr>
            <w:tcW w:w="20" w:type="dxa"/>
            <w:vAlign w:val="bottom"/>
            <w:tcBorders>
              <w:bottom w:val="single" w:sz="8" w:color="CCEEFF"/>
            </w:tcBorders>
            <w:shd w:val="clear" w:color="auto" w:fill="CCEEFF"/>
          </w:tcPr>
          <w:p>
            <w:pPr>
              <w:spacing w:after="0"/>
              <w:rPr>
                <w:sz w:val="21"/>
                <w:szCs w:val="21"/>
                <w:color w:val="auto"/>
              </w:rPr>
            </w:pPr>
          </w:p>
        </w:tc>
      </w:tr>
      <w:tr>
        <w:trPr>
          <w:trHeight w:val="243"/>
        </w:trPr>
        <w:tc>
          <w:tcPr>
            <w:tcW w:w="40" w:type="dxa"/>
            <w:vAlign w:val="bottom"/>
          </w:tcPr>
          <w:p>
            <w:pPr>
              <w:spacing w:after="0"/>
              <w:rPr>
                <w:sz w:val="21"/>
                <w:szCs w:val="21"/>
                <w:color w:val="auto"/>
              </w:rPr>
            </w:pPr>
          </w:p>
        </w:tc>
        <w:tc>
          <w:tcPr>
            <w:tcW w:w="5160" w:type="dxa"/>
            <w:vAlign w:val="bottom"/>
          </w:tcPr>
          <w:p>
            <w:pPr>
              <w:ind w:left="300"/>
              <w:spacing w:after="0"/>
              <w:rPr>
                <w:sz w:val="20"/>
                <w:szCs w:val="20"/>
                <w:color w:val="auto"/>
              </w:rPr>
            </w:pPr>
            <w:r>
              <w:rPr>
                <w:rFonts w:ascii="Arial" w:cs="Arial" w:eastAsia="Arial" w:hAnsi="Arial"/>
                <w:sz w:val="18"/>
                <w:szCs w:val="18"/>
                <w:color w:val="auto"/>
              </w:rPr>
              <w:t>Diluted</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ind w:right="35"/>
              <w:spacing w:after="0"/>
              <w:rPr>
                <w:sz w:val="20"/>
                <w:szCs w:val="20"/>
                <w:color w:val="auto"/>
              </w:rPr>
            </w:pPr>
            <w:r>
              <w:rPr>
                <w:rFonts w:ascii="Arial" w:cs="Arial" w:eastAsia="Arial" w:hAnsi="Arial"/>
                <w:sz w:val="18"/>
                <w:szCs w:val="18"/>
                <w:color w:val="auto"/>
              </w:rPr>
              <w:t>(0.07)</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260" w:type="dxa"/>
            <w:vAlign w:val="bottom"/>
          </w:tcPr>
          <w:p>
            <w:pPr>
              <w:jc w:val="right"/>
              <w:ind w:right="18"/>
              <w:spacing w:after="0"/>
              <w:rPr>
                <w:sz w:val="20"/>
                <w:szCs w:val="20"/>
                <w:color w:val="auto"/>
              </w:rPr>
            </w:pPr>
            <w:r>
              <w:rPr>
                <w:rFonts w:ascii="Arial" w:cs="Arial" w:eastAsia="Arial" w:hAnsi="Arial"/>
                <w:sz w:val="18"/>
                <w:szCs w:val="18"/>
                <w:color w:val="auto"/>
              </w:rPr>
              <w:t>(0.09)</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1260" w:type="dxa"/>
            <w:vAlign w:val="bottom"/>
          </w:tcPr>
          <w:p>
            <w:pPr>
              <w:jc w:val="right"/>
              <w:ind w:right="15"/>
              <w:spacing w:after="0"/>
              <w:rPr>
                <w:sz w:val="20"/>
                <w:szCs w:val="20"/>
                <w:color w:val="auto"/>
              </w:rPr>
            </w:pPr>
            <w:r>
              <w:rPr>
                <w:rFonts w:ascii="Arial" w:cs="Arial" w:eastAsia="Arial" w:hAnsi="Arial"/>
                <w:sz w:val="18"/>
                <w:szCs w:val="18"/>
                <w:color w:val="auto"/>
              </w:rPr>
              <w:t>(0.12)</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1240" w:type="dxa"/>
            <w:vAlign w:val="bottom"/>
          </w:tcPr>
          <w:p>
            <w:pPr>
              <w:jc w:val="right"/>
              <w:ind w:right="54"/>
              <w:spacing w:after="0"/>
              <w:rPr>
                <w:sz w:val="20"/>
                <w:szCs w:val="20"/>
                <w:color w:val="auto"/>
              </w:rPr>
            </w:pPr>
            <w:r>
              <w:rPr>
                <w:rFonts w:ascii="Arial" w:cs="Arial" w:eastAsia="Arial" w:hAnsi="Arial"/>
                <w:sz w:val="18"/>
                <w:szCs w:val="18"/>
                <w:color w:val="auto"/>
              </w:rPr>
              <w:t>2.62</w:t>
            </w:r>
          </w:p>
        </w:tc>
        <w:tc>
          <w:tcPr>
            <w:tcW w:w="20" w:type="dxa"/>
            <w:vAlign w:val="bottom"/>
          </w:tcPr>
          <w:p>
            <w:pPr>
              <w:spacing w:after="0"/>
              <w:rPr>
                <w:sz w:val="21"/>
                <w:szCs w:val="21"/>
                <w:color w:val="auto"/>
              </w:rPr>
            </w:pPr>
          </w:p>
        </w:tc>
      </w:tr>
      <w:tr>
        <w:trPr>
          <w:trHeight w:val="709"/>
        </w:trPr>
        <w:tc>
          <w:tcPr>
            <w:tcW w:w="40" w:type="dxa"/>
            <w:vAlign w:val="bottom"/>
          </w:tcPr>
          <w:p>
            <w:pPr>
              <w:spacing w:after="0"/>
              <w:rPr>
                <w:sz w:val="24"/>
                <w:szCs w:val="24"/>
                <w:color w:val="auto"/>
              </w:rPr>
            </w:pPr>
          </w:p>
        </w:tc>
        <w:tc>
          <w:tcPr>
            <w:tcW w:w="5160" w:type="dxa"/>
            <w:vAlign w:val="bottom"/>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20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2800" w:type="dxa"/>
            <w:vAlign w:val="bottom"/>
            <w:tcBorders>
              <w:bottom w:val="single" w:sz="8" w:color="auto"/>
            </w:tcBorders>
            <w:gridSpan w:val="3"/>
          </w:tcPr>
          <w:p>
            <w:pPr>
              <w:jc w:val="center"/>
              <w:ind w:right="115"/>
              <w:spacing w:after="0"/>
              <w:rPr>
                <w:sz w:val="20"/>
                <w:szCs w:val="20"/>
                <w:color w:val="auto"/>
              </w:rPr>
            </w:pPr>
            <w:r>
              <w:rPr>
                <w:rFonts w:ascii="Arial" w:cs="Arial" w:eastAsia="Arial" w:hAnsi="Arial"/>
                <w:sz w:val="14"/>
                <w:szCs w:val="14"/>
                <w:b w:val="1"/>
                <w:bCs w:val="1"/>
                <w:color w:val="auto"/>
                <w:w w:val="90"/>
              </w:rPr>
              <w:t>Fiscal 2019</w:t>
            </w:r>
          </w:p>
        </w:tc>
        <w:tc>
          <w:tcPr>
            <w:tcW w:w="280" w:type="dxa"/>
            <w:vAlign w:val="bottom"/>
            <w:tcBorders>
              <w:bottom w:val="single" w:sz="8" w:color="auto"/>
            </w:tcBorders>
          </w:tcPr>
          <w:p>
            <w:pPr>
              <w:spacing w:after="0"/>
              <w:rPr>
                <w:sz w:val="24"/>
                <w:szCs w:val="24"/>
                <w:color w:val="auto"/>
              </w:rPr>
            </w:pPr>
          </w:p>
        </w:tc>
        <w:tc>
          <w:tcPr>
            <w:tcW w:w="124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r>
      <w:tr>
        <w:trPr>
          <w:trHeight w:val="152"/>
        </w:trPr>
        <w:tc>
          <w:tcPr>
            <w:tcW w:w="40" w:type="dxa"/>
            <w:vAlign w:val="bottom"/>
          </w:tcPr>
          <w:p>
            <w:pPr>
              <w:spacing w:after="0"/>
              <w:rPr>
                <w:sz w:val="13"/>
                <w:szCs w:val="13"/>
                <w:color w:val="auto"/>
              </w:rPr>
            </w:pPr>
          </w:p>
        </w:tc>
        <w:tc>
          <w:tcPr>
            <w:tcW w:w="51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00" w:type="dxa"/>
            <w:vAlign w:val="bottom"/>
          </w:tcPr>
          <w:p>
            <w:pPr>
              <w:jc w:val="center"/>
              <w:ind w:right="175"/>
              <w:spacing w:after="0" w:line="153" w:lineRule="exact"/>
              <w:rPr>
                <w:sz w:val="20"/>
                <w:szCs w:val="20"/>
                <w:color w:val="auto"/>
              </w:rPr>
            </w:pPr>
            <w:r>
              <w:rPr>
                <w:rFonts w:ascii="Arial" w:cs="Arial" w:eastAsia="Arial" w:hAnsi="Arial"/>
                <w:sz w:val="14"/>
                <w:szCs w:val="14"/>
                <w:b w:val="1"/>
                <w:bCs w:val="1"/>
                <w:color w:val="auto"/>
                <w:w w:val="98"/>
              </w:rPr>
              <w:t>First</w:t>
            </w:r>
          </w:p>
        </w:tc>
        <w:tc>
          <w:tcPr>
            <w:tcW w:w="260" w:type="dxa"/>
            <w:vAlign w:val="bottom"/>
          </w:tcPr>
          <w:p>
            <w:pPr>
              <w:spacing w:after="0"/>
              <w:rPr>
                <w:sz w:val="13"/>
                <w:szCs w:val="13"/>
                <w:color w:val="auto"/>
              </w:rPr>
            </w:pPr>
          </w:p>
        </w:tc>
        <w:tc>
          <w:tcPr>
            <w:tcW w:w="1260" w:type="dxa"/>
            <w:vAlign w:val="bottom"/>
          </w:tcPr>
          <w:p>
            <w:pPr>
              <w:jc w:val="center"/>
              <w:ind w:right="98"/>
              <w:spacing w:after="0" w:line="153" w:lineRule="exact"/>
              <w:rPr>
                <w:sz w:val="20"/>
                <w:szCs w:val="20"/>
                <w:color w:val="auto"/>
              </w:rPr>
            </w:pPr>
            <w:r>
              <w:rPr>
                <w:rFonts w:ascii="Arial" w:cs="Arial" w:eastAsia="Arial" w:hAnsi="Arial"/>
                <w:sz w:val="14"/>
                <w:szCs w:val="14"/>
                <w:b w:val="1"/>
                <w:bCs w:val="1"/>
                <w:color w:val="auto"/>
                <w:w w:val="86"/>
              </w:rPr>
              <w:t>Second</w:t>
            </w:r>
          </w:p>
        </w:tc>
        <w:tc>
          <w:tcPr>
            <w:tcW w:w="280" w:type="dxa"/>
            <w:vAlign w:val="bottom"/>
          </w:tcPr>
          <w:p>
            <w:pPr>
              <w:spacing w:after="0"/>
              <w:rPr>
                <w:sz w:val="13"/>
                <w:szCs w:val="13"/>
                <w:color w:val="auto"/>
              </w:rPr>
            </w:pPr>
          </w:p>
        </w:tc>
        <w:tc>
          <w:tcPr>
            <w:tcW w:w="1260" w:type="dxa"/>
            <w:vAlign w:val="bottom"/>
          </w:tcPr>
          <w:p>
            <w:pPr>
              <w:jc w:val="right"/>
              <w:ind w:right="475"/>
              <w:spacing w:after="0" w:line="153" w:lineRule="exact"/>
              <w:rPr>
                <w:sz w:val="20"/>
                <w:szCs w:val="20"/>
                <w:color w:val="auto"/>
              </w:rPr>
            </w:pPr>
            <w:r>
              <w:rPr>
                <w:rFonts w:ascii="Arial" w:cs="Arial" w:eastAsia="Arial" w:hAnsi="Arial"/>
                <w:sz w:val="14"/>
                <w:szCs w:val="14"/>
                <w:b w:val="1"/>
                <w:bCs w:val="1"/>
                <w:color w:val="auto"/>
              </w:rPr>
              <w:t>Third</w:t>
            </w:r>
          </w:p>
        </w:tc>
        <w:tc>
          <w:tcPr>
            <w:tcW w:w="280" w:type="dxa"/>
            <w:vAlign w:val="bottom"/>
          </w:tcPr>
          <w:p>
            <w:pPr>
              <w:spacing w:after="0"/>
              <w:rPr>
                <w:sz w:val="13"/>
                <w:szCs w:val="13"/>
                <w:color w:val="auto"/>
              </w:rPr>
            </w:pPr>
          </w:p>
        </w:tc>
        <w:tc>
          <w:tcPr>
            <w:tcW w:w="1260" w:type="dxa"/>
            <w:vAlign w:val="bottom"/>
            <w:gridSpan w:val="2"/>
          </w:tcPr>
          <w:p>
            <w:pPr>
              <w:jc w:val="center"/>
              <w:ind w:right="240"/>
              <w:spacing w:after="0" w:line="153" w:lineRule="exact"/>
              <w:rPr>
                <w:sz w:val="20"/>
                <w:szCs w:val="20"/>
                <w:color w:val="auto"/>
              </w:rPr>
            </w:pPr>
            <w:r>
              <w:rPr>
                <w:rFonts w:ascii="Arial" w:cs="Arial" w:eastAsia="Arial" w:hAnsi="Arial"/>
                <w:sz w:val="14"/>
                <w:szCs w:val="14"/>
                <w:b w:val="1"/>
                <w:bCs w:val="1"/>
                <w:color w:val="auto"/>
                <w:w w:val="94"/>
              </w:rPr>
              <w:t>Fourth</w:t>
            </w:r>
          </w:p>
        </w:tc>
      </w:tr>
      <w:tr>
        <w:trPr>
          <w:trHeight w:val="192"/>
        </w:trPr>
        <w:tc>
          <w:tcPr>
            <w:tcW w:w="40" w:type="dxa"/>
            <w:vAlign w:val="bottom"/>
          </w:tcPr>
          <w:p>
            <w:pPr>
              <w:spacing w:after="0"/>
              <w:rPr>
                <w:sz w:val="16"/>
                <w:szCs w:val="16"/>
                <w:color w:val="auto"/>
              </w:rPr>
            </w:pPr>
          </w:p>
        </w:tc>
        <w:tc>
          <w:tcPr>
            <w:tcW w:w="5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jc w:val="center"/>
              <w:ind w:right="175"/>
              <w:spacing w:after="0"/>
              <w:rPr>
                <w:sz w:val="20"/>
                <w:szCs w:val="20"/>
                <w:color w:val="auto"/>
              </w:rPr>
            </w:pPr>
            <w:r>
              <w:rPr>
                <w:rFonts w:ascii="Arial" w:cs="Arial" w:eastAsia="Arial" w:hAnsi="Arial"/>
                <w:sz w:val="14"/>
                <w:szCs w:val="14"/>
                <w:b w:val="1"/>
                <w:bCs w:val="1"/>
                <w:color w:val="auto"/>
                <w:w w:val="97"/>
              </w:rPr>
              <w:t>Quarter (5)</w:t>
            </w:r>
          </w:p>
        </w:tc>
        <w:tc>
          <w:tcPr>
            <w:tcW w:w="260" w:type="dxa"/>
            <w:vAlign w:val="bottom"/>
          </w:tcPr>
          <w:p>
            <w:pPr>
              <w:spacing w:after="0"/>
              <w:rPr>
                <w:sz w:val="16"/>
                <w:szCs w:val="16"/>
                <w:color w:val="auto"/>
              </w:rPr>
            </w:pPr>
          </w:p>
        </w:tc>
        <w:tc>
          <w:tcPr>
            <w:tcW w:w="1260" w:type="dxa"/>
            <w:vAlign w:val="bottom"/>
          </w:tcPr>
          <w:p>
            <w:pPr>
              <w:jc w:val="center"/>
              <w:ind w:right="118"/>
              <w:spacing w:after="0"/>
              <w:rPr>
                <w:sz w:val="20"/>
                <w:szCs w:val="20"/>
                <w:color w:val="auto"/>
              </w:rPr>
            </w:pPr>
            <w:r>
              <w:rPr>
                <w:rFonts w:ascii="Arial" w:cs="Arial" w:eastAsia="Arial" w:hAnsi="Arial"/>
                <w:sz w:val="14"/>
                <w:szCs w:val="14"/>
                <w:b w:val="1"/>
                <w:bCs w:val="1"/>
                <w:color w:val="auto"/>
                <w:w w:val="97"/>
              </w:rPr>
              <w:t>Quarter (1) (5)</w:t>
            </w:r>
          </w:p>
        </w:tc>
        <w:tc>
          <w:tcPr>
            <w:tcW w:w="280" w:type="dxa"/>
            <w:vAlign w:val="bottom"/>
          </w:tcPr>
          <w:p>
            <w:pPr>
              <w:spacing w:after="0"/>
              <w:rPr>
                <w:sz w:val="16"/>
                <w:szCs w:val="16"/>
                <w:color w:val="auto"/>
              </w:rPr>
            </w:pPr>
          </w:p>
        </w:tc>
        <w:tc>
          <w:tcPr>
            <w:tcW w:w="1260" w:type="dxa"/>
            <w:vAlign w:val="bottom"/>
          </w:tcPr>
          <w:p>
            <w:pPr>
              <w:jc w:val="right"/>
              <w:ind w:right="215"/>
              <w:spacing w:after="0"/>
              <w:rPr>
                <w:sz w:val="20"/>
                <w:szCs w:val="20"/>
                <w:color w:val="auto"/>
              </w:rPr>
            </w:pPr>
            <w:r>
              <w:rPr>
                <w:rFonts w:ascii="Arial" w:cs="Arial" w:eastAsia="Arial" w:hAnsi="Arial"/>
                <w:sz w:val="14"/>
                <w:szCs w:val="14"/>
                <w:b w:val="1"/>
                <w:bCs w:val="1"/>
                <w:color w:val="auto"/>
              </w:rPr>
              <w:t>Quarter (1) (5)</w:t>
            </w:r>
          </w:p>
        </w:tc>
        <w:tc>
          <w:tcPr>
            <w:tcW w:w="280" w:type="dxa"/>
            <w:vAlign w:val="bottom"/>
          </w:tcPr>
          <w:p>
            <w:pPr>
              <w:spacing w:after="0"/>
              <w:rPr>
                <w:sz w:val="16"/>
                <w:szCs w:val="16"/>
                <w:color w:val="auto"/>
              </w:rPr>
            </w:pPr>
          </w:p>
        </w:tc>
        <w:tc>
          <w:tcPr>
            <w:tcW w:w="12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Quarter (1) (5)</w:t>
            </w:r>
          </w:p>
        </w:tc>
      </w:tr>
      <w:tr>
        <w:trPr>
          <w:trHeight w:val="196"/>
        </w:trPr>
        <w:tc>
          <w:tcPr>
            <w:tcW w:w="40" w:type="dxa"/>
            <w:vAlign w:val="bottom"/>
          </w:tcPr>
          <w:p>
            <w:pPr>
              <w:spacing w:after="0"/>
              <w:rPr>
                <w:sz w:val="17"/>
                <w:szCs w:val="17"/>
                <w:color w:val="auto"/>
              </w:rPr>
            </w:pPr>
          </w:p>
        </w:tc>
        <w:tc>
          <w:tcPr>
            <w:tcW w:w="5160" w:type="dxa"/>
            <w:vAlign w:val="bottom"/>
          </w:tcPr>
          <w:p>
            <w:pPr>
              <w:spacing w:after="0"/>
              <w:rPr>
                <w:sz w:val="17"/>
                <w:szCs w:val="17"/>
                <w:color w:val="auto"/>
              </w:rPr>
            </w:pPr>
          </w:p>
        </w:tc>
        <w:tc>
          <w:tcPr>
            <w:tcW w:w="240" w:type="dxa"/>
            <w:vAlign w:val="bottom"/>
            <w:tcBorders>
              <w:top w:val="single" w:sz="8" w:color="auto"/>
            </w:tcBorders>
          </w:tcPr>
          <w:p>
            <w:pPr>
              <w:spacing w:after="0"/>
              <w:rPr>
                <w:sz w:val="17"/>
                <w:szCs w:val="17"/>
                <w:color w:val="auto"/>
              </w:rPr>
            </w:pPr>
          </w:p>
        </w:tc>
        <w:tc>
          <w:tcPr>
            <w:tcW w:w="1200" w:type="dxa"/>
            <w:vAlign w:val="bottom"/>
            <w:tcBorders>
              <w:top w:val="single" w:sz="8" w:color="auto"/>
            </w:tcBorders>
          </w:tcPr>
          <w:p>
            <w:pPr>
              <w:spacing w:after="0"/>
              <w:rPr>
                <w:sz w:val="17"/>
                <w:szCs w:val="17"/>
                <w:color w:val="auto"/>
              </w:rPr>
            </w:pPr>
          </w:p>
        </w:tc>
        <w:tc>
          <w:tcPr>
            <w:tcW w:w="260" w:type="dxa"/>
            <w:vAlign w:val="bottom"/>
            <w:tcBorders>
              <w:top w:val="single" w:sz="8" w:color="auto"/>
            </w:tcBorders>
          </w:tcPr>
          <w:p>
            <w:pPr>
              <w:spacing w:after="0"/>
              <w:rPr>
                <w:sz w:val="17"/>
                <w:szCs w:val="17"/>
                <w:color w:val="auto"/>
              </w:rPr>
            </w:pPr>
          </w:p>
        </w:tc>
        <w:tc>
          <w:tcPr>
            <w:tcW w:w="2800" w:type="dxa"/>
            <w:vAlign w:val="bottom"/>
            <w:tcBorders>
              <w:top w:val="single" w:sz="8" w:color="auto"/>
            </w:tcBorders>
            <w:gridSpan w:val="3"/>
          </w:tcPr>
          <w:p>
            <w:pPr>
              <w:jc w:val="center"/>
              <w:ind w:right="115"/>
              <w:spacing w:after="0"/>
              <w:rPr>
                <w:sz w:val="20"/>
                <w:szCs w:val="20"/>
                <w:color w:val="auto"/>
              </w:rPr>
            </w:pPr>
            <w:r>
              <w:rPr>
                <w:rFonts w:ascii="Arial" w:cs="Arial" w:eastAsia="Arial" w:hAnsi="Arial"/>
                <w:sz w:val="14"/>
                <w:szCs w:val="14"/>
                <w:b w:val="1"/>
                <w:bCs w:val="1"/>
                <w:color w:val="auto"/>
                <w:w w:val="90"/>
              </w:rPr>
              <w:t>(In thousands, except per share amounts)</w:t>
            </w:r>
          </w:p>
        </w:tc>
        <w:tc>
          <w:tcPr>
            <w:tcW w:w="280" w:type="dxa"/>
            <w:vAlign w:val="bottom"/>
            <w:tcBorders>
              <w:top w:val="single" w:sz="8" w:color="auto"/>
            </w:tcBorders>
          </w:tcPr>
          <w:p>
            <w:pPr>
              <w:spacing w:after="0"/>
              <w:rPr>
                <w:sz w:val="17"/>
                <w:szCs w:val="17"/>
                <w:color w:val="auto"/>
              </w:rPr>
            </w:pPr>
          </w:p>
        </w:tc>
        <w:tc>
          <w:tcPr>
            <w:tcW w:w="1240" w:type="dxa"/>
            <w:vAlign w:val="bottom"/>
            <w:tcBorders>
              <w:top w:val="single" w:sz="8" w:color="auto"/>
            </w:tcBorders>
          </w:tcPr>
          <w:p>
            <w:pPr>
              <w:spacing w:after="0"/>
              <w:rPr>
                <w:sz w:val="17"/>
                <w:szCs w:val="17"/>
                <w:color w:val="auto"/>
              </w:rPr>
            </w:pPr>
          </w:p>
        </w:tc>
        <w:tc>
          <w:tcPr>
            <w:tcW w:w="20" w:type="dxa"/>
            <w:vAlign w:val="bottom"/>
          </w:tcPr>
          <w:p>
            <w:pPr>
              <w:spacing w:after="0"/>
              <w:rPr>
                <w:sz w:val="17"/>
                <w:szCs w:val="17"/>
                <w:color w:val="auto"/>
              </w:rPr>
            </w:pPr>
          </w:p>
        </w:tc>
      </w:tr>
      <w:tr>
        <w:trPr>
          <w:trHeight w:val="256"/>
        </w:trPr>
        <w:tc>
          <w:tcPr>
            <w:tcW w:w="40" w:type="dxa"/>
            <w:vAlign w:val="bottom"/>
          </w:tcPr>
          <w:p>
            <w:pPr>
              <w:spacing w:after="0"/>
              <w:rPr>
                <w:sz w:val="22"/>
                <w:szCs w:val="22"/>
                <w:color w:val="auto"/>
              </w:rPr>
            </w:pPr>
          </w:p>
        </w:tc>
        <w:tc>
          <w:tcPr>
            <w:tcW w:w="51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604,631</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98"/>
              <w:spacing w:after="0"/>
              <w:rPr>
                <w:sz w:val="20"/>
                <w:szCs w:val="20"/>
                <w:color w:val="auto"/>
              </w:rPr>
            </w:pPr>
            <w:r>
              <w:rPr>
                <w:rFonts w:ascii="Arial" w:cs="Arial" w:eastAsia="Arial" w:hAnsi="Arial"/>
                <w:sz w:val="18"/>
                <w:szCs w:val="18"/>
                <w:color w:val="auto"/>
              </w:rPr>
              <w:t>665,310</w:t>
            </w:r>
          </w:p>
        </w:tc>
        <w:tc>
          <w:tcPr>
            <w:tcW w:w="2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95"/>
              <w:spacing w:after="0"/>
              <w:rPr>
                <w:sz w:val="20"/>
                <w:szCs w:val="20"/>
                <w:color w:val="auto"/>
              </w:rPr>
            </w:pPr>
            <w:r>
              <w:rPr>
                <w:rFonts w:ascii="Arial" w:cs="Arial" w:eastAsia="Arial" w:hAnsi="Arial"/>
                <w:sz w:val="18"/>
                <w:szCs w:val="18"/>
                <w:color w:val="auto"/>
              </w:rPr>
              <w:t>851,051</w:t>
            </w:r>
          </w:p>
        </w:tc>
        <w:tc>
          <w:tcPr>
            <w:tcW w:w="2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744,799</w:t>
            </w:r>
          </w:p>
        </w:tc>
        <w:tc>
          <w:tcPr>
            <w:tcW w:w="20" w:type="dxa"/>
            <w:vAlign w:val="bottom"/>
          </w:tcPr>
          <w:p>
            <w:pPr>
              <w:spacing w:after="0"/>
              <w:rPr>
                <w:sz w:val="22"/>
                <w:szCs w:val="22"/>
                <w:color w:val="auto"/>
              </w:rPr>
            </w:pPr>
          </w:p>
        </w:tc>
      </w:tr>
      <w:tr>
        <w:trPr>
          <w:trHeight w:val="243"/>
        </w:trPr>
        <w:tc>
          <w:tcPr>
            <w:tcW w:w="40" w:type="dxa"/>
            <w:vAlign w:val="bottom"/>
          </w:tcPr>
          <w:p>
            <w:pPr>
              <w:spacing w:after="0"/>
              <w:rPr>
                <w:sz w:val="21"/>
                <w:szCs w:val="21"/>
                <w:color w:val="auto"/>
              </w:rPr>
            </w:pPr>
          </w:p>
        </w:tc>
        <w:tc>
          <w:tcPr>
            <w:tcW w:w="5160" w:type="dxa"/>
            <w:vAlign w:val="bottom"/>
          </w:tcPr>
          <w:p>
            <w:pPr>
              <w:ind w:left="20"/>
              <w:spacing w:after="0"/>
              <w:rPr>
                <w:sz w:val="20"/>
                <w:szCs w:val="20"/>
                <w:color w:val="auto"/>
              </w:rPr>
            </w:pPr>
            <w:r>
              <w:rPr>
                <w:rFonts w:ascii="Arial" w:cs="Arial" w:eastAsia="Arial" w:hAnsi="Arial"/>
                <w:sz w:val="18"/>
                <w:szCs w:val="18"/>
                <w:color w:val="auto"/>
              </w:rPr>
              <w:t>Gross profit</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375,693</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260" w:type="dxa"/>
            <w:vAlign w:val="bottom"/>
          </w:tcPr>
          <w:p>
            <w:pPr>
              <w:jc w:val="right"/>
              <w:ind w:right="98"/>
              <w:spacing w:after="0"/>
              <w:rPr>
                <w:sz w:val="20"/>
                <w:szCs w:val="20"/>
                <w:color w:val="auto"/>
              </w:rPr>
            </w:pPr>
            <w:r>
              <w:rPr>
                <w:rFonts w:ascii="Arial" w:cs="Arial" w:eastAsia="Arial" w:hAnsi="Arial"/>
                <w:sz w:val="18"/>
                <w:szCs w:val="18"/>
                <w:color w:val="auto"/>
              </w:rPr>
              <w:t>377,110</w:t>
            </w:r>
          </w:p>
        </w:tc>
        <w:tc>
          <w:tcPr>
            <w:tcW w:w="28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260" w:type="dxa"/>
            <w:vAlign w:val="bottom"/>
          </w:tcPr>
          <w:p>
            <w:pPr>
              <w:jc w:val="right"/>
              <w:ind w:right="95"/>
              <w:spacing w:after="0"/>
              <w:rPr>
                <w:sz w:val="20"/>
                <w:szCs w:val="20"/>
                <w:color w:val="auto"/>
              </w:rPr>
            </w:pPr>
            <w:r>
              <w:rPr>
                <w:rFonts w:ascii="Arial" w:cs="Arial" w:eastAsia="Arial" w:hAnsi="Arial"/>
                <w:sz w:val="18"/>
                <w:szCs w:val="18"/>
                <w:color w:val="auto"/>
              </w:rPr>
              <w:t>383,587</w:t>
            </w:r>
          </w:p>
        </w:tc>
        <w:tc>
          <w:tcPr>
            <w:tcW w:w="28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1240" w:type="dxa"/>
            <w:vAlign w:val="bottom"/>
          </w:tcPr>
          <w:p>
            <w:pPr>
              <w:jc w:val="right"/>
              <w:ind w:right="74"/>
              <w:spacing w:after="0"/>
              <w:rPr>
                <w:sz w:val="20"/>
                <w:szCs w:val="20"/>
                <w:color w:val="auto"/>
              </w:rPr>
            </w:pPr>
            <w:r>
              <w:rPr>
                <w:rFonts w:ascii="Arial" w:cs="Arial" w:eastAsia="Arial" w:hAnsi="Arial"/>
                <w:sz w:val="18"/>
                <w:szCs w:val="18"/>
                <w:color w:val="auto"/>
              </w:rPr>
              <w:t>322,002</w:t>
            </w: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40" w:type="dxa"/>
            <w:vAlign w:val="bottom"/>
          </w:tcPr>
          <w:p>
            <w:pPr>
              <w:spacing w:after="0"/>
              <w:rPr>
                <w:sz w:val="21"/>
                <w:szCs w:val="21"/>
                <w:color w:val="auto"/>
              </w:rPr>
            </w:pPr>
          </w:p>
        </w:tc>
        <w:tc>
          <w:tcPr>
            <w:tcW w:w="51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w:t>
            </w: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128,612</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98"/>
              <w:spacing w:after="0"/>
              <w:rPr>
                <w:sz w:val="20"/>
                <w:szCs w:val="20"/>
                <w:color w:val="auto"/>
              </w:rPr>
            </w:pPr>
            <w:r>
              <w:rPr>
                <w:rFonts w:ascii="Arial" w:cs="Arial" w:eastAsia="Arial" w:hAnsi="Arial"/>
                <w:sz w:val="18"/>
                <w:szCs w:val="18"/>
                <w:color w:val="auto"/>
              </w:rPr>
              <w:t>6,759</w:t>
            </w:r>
          </w:p>
        </w:tc>
        <w:tc>
          <w:tcPr>
            <w:tcW w:w="2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55"/>
              <w:spacing w:after="0"/>
              <w:rPr>
                <w:sz w:val="20"/>
                <w:szCs w:val="20"/>
                <w:color w:val="auto"/>
              </w:rPr>
            </w:pPr>
            <w:r>
              <w:rPr>
                <w:rFonts w:ascii="Arial" w:cs="Arial" w:eastAsia="Arial" w:hAnsi="Arial"/>
                <w:sz w:val="18"/>
                <w:szCs w:val="18"/>
                <w:color w:val="auto"/>
              </w:rPr>
              <w:t>(53,767)</w:t>
            </w:r>
          </w:p>
        </w:tc>
        <w:tc>
          <w:tcPr>
            <w:tcW w:w="2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(260,698)</w:t>
            </w:r>
          </w:p>
        </w:tc>
        <w:tc>
          <w:tcPr>
            <w:tcW w:w="20" w:type="dxa"/>
            <w:vAlign w:val="bottom"/>
          </w:tcPr>
          <w:p>
            <w:pPr>
              <w:spacing w:after="0"/>
              <w:rPr>
                <w:sz w:val="21"/>
                <w:szCs w:val="21"/>
                <w:color w:val="auto"/>
              </w:rPr>
            </w:pPr>
          </w:p>
        </w:tc>
      </w:tr>
      <w:tr>
        <w:trPr>
          <w:trHeight w:val="243"/>
        </w:trPr>
        <w:tc>
          <w:tcPr>
            <w:tcW w:w="40" w:type="dxa"/>
            <w:vAlign w:val="bottom"/>
          </w:tcPr>
          <w:p>
            <w:pPr>
              <w:spacing w:after="0"/>
              <w:rPr>
                <w:sz w:val="21"/>
                <w:szCs w:val="21"/>
                <w:color w:val="auto"/>
              </w:rPr>
            </w:pPr>
          </w:p>
        </w:tc>
        <w:tc>
          <w:tcPr>
            <w:tcW w:w="5160" w:type="dxa"/>
            <w:vAlign w:val="bottom"/>
          </w:tcPr>
          <w:p>
            <w:pPr>
              <w:ind w:left="20"/>
              <w:spacing w:after="0"/>
              <w:rPr>
                <w:sz w:val="20"/>
                <w:szCs w:val="20"/>
                <w:color w:val="auto"/>
              </w:rPr>
            </w:pPr>
            <w:r>
              <w:rPr>
                <w:rFonts w:ascii="Arial" w:cs="Arial" w:eastAsia="Arial" w:hAnsi="Arial"/>
                <w:sz w:val="18"/>
                <w:szCs w:val="18"/>
                <w:color w:val="auto"/>
              </w:rPr>
              <w:t>Net income (loss) per share:</w:t>
            </w:r>
          </w:p>
        </w:tc>
        <w:tc>
          <w:tcPr>
            <w:tcW w:w="2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40" w:type="dxa"/>
            <w:vAlign w:val="bottom"/>
          </w:tcPr>
          <w:p>
            <w:pPr>
              <w:spacing w:after="0"/>
              <w:rPr>
                <w:sz w:val="21"/>
                <w:szCs w:val="21"/>
                <w:color w:val="auto"/>
              </w:rPr>
            </w:pPr>
          </w:p>
        </w:tc>
        <w:tc>
          <w:tcPr>
            <w:tcW w:w="5160" w:type="dxa"/>
            <w:vAlign w:val="bottom"/>
            <w:tcBorders>
              <w:bottom w:val="single" w:sz="8" w:color="CCEEFF"/>
            </w:tcBorders>
            <w:shd w:val="clear" w:color="auto" w:fill="CCEEFF"/>
          </w:tcPr>
          <w:p>
            <w:pPr>
              <w:ind w:left="320"/>
              <w:spacing w:after="0"/>
              <w:rPr>
                <w:sz w:val="20"/>
                <w:szCs w:val="20"/>
                <w:color w:val="auto"/>
              </w:rPr>
            </w:pPr>
            <w:r>
              <w:rPr>
                <w:rFonts w:ascii="Arial" w:cs="Arial" w:eastAsia="Arial" w:hAnsi="Arial"/>
                <w:sz w:val="18"/>
                <w:szCs w:val="18"/>
                <w:color w:val="auto"/>
              </w:rPr>
              <w:t>Basic</w:t>
            </w: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0.26</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98"/>
              <w:spacing w:after="0"/>
              <w:rPr>
                <w:sz w:val="20"/>
                <w:szCs w:val="20"/>
                <w:color w:val="auto"/>
              </w:rPr>
            </w:pPr>
            <w:r>
              <w:rPr>
                <w:rFonts w:ascii="Arial" w:cs="Arial" w:eastAsia="Arial" w:hAnsi="Arial"/>
                <w:sz w:val="18"/>
                <w:szCs w:val="18"/>
                <w:color w:val="auto"/>
              </w:rPr>
              <w:t>0.01</w:t>
            </w:r>
          </w:p>
        </w:tc>
        <w:tc>
          <w:tcPr>
            <w:tcW w:w="2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55"/>
              <w:spacing w:after="0"/>
              <w:rPr>
                <w:sz w:val="20"/>
                <w:szCs w:val="20"/>
                <w:color w:val="auto"/>
              </w:rPr>
            </w:pPr>
            <w:r>
              <w:rPr>
                <w:rFonts w:ascii="Arial" w:cs="Arial" w:eastAsia="Arial" w:hAnsi="Arial"/>
                <w:sz w:val="18"/>
                <w:szCs w:val="18"/>
                <w:color w:val="auto"/>
              </w:rPr>
              <w:t>(0.08)</w:t>
            </w:r>
          </w:p>
        </w:tc>
        <w:tc>
          <w:tcPr>
            <w:tcW w:w="2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(0.40)</w:t>
            </w:r>
          </w:p>
        </w:tc>
        <w:tc>
          <w:tcPr>
            <w:tcW w:w="20" w:type="dxa"/>
            <w:vAlign w:val="bottom"/>
          </w:tcPr>
          <w:p>
            <w:pPr>
              <w:spacing w:after="0"/>
              <w:rPr>
                <w:sz w:val="21"/>
                <w:szCs w:val="21"/>
                <w:color w:val="auto"/>
              </w:rPr>
            </w:pPr>
          </w:p>
        </w:tc>
      </w:tr>
      <w:tr>
        <w:trPr>
          <w:trHeight w:val="243"/>
        </w:trPr>
        <w:tc>
          <w:tcPr>
            <w:tcW w:w="40" w:type="dxa"/>
            <w:vAlign w:val="bottom"/>
          </w:tcPr>
          <w:p>
            <w:pPr>
              <w:spacing w:after="0"/>
              <w:rPr>
                <w:sz w:val="21"/>
                <w:szCs w:val="21"/>
                <w:color w:val="auto"/>
              </w:rPr>
            </w:pPr>
          </w:p>
        </w:tc>
        <w:tc>
          <w:tcPr>
            <w:tcW w:w="5160" w:type="dxa"/>
            <w:vAlign w:val="bottom"/>
          </w:tcPr>
          <w:p>
            <w:pPr>
              <w:ind w:left="320"/>
              <w:spacing w:after="0"/>
              <w:rPr>
                <w:sz w:val="20"/>
                <w:szCs w:val="20"/>
                <w:color w:val="auto"/>
              </w:rPr>
            </w:pPr>
            <w:r>
              <w:rPr>
                <w:rFonts w:ascii="Arial" w:cs="Arial" w:eastAsia="Arial" w:hAnsi="Arial"/>
                <w:sz w:val="18"/>
                <w:szCs w:val="18"/>
                <w:color w:val="auto"/>
              </w:rPr>
              <w:t>Diluted</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ind w:right="75"/>
              <w:spacing w:after="0"/>
              <w:rPr>
                <w:sz w:val="20"/>
                <w:szCs w:val="20"/>
                <w:color w:val="auto"/>
              </w:rPr>
            </w:pPr>
            <w:r>
              <w:rPr>
                <w:rFonts w:ascii="Arial" w:cs="Arial" w:eastAsia="Arial" w:hAnsi="Arial"/>
                <w:sz w:val="18"/>
                <w:szCs w:val="18"/>
                <w:color w:val="auto"/>
              </w:rPr>
              <w:t>0.25</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260" w:type="dxa"/>
            <w:vAlign w:val="bottom"/>
          </w:tcPr>
          <w:p>
            <w:pPr>
              <w:jc w:val="right"/>
              <w:ind w:right="98"/>
              <w:spacing w:after="0"/>
              <w:rPr>
                <w:sz w:val="20"/>
                <w:szCs w:val="20"/>
                <w:color w:val="auto"/>
              </w:rPr>
            </w:pPr>
            <w:r>
              <w:rPr>
                <w:rFonts w:ascii="Arial" w:cs="Arial" w:eastAsia="Arial" w:hAnsi="Arial"/>
                <w:sz w:val="18"/>
                <w:szCs w:val="18"/>
                <w:color w:val="auto"/>
              </w:rPr>
              <w:t>0.01</w:t>
            </w:r>
          </w:p>
        </w:tc>
        <w:tc>
          <w:tcPr>
            <w:tcW w:w="28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260" w:type="dxa"/>
            <w:vAlign w:val="bottom"/>
          </w:tcPr>
          <w:p>
            <w:pPr>
              <w:jc w:val="right"/>
              <w:ind w:right="55"/>
              <w:spacing w:after="0"/>
              <w:rPr>
                <w:sz w:val="20"/>
                <w:szCs w:val="20"/>
                <w:color w:val="auto"/>
              </w:rPr>
            </w:pPr>
            <w:r>
              <w:rPr>
                <w:rFonts w:ascii="Arial" w:cs="Arial" w:eastAsia="Arial" w:hAnsi="Arial"/>
                <w:sz w:val="18"/>
                <w:szCs w:val="18"/>
                <w:color w:val="auto"/>
              </w:rPr>
              <w:t>(0.08)</w:t>
            </w:r>
          </w:p>
        </w:tc>
        <w:tc>
          <w:tcPr>
            <w:tcW w:w="28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(0.40)</w:t>
            </w:r>
          </w:p>
        </w:tc>
        <w:tc>
          <w:tcPr>
            <w:tcW w:w="20" w:type="dxa"/>
            <w:vAlign w:val="bottom"/>
          </w:tcPr>
          <w:p>
            <w:pPr>
              <w:spacing w:after="0"/>
              <w:rPr>
                <w:sz w:val="21"/>
                <w:szCs w:val="21"/>
                <w:color w:val="auto"/>
              </w:rPr>
            </w:pPr>
          </w:p>
        </w:tc>
      </w:tr>
    </w:tbl>
    <w:p>
      <w:pPr>
        <w:spacing w:after="0" w:line="121" w:lineRule="exact"/>
        <w:rPr>
          <w:sz w:val="20"/>
          <w:szCs w:val="20"/>
          <w:color w:val="auto"/>
        </w:rPr>
      </w:pPr>
    </w:p>
    <w:p>
      <w:pPr>
        <w:ind w:left="660" w:right="140" w:hanging="652"/>
        <w:spacing w:after="0" w:line="277" w:lineRule="auto"/>
        <w:tabs>
          <w:tab w:leader="none" w:pos="654" w:val="left"/>
        </w:tabs>
        <w:numPr>
          <w:ilvl w:val="0"/>
          <w:numId w:val="38"/>
        </w:numPr>
        <w:rPr>
          <w:rFonts w:ascii="Arial" w:cs="Arial" w:eastAsia="Arial" w:hAnsi="Arial"/>
          <w:sz w:val="18"/>
          <w:szCs w:val="18"/>
          <w:color w:val="auto"/>
        </w:rPr>
      </w:pPr>
      <w:r>
        <w:rPr>
          <w:rFonts w:ascii="Arial" w:cs="Arial" w:eastAsia="Arial" w:hAnsi="Arial"/>
          <w:sz w:val="18"/>
          <w:szCs w:val="18"/>
          <w:color w:val="auto"/>
        </w:rPr>
        <w:t>Includes the effect of the acquisition of Cavium, including its effect on income taxes. Refer to “Note 3 - Business Combinations,” and “Note 16 - Income Taxes.”</w:t>
      </w:r>
    </w:p>
    <w:p>
      <w:pPr>
        <w:spacing w:after="0" w:line="8" w:lineRule="exact"/>
        <w:rPr>
          <w:rFonts w:ascii="Arial" w:cs="Arial" w:eastAsia="Arial" w:hAnsi="Arial"/>
          <w:sz w:val="18"/>
          <w:szCs w:val="18"/>
          <w:color w:val="auto"/>
        </w:rPr>
      </w:pPr>
    </w:p>
    <w:p>
      <w:pPr>
        <w:ind w:left="660" w:right="300" w:hanging="652"/>
        <w:spacing w:after="0" w:line="277" w:lineRule="auto"/>
        <w:tabs>
          <w:tab w:leader="none" w:pos="654" w:val="left"/>
        </w:tabs>
        <w:numPr>
          <w:ilvl w:val="0"/>
          <w:numId w:val="38"/>
        </w:numPr>
        <w:rPr>
          <w:rFonts w:ascii="Arial" w:cs="Arial" w:eastAsia="Arial" w:hAnsi="Arial"/>
          <w:sz w:val="18"/>
          <w:szCs w:val="18"/>
          <w:color w:val="auto"/>
        </w:rPr>
      </w:pPr>
      <w:r>
        <w:rPr>
          <w:rFonts w:ascii="Arial" w:cs="Arial" w:eastAsia="Arial" w:hAnsi="Arial"/>
          <w:sz w:val="18"/>
          <w:szCs w:val="18"/>
          <w:color w:val="auto"/>
        </w:rPr>
        <w:t>Includes the effect of the acquisition of Avera, including its effect on income taxes. Refer to “Note 3 - Business Combinations,” and “Note 16 - Income Taxes.”</w:t>
      </w:r>
    </w:p>
    <w:p>
      <w:pPr>
        <w:spacing w:after="0" w:line="8" w:lineRule="exact"/>
        <w:rPr>
          <w:rFonts w:ascii="Arial" w:cs="Arial" w:eastAsia="Arial" w:hAnsi="Arial"/>
          <w:sz w:val="18"/>
          <w:szCs w:val="18"/>
          <w:color w:val="auto"/>
        </w:rPr>
      </w:pPr>
    </w:p>
    <w:p>
      <w:pPr>
        <w:ind w:left="660" w:right="60" w:hanging="652"/>
        <w:spacing w:after="0" w:line="277" w:lineRule="auto"/>
        <w:tabs>
          <w:tab w:leader="none" w:pos="654" w:val="left"/>
        </w:tabs>
        <w:numPr>
          <w:ilvl w:val="0"/>
          <w:numId w:val="38"/>
        </w:numPr>
        <w:rPr>
          <w:rFonts w:ascii="Arial" w:cs="Arial" w:eastAsia="Arial" w:hAnsi="Arial"/>
          <w:sz w:val="18"/>
          <w:szCs w:val="18"/>
          <w:color w:val="auto"/>
        </w:rPr>
      </w:pPr>
      <w:r>
        <w:rPr>
          <w:rFonts w:ascii="Arial" w:cs="Arial" w:eastAsia="Arial" w:hAnsi="Arial"/>
          <w:sz w:val="18"/>
          <w:szCs w:val="18"/>
          <w:color w:val="auto"/>
        </w:rPr>
        <w:t>Includes the effect of the acquisition of Aquantia, including its effect on income taxes. Refer to “Note 3 - Business Combinations,” and “Note 16 - Income Taxes.”</w:t>
      </w:r>
    </w:p>
    <w:p>
      <w:pPr>
        <w:spacing w:after="0" w:line="8" w:lineRule="exact"/>
        <w:rPr>
          <w:rFonts w:ascii="Arial" w:cs="Arial" w:eastAsia="Arial" w:hAnsi="Arial"/>
          <w:sz w:val="18"/>
          <w:szCs w:val="18"/>
          <w:color w:val="auto"/>
        </w:rPr>
      </w:pPr>
    </w:p>
    <w:p>
      <w:pPr>
        <w:ind w:left="660" w:right="820" w:hanging="652"/>
        <w:spacing w:after="0" w:line="277" w:lineRule="auto"/>
        <w:tabs>
          <w:tab w:leader="none" w:pos="654" w:val="left"/>
        </w:tabs>
        <w:numPr>
          <w:ilvl w:val="0"/>
          <w:numId w:val="38"/>
        </w:numPr>
        <w:rPr>
          <w:rFonts w:ascii="Arial" w:cs="Arial" w:eastAsia="Arial" w:hAnsi="Arial"/>
          <w:sz w:val="18"/>
          <w:szCs w:val="18"/>
          <w:color w:val="auto"/>
        </w:rPr>
      </w:pPr>
      <w:r>
        <w:rPr>
          <w:rFonts w:ascii="Arial" w:cs="Arial" w:eastAsia="Arial" w:hAnsi="Arial"/>
          <w:sz w:val="18"/>
          <w:szCs w:val="18"/>
          <w:color w:val="auto"/>
        </w:rPr>
        <w:t>Includes the effect of the divestiture of the Wi-Fi connectivity business, including its effect on income taxes. Refer to “Note 1 - Basis of Presentation,” and “Note 16 - Income Taxes.”</w:t>
      </w:r>
    </w:p>
    <w:p>
      <w:pPr>
        <w:spacing w:after="0" w:line="8" w:lineRule="exact"/>
        <w:rPr>
          <w:rFonts w:ascii="Arial" w:cs="Arial" w:eastAsia="Arial" w:hAnsi="Arial"/>
          <w:sz w:val="18"/>
          <w:szCs w:val="18"/>
          <w:color w:val="auto"/>
        </w:rPr>
      </w:pPr>
    </w:p>
    <w:p>
      <w:pPr>
        <w:ind w:left="640" w:hanging="632"/>
        <w:spacing w:after="0"/>
        <w:tabs>
          <w:tab w:leader="none" w:pos="640" w:val="left"/>
        </w:tabs>
        <w:numPr>
          <w:ilvl w:val="0"/>
          <w:numId w:val="38"/>
        </w:numPr>
        <w:rPr>
          <w:rFonts w:ascii="Arial" w:cs="Arial" w:eastAsia="Arial" w:hAnsi="Arial"/>
          <w:sz w:val="18"/>
          <w:szCs w:val="18"/>
          <w:color w:val="auto"/>
        </w:rPr>
      </w:pPr>
      <w:r>
        <w:rPr>
          <w:rFonts w:ascii="Arial" w:cs="Arial" w:eastAsia="Arial" w:hAnsi="Arial"/>
          <w:sz w:val="18"/>
          <w:szCs w:val="18"/>
          <w:color w:val="auto"/>
        </w:rPr>
        <w:t>Includes the effect of the adoption of the new revenue recognition standard. Refer to “Note 8 - Revenue.”</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225" w:right="339" w:bottom="1440" w:gutter="0" w:footer="0" w:header="0"/>
        </w:sectPr>
      </w:pPr>
    </w:p>
    <w:bookmarkStart w:id="97" w:name="page98"/>
    <w:bookmarkEnd w:id="97"/>
    <w:p>
      <w:pPr>
        <w:spacing w:after="0"/>
        <w:rPr>
          <w:sz w:val="20"/>
          <w:szCs w:val="20"/>
          <w:color w:val="auto"/>
        </w:rPr>
      </w:pPr>
      <w:r>
        <w:rPr>
          <w:rFonts w:ascii="Arial" w:cs="Arial" w:eastAsia="Arial" w:hAnsi="Arial"/>
          <w:sz w:val="18"/>
          <w:szCs w:val="18"/>
          <w:b w:val="1"/>
          <w:bCs w:val="1"/>
          <w:color w:val="auto"/>
        </w:rPr>
        <w:t xml:space="preserve">Item 9. </w:t>
      </w:r>
      <w:r>
        <w:rPr>
          <w:rFonts w:ascii="Arial" w:cs="Arial" w:eastAsia="Arial" w:hAnsi="Arial"/>
          <w:sz w:val="18"/>
          <w:szCs w:val="18"/>
          <w:b w:val="1"/>
          <w:bCs w:val="1"/>
          <w:i w:val="1"/>
          <w:iCs w:val="1"/>
          <w:color w:val="auto"/>
        </w:rPr>
        <w:t>Changes in and Disagreements with Accountants on Accounting and Financial Disclosure</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9A. </w:t>
      </w:r>
      <w:r>
        <w:rPr>
          <w:rFonts w:ascii="Arial" w:cs="Arial" w:eastAsia="Arial" w:hAnsi="Arial"/>
          <w:sz w:val="18"/>
          <w:szCs w:val="18"/>
          <w:b w:val="1"/>
          <w:bCs w:val="1"/>
          <w:i w:val="1"/>
          <w:iCs w:val="1"/>
          <w:color w:val="auto"/>
        </w:rPr>
        <w:t>Controls and Procedures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121" w:lineRule="exact"/>
        <w:rPr>
          <w:sz w:val="20"/>
          <w:szCs w:val="20"/>
          <w:color w:val="auto"/>
        </w:rPr>
      </w:pPr>
    </w:p>
    <w:p>
      <w:pPr>
        <w:ind w:right="60" w:firstLine="405"/>
        <w:spacing w:after="0" w:line="254" w:lineRule="auto"/>
        <w:rPr>
          <w:sz w:val="20"/>
          <w:szCs w:val="20"/>
          <w:color w:val="auto"/>
        </w:rPr>
      </w:pPr>
      <w:r>
        <w:rPr>
          <w:rFonts w:ascii="Arial" w:cs="Arial" w:eastAsia="Arial" w:hAnsi="Arial"/>
          <w:sz w:val="18"/>
          <w:szCs w:val="18"/>
          <w:color w:val="auto"/>
        </w:rPr>
        <w:t>Management, with the participation of our principal executive officer and principal financial officer, has evaluated the effectiveness of our disclosure controls and procedures (as defined in Rule 13a-15(e) of the Exchange Act) as of February 1, 2020.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our disclosure controls and procedures were effective as of February 1, 2020.</w:t>
      </w:r>
    </w:p>
    <w:p>
      <w:pPr>
        <w:spacing w:after="0" w:line="87" w:lineRule="exact"/>
        <w:rPr>
          <w:sz w:val="20"/>
          <w:szCs w:val="20"/>
          <w:color w:val="auto"/>
        </w:rPr>
      </w:pPr>
    </w:p>
    <w:p>
      <w:pPr>
        <w:ind w:right="80" w:firstLine="405"/>
        <w:spacing w:after="0" w:line="342" w:lineRule="auto"/>
        <w:rPr>
          <w:sz w:val="20"/>
          <w:szCs w:val="20"/>
          <w:color w:val="auto"/>
        </w:rPr>
      </w:pPr>
      <w:r>
        <w:rPr>
          <w:rFonts w:ascii="Arial" w:cs="Arial" w:eastAsia="Arial" w:hAnsi="Arial"/>
          <w:sz w:val="16"/>
          <w:szCs w:val="16"/>
          <w:color w:val="auto"/>
        </w:rPr>
        <w:t>Management has concluded that the consolidated financial statements included in this Form 10-K present fairly, in all material respects, our financial position, results of operations and cash flows for the periods presented in conformity with accounting principles generally accepted in the United States.</w:t>
      </w:r>
    </w:p>
    <w:p>
      <w:pPr>
        <w:spacing w:after="0" w:line="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121" w:lineRule="exact"/>
        <w:rPr>
          <w:sz w:val="20"/>
          <w:szCs w:val="20"/>
          <w:color w:val="auto"/>
        </w:rPr>
      </w:pPr>
    </w:p>
    <w:p>
      <w:pPr>
        <w:ind w:firstLine="405"/>
        <w:spacing w:after="0" w:line="272" w:lineRule="auto"/>
        <w:rPr>
          <w:sz w:val="20"/>
          <w:szCs w:val="20"/>
          <w:color w:val="auto"/>
        </w:rPr>
      </w:pPr>
      <w:r>
        <w:rPr>
          <w:rFonts w:ascii="Arial" w:cs="Arial" w:eastAsia="Arial" w:hAnsi="Arial"/>
          <w:sz w:val="17"/>
          <w:szCs w:val="17"/>
          <w:color w:val="auto"/>
        </w:rPr>
        <w:t>Management is responsible for establishing and maintaining adequate internal control over financial reporting as defined in Rule 13a-15(f) of the Exchange Act. Internal control over financial reporting consists of policies and procedures that: (1) pertain to the maintenance of records that, in reasonable detail, accurately and fairly reflect the transactions and dispositions of the assets of the Company; (2) are designed and operated to provide reasonable assurance regarding the reliability of our financial reporting and our process for the preparation of financial statements for external purposes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pPr>
        <w:spacing w:after="0" w:line="69" w:lineRule="exact"/>
        <w:rPr>
          <w:sz w:val="20"/>
          <w:szCs w:val="20"/>
          <w:color w:val="auto"/>
        </w:rPr>
      </w:pPr>
    </w:p>
    <w:p>
      <w:pPr>
        <w:ind w:right="40" w:firstLine="405"/>
        <w:spacing w:after="0" w:line="301" w:lineRule="auto"/>
        <w:rPr>
          <w:sz w:val="20"/>
          <w:szCs w:val="20"/>
          <w:color w:val="auto"/>
        </w:rPr>
      </w:pPr>
      <w:r>
        <w:rPr>
          <w:rFonts w:ascii="Arial" w:cs="Arial" w:eastAsia="Arial" w:hAnsi="Arial"/>
          <w:sz w:val="16"/>
          <w:szCs w:val="16"/>
          <w:color w:val="auto"/>
        </w:rPr>
        <w:t>Our internal control over financial reporting is designed by, and under the supervision of the principal executive officer and principal financial officer and effected by the Company’s Board of Directors, management, and others. 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49" w:lineRule="exact"/>
        <w:rPr>
          <w:sz w:val="20"/>
          <w:szCs w:val="20"/>
          <w:color w:val="auto"/>
        </w:rPr>
      </w:pPr>
    </w:p>
    <w:p>
      <w:pPr>
        <w:ind w:right="200" w:firstLine="405"/>
        <w:spacing w:after="0" w:line="257" w:lineRule="auto"/>
        <w:rPr>
          <w:sz w:val="20"/>
          <w:szCs w:val="20"/>
          <w:color w:val="auto"/>
        </w:rPr>
      </w:pPr>
      <w:r>
        <w:rPr>
          <w:rFonts w:ascii="Arial" w:cs="Arial" w:eastAsia="Arial" w:hAnsi="Arial"/>
          <w:sz w:val="18"/>
          <w:szCs w:val="18"/>
          <w:color w:val="auto"/>
        </w:rPr>
        <w:t>Under the supervision and with the participation of our management, including our principal executive officer and principal financial officer, we conducted an evaluation of the effectiveness of our internal control over financial reporting as of February 1, 2020 using the criteria for effective internal control over financial reporting as described in “Internal Control-Integrated Framework,” issued by the Committee of Sponsoring Organization of the Treadway Commission (2013 framework) (the COSO Criteria). Based on this assessment, management concluded that our internal control over financial reporting was effective as of February 1, 2020.</w:t>
      </w:r>
    </w:p>
    <w:p>
      <w:pPr>
        <w:spacing w:after="0" w:line="80" w:lineRule="exact"/>
        <w:rPr>
          <w:sz w:val="20"/>
          <w:szCs w:val="20"/>
          <w:color w:val="auto"/>
        </w:rPr>
      </w:pPr>
    </w:p>
    <w:p>
      <w:pPr>
        <w:ind w:right="60" w:firstLine="405"/>
        <w:spacing w:after="0" w:line="277" w:lineRule="auto"/>
        <w:rPr>
          <w:sz w:val="20"/>
          <w:szCs w:val="20"/>
          <w:color w:val="auto"/>
        </w:rPr>
      </w:pPr>
      <w:r>
        <w:rPr>
          <w:rFonts w:ascii="Arial" w:cs="Arial" w:eastAsia="Arial" w:hAnsi="Arial"/>
          <w:sz w:val="18"/>
          <w:szCs w:val="18"/>
          <w:color w:val="auto"/>
        </w:rPr>
        <w:t>The effectiveness of our internal control over financial reporting as of February 1, 2020 has been audited by Deloitte &amp; Touche LLP, our independent registered public accounting firm, as stated in its report that is included herein.</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121" w:lineRule="exact"/>
        <w:rPr>
          <w:sz w:val="20"/>
          <w:szCs w:val="20"/>
          <w:color w:val="auto"/>
        </w:rPr>
      </w:pPr>
    </w:p>
    <w:p>
      <w:pPr>
        <w:ind w:right="200" w:firstLine="405"/>
        <w:spacing w:after="0" w:line="270"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3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90" w:right="359" w:bottom="1440" w:gutter="0" w:footer="0" w:header="0"/>
        </w:sectPr>
      </w:pPr>
    </w:p>
    <w:bookmarkStart w:id="98" w:name="page99"/>
    <w:bookmarkEnd w:id="98"/>
    <w:p>
      <w:pPr>
        <w:spacing w:after="0"/>
        <w:rPr>
          <w:sz w:val="20"/>
          <w:szCs w:val="20"/>
          <w:color w:val="auto"/>
        </w:rPr>
      </w:pPr>
      <w:r>
        <w:rPr>
          <w:rFonts w:ascii="Arial" w:cs="Arial" w:eastAsia="Arial" w:hAnsi="Arial"/>
          <w:sz w:val="18"/>
          <w:szCs w:val="18"/>
          <w:b w:val="1"/>
          <w:bCs w:val="1"/>
          <w:color w:val="auto"/>
        </w:rPr>
        <w:t>Changes to Internal Control over Financial Reporting</w:t>
      </w:r>
    </w:p>
    <w:p>
      <w:pPr>
        <w:spacing w:after="0" w:line="121" w:lineRule="exact"/>
        <w:rPr>
          <w:sz w:val="20"/>
          <w:szCs w:val="20"/>
          <w:color w:val="auto"/>
        </w:rPr>
      </w:pPr>
    </w:p>
    <w:p>
      <w:pPr>
        <w:ind w:firstLine="405"/>
        <w:spacing w:after="0" w:line="263" w:lineRule="auto"/>
        <w:rPr>
          <w:sz w:val="20"/>
          <w:szCs w:val="20"/>
          <w:color w:val="auto"/>
        </w:rPr>
      </w:pPr>
      <w:r>
        <w:rPr>
          <w:rFonts w:ascii="Arial" w:cs="Arial" w:eastAsia="Arial" w:hAnsi="Arial"/>
          <w:sz w:val="18"/>
          <w:szCs w:val="18"/>
          <w:color w:val="auto"/>
        </w:rPr>
        <w:t>No change in the Company's internal control over financial reporting (as defined in Rule 13a-15(f) under the Securities Exchange Act of 1934) occurred during the three months ended February 1, 2020 that has materially affected, or is reasonably likely to materially affect, the Company's internal control over financial reporting.</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9B. </w:t>
      </w:r>
      <w:r>
        <w:rPr>
          <w:rFonts w:ascii="Arial" w:cs="Arial" w:eastAsia="Arial" w:hAnsi="Arial"/>
          <w:sz w:val="18"/>
          <w:szCs w:val="18"/>
          <w:b w:val="1"/>
          <w:bCs w:val="1"/>
          <w:i w:val="1"/>
          <w:iCs w:val="1"/>
          <w:color w:val="auto"/>
        </w:rPr>
        <w:t>Other Information</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None</w:t>
      </w: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96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000"/>
          </w:cols>
          <w:pgMar w:left="320" w:top="1390" w:right="579" w:bottom="1440" w:gutter="0" w:footer="0" w:header="0"/>
        </w:sectPr>
      </w:pPr>
    </w:p>
    <w:bookmarkStart w:id="99" w:name="page100"/>
    <w:bookmarkEnd w:id="99"/>
    <w:p>
      <w:pPr>
        <w:ind w:left="2540"/>
        <w:spacing w:after="0"/>
        <w:rPr>
          <w:sz w:val="20"/>
          <w:szCs w:val="20"/>
          <w:color w:val="auto"/>
        </w:rPr>
      </w:pPr>
      <w:r>
        <w:rPr>
          <w:rFonts w:ascii="Arial" w:cs="Arial" w:eastAsia="Arial" w:hAnsi="Arial"/>
          <w:sz w:val="18"/>
          <w:szCs w:val="18"/>
          <w:b w:val="1"/>
          <w:bCs w:val="1"/>
          <w:color w:val="auto"/>
        </w:rPr>
        <w:t>REPORT OF INDEPENDENT REGISTERED PUBLIC ACCOUNTING FIRM</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 and Shareholders of Marvell Technology Group Ltd.</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Opinion on Internal Control over Financial Reporting</w:t>
      </w:r>
    </w:p>
    <w:p>
      <w:pPr>
        <w:spacing w:after="0" w:line="175" w:lineRule="exact"/>
        <w:rPr>
          <w:sz w:val="20"/>
          <w:szCs w:val="20"/>
          <w:color w:val="auto"/>
        </w:rPr>
      </w:pPr>
    </w:p>
    <w:p>
      <w:pPr>
        <w:ind w:right="40"/>
        <w:spacing w:after="0" w:line="279" w:lineRule="auto"/>
        <w:rPr>
          <w:sz w:val="20"/>
          <w:szCs w:val="20"/>
          <w:color w:val="auto"/>
        </w:rPr>
      </w:pPr>
      <w:r>
        <w:rPr>
          <w:rFonts w:ascii="Arial" w:cs="Arial" w:eastAsia="Arial" w:hAnsi="Arial"/>
          <w:sz w:val="17"/>
          <w:szCs w:val="17"/>
          <w:color w:val="auto"/>
        </w:rPr>
        <w:t xml:space="preserve">We have audited the internal control over financial reporting of Marvell Technology Group Ltd. and subsidiaries (the “Company”) as of February 1, 2020, based on criteria established in </w:t>
      </w:r>
      <w:r>
        <w:rPr>
          <w:rFonts w:ascii="Arial" w:cs="Arial" w:eastAsia="Arial" w:hAnsi="Arial"/>
          <w:sz w:val="17"/>
          <w:szCs w:val="17"/>
          <w:i w:val="1"/>
          <w:iCs w:val="1"/>
          <w:color w:val="auto"/>
        </w:rPr>
        <w:t>Internal Control-Integrated Framework (2013)</w:t>
      </w:r>
      <w:r>
        <w:rPr>
          <w:rFonts w:ascii="Arial" w:cs="Arial" w:eastAsia="Arial" w:hAnsi="Arial"/>
          <w:sz w:val="17"/>
          <w:szCs w:val="17"/>
          <w:color w:val="auto"/>
        </w:rPr>
        <w:t xml:space="preserve"> issued by the Committee of Sponsoring Organizations of the Treadway Commission (COSO). In our opinion, the Company maintained, in all material respects, effective internal control over financial reporting as of February 1, 2020, based on criteria established in </w:t>
      </w:r>
      <w:r>
        <w:rPr>
          <w:rFonts w:ascii="Arial" w:cs="Arial" w:eastAsia="Arial" w:hAnsi="Arial"/>
          <w:sz w:val="17"/>
          <w:szCs w:val="17"/>
          <w:i w:val="1"/>
          <w:iCs w:val="1"/>
          <w:color w:val="auto"/>
        </w:rPr>
        <w:t>Internal Control-Integrated Framework (2013)</w:t>
      </w:r>
      <w:r>
        <w:rPr>
          <w:rFonts w:ascii="Arial" w:cs="Arial" w:eastAsia="Arial" w:hAnsi="Arial"/>
          <w:sz w:val="17"/>
          <w:szCs w:val="17"/>
          <w:color w:val="auto"/>
        </w:rPr>
        <w:t xml:space="preserve"> issued by COSO.</w:t>
      </w:r>
    </w:p>
    <w:p>
      <w:pPr>
        <w:spacing w:after="0" w:line="171" w:lineRule="exact"/>
        <w:rPr>
          <w:sz w:val="20"/>
          <w:szCs w:val="20"/>
          <w:color w:val="auto"/>
        </w:rPr>
      </w:pPr>
    </w:p>
    <w:p>
      <w:pPr>
        <w:ind w:right="20"/>
        <w:spacing w:after="0" w:line="263" w:lineRule="auto"/>
        <w:rPr>
          <w:sz w:val="20"/>
          <w:szCs w:val="20"/>
          <w:color w:val="auto"/>
        </w:rPr>
      </w:pPr>
      <w:r>
        <w:rPr>
          <w:rFonts w:ascii="Arial" w:cs="Arial" w:eastAsia="Arial" w:hAnsi="Arial"/>
          <w:sz w:val="18"/>
          <w:szCs w:val="18"/>
          <w:color w:val="auto"/>
        </w:rPr>
        <w:t>We have also audited, in accordance with the standards of the Public Company Accounting Oversight Board (United States) (PCAOB), the consolidated financial statements as of and for the year ended February 1, 2020, of the Company and our report dated March 23, 2020, expressed an unqualified opinion on those financial statements.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for Opinion</w:t>
      </w:r>
    </w:p>
    <w:p>
      <w:pPr>
        <w:spacing w:after="0" w:line="175" w:lineRule="exact"/>
        <w:rPr>
          <w:sz w:val="20"/>
          <w:szCs w:val="20"/>
          <w:color w:val="auto"/>
        </w:rPr>
      </w:pPr>
    </w:p>
    <w:p>
      <w:pPr>
        <w:ind w:right="80"/>
        <w:spacing w:after="0" w:line="275" w:lineRule="auto"/>
        <w:rPr>
          <w:sz w:val="20"/>
          <w:szCs w:val="20"/>
          <w:color w:val="auto"/>
        </w:rPr>
      </w:pPr>
      <w:r>
        <w:rPr>
          <w:rFonts w:ascii="Arial" w:cs="Arial" w:eastAsia="Arial" w:hAnsi="Arial"/>
          <w:sz w:val="17"/>
          <w:szCs w:val="17"/>
          <w:color w:val="auto"/>
        </w:rPr>
        <w:t>The Company’s management is responsible for maintaining effective internal control over financial reporting and for its assessment of the effectiveness of internal control over financial reporting, included in the accompanying Management’s Report on Internal Control Over Financial Reporting. Our responsibility is to express an opinion on the Company’s internal control over financial reporting based on our audit. We are a public accounting firm registered with the PCAOB and are required to be independent with respect to the Company in accordance with the U.S. federal securities laws and the applicable rules and regulations of the Securities and Exchange Commission and the PCAOB.</w:t>
      </w:r>
    </w:p>
    <w:p>
      <w:pPr>
        <w:spacing w:after="0" w:line="176"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We conducted our audit in accordance with the standards of the PCAOB. Those standards require that we plan and perform the audit to obtain reasonable assurance about whether effective internal control over financial reporting was maintained in all material respects. Our audit included obtaining an understanding of internal control over financial reporting, assessing the risk that a material weakness exists, testing and evaluating the design and operating effectiveness of internal control based on the assessed risk, and performing such other procedures as we considered necessary in the circumstances. We believe that our audit provides a reasonable basis for our opinion.</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Definition and Limitations of Internal Control over Financial Reporting</w:t>
      </w:r>
    </w:p>
    <w:p>
      <w:pPr>
        <w:spacing w:after="0" w:line="175"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(1) pertain to the maintenance of records that, in reasonable detail, accurately and fairly reflect the transactions and dispositions of the assets of the company; (2)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pPr>
        <w:spacing w:after="0" w:line="192" w:lineRule="exact"/>
        <w:rPr>
          <w:sz w:val="20"/>
          <w:szCs w:val="20"/>
          <w:color w:val="auto"/>
        </w:rPr>
      </w:pPr>
    </w:p>
    <w:p>
      <w:pPr>
        <w:ind w:right="40"/>
        <w:spacing w:after="0" w:line="263" w:lineRule="auto"/>
        <w:rPr>
          <w:sz w:val="20"/>
          <w:szCs w:val="20"/>
          <w:color w:val="auto"/>
        </w:rPr>
      </w:pPr>
      <w:r>
        <w:rPr>
          <w:rFonts w:ascii="Arial" w:cs="Arial" w:eastAsia="Arial" w:hAnsi="Arial"/>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23, 2020</w:t>
      </w:r>
    </w:p>
    <w:p>
      <w:pPr>
        <w:spacing w:after="0" w:line="34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90" w:right="379" w:bottom="1440" w:gutter="0" w:footer="0" w:header="0"/>
        </w:sectPr>
      </w:pPr>
    </w:p>
    <w:bookmarkStart w:id="100" w:name="page101"/>
    <w:bookmarkEnd w:id="100"/>
    <w:p>
      <w:pPr>
        <w:jc w:val="center"/>
        <w:spacing w:after="0"/>
        <w:rPr>
          <w:sz w:val="20"/>
          <w:szCs w:val="20"/>
          <w:color w:val="auto"/>
        </w:rPr>
      </w:pPr>
      <w:r>
        <w:rPr>
          <w:rFonts w:ascii="Arial" w:cs="Arial" w:eastAsia="Arial" w:hAnsi="Arial"/>
          <w:sz w:val="18"/>
          <w:szCs w:val="18"/>
          <w:b w:val="1"/>
          <w:bCs w:val="1"/>
          <w:color w:val="auto"/>
        </w:rPr>
        <w:t>PART III</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10. </w:t>
      </w:r>
      <w:r>
        <w:rPr>
          <w:rFonts w:ascii="Arial" w:cs="Arial" w:eastAsia="Arial" w:hAnsi="Arial"/>
          <w:sz w:val="18"/>
          <w:szCs w:val="18"/>
          <w:b w:val="1"/>
          <w:bCs w:val="1"/>
          <w:i w:val="1"/>
          <w:iCs w:val="1"/>
          <w:color w:val="auto"/>
        </w:rPr>
        <w:t>Directors, Executive Officers and Corporate Governance</w:t>
      </w:r>
    </w:p>
    <w:p>
      <w:pPr>
        <w:spacing w:after="0" w:line="121" w:lineRule="exact"/>
        <w:rPr>
          <w:sz w:val="20"/>
          <w:szCs w:val="20"/>
          <w:color w:val="auto"/>
        </w:rPr>
      </w:pPr>
    </w:p>
    <w:p>
      <w:pPr>
        <w:ind w:right="60" w:firstLine="405"/>
        <w:spacing w:after="0" w:line="279" w:lineRule="auto"/>
        <w:rPr>
          <w:sz w:val="20"/>
          <w:szCs w:val="20"/>
          <w:color w:val="auto"/>
        </w:rPr>
      </w:pPr>
      <w:r>
        <w:rPr>
          <w:rFonts w:ascii="Arial" w:cs="Arial" w:eastAsia="Arial" w:hAnsi="Arial"/>
          <w:sz w:val="17"/>
          <w:szCs w:val="17"/>
          <w:color w:val="auto"/>
        </w:rPr>
        <w:t>The information required by Items 401 and 407(c)(3) of Regulation S-K with respect to our directors, director nominees, executive officers and corporate governance is incorporated by reference herein to the information set forth under the captions “Board of Directors and Committees of the Board” and “Information About Our Executive Officers” in our definitive proxy statement in connection with our 2020 annual general meeting of shareholders to be held June 25, 2020 (the “2020 Proxy Statement”), which will be filed with the SEC no later than 120 days after February 1, 2020.</w:t>
      </w:r>
    </w:p>
    <w:p>
      <w:pPr>
        <w:spacing w:after="0" w:line="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Delinquent Section 16(a) Reports</w:t>
      </w:r>
    </w:p>
    <w:p>
      <w:pPr>
        <w:spacing w:after="0" w:line="121" w:lineRule="exact"/>
        <w:rPr>
          <w:sz w:val="20"/>
          <w:szCs w:val="20"/>
          <w:color w:val="auto"/>
        </w:rPr>
      </w:pPr>
    </w:p>
    <w:p>
      <w:pPr>
        <w:ind w:right="400" w:firstLine="405"/>
        <w:spacing w:after="0" w:line="277" w:lineRule="auto"/>
        <w:rPr>
          <w:sz w:val="20"/>
          <w:szCs w:val="20"/>
          <w:color w:val="auto"/>
        </w:rPr>
      </w:pPr>
      <w:r>
        <w:rPr>
          <w:rFonts w:ascii="Arial" w:cs="Arial" w:eastAsia="Arial" w:hAnsi="Arial"/>
          <w:sz w:val="18"/>
          <w:szCs w:val="18"/>
          <w:color w:val="auto"/>
        </w:rPr>
        <w:t>The information required by Item 405 of Regulation S-K is incorporated by reference herein, as applicable, to the information set forth under the caption “Delinquent Section 16(a) Reports” in our 2020 Proxy Statement.</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121" w:lineRule="exact"/>
        <w:rPr>
          <w:sz w:val="20"/>
          <w:szCs w:val="20"/>
          <w:color w:val="auto"/>
        </w:rPr>
      </w:pPr>
    </w:p>
    <w:p>
      <w:pPr>
        <w:ind w:right="60" w:firstLine="405"/>
        <w:spacing w:after="0" w:line="254" w:lineRule="auto"/>
        <w:rPr>
          <w:sz w:val="20"/>
          <w:szCs w:val="20"/>
          <w:color w:val="auto"/>
        </w:rPr>
      </w:pPr>
      <w:r>
        <w:rPr>
          <w:rFonts w:ascii="Arial" w:cs="Arial" w:eastAsia="Arial" w:hAnsi="Arial"/>
          <w:sz w:val="18"/>
          <w:szCs w:val="18"/>
          <w:color w:val="auto"/>
        </w:rPr>
        <w:t xml:space="preserve">We have adopted a Code of Ethics and Business Conduct for Employees, Officers and Directors that applies to all of our directors, officers (including our Chief Executive Officer (our principal executive officer), Chief Financial Officer (our principal financial officer), Corporate Controller (our chief accounting officer) and any person performing similar functions) and employees. This Code of Ethics was most recently amended in March 2020 We will disclose future amendments to or waivers from our Code of Ethics and Business Conduct for Employees, Officers and Directors on our website or in a report on Form 8-K within four business days following the date of such amendment or waiver. Our Code of Ethics and Business Conduct for Employees, Officers and Directors is available on our website </w:t>
      </w:r>
      <w:r>
        <w:rPr>
          <w:rFonts w:ascii="Arial" w:cs="Arial" w:eastAsia="Arial" w:hAnsi="Arial"/>
          <w:sz w:val="18"/>
          <w:szCs w:val="18"/>
          <w:i w:val="1"/>
          <w:iCs w:val="1"/>
          <w:color w:val="auto"/>
        </w:rPr>
        <w:t>www.marvell.com</w:t>
      </w:r>
      <w:r>
        <w:rPr>
          <w:rFonts w:ascii="Arial" w:cs="Arial" w:eastAsia="Arial" w:hAnsi="Arial"/>
          <w:sz w:val="18"/>
          <w:szCs w:val="18"/>
          <w:color w:val="auto"/>
        </w:rPr>
        <w:t>. None of the material on our website is part of our Annual Report on Form 10-K or is incorporated by reference herein.</w:t>
      </w:r>
    </w:p>
    <w:p>
      <w:pPr>
        <w:spacing w:after="0" w:line="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w:t>
      </w:r>
    </w:p>
    <w:p>
      <w:pPr>
        <w:spacing w:after="0" w:line="121" w:lineRule="exact"/>
        <w:rPr>
          <w:sz w:val="20"/>
          <w:szCs w:val="20"/>
          <w:color w:val="auto"/>
        </w:rPr>
      </w:pPr>
    </w:p>
    <w:p>
      <w:pPr>
        <w:ind w:right="200" w:firstLine="405"/>
        <w:spacing w:after="0" w:line="263" w:lineRule="auto"/>
        <w:rPr>
          <w:sz w:val="20"/>
          <w:szCs w:val="20"/>
          <w:color w:val="auto"/>
        </w:rPr>
      </w:pPr>
      <w:r>
        <w:rPr>
          <w:rFonts w:ascii="Arial" w:cs="Arial" w:eastAsia="Arial" w:hAnsi="Arial"/>
          <w:sz w:val="18"/>
          <w:szCs w:val="18"/>
          <w:color w:val="auto"/>
        </w:rPr>
        <w:t>The information required by Items 407(d)(4) and (d)(5) of Regulation S-K concerning our Audit Committee and audit committee financial expert is incorporated by reference herein to the information set forth under the caption “Board of Directors and Committees of the Board - Committees of our Board of Directors” in our 2020 Proxy Statement.</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11. </w:t>
      </w:r>
      <w:r>
        <w:rPr>
          <w:rFonts w:ascii="Arial" w:cs="Arial" w:eastAsia="Arial" w:hAnsi="Arial"/>
          <w:sz w:val="18"/>
          <w:szCs w:val="18"/>
          <w:b w:val="1"/>
          <w:bCs w:val="1"/>
          <w:i w:val="1"/>
          <w:iCs w:val="1"/>
          <w:color w:val="auto"/>
        </w:rPr>
        <w:t>Executive Compensation</w:t>
      </w:r>
    </w:p>
    <w:p>
      <w:pPr>
        <w:spacing w:after="0" w:line="121" w:lineRule="exact"/>
        <w:rPr>
          <w:sz w:val="20"/>
          <w:szCs w:val="20"/>
          <w:color w:val="auto"/>
        </w:rPr>
      </w:pPr>
    </w:p>
    <w:p>
      <w:pPr>
        <w:ind w:right="320" w:firstLine="405"/>
        <w:spacing w:after="0" w:line="263" w:lineRule="auto"/>
        <w:rPr>
          <w:sz w:val="20"/>
          <w:szCs w:val="20"/>
          <w:color w:val="auto"/>
        </w:rPr>
      </w:pPr>
      <w:r>
        <w:rPr>
          <w:rFonts w:ascii="Arial" w:cs="Arial" w:eastAsia="Arial" w:hAnsi="Arial"/>
          <w:sz w:val="18"/>
          <w:szCs w:val="18"/>
          <w:color w:val="auto"/>
        </w:rPr>
        <w:t>The information required by Items 402, 407(e)(4) and 407(e)(5) of Regulation S-K is incorporated by reference herein to the information set forth under the captions “Board of Directors and Committees of the Board - Director Compensation Table,” “Executive Compensation” and “Executive Compensation Committee Interlocks and Insider Participation” in our 2020 Proxy Statement.</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12. </w:t>
      </w:r>
      <w:r>
        <w:rPr>
          <w:rFonts w:ascii="Arial" w:cs="Arial" w:eastAsia="Arial" w:hAnsi="Arial"/>
          <w:sz w:val="18"/>
          <w:szCs w:val="18"/>
          <w:b w:val="1"/>
          <w:bCs w:val="1"/>
          <w:i w:val="1"/>
          <w:iCs w:val="1"/>
          <w:color w:val="auto"/>
        </w:rPr>
        <w:t>Security Ownership of Certain Beneficial Owners and Management and Related Shareholder Matters</w:t>
      </w:r>
    </w:p>
    <w:p>
      <w:pPr>
        <w:spacing w:after="0" w:line="121" w:lineRule="exact"/>
        <w:rPr>
          <w:sz w:val="20"/>
          <w:szCs w:val="20"/>
          <w:color w:val="auto"/>
        </w:rPr>
      </w:pPr>
    </w:p>
    <w:p>
      <w:pPr>
        <w:ind w:right="180" w:firstLine="405"/>
        <w:spacing w:after="0" w:line="277" w:lineRule="auto"/>
        <w:rPr>
          <w:sz w:val="20"/>
          <w:szCs w:val="20"/>
          <w:color w:val="auto"/>
        </w:rPr>
      </w:pPr>
      <w:r>
        <w:rPr>
          <w:rFonts w:ascii="Arial" w:cs="Arial" w:eastAsia="Arial" w:hAnsi="Arial"/>
          <w:sz w:val="18"/>
          <w:szCs w:val="18"/>
          <w:color w:val="auto"/>
        </w:rPr>
        <w:t>The information required by Item 403 of Regulation S-K is incorporated by reference herein to the information set forth under the caption “Security Ownership of Certain Beneficial Owners and Management” in our 2020 Proxy Statement.</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117" w:lineRule="exact"/>
        <w:rPr>
          <w:sz w:val="20"/>
          <w:szCs w:val="20"/>
          <w:color w:val="auto"/>
        </w:rPr>
      </w:pPr>
    </w:p>
    <w:p>
      <w:pPr>
        <w:ind w:left="410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provides certain information with respect to all of our equity compensation plans in effect as of February 1, 2020:</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40" w:type="dxa"/>
            <w:vAlign w:val="bottom"/>
          </w:tcPr>
          <w:p>
            <w:pPr>
              <w:jc w:val="center"/>
              <w:spacing w:after="0"/>
              <w:rPr>
                <w:sz w:val="20"/>
                <w:szCs w:val="20"/>
                <w:color w:val="auto"/>
              </w:rPr>
            </w:pPr>
            <w:r>
              <w:rPr>
                <w:rFonts w:ascii="Arial" w:cs="Arial" w:eastAsia="Arial" w:hAnsi="Arial"/>
                <w:sz w:val="14"/>
                <w:szCs w:val="14"/>
                <w:b w:val="1"/>
                <w:bCs w:val="1"/>
                <w:color w:val="auto"/>
                <w:w w:val="93"/>
              </w:rPr>
              <w:t>(c)</w:t>
            </w:r>
          </w:p>
        </w:tc>
        <w:tc>
          <w:tcPr>
            <w:tcW w:w="0" w:type="dxa"/>
            <w:vAlign w:val="bottom"/>
          </w:tcPr>
          <w:p>
            <w:pPr>
              <w:spacing w:after="0"/>
              <w:rPr>
                <w:sz w:val="1"/>
                <w:szCs w:val="1"/>
                <w:color w:val="auto"/>
              </w:rPr>
            </w:pPr>
          </w:p>
        </w:tc>
      </w:tr>
      <w:tr>
        <w:trPr>
          <w:trHeight w:val="149"/>
        </w:trPr>
        <w:tc>
          <w:tcPr>
            <w:tcW w:w="4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40" w:type="dxa"/>
            <w:vAlign w:val="bottom"/>
            <w:gridSpan w:val="2"/>
            <w:vMerge w:val="restart"/>
          </w:tcPr>
          <w:p>
            <w:pPr>
              <w:jc w:val="center"/>
              <w:ind w:right="100"/>
              <w:spacing w:after="0"/>
              <w:rPr>
                <w:sz w:val="20"/>
                <w:szCs w:val="20"/>
                <w:color w:val="auto"/>
              </w:rPr>
            </w:pPr>
            <w:r>
              <w:rPr>
                <w:rFonts w:ascii="Arial" w:cs="Arial" w:eastAsia="Arial" w:hAnsi="Arial"/>
                <w:sz w:val="14"/>
                <w:szCs w:val="14"/>
                <w:b w:val="1"/>
                <w:bCs w:val="1"/>
                <w:color w:val="auto"/>
              </w:rPr>
              <w:t>(a)</w:t>
            </w:r>
          </w:p>
        </w:tc>
        <w:tc>
          <w:tcPr>
            <w:tcW w:w="180" w:type="dxa"/>
            <w:vAlign w:val="bottom"/>
          </w:tcPr>
          <w:p>
            <w:pPr>
              <w:spacing w:after="0"/>
              <w:rPr>
                <w:sz w:val="12"/>
                <w:szCs w:val="12"/>
                <w:color w:val="auto"/>
              </w:rPr>
            </w:pPr>
          </w:p>
        </w:tc>
        <w:tc>
          <w:tcPr>
            <w:tcW w:w="1900" w:type="dxa"/>
            <w:vAlign w:val="bottom"/>
            <w:gridSpan w:val="2"/>
            <w:vMerge w:val="restart"/>
          </w:tcPr>
          <w:p>
            <w:pPr>
              <w:jc w:val="center"/>
              <w:ind w:right="280"/>
              <w:spacing w:after="0"/>
              <w:rPr>
                <w:sz w:val="20"/>
                <w:szCs w:val="20"/>
                <w:color w:val="auto"/>
              </w:rPr>
            </w:pPr>
            <w:r>
              <w:rPr>
                <w:rFonts w:ascii="Arial" w:cs="Arial" w:eastAsia="Arial" w:hAnsi="Arial"/>
                <w:sz w:val="14"/>
                <w:szCs w:val="14"/>
                <w:b w:val="1"/>
                <w:bCs w:val="1"/>
                <w:color w:val="auto"/>
              </w:rPr>
              <w:t>(b)</w:t>
            </w:r>
          </w:p>
        </w:tc>
        <w:tc>
          <w:tcPr>
            <w:tcW w:w="21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Number of</w:t>
            </w:r>
          </w:p>
        </w:tc>
        <w:tc>
          <w:tcPr>
            <w:tcW w:w="0" w:type="dxa"/>
            <w:vAlign w:val="bottom"/>
          </w:tcPr>
          <w:p>
            <w:pPr>
              <w:spacing w:after="0"/>
              <w:rPr>
                <w:sz w:val="1"/>
                <w:szCs w:val="1"/>
                <w:color w:val="auto"/>
              </w:rPr>
            </w:pPr>
          </w:p>
        </w:tc>
      </w:tr>
      <w:tr>
        <w:trPr>
          <w:trHeight w:val="148"/>
        </w:trPr>
        <w:tc>
          <w:tcPr>
            <w:tcW w:w="4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4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900" w:type="dxa"/>
            <w:vAlign w:val="bottom"/>
            <w:gridSpan w:val="2"/>
            <w:vMerge w:val="continue"/>
          </w:tcPr>
          <w:p>
            <w:pPr>
              <w:spacing w:after="0"/>
              <w:rPr>
                <w:sz w:val="12"/>
                <w:szCs w:val="12"/>
                <w:color w:val="auto"/>
              </w:rPr>
            </w:pPr>
          </w:p>
        </w:tc>
        <w:tc>
          <w:tcPr>
            <w:tcW w:w="21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Securities Remaining</w:t>
            </w:r>
          </w:p>
        </w:tc>
        <w:tc>
          <w:tcPr>
            <w:tcW w:w="0" w:type="dxa"/>
            <w:vAlign w:val="bottom"/>
          </w:tcPr>
          <w:p>
            <w:pPr>
              <w:spacing w:after="0"/>
              <w:rPr>
                <w:sz w:val="1"/>
                <w:szCs w:val="1"/>
                <w:color w:val="auto"/>
              </w:rPr>
            </w:pPr>
          </w:p>
        </w:tc>
      </w:tr>
      <w:tr>
        <w:trPr>
          <w:trHeight w:val="148"/>
        </w:trPr>
        <w:tc>
          <w:tcPr>
            <w:tcW w:w="4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4"/>
              </w:rPr>
              <w:t>Number of</w:t>
            </w:r>
          </w:p>
        </w:tc>
        <w:tc>
          <w:tcPr>
            <w:tcW w:w="180" w:type="dxa"/>
            <w:vAlign w:val="bottom"/>
          </w:tcPr>
          <w:p>
            <w:pPr>
              <w:spacing w:after="0"/>
              <w:rPr>
                <w:sz w:val="12"/>
                <w:szCs w:val="12"/>
                <w:color w:val="auto"/>
              </w:rPr>
            </w:pPr>
          </w:p>
        </w:tc>
        <w:tc>
          <w:tcPr>
            <w:tcW w:w="19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1"/>
              </w:rPr>
              <w:t>Weighted-</w:t>
            </w:r>
          </w:p>
        </w:tc>
        <w:tc>
          <w:tcPr>
            <w:tcW w:w="21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Available for Future</w:t>
            </w:r>
          </w:p>
        </w:tc>
        <w:tc>
          <w:tcPr>
            <w:tcW w:w="0" w:type="dxa"/>
            <w:vAlign w:val="bottom"/>
          </w:tcPr>
          <w:p>
            <w:pPr>
              <w:spacing w:after="0"/>
              <w:rPr>
                <w:sz w:val="1"/>
                <w:szCs w:val="1"/>
                <w:color w:val="auto"/>
              </w:rPr>
            </w:pPr>
          </w:p>
        </w:tc>
      </w:tr>
      <w:tr>
        <w:trPr>
          <w:trHeight w:val="149"/>
        </w:trPr>
        <w:tc>
          <w:tcPr>
            <w:tcW w:w="4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Securities to Be Issued</w:t>
            </w:r>
          </w:p>
        </w:tc>
        <w:tc>
          <w:tcPr>
            <w:tcW w:w="180" w:type="dxa"/>
            <w:vAlign w:val="bottom"/>
          </w:tcPr>
          <w:p>
            <w:pPr>
              <w:spacing w:after="0"/>
              <w:rPr>
                <w:sz w:val="12"/>
                <w:szCs w:val="12"/>
                <w:color w:val="auto"/>
              </w:rPr>
            </w:pPr>
          </w:p>
        </w:tc>
        <w:tc>
          <w:tcPr>
            <w:tcW w:w="19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1"/>
              </w:rPr>
              <w:t>Average Exercise Price</w:t>
            </w:r>
          </w:p>
        </w:tc>
        <w:tc>
          <w:tcPr>
            <w:tcW w:w="21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Issuance under Equity</w:t>
            </w:r>
          </w:p>
        </w:tc>
        <w:tc>
          <w:tcPr>
            <w:tcW w:w="0" w:type="dxa"/>
            <w:vAlign w:val="bottom"/>
          </w:tcPr>
          <w:p>
            <w:pPr>
              <w:spacing w:after="0"/>
              <w:rPr>
                <w:sz w:val="1"/>
                <w:szCs w:val="1"/>
                <w:color w:val="auto"/>
              </w:rPr>
            </w:pPr>
          </w:p>
        </w:tc>
      </w:tr>
      <w:tr>
        <w:trPr>
          <w:trHeight w:val="148"/>
        </w:trPr>
        <w:tc>
          <w:tcPr>
            <w:tcW w:w="4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2"/>
              </w:rPr>
              <w:t>Upon Exercise of Outstanding</w:t>
            </w:r>
          </w:p>
        </w:tc>
        <w:tc>
          <w:tcPr>
            <w:tcW w:w="180" w:type="dxa"/>
            <w:vAlign w:val="bottom"/>
          </w:tcPr>
          <w:p>
            <w:pPr>
              <w:spacing w:after="0"/>
              <w:rPr>
                <w:sz w:val="12"/>
                <w:szCs w:val="12"/>
                <w:color w:val="auto"/>
              </w:rPr>
            </w:pPr>
          </w:p>
        </w:tc>
        <w:tc>
          <w:tcPr>
            <w:tcW w:w="19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2"/>
              </w:rPr>
              <w:t>of Outstanding Options,</w:t>
            </w:r>
          </w:p>
        </w:tc>
        <w:tc>
          <w:tcPr>
            <w:tcW w:w="21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Compensation Plans</w:t>
            </w:r>
          </w:p>
        </w:tc>
        <w:tc>
          <w:tcPr>
            <w:tcW w:w="0" w:type="dxa"/>
            <w:vAlign w:val="bottom"/>
          </w:tcPr>
          <w:p>
            <w:pPr>
              <w:spacing w:after="0"/>
              <w:rPr>
                <w:sz w:val="1"/>
                <w:szCs w:val="1"/>
                <w:color w:val="auto"/>
              </w:rPr>
            </w:pPr>
          </w:p>
        </w:tc>
      </w:tr>
      <w:tr>
        <w:trPr>
          <w:trHeight w:val="148"/>
        </w:trPr>
        <w:tc>
          <w:tcPr>
            <w:tcW w:w="4860" w:type="dxa"/>
            <w:vAlign w:val="bottom"/>
            <w:vMerge w:val="restart"/>
          </w:tcPr>
          <w:p>
            <w:pPr>
              <w:ind w:left="20"/>
              <w:spacing w:after="0"/>
              <w:rPr>
                <w:sz w:val="20"/>
                <w:szCs w:val="20"/>
                <w:color w:val="auto"/>
              </w:rPr>
            </w:pPr>
            <w:r>
              <w:rPr>
                <w:rFonts w:ascii="Arial" w:cs="Arial" w:eastAsia="Arial" w:hAnsi="Arial"/>
                <w:sz w:val="14"/>
                <w:szCs w:val="14"/>
                <w:b w:val="1"/>
                <w:bCs w:val="1"/>
                <w:color w:val="auto"/>
              </w:rPr>
              <w:t>Plan Category</w:t>
            </w:r>
          </w:p>
        </w:tc>
        <w:tc>
          <w:tcPr>
            <w:tcW w:w="120" w:type="dxa"/>
            <w:vAlign w:val="bottom"/>
            <w:vMerge w:val="restart"/>
          </w:tcPr>
          <w:p>
            <w:pPr>
              <w:spacing w:after="0"/>
              <w:rPr>
                <w:sz w:val="12"/>
                <w:szCs w:val="12"/>
                <w:color w:val="auto"/>
              </w:rPr>
            </w:pPr>
          </w:p>
        </w:tc>
        <w:tc>
          <w:tcPr>
            <w:tcW w:w="20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Options, Warrants</w:t>
            </w:r>
          </w:p>
        </w:tc>
        <w:tc>
          <w:tcPr>
            <w:tcW w:w="180" w:type="dxa"/>
            <w:vAlign w:val="bottom"/>
          </w:tcPr>
          <w:p>
            <w:pPr>
              <w:spacing w:after="0"/>
              <w:rPr>
                <w:sz w:val="12"/>
                <w:szCs w:val="12"/>
                <w:color w:val="auto"/>
              </w:rPr>
            </w:pPr>
          </w:p>
        </w:tc>
        <w:tc>
          <w:tcPr>
            <w:tcW w:w="19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6"/>
              </w:rPr>
              <w:t>Warrants, and</w:t>
            </w:r>
          </w:p>
        </w:tc>
        <w:tc>
          <w:tcPr>
            <w:tcW w:w="21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(Excluding Securities</w:t>
            </w:r>
          </w:p>
        </w:tc>
        <w:tc>
          <w:tcPr>
            <w:tcW w:w="0" w:type="dxa"/>
            <w:vAlign w:val="bottom"/>
          </w:tcPr>
          <w:p>
            <w:pPr>
              <w:spacing w:after="0"/>
              <w:rPr>
                <w:sz w:val="1"/>
                <w:szCs w:val="1"/>
                <w:color w:val="auto"/>
              </w:rPr>
            </w:pPr>
          </w:p>
        </w:tc>
      </w:tr>
      <w:tr>
        <w:trPr>
          <w:trHeight w:val="192"/>
        </w:trPr>
        <w:tc>
          <w:tcPr>
            <w:tcW w:w="4860" w:type="dxa"/>
            <w:vAlign w:val="bottom"/>
            <w:tcBorders>
              <w:bottom w:val="single" w:sz="8" w:color="auto"/>
            </w:tcBorders>
            <w:vMerge w:val="continue"/>
          </w:tcPr>
          <w:p>
            <w:pPr>
              <w:spacing w:after="0"/>
              <w:rPr>
                <w:sz w:val="16"/>
                <w:szCs w:val="16"/>
                <w:color w:val="auto"/>
              </w:rPr>
            </w:pPr>
          </w:p>
        </w:tc>
        <w:tc>
          <w:tcPr>
            <w:tcW w:w="120" w:type="dxa"/>
            <w:vAlign w:val="bottom"/>
            <w:tcBorders>
              <w:bottom w:val="single" w:sz="8" w:color="CCEEFF"/>
            </w:tcBorders>
            <w:vMerge w:val="continue"/>
          </w:tcPr>
          <w:p>
            <w:pPr>
              <w:spacing w:after="0"/>
              <w:rPr>
                <w:sz w:val="16"/>
                <w:szCs w:val="16"/>
                <w:color w:val="auto"/>
              </w:rPr>
            </w:pPr>
          </w:p>
        </w:tc>
        <w:tc>
          <w:tcPr>
            <w:tcW w:w="19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and Rights (1)</w:t>
            </w:r>
          </w:p>
        </w:tc>
        <w:tc>
          <w:tcPr>
            <w:tcW w:w="1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800" w:type="dxa"/>
            <w:vAlign w:val="bottom"/>
            <w:tcBorders>
              <w:bottom w:val="single" w:sz="8" w:color="auto"/>
            </w:tcBorders>
          </w:tcPr>
          <w:p>
            <w:pPr>
              <w:jc w:val="center"/>
              <w:ind w:right="84"/>
              <w:spacing w:after="0"/>
              <w:rPr>
                <w:sz w:val="20"/>
                <w:szCs w:val="20"/>
                <w:color w:val="auto"/>
              </w:rPr>
            </w:pPr>
            <w:r>
              <w:rPr>
                <w:rFonts w:ascii="Arial" w:cs="Arial" w:eastAsia="Arial" w:hAnsi="Arial"/>
                <w:sz w:val="14"/>
                <w:szCs w:val="14"/>
                <w:b w:val="1"/>
                <w:bCs w:val="1"/>
                <w:color w:val="auto"/>
                <w:w w:val="92"/>
              </w:rPr>
              <w:t>Rights (2)</w:t>
            </w:r>
          </w:p>
        </w:tc>
        <w:tc>
          <w:tcPr>
            <w:tcW w:w="100" w:type="dxa"/>
            <w:vAlign w:val="bottom"/>
            <w:tcBorders>
              <w:bottom w:val="single" w:sz="8" w:color="CCEEFF"/>
            </w:tcBorders>
          </w:tcPr>
          <w:p>
            <w:pPr>
              <w:spacing w:after="0"/>
              <w:rPr>
                <w:sz w:val="16"/>
                <w:szCs w:val="16"/>
                <w:color w:val="auto"/>
              </w:rPr>
            </w:pPr>
          </w:p>
        </w:tc>
        <w:tc>
          <w:tcPr>
            <w:tcW w:w="21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Reflected in Column (a)</w:t>
            </w:r>
          </w:p>
        </w:tc>
        <w:tc>
          <w:tcPr>
            <w:tcW w:w="0" w:type="dxa"/>
            <w:vAlign w:val="bottom"/>
          </w:tcPr>
          <w:p>
            <w:pPr>
              <w:spacing w:after="0"/>
              <w:rPr>
                <w:sz w:val="1"/>
                <w:szCs w:val="1"/>
                <w:color w:val="auto"/>
              </w:rPr>
            </w:pPr>
          </w:p>
        </w:tc>
      </w:tr>
      <w:tr>
        <w:trPr>
          <w:trHeight w:val="249"/>
        </w:trPr>
        <w:tc>
          <w:tcPr>
            <w:tcW w:w="498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w w:val="98"/>
              </w:rPr>
              <w:t>Equity compensation plans approved by security holders (3)(4)</w:t>
            </w:r>
          </w:p>
        </w:tc>
        <w:tc>
          <w:tcPr>
            <w:tcW w:w="1940" w:type="dxa"/>
            <w:vAlign w:val="bottom"/>
            <w:tcBorders>
              <w:bottom w:val="single" w:sz="8" w:color="CCEEFF"/>
            </w:tcBorders>
            <w:shd w:val="clear" w:color="auto" w:fill="CCEEFF"/>
          </w:tcPr>
          <w:p>
            <w:pPr>
              <w:jc w:val="right"/>
              <w:ind w:right="82"/>
              <w:spacing w:after="0"/>
              <w:rPr>
                <w:sz w:val="20"/>
                <w:szCs w:val="20"/>
                <w:color w:val="auto"/>
              </w:rPr>
            </w:pPr>
            <w:r>
              <w:rPr>
                <w:rFonts w:ascii="Arial" w:cs="Arial" w:eastAsia="Arial" w:hAnsi="Arial"/>
                <w:sz w:val="18"/>
                <w:szCs w:val="18"/>
                <w:color w:val="auto"/>
              </w:rPr>
              <w:t>18,734,796</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800" w:type="dxa"/>
            <w:vAlign w:val="bottom"/>
            <w:tcBorders>
              <w:bottom w:val="single" w:sz="8" w:color="CCEEFF"/>
            </w:tcBorders>
            <w:shd w:val="clear" w:color="auto" w:fill="CCEEFF"/>
          </w:tcPr>
          <w:p>
            <w:pPr>
              <w:jc w:val="right"/>
              <w:ind w:right="84"/>
              <w:spacing w:after="0"/>
              <w:rPr>
                <w:sz w:val="20"/>
                <w:szCs w:val="20"/>
                <w:color w:val="auto"/>
              </w:rPr>
            </w:pPr>
            <w:r>
              <w:rPr>
                <w:rFonts w:ascii="Arial" w:cs="Arial" w:eastAsia="Arial" w:hAnsi="Arial"/>
                <w:sz w:val="18"/>
                <w:szCs w:val="18"/>
                <w:color w:val="auto"/>
              </w:rPr>
              <w:t>15.99</w:t>
            </w:r>
          </w:p>
        </w:tc>
        <w:tc>
          <w:tcPr>
            <w:tcW w:w="100" w:type="dxa"/>
            <w:vAlign w:val="bottom"/>
            <w:tcBorders>
              <w:bottom w:val="single" w:sz="8" w:color="CCEEFF"/>
            </w:tcBorders>
            <w:shd w:val="clear" w:color="auto" w:fill="CCEEFF"/>
          </w:tcPr>
          <w:p>
            <w:pPr>
              <w:spacing w:after="0"/>
              <w:rPr>
                <w:sz w:val="21"/>
                <w:szCs w:val="21"/>
                <w:color w:val="auto"/>
              </w:rPr>
            </w:pPr>
          </w:p>
        </w:tc>
        <w:tc>
          <w:tcPr>
            <w:tcW w:w="2140" w:type="dxa"/>
            <w:vAlign w:val="bottom"/>
            <w:tcBorders>
              <w:bottom w:val="single" w:sz="8" w:color="CCEEFF"/>
            </w:tcBorders>
            <w:shd w:val="clear" w:color="auto" w:fill="CCEEFF"/>
          </w:tcPr>
          <w:p>
            <w:pPr>
              <w:jc w:val="right"/>
              <w:ind w:right="84"/>
              <w:spacing w:after="0"/>
              <w:rPr>
                <w:sz w:val="20"/>
                <w:szCs w:val="20"/>
                <w:color w:val="auto"/>
              </w:rPr>
            </w:pPr>
            <w:r>
              <w:rPr>
                <w:rFonts w:ascii="Arial" w:cs="Arial" w:eastAsia="Arial" w:hAnsi="Arial"/>
                <w:sz w:val="18"/>
                <w:szCs w:val="18"/>
                <w:color w:val="auto"/>
              </w:rPr>
              <w:t>112,180,040</w:t>
            </w:r>
          </w:p>
        </w:tc>
        <w:tc>
          <w:tcPr>
            <w:tcW w:w="0" w:type="dxa"/>
            <w:vAlign w:val="bottom"/>
          </w:tcPr>
          <w:p>
            <w:pPr>
              <w:spacing w:after="0"/>
              <w:rPr>
                <w:sz w:val="1"/>
                <w:szCs w:val="1"/>
                <w:color w:val="auto"/>
              </w:rPr>
            </w:pPr>
          </w:p>
        </w:tc>
      </w:tr>
      <w:tr>
        <w:trPr>
          <w:trHeight w:val="243"/>
        </w:trPr>
        <w:tc>
          <w:tcPr>
            <w:tcW w:w="4980" w:type="dxa"/>
            <w:vAlign w:val="bottom"/>
            <w:gridSpan w:val="2"/>
          </w:tcPr>
          <w:p>
            <w:pPr>
              <w:ind w:left="20"/>
              <w:spacing w:after="0"/>
              <w:rPr>
                <w:sz w:val="20"/>
                <w:szCs w:val="20"/>
                <w:color w:val="auto"/>
              </w:rPr>
            </w:pPr>
            <w:r>
              <w:rPr>
                <w:rFonts w:ascii="Arial" w:cs="Arial" w:eastAsia="Arial" w:hAnsi="Arial"/>
                <w:sz w:val="18"/>
                <w:szCs w:val="18"/>
                <w:color w:val="auto"/>
                <w:w w:val="97"/>
              </w:rPr>
              <w:t>Equity compensation plans not approved by security holders (5)</w:t>
            </w:r>
          </w:p>
        </w:tc>
        <w:tc>
          <w:tcPr>
            <w:tcW w:w="1940" w:type="dxa"/>
            <w:vAlign w:val="bottom"/>
          </w:tcPr>
          <w:p>
            <w:pPr>
              <w:jc w:val="right"/>
              <w:ind w:right="82"/>
              <w:spacing w:after="0"/>
              <w:rPr>
                <w:sz w:val="20"/>
                <w:szCs w:val="20"/>
                <w:color w:val="auto"/>
              </w:rPr>
            </w:pPr>
            <w:r>
              <w:rPr>
                <w:rFonts w:ascii="Arial" w:cs="Arial" w:eastAsia="Arial" w:hAnsi="Arial"/>
                <w:sz w:val="18"/>
                <w:szCs w:val="18"/>
                <w:color w:val="auto"/>
              </w:rPr>
              <w:t>5,189,409</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800" w:type="dxa"/>
            <w:vAlign w:val="bottom"/>
          </w:tcPr>
          <w:p>
            <w:pPr>
              <w:jc w:val="right"/>
              <w:ind w:right="84"/>
              <w:spacing w:after="0"/>
              <w:rPr>
                <w:sz w:val="20"/>
                <w:szCs w:val="20"/>
                <w:color w:val="auto"/>
              </w:rPr>
            </w:pPr>
            <w:r>
              <w:rPr>
                <w:rFonts w:ascii="Arial" w:cs="Arial" w:eastAsia="Arial" w:hAnsi="Arial"/>
                <w:sz w:val="18"/>
                <w:szCs w:val="18"/>
                <w:color w:val="auto"/>
              </w:rPr>
              <w:t>10.82</w:t>
            </w:r>
          </w:p>
        </w:tc>
        <w:tc>
          <w:tcPr>
            <w:tcW w:w="100" w:type="dxa"/>
            <w:vAlign w:val="bottom"/>
          </w:tcPr>
          <w:p>
            <w:pPr>
              <w:spacing w:after="0"/>
              <w:rPr>
                <w:sz w:val="21"/>
                <w:szCs w:val="21"/>
                <w:color w:val="auto"/>
              </w:rPr>
            </w:pPr>
          </w:p>
        </w:tc>
        <w:tc>
          <w:tcPr>
            <w:tcW w:w="2140" w:type="dxa"/>
            <w:vAlign w:val="bottom"/>
          </w:tcPr>
          <w:p>
            <w:pPr>
              <w:jc w:val="right"/>
              <w:ind w:right="8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945"/>
        </w:trPr>
        <w:tc>
          <w:tcPr>
            <w:tcW w:w="48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940" w:type="dxa"/>
            <w:vAlign w:val="bottom"/>
          </w:tcPr>
          <w:p>
            <w:pPr>
              <w:jc w:val="right"/>
              <w:ind w:right="1122"/>
              <w:spacing w:after="0"/>
              <w:rPr>
                <w:sz w:val="20"/>
                <w:szCs w:val="20"/>
                <w:color w:val="auto"/>
              </w:rPr>
            </w:pPr>
            <w:r>
              <w:rPr>
                <w:rFonts w:ascii="Arial" w:cs="Arial" w:eastAsia="Arial" w:hAnsi="Arial"/>
                <w:sz w:val="18"/>
                <w:szCs w:val="18"/>
                <w:color w:val="auto"/>
              </w:rPr>
              <w:t>98</w:t>
            </w: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8"/>
        </w:trPr>
        <w:tc>
          <w:tcPr>
            <w:tcW w:w="4860" w:type="dxa"/>
            <w:vAlign w:val="bottom"/>
            <w:tcBorders>
              <w:bottom w:val="single" w:sz="8" w:color="9A9A9A"/>
            </w:tcBorders>
          </w:tcPr>
          <w:p>
            <w:pPr>
              <w:spacing w:after="0"/>
              <w:rPr>
                <w:sz w:val="24"/>
                <w:szCs w:val="24"/>
                <w:color w:val="auto"/>
              </w:rPr>
            </w:pPr>
          </w:p>
        </w:tc>
        <w:tc>
          <w:tcPr>
            <w:tcW w:w="120" w:type="dxa"/>
            <w:vAlign w:val="bottom"/>
            <w:tcBorders>
              <w:bottom w:val="single" w:sz="8" w:color="9A9A9A"/>
            </w:tcBorders>
          </w:tcPr>
          <w:p>
            <w:pPr>
              <w:spacing w:after="0"/>
              <w:rPr>
                <w:sz w:val="24"/>
                <w:szCs w:val="24"/>
                <w:color w:val="auto"/>
              </w:rPr>
            </w:pPr>
          </w:p>
        </w:tc>
        <w:tc>
          <w:tcPr>
            <w:tcW w:w="194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180" w:type="dxa"/>
            <w:vAlign w:val="bottom"/>
            <w:tcBorders>
              <w:bottom w:val="single" w:sz="8" w:color="9A9A9A"/>
            </w:tcBorders>
          </w:tcPr>
          <w:p>
            <w:pPr>
              <w:spacing w:after="0"/>
              <w:rPr>
                <w:sz w:val="24"/>
                <w:szCs w:val="24"/>
                <w:color w:val="auto"/>
              </w:rPr>
            </w:pPr>
          </w:p>
        </w:tc>
        <w:tc>
          <w:tcPr>
            <w:tcW w:w="180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2140" w:type="dxa"/>
            <w:vAlign w:val="bottom"/>
            <w:tcBorders>
              <w:bottom w:val="single" w:sz="8" w:color="9A9A9A"/>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7128510</wp:posOffset>
            </wp:positionH>
            <wp:positionV relativeFrom="paragraph">
              <wp:posOffset>-8255</wp:posOffset>
            </wp:positionV>
            <wp:extent cx="8255"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825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8890" cy="1714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8890" cy="17145"/>
                    </a:xfrm>
                    <a:prstGeom prst="rect">
                      <a:avLst/>
                    </a:prstGeom>
                    <a:noFill/>
                  </pic:spPr>
                </pic:pic>
              </a:graphicData>
            </a:graphic>
          </wp:anchor>
        </w:drawing>
      </w:r>
    </w:p>
    <w:p>
      <w:pPr>
        <w:sectPr>
          <w:pgSz w:w="11900" w:h="16838" w:orient="portrait"/>
          <w:cols w:equalWidth="0" w:num="1">
            <w:col w:w="11240"/>
          </w:cols>
          <w:pgMar w:left="320" w:top="1390" w:right="339" w:bottom="1440" w:gutter="0" w:footer="0" w:header="0"/>
        </w:sectPr>
      </w:pPr>
    </w:p>
    <w:bookmarkStart w:id="101" w:name="page102"/>
    <w:bookmarkEnd w:id="101"/>
    <w:p>
      <w:pPr>
        <w:spacing w:after="0" w:line="90" w:lineRule="exact"/>
        <w:rPr>
          <w:sz w:val="20"/>
          <w:szCs w:val="20"/>
          <w:color w:val="auto"/>
        </w:rPr>
      </w:pPr>
    </w:p>
    <w:p>
      <w:pPr>
        <w:ind w:left="660" w:right="480" w:hanging="652"/>
        <w:spacing w:after="0" w:line="277" w:lineRule="auto"/>
        <w:tabs>
          <w:tab w:leader="none" w:pos="654" w:val="left"/>
        </w:tabs>
        <w:numPr>
          <w:ilvl w:val="0"/>
          <w:numId w:val="39"/>
        </w:numPr>
        <w:rPr>
          <w:rFonts w:ascii="Arial" w:cs="Arial" w:eastAsia="Arial" w:hAnsi="Arial"/>
          <w:sz w:val="18"/>
          <w:szCs w:val="18"/>
          <w:color w:val="auto"/>
        </w:rPr>
      </w:pPr>
      <w:r>
        <w:rPr>
          <w:rFonts w:ascii="Arial" w:cs="Arial" w:eastAsia="Arial" w:hAnsi="Arial"/>
          <w:sz w:val="18"/>
          <w:szCs w:val="18"/>
          <w:color w:val="auto"/>
        </w:rPr>
        <w:t>Includes only options and restricted stock units (outstanding under our equity compensation plans, as no stock warrants or other rights were outstanding as of February 1, 2020).</w:t>
      </w:r>
    </w:p>
    <w:p>
      <w:pPr>
        <w:spacing w:after="0" w:line="8" w:lineRule="exact"/>
        <w:rPr>
          <w:rFonts w:ascii="Arial" w:cs="Arial" w:eastAsia="Arial" w:hAnsi="Arial"/>
          <w:sz w:val="18"/>
          <w:szCs w:val="18"/>
          <w:color w:val="auto"/>
        </w:rPr>
      </w:pPr>
    </w:p>
    <w:p>
      <w:pPr>
        <w:ind w:left="660" w:right="640" w:hanging="652"/>
        <w:spacing w:after="0" w:line="277" w:lineRule="auto"/>
        <w:tabs>
          <w:tab w:leader="none" w:pos="654"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weighted-average exercise price calculation does not take into account any restricted stock units as those units vest, without any cash consideration or other payment required for such shares.</w:t>
      </w:r>
    </w:p>
    <w:p>
      <w:pPr>
        <w:spacing w:after="0" w:line="8" w:lineRule="exact"/>
        <w:rPr>
          <w:rFonts w:ascii="Arial" w:cs="Arial" w:eastAsia="Arial" w:hAnsi="Arial"/>
          <w:sz w:val="18"/>
          <w:szCs w:val="18"/>
          <w:color w:val="auto"/>
        </w:rPr>
      </w:pPr>
    </w:p>
    <w:p>
      <w:pPr>
        <w:ind w:left="640" w:hanging="632"/>
        <w:spacing w:after="0"/>
        <w:tabs>
          <w:tab w:leader="none" w:pos="640" w:val="left"/>
        </w:tabs>
        <w:numPr>
          <w:ilvl w:val="0"/>
          <w:numId w:val="39"/>
        </w:numPr>
        <w:rPr>
          <w:rFonts w:ascii="Arial" w:cs="Arial" w:eastAsia="Arial" w:hAnsi="Arial"/>
          <w:sz w:val="17"/>
          <w:szCs w:val="17"/>
          <w:color w:val="auto"/>
        </w:rPr>
      </w:pPr>
      <w:r>
        <w:rPr>
          <w:rFonts w:ascii="Arial" w:cs="Arial" w:eastAsia="Arial" w:hAnsi="Arial"/>
          <w:sz w:val="17"/>
          <w:szCs w:val="17"/>
          <w:color w:val="auto"/>
        </w:rPr>
        <w:t>Includes our Amended and Restated 1995 Stock Option Plan, our Amended 2000 Employee Stock Purchase Plan (the “2000 ESPP”).</w:t>
      </w:r>
    </w:p>
    <w:p>
      <w:pPr>
        <w:spacing w:after="0" w:line="74" w:lineRule="exact"/>
        <w:rPr>
          <w:rFonts w:ascii="Arial" w:cs="Arial" w:eastAsia="Arial" w:hAnsi="Arial"/>
          <w:sz w:val="17"/>
          <w:szCs w:val="17"/>
          <w:color w:val="auto"/>
        </w:rPr>
      </w:pPr>
    </w:p>
    <w:p>
      <w:pPr>
        <w:ind w:left="640" w:hanging="632"/>
        <w:spacing w:after="0"/>
        <w:tabs>
          <w:tab w:leader="none" w:pos="640" w:val="left"/>
        </w:tabs>
        <w:numPr>
          <w:ilvl w:val="0"/>
          <w:numId w:val="39"/>
        </w:numPr>
        <w:rPr>
          <w:rFonts w:ascii="Arial" w:cs="Arial" w:eastAsia="Arial" w:hAnsi="Arial"/>
          <w:sz w:val="15"/>
          <w:szCs w:val="15"/>
          <w:color w:val="auto"/>
        </w:rPr>
      </w:pPr>
      <w:r>
        <w:rPr>
          <w:rFonts w:ascii="Arial" w:cs="Arial" w:eastAsia="Arial" w:hAnsi="Arial"/>
          <w:sz w:val="15"/>
          <w:szCs w:val="15"/>
          <w:color w:val="auto"/>
        </w:rPr>
        <w:t>The number of shares reserved for issuance under our 2000 ESPP includes an annual increase in shares reserved for issuance equal to the lesser of</w:t>
      </w:r>
    </w:p>
    <w:p>
      <w:pPr>
        <w:spacing w:after="0" w:line="57" w:lineRule="exact"/>
        <w:rPr>
          <w:rFonts w:ascii="Arial" w:cs="Arial" w:eastAsia="Arial" w:hAnsi="Arial"/>
          <w:sz w:val="15"/>
          <w:szCs w:val="15"/>
          <w:color w:val="auto"/>
        </w:rPr>
      </w:pPr>
    </w:p>
    <w:p>
      <w:pPr>
        <w:ind w:left="660" w:right="180"/>
        <w:spacing w:after="0" w:line="260" w:lineRule="auto"/>
        <w:rPr>
          <w:rFonts w:ascii="Arial" w:cs="Arial" w:eastAsia="Arial" w:hAnsi="Arial"/>
          <w:sz w:val="15"/>
          <w:szCs w:val="15"/>
          <w:color w:val="auto"/>
        </w:rPr>
      </w:pPr>
      <w:r>
        <w:rPr>
          <w:rFonts w:ascii="Arial" w:cs="Arial" w:eastAsia="Arial" w:hAnsi="Arial"/>
          <w:sz w:val="18"/>
          <w:szCs w:val="18"/>
          <w:color w:val="auto"/>
        </w:rPr>
        <w:t>(i) 8,000,000 shares of Common Stock, or (ii) 1.5% of the outstanding shares of capital stock on such date, or (iii) an amount determined by the Board (provided that the amount approved by the Board shall not be greater than (i) or (ii)).</w:t>
      </w:r>
    </w:p>
    <w:p>
      <w:pPr>
        <w:spacing w:after="0" w:line="23" w:lineRule="exact"/>
        <w:rPr>
          <w:rFonts w:ascii="Arial" w:cs="Arial" w:eastAsia="Arial" w:hAnsi="Arial"/>
          <w:sz w:val="15"/>
          <w:szCs w:val="15"/>
          <w:color w:val="auto"/>
        </w:rPr>
      </w:pPr>
    </w:p>
    <w:p>
      <w:pPr>
        <w:ind w:left="660" w:right="300" w:hanging="652"/>
        <w:spacing w:after="0" w:line="308" w:lineRule="auto"/>
        <w:tabs>
          <w:tab w:leader="none" w:pos="654" w:val="left"/>
        </w:tabs>
        <w:numPr>
          <w:ilvl w:val="0"/>
          <w:numId w:val="39"/>
        </w:numPr>
        <w:rPr>
          <w:rFonts w:ascii="Arial" w:cs="Arial" w:eastAsia="Arial" w:hAnsi="Arial"/>
          <w:sz w:val="17"/>
          <w:szCs w:val="17"/>
          <w:color w:val="auto"/>
        </w:rPr>
      </w:pPr>
      <w:r>
        <w:rPr>
          <w:rFonts w:ascii="Arial" w:cs="Arial" w:eastAsia="Arial" w:hAnsi="Arial"/>
          <w:sz w:val="17"/>
          <w:szCs w:val="17"/>
          <w:color w:val="auto"/>
        </w:rPr>
        <w:t>Plans not approved by security holders consists of the Cavium 2007, 2016 and Qlogic equity incentive plans which we assumed in our merger with Cavium Inc and Aquantia 2004, 2015 and 2017 equity incentive plans which we assumed in our merger with Aquantia.</w:t>
      </w:r>
    </w:p>
    <w:p>
      <w:pPr>
        <w:spacing w:after="0" w:line="3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13. </w:t>
      </w:r>
      <w:r>
        <w:rPr>
          <w:rFonts w:ascii="Arial" w:cs="Arial" w:eastAsia="Arial" w:hAnsi="Arial"/>
          <w:sz w:val="18"/>
          <w:szCs w:val="18"/>
          <w:b w:val="1"/>
          <w:bCs w:val="1"/>
          <w:i w:val="1"/>
          <w:iCs w:val="1"/>
          <w:color w:val="auto"/>
        </w:rPr>
        <w:t>Certain Relationships and Related Transactions, and Director Independence</w:t>
      </w:r>
    </w:p>
    <w:p>
      <w:pPr>
        <w:spacing w:after="0" w:line="121" w:lineRule="exact"/>
        <w:rPr>
          <w:sz w:val="20"/>
          <w:szCs w:val="20"/>
          <w:color w:val="auto"/>
        </w:rPr>
      </w:pPr>
    </w:p>
    <w:p>
      <w:pPr>
        <w:ind w:right="160" w:firstLine="405"/>
        <w:spacing w:after="0" w:line="277" w:lineRule="auto"/>
        <w:rPr>
          <w:sz w:val="20"/>
          <w:szCs w:val="20"/>
          <w:color w:val="auto"/>
        </w:rPr>
      </w:pPr>
      <w:r>
        <w:rPr>
          <w:rFonts w:ascii="Arial" w:cs="Arial" w:eastAsia="Arial" w:hAnsi="Arial"/>
          <w:sz w:val="18"/>
          <w:szCs w:val="18"/>
          <w:color w:val="auto"/>
        </w:rPr>
        <w:t>The information required by Item 404 of Regulation S-K is incorporated by reference herein to the information set forth under the caption “Related Party Transactions” in our 2020 Proxy Statement.</w:t>
      </w:r>
    </w:p>
    <w:p>
      <w:pPr>
        <w:spacing w:after="0" w:line="62" w:lineRule="exact"/>
        <w:rPr>
          <w:sz w:val="20"/>
          <w:szCs w:val="20"/>
          <w:color w:val="auto"/>
        </w:rPr>
      </w:pPr>
    </w:p>
    <w:p>
      <w:pPr>
        <w:ind w:right="80" w:firstLine="405"/>
        <w:spacing w:after="0" w:line="277" w:lineRule="auto"/>
        <w:rPr>
          <w:sz w:val="20"/>
          <w:szCs w:val="20"/>
          <w:color w:val="auto"/>
        </w:rPr>
      </w:pPr>
      <w:r>
        <w:rPr>
          <w:rFonts w:ascii="Arial" w:cs="Arial" w:eastAsia="Arial" w:hAnsi="Arial"/>
          <w:sz w:val="18"/>
          <w:szCs w:val="18"/>
          <w:color w:val="auto"/>
        </w:rPr>
        <w:t>The information required by Item 407(a) of Regulation S-K is incorporated by reference herein to the information set forth under the caption “Board of Directors and Committees of the Board” in our 2020 Proxy Statement.</w:t>
      </w: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14. </w:t>
      </w:r>
      <w:r>
        <w:rPr>
          <w:rFonts w:ascii="Arial" w:cs="Arial" w:eastAsia="Arial" w:hAnsi="Arial"/>
          <w:sz w:val="18"/>
          <w:szCs w:val="18"/>
          <w:b w:val="1"/>
          <w:bCs w:val="1"/>
          <w:i w:val="1"/>
          <w:iCs w:val="1"/>
          <w:color w:val="auto"/>
        </w:rPr>
        <w:t>Principal Accounting Fees and Services</w:t>
      </w:r>
    </w:p>
    <w:p>
      <w:pPr>
        <w:spacing w:after="0" w:line="121" w:lineRule="exact"/>
        <w:rPr>
          <w:sz w:val="20"/>
          <w:szCs w:val="20"/>
          <w:color w:val="auto"/>
        </w:rPr>
      </w:pPr>
    </w:p>
    <w:p>
      <w:pPr>
        <w:ind w:right="440" w:firstLine="405"/>
        <w:spacing w:after="0" w:line="277" w:lineRule="auto"/>
        <w:rPr>
          <w:sz w:val="20"/>
          <w:szCs w:val="20"/>
          <w:color w:val="auto"/>
        </w:rPr>
      </w:pPr>
      <w:r>
        <w:rPr>
          <w:rFonts w:ascii="Arial" w:cs="Arial" w:eastAsia="Arial" w:hAnsi="Arial"/>
          <w:sz w:val="18"/>
          <w:szCs w:val="18"/>
          <w:color w:val="auto"/>
        </w:rPr>
        <w:t>The information required by Item 9(e) of Schedule 14A is incorporated by reference to the information set forth under the caption “Information Concerning Independent Registered Public Accounting Firm” in our 2020 Proxy Statement.</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99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1440" w:right="399" w:bottom="1440" w:gutter="0" w:footer="0" w:header="0"/>
        </w:sectPr>
      </w:pPr>
    </w:p>
    <w:bookmarkStart w:id="102" w:name="page103"/>
    <w:bookmarkEnd w:id="102"/>
    <w:p>
      <w:pPr>
        <w:jc w:val="center"/>
        <w:spacing w:after="0"/>
        <w:rPr>
          <w:sz w:val="20"/>
          <w:szCs w:val="20"/>
          <w:color w:val="auto"/>
        </w:rPr>
      </w:pPr>
      <w:r>
        <w:rPr>
          <w:rFonts w:ascii="Arial" w:cs="Arial" w:eastAsia="Arial" w:hAnsi="Arial"/>
          <w:sz w:val="18"/>
          <w:szCs w:val="18"/>
          <w:b w:val="1"/>
          <w:bCs w:val="1"/>
          <w:color w:val="auto"/>
        </w:rPr>
        <w:t>PART IV</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15. </w:t>
      </w:r>
      <w:r>
        <w:rPr>
          <w:rFonts w:ascii="Arial" w:cs="Arial" w:eastAsia="Arial" w:hAnsi="Arial"/>
          <w:sz w:val="18"/>
          <w:szCs w:val="18"/>
          <w:b w:val="1"/>
          <w:bCs w:val="1"/>
          <w:i w:val="1"/>
          <w:iCs w:val="1"/>
          <w:color w:val="auto"/>
        </w:rPr>
        <w:t>Exhibits, Financial Statement Schedules</w:t>
      </w:r>
    </w:p>
    <w:p>
      <w:pPr>
        <w:spacing w:after="0" w:line="12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  The following documents are filed as part of this Annual Report on Form 10-K:</w:t>
      </w:r>
    </w:p>
    <w:p>
      <w:pPr>
        <w:spacing w:after="0" w:line="117" w:lineRule="exact"/>
        <w:rPr>
          <w:sz w:val="20"/>
          <w:szCs w:val="20"/>
          <w:color w:val="auto"/>
        </w:rPr>
      </w:pPr>
    </w:p>
    <w:p>
      <w:pPr>
        <w:ind w:left="660" w:hanging="328"/>
        <w:spacing w:after="0"/>
        <w:tabs>
          <w:tab w:leader="none" w:pos="660" w:val="left"/>
        </w:tabs>
        <w:numPr>
          <w:ilvl w:val="0"/>
          <w:numId w:val="40"/>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117"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See the “Index to Consolidated Financial Statements” on page 46 of this Annual Report on Form 10-K.</w:t>
      </w:r>
    </w:p>
    <w:p>
      <w:pPr>
        <w:spacing w:after="0" w:line="117" w:lineRule="exact"/>
        <w:rPr>
          <w:sz w:val="20"/>
          <w:szCs w:val="20"/>
          <w:color w:val="auto"/>
        </w:rPr>
      </w:pPr>
    </w:p>
    <w:p>
      <w:pPr>
        <w:ind w:left="660" w:hanging="328"/>
        <w:spacing w:after="0"/>
        <w:tabs>
          <w:tab w:leader="none" w:pos="660" w:val="left"/>
        </w:tabs>
        <w:numPr>
          <w:ilvl w:val="0"/>
          <w:numId w:val="41"/>
        </w:numPr>
        <w:rPr>
          <w:rFonts w:ascii="Arial" w:cs="Arial" w:eastAsia="Arial" w:hAnsi="Arial"/>
          <w:sz w:val="18"/>
          <w:szCs w:val="18"/>
          <w:color w:val="auto"/>
        </w:rPr>
      </w:pPr>
      <w:r>
        <w:rPr>
          <w:rFonts w:ascii="Arial" w:cs="Arial" w:eastAsia="Arial" w:hAnsi="Arial"/>
          <w:sz w:val="18"/>
          <w:szCs w:val="18"/>
          <w:i w:val="1"/>
          <w:iCs w:val="1"/>
          <w:color w:val="auto"/>
        </w:rPr>
        <w:t>Financial Statement Schedule:</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“Schedule II — Valuation and Qualifying Accounts” on page 107 of this Annual Report on Form 10-K:</w:t>
      </w:r>
    </w:p>
    <w:p>
      <w:pPr>
        <w:spacing w:after="0" w:line="117" w:lineRule="exact"/>
        <w:rPr>
          <w:sz w:val="20"/>
          <w:szCs w:val="20"/>
          <w:color w:val="auto"/>
        </w:rPr>
      </w:pPr>
    </w:p>
    <w:p>
      <w:pPr>
        <w:ind w:right="120" w:firstLine="405"/>
        <w:spacing w:after="0" w:line="277" w:lineRule="auto"/>
        <w:rPr>
          <w:sz w:val="20"/>
          <w:szCs w:val="20"/>
          <w:color w:val="auto"/>
        </w:rPr>
      </w:pPr>
      <w:r>
        <w:rPr>
          <w:rFonts w:ascii="Arial" w:cs="Arial" w:eastAsia="Arial" w:hAnsi="Arial"/>
          <w:sz w:val="18"/>
          <w:szCs w:val="18"/>
          <w:color w:val="auto"/>
        </w:rPr>
        <w:t>All other schedules not listed above have been omitted because they are not applicable or required, or the information required to be set forth therein is included in the Consolidated Financial Statements or Notes thereto.</w:t>
      </w:r>
    </w:p>
    <w:p>
      <w:pPr>
        <w:spacing w:after="0" w:line="62" w:lineRule="exact"/>
        <w:rPr>
          <w:sz w:val="20"/>
          <w:szCs w:val="20"/>
          <w:color w:val="auto"/>
        </w:rPr>
      </w:pPr>
    </w:p>
    <w:p>
      <w:pPr>
        <w:ind w:left="660" w:hanging="328"/>
        <w:spacing w:after="0"/>
        <w:tabs>
          <w:tab w:leader="none" w:pos="660" w:val="left"/>
        </w:tabs>
        <w:numPr>
          <w:ilvl w:val="0"/>
          <w:numId w:val="42"/>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2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8"/>
              </w:rPr>
              <w:t>Exhibit</w:t>
            </w:r>
          </w:p>
        </w:tc>
        <w:tc>
          <w:tcPr>
            <w:tcW w:w="274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620" w:type="dxa"/>
            <w:vAlign w:val="bottom"/>
          </w:tcPr>
          <w:p>
            <w:pPr>
              <w:ind w:left="320"/>
              <w:spacing w:after="0"/>
              <w:rPr>
                <w:sz w:val="20"/>
                <w:szCs w:val="20"/>
                <w:color w:val="auto"/>
              </w:rPr>
            </w:pPr>
            <w:r>
              <w:rPr>
                <w:rFonts w:ascii="Arial" w:cs="Arial" w:eastAsia="Arial" w:hAnsi="Arial"/>
                <w:sz w:val="14"/>
                <w:szCs w:val="14"/>
                <w:b w:val="1"/>
                <w:bCs w:val="1"/>
                <w:color w:val="auto"/>
              </w:rPr>
              <w:t>Incorporated by</w:t>
            </w:r>
          </w:p>
        </w:tc>
        <w:tc>
          <w:tcPr>
            <w:tcW w:w="16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1220" w:type="dxa"/>
            <w:vAlign w:val="bottom"/>
            <w:gridSpan w:val="2"/>
            <w:vMerge w:val="continue"/>
          </w:tcPr>
          <w:p>
            <w:pPr>
              <w:spacing w:after="0"/>
              <w:rPr>
                <w:sz w:val="12"/>
                <w:szCs w:val="12"/>
                <w:color w:val="auto"/>
              </w:rPr>
            </w:pPr>
          </w:p>
        </w:tc>
        <w:tc>
          <w:tcPr>
            <w:tcW w:w="2740" w:type="dxa"/>
            <w:vAlign w:val="bottom"/>
            <w:vMerge w:val="restart"/>
          </w:tcPr>
          <w:p>
            <w:pPr>
              <w:ind w:left="20"/>
              <w:spacing w:after="0"/>
              <w:rPr>
                <w:sz w:val="20"/>
                <w:szCs w:val="20"/>
                <w:color w:val="auto"/>
              </w:rPr>
            </w:pPr>
            <w:r>
              <w:rPr>
                <w:rFonts w:ascii="Arial" w:cs="Arial" w:eastAsia="Arial" w:hAnsi="Arial"/>
                <w:sz w:val="14"/>
                <w:szCs w:val="14"/>
                <w:b w:val="1"/>
                <w:bCs w:val="1"/>
                <w:color w:val="auto"/>
              </w:rPr>
              <w:t>Description</w:t>
            </w:r>
          </w:p>
        </w:tc>
        <w:tc>
          <w:tcPr>
            <w:tcW w:w="2640" w:type="dxa"/>
            <w:vAlign w:val="bottom"/>
            <w:vMerge w:val="restart"/>
          </w:tcPr>
          <w:p>
            <w:pPr>
              <w:ind w:left="2000"/>
              <w:spacing w:after="0"/>
              <w:rPr>
                <w:sz w:val="20"/>
                <w:szCs w:val="20"/>
                <w:color w:val="auto"/>
              </w:rPr>
            </w:pPr>
            <w:r>
              <w:rPr>
                <w:rFonts w:ascii="Arial" w:cs="Arial" w:eastAsia="Arial" w:hAnsi="Arial"/>
                <w:sz w:val="14"/>
                <w:szCs w:val="14"/>
                <w:b w:val="1"/>
                <w:bCs w:val="1"/>
                <w:color w:val="auto"/>
              </w:rPr>
              <w:t>Form</w:t>
            </w:r>
          </w:p>
        </w:tc>
        <w:tc>
          <w:tcPr>
            <w:tcW w:w="140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File Number</w:t>
            </w:r>
          </w:p>
        </w:tc>
        <w:tc>
          <w:tcPr>
            <w:tcW w:w="1620" w:type="dxa"/>
            <w:vAlign w:val="bottom"/>
          </w:tcPr>
          <w:p>
            <w:pPr>
              <w:ind w:left="320"/>
              <w:spacing w:after="0" w:line="149" w:lineRule="exact"/>
              <w:rPr>
                <w:sz w:val="20"/>
                <w:szCs w:val="20"/>
                <w:color w:val="auto"/>
              </w:rPr>
            </w:pPr>
            <w:r>
              <w:rPr>
                <w:rFonts w:ascii="Arial" w:cs="Arial" w:eastAsia="Arial" w:hAnsi="Arial"/>
                <w:sz w:val="14"/>
                <w:szCs w:val="14"/>
                <w:b w:val="1"/>
                <w:bCs w:val="1"/>
                <w:color w:val="auto"/>
              </w:rPr>
              <w:t>Reference from</w:t>
            </w:r>
          </w:p>
        </w:tc>
        <w:tc>
          <w:tcPr>
            <w:tcW w:w="162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Filed with SEC</w:t>
            </w:r>
          </w:p>
        </w:tc>
        <w:tc>
          <w:tcPr>
            <w:tcW w:w="0" w:type="dxa"/>
            <w:vAlign w:val="bottom"/>
          </w:tcPr>
          <w:p>
            <w:pPr>
              <w:spacing w:after="0"/>
              <w:rPr>
                <w:sz w:val="1"/>
                <w:szCs w:val="1"/>
                <w:color w:val="auto"/>
              </w:rPr>
            </w:pPr>
          </w:p>
        </w:tc>
      </w:tr>
      <w:tr>
        <w:trPr>
          <w:trHeight w:val="192"/>
        </w:trPr>
        <w:tc>
          <w:tcPr>
            <w:tcW w:w="10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No.</w:t>
            </w:r>
          </w:p>
        </w:tc>
        <w:tc>
          <w:tcPr>
            <w:tcW w:w="180" w:type="dxa"/>
            <w:vAlign w:val="bottom"/>
          </w:tcPr>
          <w:p>
            <w:pPr>
              <w:spacing w:after="0"/>
              <w:rPr>
                <w:sz w:val="16"/>
                <w:szCs w:val="16"/>
                <w:color w:val="auto"/>
              </w:rPr>
            </w:pPr>
          </w:p>
        </w:tc>
        <w:tc>
          <w:tcPr>
            <w:tcW w:w="2740" w:type="dxa"/>
            <w:vAlign w:val="bottom"/>
            <w:tcBorders>
              <w:bottom w:val="single" w:sz="8" w:color="auto"/>
            </w:tcBorders>
            <w:vMerge w:val="continue"/>
          </w:tcPr>
          <w:p>
            <w:pPr>
              <w:spacing w:after="0"/>
              <w:rPr>
                <w:sz w:val="16"/>
                <w:szCs w:val="16"/>
                <w:color w:val="auto"/>
              </w:rPr>
            </w:pPr>
          </w:p>
        </w:tc>
        <w:tc>
          <w:tcPr>
            <w:tcW w:w="2640" w:type="dxa"/>
            <w:vAlign w:val="bottom"/>
            <w:tcBorders>
              <w:bottom w:val="single" w:sz="8" w:color="auto"/>
            </w:tcBorders>
            <w:vMerge w:val="continue"/>
          </w:tcPr>
          <w:p>
            <w:pPr>
              <w:spacing w:after="0"/>
              <w:rPr>
                <w:sz w:val="16"/>
                <w:szCs w:val="16"/>
                <w:color w:val="auto"/>
              </w:rPr>
            </w:pPr>
          </w:p>
        </w:tc>
        <w:tc>
          <w:tcPr>
            <w:tcW w:w="1400" w:type="dxa"/>
            <w:vAlign w:val="bottom"/>
            <w:tcBorders>
              <w:bottom w:val="single" w:sz="8" w:color="auto"/>
            </w:tcBorders>
            <w:vMerge w:val="continue"/>
          </w:tcPr>
          <w:p>
            <w:pPr>
              <w:spacing w:after="0"/>
              <w:rPr>
                <w:sz w:val="16"/>
                <w:szCs w:val="16"/>
                <w:color w:val="auto"/>
              </w:rPr>
            </w:pPr>
          </w:p>
        </w:tc>
        <w:tc>
          <w:tcPr>
            <w:tcW w:w="1620" w:type="dxa"/>
            <w:vAlign w:val="bottom"/>
            <w:tcBorders>
              <w:bottom w:val="single" w:sz="8" w:color="auto"/>
            </w:tcBorders>
          </w:tcPr>
          <w:p>
            <w:pPr>
              <w:ind w:left="320"/>
              <w:spacing w:after="0"/>
              <w:rPr>
                <w:sz w:val="20"/>
                <w:szCs w:val="20"/>
                <w:color w:val="auto"/>
              </w:rPr>
            </w:pPr>
            <w:r>
              <w:rPr>
                <w:rFonts w:ascii="Arial" w:cs="Arial" w:eastAsia="Arial" w:hAnsi="Arial"/>
                <w:sz w:val="14"/>
                <w:szCs w:val="14"/>
                <w:b w:val="1"/>
                <w:bCs w:val="1"/>
                <w:color w:val="auto"/>
              </w:rPr>
              <w:t>Exhibit Number</w:t>
            </w:r>
          </w:p>
        </w:tc>
        <w:tc>
          <w:tcPr>
            <w:tcW w:w="162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bl>
    <w:p>
      <w:pPr>
        <w:spacing w:after="0" w:line="148" w:lineRule="exact"/>
        <w:rPr>
          <w:sz w:val="20"/>
          <w:szCs w:val="20"/>
          <w:color w:val="auto"/>
        </w:rPr>
      </w:pPr>
    </w:p>
    <w:p>
      <w:pPr>
        <w:sectPr>
          <w:pgSz w:w="11900" w:h="16838" w:orient="portrait"/>
          <w:cols w:equalWidth="0" w:num="1">
            <w:col w:w="11240"/>
          </w:cols>
          <w:pgMar w:left="320" w:top="1282" w:right="339" w:bottom="1440" w:gutter="0" w:footer="0" w:header="0"/>
        </w:sectPr>
      </w:pPr>
    </w:p>
    <w:p>
      <w:pPr>
        <w:spacing w:after="0" w:line="13" w:lineRule="exact"/>
        <w:rPr>
          <w:sz w:val="20"/>
          <w:szCs w:val="20"/>
          <w:color w:val="auto"/>
        </w:rPr>
      </w:pPr>
    </w:p>
    <w:p>
      <w:pPr>
        <w:ind w:left="120"/>
        <w:spacing w:after="0"/>
        <w:rPr>
          <w:sz w:val="20"/>
          <w:szCs w:val="20"/>
          <w:color w:val="auto"/>
        </w:rPr>
      </w:pPr>
      <w:r>
        <w:rPr>
          <w:rFonts w:ascii="Arial" w:cs="Arial" w:eastAsia="Arial" w:hAnsi="Arial"/>
          <w:sz w:val="17"/>
          <w:szCs w:val="17"/>
          <w:color w:val="auto"/>
        </w:rPr>
        <w:t>2.1</w:t>
      </w:r>
    </w:p>
    <w:p>
      <w:pPr>
        <w:spacing w:after="0" w:line="200" w:lineRule="exact"/>
        <w:rPr>
          <w:sz w:val="20"/>
          <w:szCs w:val="20"/>
          <w:color w:val="auto"/>
        </w:rPr>
      </w:pPr>
    </w:p>
    <w:p>
      <w:pPr>
        <w:spacing w:after="0" w:line="334" w:lineRule="exact"/>
        <w:rPr>
          <w:sz w:val="20"/>
          <w:szCs w:val="20"/>
          <w:color w:val="auto"/>
        </w:rPr>
      </w:pPr>
    </w:p>
    <w:p>
      <w:pPr>
        <w:ind w:left="120"/>
        <w:spacing w:after="0"/>
        <w:rPr>
          <w:sz w:val="20"/>
          <w:szCs w:val="20"/>
          <w:color w:val="auto"/>
        </w:rPr>
      </w:pPr>
      <w:r>
        <w:rPr>
          <w:rFonts w:ascii="Arial" w:cs="Arial" w:eastAsia="Arial" w:hAnsi="Arial"/>
          <w:sz w:val="17"/>
          <w:szCs w:val="17"/>
          <w:color w:val="auto"/>
        </w:rPr>
        <w:t>2.2</w:t>
      </w:r>
    </w:p>
    <w:p>
      <w:pPr>
        <w:spacing w:after="0" w:line="37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3.1</w:t>
      </w:r>
    </w:p>
    <w:p>
      <w:pPr>
        <w:spacing w:after="0" w:line="37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3.2</w:t>
      </w:r>
    </w:p>
    <w:p>
      <w:pPr>
        <w:spacing w:after="0" w:line="37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3.3</w:t>
      </w:r>
    </w:p>
    <w:p>
      <w:pPr>
        <w:spacing w:after="0" w:line="20" w:lineRule="exact"/>
        <w:rPr>
          <w:sz w:val="20"/>
          <w:szCs w:val="20"/>
          <w:color w:val="auto"/>
        </w:rPr>
      </w:pPr>
      <w:r>
        <w:rPr>
          <w:sz w:val="20"/>
          <w:szCs w:val="20"/>
          <w:color w:val="auto"/>
        </w:rPr>
        <w:br w:type="column"/>
      </w:r>
    </w:p>
    <w:p>
      <w:pPr>
        <w:spacing w:after="0" w:line="224" w:lineRule="auto"/>
        <w:rPr>
          <w:rFonts w:ascii="Arial" w:cs="Arial" w:eastAsia="Arial" w:hAnsi="Arial"/>
          <w:sz w:val="18"/>
          <w:szCs w:val="18"/>
          <w:u w:val="single" w:color="auto"/>
          <w:color w:val="0000FF"/>
        </w:rPr>
      </w:pPr>
      <w:hyperlink r:id="rId119">
        <w:r>
          <w:rPr>
            <w:rFonts w:ascii="Arial" w:cs="Arial" w:eastAsia="Arial" w:hAnsi="Arial"/>
            <w:sz w:val="18"/>
            <w:szCs w:val="18"/>
            <w:u w:val="single" w:color="auto"/>
            <w:color w:val="0000FF"/>
          </w:rPr>
          <w:t>Agreement and Plan of Merger by and among the Company,</w:t>
        </w:r>
      </w:hyperlink>
      <w:r>
        <w:rPr>
          <w:rFonts w:ascii="Arial" w:cs="Arial" w:eastAsia="Arial" w:hAnsi="Arial"/>
          <w:sz w:val="18"/>
          <w:szCs w:val="18"/>
          <w:u w:val="single" w:color="auto"/>
          <w:color w:val="0000FF"/>
        </w:rPr>
        <w:t xml:space="preserve"> </w:t>
      </w:r>
      <w:hyperlink r:id="rId119">
        <w:r>
          <w:rPr>
            <w:rFonts w:ascii="Arial" w:cs="Arial" w:eastAsia="Arial" w:hAnsi="Arial"/>
            <w:sz w:val="18"/>
            <w:szCs w:val="18"/>
            <w:u w:val="single" w:color="auto"/>
            <w:color w:val="0000FF"/>
          </w:rPr>
          <w:t>Kauai Acquisition Corp., and Cavium, Inc. dated as of</w:t>
        </w:r>
      </w:hyperlink>
      <w:r>
        <w:rPr>
          <w:rFonts w:ascii="Arial" w:cs="Arial" w:eastAsia="Arial" w:hAnsi="Arial"/>
          <w:sz w:val="18"/>
          <w:szCs w:val="18"/>
          <w:u w:val="single" w:color="auto"/>
          <w:color w:val="0000FF"/>
        </w:rPr>
        <w:t xml:space="preserve"> </w:t>
      </w:r>
      <w:hyperlink r:id="rId119">
        <w:r>
          <w:rPr>
            <w:rFonts w:ascii="Arial" w:cs="Arial" w:eastAsia="Arial" w:hAnsi="Arial"/>
            <w:sz w:val="18"/>
            <w:szCs w:val="18"/>
            <w:u w:val="single" w:color="auto"/>
            <w:color w:val="0000FF"/>
          </w:rPr>
          <w:t>November 19, 2017</w:t>
        </w:r>
      </w:hyperlink>
    </w:p>
    <w:p>
      <w:pPr>
        <w:spacing w:after="0" w:line="149" w:lineRule="exact"/>
        <w:rPr>
          <w:rFonts w:ascii="Arial" w:cs="Arial" w:eastAsia="Arial" w:hAnsi="Arial"/>
          <w:sz w:val="18"/>
          <w:szCs w:val="18"/>
          <w:u w:val="single" w:color="auto"/>
          <w:color w:val="0000FF"/>
        </w:rPr>
      </w:pPr>
    </w:p>
    <w:p>
      <w:pPr>
        <w:spacing w:after="0" w:line="235" w:lineRule="auto"/>
        <w:rPr>
          <w:rFonts w:ascii="Arial" w:cs="Arial" w:eastAsia="Arial" w:hAnsi="Arial"/>
          <w:sz w:val="18"/>
          <w:szCs w:val="18"/>
          <w:u w:val="single" w:color="auto"/>
          <w:color w:val="0000FF"/>
        </w:rPr>
      </w:pPr>
      <w:hyperlink r:id="rId120">
        <w:r>
          <w:rPr>
            <w:rFonts w:ascii="Arial" w:cs="Arial" w:eastAsia="Arial" w:hAnsi="Arial"/>
            <w:sz w:val="18"/>
            <w:szCs w:val="18"/>
            <w:u w:val="single" w:color="auto"/>
            <w:color w:val="0000FF"/>
          </w:rPr>
          <w:t>Asset Purchase Agreement between Marvell and NXP dated</w:t>
        </w:r>
      </w:hyperlink>
      <w:r>
        <w:rPr>
          <w:rFonts w:ascii="Arial" w:cs="Arial" w:eastAsia="Arial" w:hAnsi="Arial"/>
          <w:sz w:val="18"/>
          <w:szCs w:val="18"/>
          <w:u w:val="single" w:color="auto"/>
          <w:color w:val="0000FF"/>
        </w:rPr>
        <w:t xml:space="preserve"> </w:t>
      </w:r>
      <w:hyperlink r:id="rId120">
        <w:r>
          <w:rPr>
            <w:rFonts w:ascii="Arial" w:cs="Arial" w:eastAsia="Arial" w:hAnsi="Arial"/>
            <w:sz w:val="18"/>
            <w:szCs w:val="18"/>
            <w:u w:val="single" w:color="auto"/>
            <w:color w:val="0000FF"/>
          </w:rPr>
          <w:t>May 29, 2019</w:t>
        </w:r>
      </w:hyperlink>
    </w:p>
    <w:p>
      <w:pPr>
        <w:spacing w:after="0" w:line="162" w:lineRule="exact"/>
        <w:rPr>
          <w:sz w:val="20"/>
          <w:szCs w:val="20"/>
          <w:color w:val="auto"/>
        </w:rPr>
      </w:pPr>
    </w:p>
    <w:p>
      <w:pPr>
        <w:ind w:right="20"/>
        <w:spacing w:after="0" w:line="235" w:lineRule="auto"/>
        <w:rPr>
          <w:rFonts w:ascii="Arial" w:cs="Arial" w:eastAsia="Arial" w:hAnsi="Arial"/>
          <w:sz w:val="18"/>
          <w:szCs w:val="18"/>
          <w:u w:val="single" w:color="auto"/>
          <w:color w:val="0000FF"/>
        </w:rPr>
      </w:pPr>
      <w:hyperlink r:id="rId121">
        <w:r>
          <w:rPr>
            <w:rFonts w:ascii="Arial" w:cs="Arial" w:eastAsia="Arial" w:hAnsi="Arial"/>
            <w:sz w:val="18"/>
            <w:szCs w:val="18"/>
            <w:u w:val="single" w:color="auto"/>
            <w:color w:val="0000FF"/>
          </w:rPr>
          <w:t>Memorandum of Association of Marvell Technology Group</w:t>
        </w:r>
      </w:hyperlink>
      <w:r>
        <w:rPr>
          <w:rFonts w:ascii="Arial" w:cs="Arial" w:eastAsia="Arial" w:hAnsi="Arial"/>
          <w:sz w:val="18"/>
          <w:szCs w:val="18"/>
          <w:u w:val="single" w:color="auto"/>
          <w:color w:val="0000FF"/>
        </w:rPr>
        <w:t xml:space="preserve"> </w:t>
      </w:r>
      <w:hyperlink r:id="rId121">
        <w:r>
          <w:rPr>
            <w:rFonts w:ascii="Arial" w:cs="Arial" w:eastAsia="Arial" w:hAnsi="Arial"/>
            <w:sz w:val="18"/>
            <w:szCs w:val="18"/>
            <w:u w:val="single" w:color="auto"/>
            <w:color w:val="0000FF"/>
          </w:rPr>
          <w:t>Ltd.</w:t>
        </w:r>
      </w:hyperlink>
    </w:p>
    <w:p>
      <w:pPr>
        <w:spacing w:after="0" w:line="162" w:lineRule="exact"/>
        <w:rPr>
          <w:sz w:val="20"/>
          <w:szCs w:val="20"/>
          <w:color w:val="auto"/>
        </w:rPr>
      </w:pPr>
    </w:p>
    <w:p>
      <w:pPr>
        <w:ind w:right="560"/>
        <w:spacing w:after="0" w:line="235" w:lineRule="auto"/>
        <w:rPr>
          <w:rFonts w:ascii="Arial" w:cs="Arial" w:eastAsia="Arial" w:hAnsi="Arial"/>
          <w:sz w:val="18"/>
          <w:szCs w:val="18"/>
          <w:u w:val="single" w:color="auto"/>
          <w:color w:val="0000FF"/>
        </w:rPr>
      </w:pPr>
      <w:hyperlink r:id="rId122">
        <w:r>
          <w:rPr>
            <w:rFonts w:ascii="Arial" w:cs="Arial" w:eastAsia="Arial" w:hAnsi="Arial"/>
            <w:sz w:val="18"/>
            <w:szCs w:val="18"/>
            <w:u w:val="single" w:color="auto"/>
            <w:color w:val="0000FF"/>
          </w:rPr>
          <w:t>Fourth Amended and Restated Bye-Laws of Marvell</w:t>
        </w:r>
      </w:hyperlink>
      <w:r>
        <w:rPr>
          <w:rFonts w:ascii="Arial" w:cs="Arial" w:eastAsia="Arial" w:hAnsi="Arial"/>
          <w:sz w:val="18"/>
          <w:szCs w:val="18"/>
          <w:u w:val="single" w:color="auto"/>
          <w:color w:val="0000FF"/>
        </w:rPr>
        <w:t xml:space="preserve"> </w:t>
      </w:r>
      <w:hyperlink r:id="rId122">
        <w:r>
          <w:rPr>
            <w:rFonts w:ascii="Arial" w:cs="Arial" w:eastAsia="Arial" w:hAnsi="Arial"/>
            <w:sz w:val="18"/>
            <w:szCs w:val="18"/>
            <w:u w:val="single" w:color="auto"/>
            <w:color w:val="0000FF"/>
          </w:rPr>
          <w:t>Technology Group Ltd.</w:t>
        </w:r>
      </w:hyperlink>
    </w:p>
    <w:p>
      <w:pPr>
        <w:spacing w:after="0" w:line="162" w:lineRule="exact"/>
        <w:rPr>
          <w:sz w:val="20"/>
          <w:szCs w:val="20"/>
          <w:color w:val="auto"/>
        </w:rPr>
      </w:pPr>
    </w:p>
    <w:p>
      <w:pPr>
        <w:ind w:right="20"/>
        <w:spacing w:after="0" w:line="219" w:lineRule="auto"/>
        <w:rPr>
          <w:rFonts w:ascii="Arial" w:cs="Arial" w:eastAsia="Arial" w:hAnsi="Arial"/>
          <w:sz w:val="18"/>
          <w:szCs w:val="18"/>
          <w:u w:val="single" w:color="auto"/>
          <w:color w:val="0000FF"/>
        </w:rPr>
      </w:pPr>
      <w:hyperlink r:id="rId123">
        <w:r>
          <w:rPr>
            <w:rFonts w:ascii="Arial" w:cs="Arial" w:eastAsia="Arial" w:hAnsi="Arial"/>
            <w:sz w:val="18"/>
            <w:szCs w:val="18"/>
            <w:u w:val="single" w:color="auto"/>
            <w:color w:val="0000FF"/>
          </w:rPr>
          <w:t>Memorandum of Increase of Share Capital of Marvell</w:t>
        </w:r>
      </w:hyperlink>
      <w:r>
        <w:rPr>
          <w:rFonts w:ascii="Arial" w:cs="Arial" w:eastAsia="Arial" w:hAnsi="Arial"/>
          <w:sz w:val="18"/>
          <w:szCs w:val="18"/>
          <w:u w:val="single" w:color="auto"/>
          <w:color w:val="0000FF"/>
        </w:rPr>
        <w:t xml:space="preserve"> </w:t>
      </w:r>
      <w:hyperlink r:id="rId123">
        <w:r>
          <w:rPr>
            <w:rFonts w:ascii="Arial" w:cs="Arial" w:eastAsia="Arial" w:hAnsi="Arial"/>
            <w:sz w:val="18"/>
            <w:szCs w:val="18"/>
            <w:u w:val="single" w:color="auto"/>
            <w:color w:val="0000FF"/>
          </w:rPr>
          <w:t>Technology Group Ltd. dated June 29, 2006, June 7, 2004,</w:t>
        </w:r>
      </w:hyperlink>
      <w:r>
        <w:rPr>
          <w:rFonts w:ascii="Arial" w:cs="Arial" w:eastAsia="Arial" w:hAnsi="Arial"/>
          <w:sz w:val="18"/>
          <w:szCs w:val="18"/>
          <w:u w:val="single" w:color="auto"/>
          <w:color w:val="0000FF"/>
        </w:rPr>
        <w:t xml:space="preserve"> </w:t>
      </w:r>
      <w:hyperlink r:id="rId123">
        <w:r>
          <w:rPr>
            <w:rFonts w:ascii="Arial" w:cs="Arial" w:eastAsia="Arial" w:hAnsi="Arial"/>
            <w:sz w:val="18"/>
            <w:szCs w:val="18"/>
            <w:u w:val="single" w:color="auto"/>
            <w:color w:val="0000FF"/>
          </w:rPr>
          <w:t>April 25, 2000, July 16, 1999, July 22, 1998, September 26,</w:t>
        </w:r>
      </w:hyperlink>
      <w:r>
        <w:rPr>
          <w:rFonts w:ascii="Arial" w:cs="Arial" w:eastAsia="Arial" w:hAnsi="Arial"/>
          <w:sz w:val="18"/>
          <w:szCs w:val="18"/>
          <w:u w:val="single" w:color="auto"/>
          <w:color w:val="0000FF"/>
        </w:rPr>
        <w:t xml:space="preserve"> </w:t>
      </w:r>
      <w:hyperlink r:id="rId123">
        <w:r>
          <w:rPr>
            <w:rFonts w:ascii="Arial" w:cs="Arial" w:eastAsia="Arial" w:hAnsi="Arial"/>
            <w:sz w:val="18"/>
            <w:szCs w:val="18"/>
            <w:u w:val="single" w:color="auto"/>
            <w:color w:val="0000FF"/>
          </w:rPr>
          <w:t>1996 and March 10, 1995</w:t>
        </w:r>
      </w:hyperlink>
    </w:p>
    <w:p>
      <w:pPr>
        <w:spacing w:after="0" w:line="20" w:lineRule="exact"/>
        <w:rPr>
          <w:rFonts w:ascii="Arial" w:cs="Arial" w:eastAsia="Arial" w:hAnsi="Arial"/>
          <w:sz w:val="18"/>
          <w:szCs w:val="18"/>
          <w:u w:val="single" w:color="auto"/>
          <w:color w:val="0000FF"/>
        </w:rPr>
      </w:pPr>
      <w:r>
        <w:rPr>
          <w:rFonts w:ascii="Arial" w:cs="Arial" w:eastAsia="Arial" w:hAnsi="Arial"/>
          <w:sz w:val="18"/>
          <w:szCs w:val="18"/>
          <w:u w:val="single" w:color="auto"/>
          <w:color w:val="0000FF"/>
        </w:rPr>
        <w:br w:type="column"/>
      </w:r>
    </w:p>
    <w:p>
      <w:pPr>
        <w:spacing w:after="0" w:line="1" w:lineRule="exact"/>
        <w:rPr>
          <w:rFonts w:ascii="Arial" w:cs="Arial" w:eastAsia="Arial" w:hAnsi="Arial"/>
          <w:sz w:val="1"/>
          <w:szCs w:val="1"/>
          <w:u w:val="single" w:color="auto"/>
          <w:color w:val="0000FF"/>
        </w:rPr>
      </w:pPr>
    </w:p>
    <w:tbl>
      <w:tblPr>
        <w:tblLayout w:type="fixed"/>
        <w:tblInd w:w="0" w:type="dxa"/>
        <w:tblCellMar>
          <w:top w:w="0" w:type="dxa"/>
          <w:left w:w="0" w:type="dxa"/>
          <w:bottom w:w="0" w:type="dxa"/>
          <w:right w:w="0" w:type="dxa"/>
        </w:tblCellMar>
      </w:tblPr>
      <w:tr>
        <w:trPr>
          <w:trHeight w:val="230"/>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240" w:type="dxa"/>
            <w:vAlign w:val="bottom"/>
          </w:tcPr>
          <w:p>
            <w:pPr>
              <w:jc w:val="right"/>
              <w:ind w:right="590"/>
              <w:spacing w:after="0"/>
              <w:rPr>
                <w:sz w:val="20"/>
                <w:szCs w:val="20"/>
                <w:color w:val="auto"/>
              </w:rPr>
            </w:pPr>
            <w:r>
              <w:rPr>
                <w:rFonts w:ascii="Arial" w:cs="Arial" w:eastAsia="Arial" w:hAnsi="Arial"/>
                <w:sz w:val="18"/>
                <w:szCs w:val="18"/>
                <w:color w:val="auto"/>
              </w:rPr>
              <w:t>2.1</w:t>
            </w:r>
          </w:p>
        </w:tc>
        <w:tc>
          <w:tcPr>
            <w:tcW w:w="1480" w:type="dxa"/>
            <w:vAlign w:val="bottom"/>
          </w:tcPr>
          <w:p>
            <w:pPr>
              <w:ind w:left="660"/>
              <w:spacing w:after="0"/>
              <w:rPr>
                <w:sz w:val="20"/>
                <w:szCs w:val="20"/>
                <w:color w:val="auto"/>
              </w:rPr>
            </w:pPr>
            <w:r>
              <w:rPr>
                <w:rFonts w:ascii="Arial" w:cs="Arial" w:eastAsia="Arial" w:hAnsi="Arial"/>
                <w:sz w:val="18"/>
                <w:szCs w:val="18"/>
                <w:color w:val="auto"/>
                <w:w w:val="88"/>
              </w:rPr>
              <w:t>11/20/2017</w:t>
            </w:r>
          </w:p>
        </w:tc>
      </w:tr>
      <w:tr>
        <w:trPr>
          <w:trHeight w:val="729"/>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240" w:type="dxa"/>
            <w:vAlign w:val="bottom"/>
          </w:tcPr>
          <w:p>
            <w:pPr>
              <w:jc w:val="right"/>
              <w:ind w:right="590"/>
              <w:spacing w:after="0"/>
              <w:rPr>
                <w:sz w:val="20"/>
                <w:szCs w:val="20"/>
                <w:color w:val="auto"/>
              </w:rPr>
            </w:pPr>
            <w:r>
              <w:rPr>
                <w:rFonts w:ascii="Arial" w:cs="Arial" w:eastAsia="Arial" w:hAnsi="Arial"/>
                <w:sz w:val="18"/>
                <w:szCs w:val="18"/>
                <w:color w:val="auto"/>
              </w:rPr>
              <w:t>2.1</w:t>
            </w:r>
          </w:p>
        </w:tc>
        <w:tc>
          <w:tcPr>
            <w:tcW w:w="1480" w:type="dxa"/>
            <w:vAlign w:val="bottom"/>
          </w:tcPr>
          <w:p>
            <w:pPr>
              <w:ind w:left="660"/>
              <w:spacing w:after="0"/>
              <w:rPr>
                <w:sz w:val="20"/>
                <w:szCs w:val="20"/>
                <w:color w:val="auto"/>
              </w:rPr>
            </w:pPr>
            <w:r>
              <w:rPr>
                <w:rFonts w:ascii="Arial" w:cs="Arial" w:eastAsia="Arial" w:hAnsi="Arial"/>
                <w:sz w:val="18"/>
                <w:szCs w:val="18"/>
                <w:color w:val="auto"/>
              </w:rPr>
              <w:t>9/4/2019</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10-K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240" w:type="dxa"/>
            <w:vAlign w:val="bottom"/>
          </w:tcPr>
          <w:p>
            <w:pPr>
              <w:jc w:val="right"/>
              <w:ind w:right="590"/>
              <w:spacing w:after="0"/>
              <w:rPr>
                <w:sz w:val="20"/>
                <w:szCs w:val="20"/>
                <w:color w:val="auto"/>
              </w:rPr>
            </w:pPr>
            <w:r>
              <w:rPr>
                <w:rFonts w:ascii="Arial" w:cs="Arial" w:eastAsia="Arial" w:hAnsi="Arial"/>
                <w:sz w:val="18"/>
                <w:szCs w:val="18"/>
                <w:color w:val="auto"/>
              </w:rPr>
              <w:t>3.1</w:t>
            </w:r>
          </w:p>
        </w:tc>
        <w:tc>
          <w:tcPr>
            <w:tcW w:w="1480" w:type="dxa"/>
            <w:vAlign w:val="bottom"/>
          </w:tcPr>
          <w:p>
            <w:pPr>
              <w:ind w:left="660"/>
              <w:spacing w:after="0"/>
              <w:rPr>
                <w:sz w:val="20"/>
                <w:szCs w:val="20"/>
                <w:color w:val="auto"/>
              </w:rPr>
            </w:pPr>
            <w:r>
              <w:rPr>
                <w:rFonts w:ascii="Arial" w:cs="Arial" w:eastAsia="Arial" w:hAnsi="Arial"/>
                <w:sz w:val="18"/>
                <w:szCs w:val="18"/>
                <w:color w:val="auto"/>
                <w:w w:val="88"/>
              </w:rPr>
              <w:t>03/29/2018</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240" w:type="dxa"/>
            <w:vAlign w:val="bottom"/>
          </w:tcPr>
          <w:p>
            <w:pPr>
              <w:jc w:val="right"/>
              <w:ind w:right="590"/>
              <w:spacing w:after="0"/>
              <w:rPr>
                <w:sz w:val="20"/>
                <w:szCs w:val="20"/>
                <w:color w:val="auto"/>
              </w:rPr>
            </w:pPr>
            <w:r>
              <w:rPr>
                <w:rFonts w:ascii="Arial" w:cs="Arial" w:eastAsia="Arial" w:hAnsi="Arial"/>
                <w:sz w:val="18"/>
                <w:szCs w:val="18"/>
                <w:color w:val="auto"/>
              </w:rPr>
              <w:t>3.1</w:t>
            </w:r>
          </w:p>
        </w:tc>
        <w:tc>
          <w:tcPr>
            <w:tcW w:w="1480" w:type="dxa"/>
            <w:vAlign w:val="bottom"/>
          </w:tcPr>
          <w:p>
            <w:pPr>
              <w:ind w:left="660"/>
              <w:spacing w:after="0"/>
              <w:rPr>
                <w:sz w:val="20"/>
                <w:szCs w:val="20"/>
                <w:color w:val="auto"/>
              </w:rPr>
            </w:pPr>
            <w:r>
              <w:rPr>
                <w:rFonts w:ascii="Arial" w:cs="Arial" w:eastAsia="Arial" w:hAnsi="Arial"/>
                <w:sz w:val="18"/>
                <w:szCs w:val="18"/>
                <w:color w:val="auto"/>
                <w:w w:val="88"/>
              </w:rPr>
              <w:t>11/10/2016</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240" w:type="dxa"/>
            <w:vAlign w:val="bottom"/>
          </w:tcPr>
          <w:p>
            <w:pPr>
              <w:jc w:val="right"/>
              <w:ind w:right="590"/>
              <w:spacing w:after="0"/>
              <w:rPr>
                <w:sz w:val="20"/>
                <w:szCs w:val="20"/>
                <w:color w:val="auto"/>
              </w:rPr>
            </w:pPr>
            <w:r>
              <w:rPr>
                <w:rFonts w:ascii="Arial" w:cs="Arial" w:eastAsia="Arial" w:hAnsi="Arial"/>
                <w:sz w:val="18"/>
                <w:szCs w:val="18"/>
                <w:color w:val="auto"/>
              </w:rPr>
              <w:t>3.5</w:t>
            </w:r>
          </w:p>
        </w:tc>
        <w:tc>
          <w:tcPr>
            <w:tcW w:w="1480" w:type="dxa"/>
            <w:vAlign w:val="bottom"/>
          </w:tcPr>
          <w:p>
            <w:pPr>
              <w:ind w:left="660"/>
              <w:spacing w:after="0"/>
              <w:rPr>
                <w:sz w:val="20"/>
                <w:szCs w:val="20"/>
                <w:color w:val="auto"/>
              </w:rPr>
            </w:pPr>
            <w:r>
              <w:rPr>
                <w:rFonts w:ascii="Arial" w:cs="Arial" w:eastAsia="Arial" w:hAnsi="Arial"/>
                <w:sz w:val="18"/>
                <w:szCs w:val="18"/>
                <w:color w:val="auto"/>
                <w:w w:val="88"/>
              </w:rPr>
              <w:t>06/05/2018</w:t>
            </w:r>
          </w:p>
        </w:tc>
      </w:tr>
    </w:tbl>
    <w:p>
      <w:pPr>
        <w:spacing w:after="0" w:line="674" w:lineRule="exact"/>
        <w:rPr>
          <w:rFonts w:ascii="Arial" w:cs="Arial" w:eastAsia="Arial" w:hAnsi="Arial"/>
          <w:sz w:val="18"/>
          <w:szCs w:val="18"/>
          <w:u w:val="single" w:color="auto"/>
          <w:color w:val="0000FF"/>
        </w:rPr>
      </w:pPr>
    </w:p>
    <w:p>
      <w:pPr>
        <w:sectPr>
          <w:pgSz w:w="11900" w:h="16838" w:orient="portrait"/>
          <w:cols w:equalWidth="0" w:num="3">
            <w:col w:w="520" w:space="720"/>
            <w:col w:w="4340" w:space="380"/>
            <w:col w:w="5280"/>
          </w:cols>
          <w:pgMar w:left="320" w:top="1282" w:right="339" w:bottom="1440" w:gutter="0" w:footer="0" w:header="0"/>
          <w:type w:val="continuous"/>
        </w:sectPr>
      </w:pPr>
    </w:p>
    <w:p>
      <w:pPr>
        <w:spacing w:after="0" w:line="13" w:lineRule="exact"/>
        <w:rPr>
          <w:rFonts w:ascii="Arial" w:cs="Arial" w:eastAsia="Arial" w:hAnsi="Arial"/>
          <w:sz w:val="18"/>
          <w:szCs w:val="18"/>
          <w:u w:val="single" w:color="auto"/>
          <w:color w:val="0000FF"/>
        </w:rPr>
      </w:pPr>
    </w:p>
    <w:p>
      <w:pPr>
        <w:ind w:left="120"/>
        <w:spacing w:after="0"/>
        <w:rPr>
          <w:sz w:val="20"/>
          <w:szCs w:val="20"/>
          <w:color w:val="auto"/>
        </w:rPr>
      </w:pPr>
      <w:r>
        <w:rPr>
          <w:rFonts w:ascii="Arial" w:cs="Arial" w:eastAsia="Arial" w:hAnsi="Arial"/>
          <w:sz w:val="17"/>
          <w:szCs w:val="17"/>
          <w:color w:val="auto"/>
        </w:rPr>
        <w:t>3.4</w:t>
      </w:r>
    </w:p>
    <w:p>
      <w:pPr>
        <w:spacing w:after="0" w:line="372" w:lineRule="exact"/>
        <w:rPr>
          <w:rFonts w:ascii="Arial" w:cs="Arial" w:eastAsia="Arial" w:hAnsi="Arial"/>
          <w:sz w:val="18"/>
          <w:szCs w:val="18"/>
          <w:u w:val="single" w:color="auto"/>
          <w:color w:val="0000FF"/>
        </w:rPr>
      </w:pPr>
    </w:p>
    <w:p>
      <w:pPr>
        <w:ind w:left="120"/>
        <w:spacing w:after="0"/>
        <w:rPr>
          <w:sz w:val="20"/>
          <w:szCs w:val="20"/>
          <w:color w:val="auto"/>
        </w:rPr>
      </w:pPr>
      <w:r>
        <w:rPr>
          <w:rFonts w:ascii="Arial" w:cs="Arial" w:eastAsia="Arial" w:hAnsi="Arial"/>
          <w:sz w:val="17"/>
          <w:szCs w:val="17"/>
          <w:color w:val="auto"/>
        </w:rPr>
        <w:t>3.5</w:t>
      </w:r>
    </w:p>
    <w:p>
      <w:pPr>
        <w:spacing w:after="0" w:line="372" w:lineRule="exact"/>
        <w:rPr>
          <w:rFonts w:ascii="Arial" w:cs="Arial" w:eastAsia="Arial" w:hAnsi="Arial"/>
          <w:sz w:val="18"/>
          <w:szCs w:val="18"/>
          <w:u w:val="single" w:color="auto"/>
          <w:color w:val="0000FF"/>
        </w:rPr>
      </w:pPr>
    </w:p>
    <w:p>
      <w:pPr>
        <w:ind w:left="120"/>
        <w:spacing w:after="0"/>
        <w:rPr>
          <w:sz w:val="20"/>
          <w:szCs w:val="20"/>
          <w:color w:val="auto"/>
        </w:rPr>
      </w:pPr>
      <w:r>
        <w:rPr>
          <w:rFonts w:ascii="Arial" w:cs="Arial" w:eastAsia="Arial" w:hAnsi="Arial"/>
          <w:sz w:val="17"/>
          <w:szCs w:val="17"/>
          <w:color w:val="auto"/>
        </w:rPr>
        <w:t>4.1</w:t>
      </w:r>
    </w:p>
    <w:p>
      <w:pPr>
        <w:spacing w:after="0" w:line="372" w:lineRule="exact"/>
        <w:rPr>
          <w:rFonts w:ascii="Arial" w:cs="Arial" w:eastAsia="Arial" w:hAnsi="Arial"/>
          <w:sz w:val="18"/>
          <w:szCs w:val="18"/>
          <w:u w:val="single" w:color="auto"/>
          <w:color w:val="0000FF"/>
        </w:rPr>
      </w:pPr>
    </w:p>
    <w:p>
      <w:pPr>
        <w:ind w:left="120"/>
        <w:spacing w:after="0"/>
        <w:rPr>
          <w:sz w:val="20"/>
          <w:szCs w:val="20"/>
          <w:color w:val="auto"/>
        </w:rPr>
      </w:pPr>
      <w:r>
        <w:rPr>
          <w:rFonts w:ascii="Arial" w:cs="Arial" w:eastAsia="Arial" w:hAnsi="Arial"/>
          <w:sz w:val="17"/>
          <w:szCs w:val="17"/>
          <w:color w:val="auto"/>
        </w:rPr>
        <w:t>4.2</w:t>
      </w:r>
    </w:p>
    <w:p>
      <w:pPr>
        <w:spacing w:after="0" w:line="20" w:lineRule="exact"/>
        <w:rPr>
          <w:rFonts w:ascii="Arial" w:cs="Arial" w:eastAsia="Arial" w:hAnsi="Arial"/>
          <w:sz w:val="18"/>
          <w:szCs w:val="18"/>
          <w:u w:val="single" w:color="auto"/>
          <w:color w:val="0000FF"/>
        </w:rPr>
      </w:pPr>
      <w:r>
        <w:rPr>
          <w:rFonts w:ascii="Arial" w:cs="Arial" w:eastAsia="Arial" w:hAnsi="Arial"/>
          <w:sz w:val="18"/>
          <w:szCs w:val="18"/>
          <w:u w:val="single" w:color="auto"/>
          <w:color w:val="0000FF"/>
        </w:rPr>
        <w:br w:type="column"/>
      </w:r>
    </w:p>
    <w:p>
      <w:pPr>
        <w:ind w:right="260"/>
        <w:spacing w:after="0" w:line="235" w:lineRule="auto"/>
        <w:rPr>
          <w:rFonts w:ascii="Arial" w:cs="Arial" w:eastAsia="Arial" w:hAnsi="Arial"/>
          <w:sz w:val="18"/>
          <w:szCs w:val="18"/>
          <w:u w:val="single" w:color="auto"/>
          <w:color w:val="0000FF"/>
        </w:rPr>
      </w:pPr>
      <w:hyperlink r:id="rId124">
        <w:r>
          <w:rPr>
            <w:rFonts w:ascii="Arial" w:cs="Arial" w:eastAsia="Arial" w:hAnsi="Arial"/>
            <w:sz w:val="18"/>
            <w:szCs w:val="18"/>
            <w:u w:val="single" w:color="auto"/>
            <w:color w:val="0000FF"/>
          </w:rPr>
          <w:t>Certificate of Incorporation of Marvell Technology Group</w:t>
        </w:r>
      </w:hyperlink>
      <w:r>
        <w:rPr>
          <w:rFonts w:ascii="Arial" w:cs="Arial" w:eastAsia="Arial" w:hAnsi="Arial"/>
          <w:sz w:val="18"/>
          <w:szCs w:val="18"/>
          <w:u w:val="single" w:color="auto"/>
          <w:color w:val="0000FF"/>
        </w:rPr>
        <w:t xml:space="preserve"> </w:t>
      </w:r>
      <w:hyperlink r:id="rId124">
        <w:r>
          <w:rPr>
            <w:rFonts w:ascii="Arial" w:cs="Arial" w:eastAsia="Arial" w:hAnsi="Arial"/>
            <w:sz w:val="18"/>
            <w:szCs w:val="18"/>
            <w:u w:val="single" w:color="auto"/>
            <w:color w:val="0000FF"/>
          </w:rPr>
          <w:t>Ltd.</w:t>
        </w:r>
      </w:hyperlink>
    </w:p>
    <w:p>
      <w:pPr>
        <w:spacing w:after="0" w:line="162" w:lineRule="exact"/>
        <w:rPr>
          <w:sz w:val="20"/>
          <w:szCs w:val="20"/>
          <w:color w:val="auto"/>
        </w:rPr>
      </w:pPr>
    </w:p>
    <w:p>
      <w:pPr>
        <w:ind w:right="80"/>
        <w:spacing w:after="0" w:line="235" w:lineRule="auto"/>
        <w:rPr>
          <w:rFonts w:ascii="Arial" w:cs="Arial" w:eastAsia="Arial" w:hAnsi="Arial"/>
          <w:sz w:val="18"/>
          <w:szCs w:val="18"/>
          <w:u w:val="single" w:color="auto"/>
          <w:color w:val="0000FF"/>
        </w:rPr>
      </w:pPr>
      <w:hyperlink r:id="rId125">
        <w:r>
          <w:rPr>
            <w:rFonts w:ascii="Arial" w:cs="Arial" w:eastAsia="Arial" w:hAnsi="Arial"/>
            <w:sz w:val="18"/>
            <w:szCs w:val="18"/>
            <w:u w:val="single" w:color="auto"/>
            <w:color w:val="0000FF"/>
          </w:rPr>
          <w:t>Memorandum of Reduction of Share Premium dated August</w:t>
        </w:r>
      </w:hyperlink>
      <w:r>
        <w:rPr>
          <w:rFonts w:ascii="Arial" w:cs="Arial" w:eastAsia="Arial" w:hAnsi="Arial"/>
          <w:sz w:val="18"/>
          <w:szCs w:val="18"/>
          <w:u w:val="single" w:color="auto"/>
          <w:color w:val="0000FF"/>
        </w:rPr>
        <w:t xml:space="preserve"> </w:t>
      </w:r>
      <w:hyperlink r:id="rId125">
        <w:r>
          <w:rPr>
            <w:rFonts w:ascii="Arial" w:cs="Arial" w:eastAsia="Arial" w:hAnsi="Arial"/>
            <w:sz w:val="18"/>
            <w:szCs w:val="18"/>
            <w:u w:val="single" w:color="auto"/>
            <w:color w:val="0000FF"/>
          </w:rPr>
          <w:t>8, 2011</w:t>
        </w:r>
      </w:hyperlink>
    </w:p>
    <w:p>
      <w:pPr>
        <w:spacing w:after="0" w:line="162" w:lineRule="exact"/>
        <w:rPr>
          <w:sz w:val="20"/>
          <w:szCs w:val="20"/>
          <w:color w:val="auto"/>
        </w:rPr>
      </w:pPr>
    </w:p>
    <w:p>
      <w:pPr>
        <w:ind w:right="100"/>
        <w:spacing w:after="0" w:line="235" w:lineRule="auto"/>
        <w:rPr>
          <w:rFonts w:ascii="Arial" w:cs="Arial" w:eastAsia="Arial" w:hAnsi="Arial"/>
          <w:sz w:val="18"/>
          <w:szCs w:val="18"/>
          <w:u w:val="single" w:color="auto"/>
          <w:color w:val="0000FF"/>
        </w:rPr>
      </w:pPr>
      <w:hyperlink r:id="rId126">
        <w:r>
          <w:rPr>
            <w:rFonts w:ascii="Arial" w:cs="Arial" w:eastAsia="Arial" w:hAnsi="Arial"/>
            <w:sz w:val="18"/>
            <w:szCs w:val="18"/>
            <w:u w:val="single" w:color="auto"/>
            <w:color w:val="0000FF"/>
          </w:rPr>
          <w:t>Specimen common share certificate for Marvell Technology</w:t>
        </w:r>
      </w:hyperlink>
      <w:r>
        <w:rPr>
          <w:rFonts w:ascii="Arial" w:cs="Arial" w:eastAsia="Arial" w:hAnsi="Arial"/>
          <w:sz w:val="18"/>
          <w:szCs w:val="18"/>
          <w:u w:val="single" w:color="auto"/>
          <w:color w:val="0000FF"/>
        </w:rPr>
        <w:t xml:space="preserve"> </w:t>
      </w:r>
      <w:hyperlink r:id="rId126">
        <w:r>
          <w:rPr>
            <w:rFonts w:ascii="Arial" w:cs="Arial" w:eastAsia="Arial" w:hAnsi="Arial"/>
            <w:sz w:val="18"/>
            <w:szCs w:val="18"/>
            <w:u w:val="single" w:color="auto"/>
            <w:color w:val="0000FF"/>
          </w:rPr>
          <w:t>Group Ltd.</w:t>
        </w:r>
      </w:hyperlink>
    </w:p>
    <w:p>
      <w:pPr>
        <w:spacing w:after="0" w:line="162" w:lineRule="exact"/>
        <w:rPr>
          <w:sz w:val="20"/>
          <w:szCs w:val="20"/>
          <w:color w:val="auto"/>
        </w:rPr>
      </w:pPr>
    </w:p>
    <w:p>
      <w:pPr>
        <w:jc w:val="both"/>
        <w:spacing w:after="0" w:line="224" w:lineRule="auto"/>
        <w:rPr>
          <w:rFonts w:ascii="Arial" w:cs="Arial" w:eastAsia="Arial" w:hAnsi="Arial"/>
          <w:sz w:val="18"/>
          <w:szCs w:val="18"/>
          <w:u w:val="single" w:color="auto"/>
          <w:color w:val="0000FF"/>
        </w:rPr>
      </w:pPr>
      <w:hyperlink r:id="rId127">
        <w:r>
          <w:rPr>
            <w:rFonts w:ascii="Arial" w:cs="Arial" w:eastAsia="Arial" w:hAnsi="Arial"/>
            <w:sz w:val="18"/>
            <w:szCs w:val="18"/>
            <w:u w:val="single" w:color="auto"/>
            <w:color w:val="0000FF"/>
          </w:rPr>
          <w:t>Indenture, dated as of June 22, 2018, by and between Marvell</w:t>
        </w:r>
      </w:hyperlink>
      <w:r>
        <w:rPr>
          <w:rFonts w:ascii="Arial" w:cs="Arial" w:eastAsia="Arial" w:hAnsi="Arial"/>
          <w:sz w:val="18"/>
          <w:szCs w:val="18"/>
          <w:u w:val="single" w:color="auto"/>
          <w:color w:val="0000FF"/>
        </w:rPr>
        <w:t xml:space="preserve"> </w:t>
      </w:r>
      <w:hyperlink r:id="rId127">
        <w:r>
          <w:rPr>
            <w:rFonts w:ascii="Arial" w:cs="Arial" w:eastAsia="Arial" w:hAnsi="Arial"/>
            <w:sz w:val="18"/>
            <w:szCs w:val="18"/>
            <w:u w:val="single" w:color="auto"/>
            <w:color w:val="0000FF"/>
          </w:rPr>
          <w:t>Technology Group Ltd. and U.S. Bank National Association,</w:t>
        </w:r>
      </w:hyperlink>
      <w:r>
        <w:rPr>
          <w:rFonts w:ascii="Arial" w:cs="Arial" w:eastAsia="Arial" w:hAnsi="Arial"/>
          <w:sz w:val="18"/>
          <w:szCs w:val="18"/>
          <w:u w:val="single" w:color="auto"/>
          <w:color w:val="0000FF"/>
        </w:rPr>
        <w:t xml:space="preserve"> </w:t>
      </w:r>
      <w:hyperlink r:id="rId127">
        <w:r>
          <w:rPr>
            <w:rFonts w:ascii="Arial" w:cs="Arial" w:eastAsia="Arial" w:hAnsi="Arial"/>
            <w:sz w:val="18"/>
            <w:szCs w:val="18"/>
            <w:u w:val="single" w:color="auto"/>
            <w:color w:val="0000FF"/>
          </w:rPr>
          <w:t>as trustee</w:t>
        </w:r>
      </w:hyperlink>
    </w:p>
    <w:p>
      <w:pPr>
        <w:spacing w:after="0" w:line="20" w:lineRule="exact"/>
        <w:rPr>
          <w:rFonts w:ascii="Arial" w:cs="Arial" w:eastAsia="Arial" w:hAnsi="Arial"/>
          <w:sz w:val="18"/>
          <w:szCs w:val="18"/>
          <w:u w:val="single" w:color="auto"/>
          <w:color w:val="0000FF"/>
        </w:rPr>
      </w:pPr>
      <w:r>
        <w:rPr>
          <w:rFonts w:ascii="Arial" w:cs="Arial" w:eastAsia="Arial" w:hAnsi="Arial"/>
          <w:sz w:val="18"/>
          <w:szCs w:val="18"/>
          <w:u w:val="single" w:color="auto"/>
          <w:color w:val="0000FF"/>
        </w:rPr>
        <w:br w:type="column"/>
      </w:r>
    </w:p>
    <w:p>
      <w:pPr>
        <w:spacing w:after="0" w:line="1" w:lineRule="exact"/>
        <w:rPr>
          <w:rFonts w:ascii="Arial" w:cs="Arial" w:eastAsia="Arial" w:hAnsi="Arial"/>
          <w:sz w:val="1"/>
          <w:szCs w:val="1"/>
          <w:u w:val="single" w:color="auto"/>
          <w:color w:val="0000FF"/>
        </w:rPr>
      </w:pPr>
    </w:p>
    <w:tbl>
      <w:tblPr>
        <w:tblLayout w:type="fixed"/>
        <w:tblInd w:w="0" w:type="dxa"/>
        <w:tblCellMar>
          <w:top w:w="0" w:type="dxa"/>
          <w:left w:w="0" w:type="dxa"/>
          <w:bottom w:w="0" w:type="dxa"/>
          <w:right w:w="0" w:type="dxa"/>
        </w:tblCellMar>
      </w:tblPr>
      <w:tr>
        <w:trPr>
          <w:trHeight w:val="230"/>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240" w:type="dxa"/>
            <w:vAlign w:val="bottom"/>
          </w:tcPr>
          <w:p>
            <w:pPr>
              <w:jc w:val="right"/>
              <w:ind w:right="590"/>
              <w:spacing w:after="0"/>
              <w:rPr>
                <w:sz w:val="20"/>
                <w:szCs w:val="20"/>
                <w:color w:val="auto"/>
              </w:rPr>
            </w:pPr>
            <w:r>
              <w:rPr>
                <w:rFonts w:ascii="Arial" w:cs="Arial" w:eastAsia="Arial" w:hAnsi="Arial"/>
                <w:sz w:val="18"/>
                <w:szCs w:val="18"/>
                <w:color w:val="auto"/>
              </w:rPr>
              <w:t>3.2</w:t>
            </w:r>
          </w:p>
        </w:tc>
        <w:tc>
          <w:tcPr>
            <w:tcW w:w="1480" w:type="dxa"/>
            <w:vAlign w:val="bottom"/>
          </w:tcPr>
          <w:p>
            <w:pPr>
              <w:jc w:val="right"/>
              <w:spacing w:after="0"/>
              <w:rPr>
                <w:sz w:val="20"/>
                <w:szCs w:val="20"/>
                <w:color w:val="auto"/>
              </w:rPr>
            </w:pPr>
            <w:r>
              <w:rPr>
                <w:rFonts w:ascii="Arial" w:cs="Arial" w:eastAsia="Arial" w:hAnsi="Arial"/>
                <w:sz w:val="18"/>
                <w:szCs w:val="18"/>
                <w:color w:val="auto"/>
              </w:rPr>
              <w:t>06/05/2018</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240" w:type="dxa"/>
            <w:vAlign w:val="bottom"/>
          </w:tcPr>
          <w:p>
            <w:pPr>
              <w:jc w:val="right"/>
              <w:ind w:right="590"/>
              <w:spacing w:after="0"/>
              <w:rPr>
                <w:sz w:val="20"/>
                <w:szCs w:val="20"/>
                <w:color w:val="auto"/>
              </w:rPr>
            </w:pPr>
            <w:r>
              <w:rPr>
                <w:rFonts w:ascii="Arial" w:cs="Arial" w:eastAsia="Arial" w:hAnsi="Arial"/>
                <w:sz w:val="18"/>
                <w:szCs w:val="18"/>
                <w:color w:val="auto"/>
              </w:rPr>
              <w:t>3.4</w:t>
            </w:r>
          </w:p>
        </w:tc>
        <w:tc>
          <w:tcPr>
            <w:tcW w:w="1480" w:type="dxa"/>
            <w:vAlign w:val="bottom"/>
          </w:tcPr>
          <w:p>
            <w:pPr>
              <w:jc w:val="right"/>
              <w:spacing w:after="0"/>
              <w:rPr>
                <w:sz w:val="20"/>
                <w:szCs w:val="20"/>
                <w:color w:val="auto"/>
              </w:rPr>
            </w:pPr>
            <w:r>
              <w:rPr>
                <w:rFonts w:ascii="Arial" w:cs="Arial" w:eastAsia="Arial" w:hAnsi="Arial"/>
                <w:sz w:val="18"/>
                <w:szCs w:val="18"/>
                <w:color w:val="auto"/>
              </w:rPr>
              <w:t>06/05/2018</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10-K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240" w:type="dxa"/>
            <w:vAlign w:val="bottom"/>
          </w:tcPr>
          <w:p>
            <w:pPr>
              <w:jc w:val="right"/>
              <w:ind w:right="590"/>
              <w:spacing w:after="0"/>
              <w:rPr>
                <w:sz w:val="20"/>
                <w:szCs w:val="20"/>
                <w:color w:val="auto"/>
              </w:rPr>
            </w:pPr>
            <w:r>
              <w:rPr>
                <w:rFonts w:ascii="Arial" w:cs="Arial" w:eastAsia="Arial" w:hAnsi="Arial"/>
                <w:sz w:val="18"/>
                <w:szCs w:val="18"/>
                <w:color w:val="auto"/>
              </w:rPr>
              <w:t>4.1</w:t>
            </w:r>
          </w:p>
        </w:tc>
        <w:tc>
          <w:tcPr>
            <w:tcW w:w="1480" w:type="dxa"/>
            <w:vAlign w:val="bottom"/>
          </w:tcPr>
          <w:p>
            <w:pPr>
              <w:jc w:val="right"/>
              <w:spacing w:after="0"/>
              <w:rPr>
                <w:sz w:val="20"/>
                <w:szCs w:val="20"/>
                <w:color w:val="auto"/>
              </w:rPr>
            </w:pPr>
            <w:r>
              <w:rPr>
                <w:rFonts w:ascii="Arial" w:cs="Arial" w:eastAsia="Arial" w:hAnsi="Arial"/>
                <w:sz w:val="18"/>
                <w:szCs w:val="18"/>
                <w:color w:val="auto"/>
              </w:rPr>
              <w:t>03/29/2018</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240" w:type="dxa"/>
            <w:vAlign w:val="bottom"/>
          </w:tcPr>
          <w:p>
            <w:pPr>
              <w:jc w:val="right"/>
              <w:ind w:right="590"/>
              <w:spacing w:after="0"/>
              <w:rPr>
                <w:sz w:val="20"/>
                <w:szCs w:val="20"/>
                <w:color w:val="auto"/>
              </w:rPr>
            </w:pPr>
            <w:r>
              <w:rPr>
                <w:rFonts w:ascii="Arial" w:cs="Arial" w:eastAsia="Arial" w:hAnsi="Arial"/>
                <w:sz w:val="18"/>
                <w:szCs w:val="18"/>
                <w:color w:val="auto"/>
              </w:rPr>
              <w:t>4.1</w:t>
            </w:r>
          </w:p>
        </w:tc>
        <w:tc>
          <w:tcPr>
            <w:tcW w:w="1480" w:type="dxa"/>
            <w:vAlign w:val="bottom"/>
          </w:tcPr>
          <w:p>
            <w:pPr>
              <w:jc w:val="right"/>
              <w:spacing w:after="0"/>
              <w:rPr>
                <w:sz w:val="20"/>
                <w:szCs w:val="20"/>
                <w:color w:val="auto"/>
              </w:rPr>
            </w:pPr>
            <w:r>
              <w:rPr>
                <w:rFonts w:ascii="Arial" w:cs="Arial" w:eastAsia="Arial" w:hAnsi="Arial"/>
                <w:sz w:val="18"/>
                <w:szCs w:val="18"/>
                <w:color w:val="auto"/>
              </w:rPr>
              <w:t>06/22/2018</w:t>
            </w:r>
          </w:p>
        </w:tc>
      </w:tr>
    </w:tbl>
    <w:p>
      <w:pPr>
        <w:spacing w:after="0" w:line="498" w:lineRule="exact"/>
        <w:rPr>
          <w:rFonts w:ascii="Arial" w:cs="Arial" w:eastAsia="Arial" w:hAnsi="Arial"/>
          <w:sz w:val="18"/>
          <w:szCs w:val="18"/>
          <w:u w:val="single" w:color="auto"/>
          <w:color w:val="0000FF"/>
        </w:rPr>
      </w:pPr>
    </w:p>
    <w:p>
      <w:pPr>
        <w:sectPr>
          <w:pgSz w:w="11900" w:h="16838" w:orient="portrait"/>
          <w:cols w:equalWidth="0" w:num="3">
            <w:col w:w="520" w:space="720"/>
            <w:col w:w="4440" w:space="280"/>
            <w:col w:w="5280"/>
          </w:cols>
          <w:pgMar w:left="320" w:top="1282" w:right="339" w:bottom="1440" w:gutter="0" w:footer="0" w:header="0"/>
          <w:type w:val="continuous"/>
        </w:sectPr>
      </w:pPr>
    </w:p>
    <w:p>
      <w:pPr>
        <w:spacing w:after="0" w:line="13" w:lineRule="exact"/>
        <w:rPr>
          <w:rFonts w:ascii="Arial" w:cs="Arial" w:eastAsia="Arial" w:hAnsi="Arial"/>
          <w:sz w:val="18"/>
          <w:szCs w:val="18"/>
          <w:u w:val="single" w:color="auto"/>
          <w:color w:val="0000FF"/>
        </w:rPr>
      </w:pPr>
    </w:p>
    <w:p>
      <w:pPr>
        <w:ind w:left="120"/>
        <w:spacing w:after="0"/>
        <w:rPr>
          <w:sz w:val="20"/>
          <w:szCs w:val="20"/>
          <w:color w:val="auto"/>
        </w:rPr>
      </w:pPr>
      <w:r>
        <w:rPr>
          <w:rFonts w:ascii="Arial" w:cs="Arial" w:eastAsia="Arial" w:hAnsi="Arial"/>
          <w:sz w:val="17"/>
          <w:szCs w:val="17"/>
          <w:color w:val="auto"/>
        </w:rPr>
        <w:t>4.3</w:t>
      </w:r>
    </w:p>
    <w:p>
      <w:pPr>
        <w:spacing w:after="0" w:line="200" w:lineRule="exact"/>
        <w:rPr>
          <w:rFonts w:ascii="Arial" w:cs="Arial" w:eastAsia="Arial" w:hAnsi="Arial"/>
          <w:sz w:val="18"/>
          <w:szCs w:val="18"/>
          <w:u w:val="single" w:color="auto"/>
          <w:color w:val="0000FF"/>
        </w:rPr>
      </w:pPr>
    </w:p>
    <w:p>
      <w:pPr>
        <w:spacing w:after="0" w:line="200" w:lineRule="exact"/>
        <w:rPr>
          <w:rFonts w:ascii="Arial" w:cs="Arial" w:eastAsia="Arial" w:hAnsi="Arial"/>
          <w:sz w:val="18"/>
          <w:szCs w:val="18"/>
          <w:u w:val="single" w:color="auto"/>
          <w:color w:val="0000FF"/>
        </w:rPr>
      </w:pPr>
    </w:p>
    <w:p>
      <w:pPr>
        <w:spacing w:after="0" w:line="390" w:lineRule="exact"/>
        <w:rPr>
          <w:rFonts w:ascii="Arial" w:cs="Arial" w:eastAsia="Arial" w:hAnsi="Arial"/>
          <w:sz w:val="18"/>
          <w:szCs w:val="18"/>
          <w:u w:val="single" w:color="auto"/>
          <w:color w:val="0000FF"/>
        </w:rPr>
      </w:pPr>
    </w:p>
    <w:p>
      <w:pPr>
        <w:ind w:left="120"/>
        <w:spacing w:after="0"/>
        <w:rPr>
          <w:sz w:val="20"/>
          <w:szCs w:val="20"/>
          <w:color w:val="auto"/>
        </w:rPr>
      </w:pPr>
      <w:r>
        <w:rPr>
          <w:rFonts w:ascii="Arial" w:cs="Arial" w:eastAsia="Arial" w:hAnsi="Arial"/>
          <w:sz w:val="17"/>
          <w:szCs w:val="17"/>
          <w:color w:val="auto"/>
        </w:rPr>
        <w:t>4.4</w:t>
      </w:r>
    </w:p>
    <w:p>
      <w:pPr>
        <w:spacing w:after="0" w:line="20" w:lineRule="exact"/>
        <w:rPr>
          <w:rFonts w:ascii="Arial" w:cs="Arial" w:eastAsia="Arial" w:hAnsi="Arial"/>
          <w:sz w:val="18"/>
          <w:szCs w:val="18"/>
          <w:u w:val="single" w:color="auto"/>
          <w:color w:val="0000FF"/>
        </w:rPr>
      </w:pPr>
      <w:r>
        <w:rPr>
          <w:rFonts w:ascii="Arial" w:cs="Arial" w:eastAsia="Arial" w:hAnsi="Arial"/>
          <w:sz w:val="18"/>
          <w:szCs w:val="18"/>
          <w:u w:val="single" w:color="auto"/>
          <w:color w:val="0000FF"/>
        </w:rPr>
        <w:br w:type="column"/>
      </w:r>
    </w:p>
    <w:p>
      <w:pPr>
        <w:jc w:val="both"/>
        <w:spacing w:after="0" w:line="224" w:lineRule="auto"/>
        <w:rPr>
          <w:rFonts w:ascii="Arial" w:cs="Arial" w:eastAsia="Arial" w:hAnsi="Arial"/>
          <w:sz w:val="18"/>
          <w:szCs w:val="18"/>
          <w:u w:val="single" w:color="auto"/>
          <w:color w:val="0000FF"/>
        </w:rPr>
      </w:pPr>
      <w:hyperlink r:id="rId128">
        <w:r>
          <w:rPr>
            <w:rFonts w:ascii="Arial" w:cs="Arial" w:eastAsia="Arial" w:hAnsi="Arial"/>
            <w:sz w:val="18"/>
            <w:szCs w:val="18"/>
            <w:u w:val="single" w:color="auto"/>
            <w:color w:val="0000FF"/>
          </w:rPr>
          <w:t>First Supplemental Indenture, dated as of June 22, 2018, by</w:t>
        </w:r>
      </w:hyperlink>
      <w:r>
        <w:rPr>
          <w:rFonts w:ascii="Arial" w:cs="Arial" w:eastAsia="Arial" w:hAnsi="Arial"/>
          <w:sz w:val="18"/>
          <w:szCs w:val="18"/>
          <w:u w:val="single" w:color="auto"/>
          <w:color w:val="0000FF"/>
        </w:rPr>
        <w:t xml:space="preserve"> </w:t>
      </w:r>
      <w:hyperlink r:id="rId128">
        <w:r>
          <w:rPr>
            <w:rFonts w:ascii="Arial" w:cs="Arial" w:eastAsia="Arial" w:hAnsi="Arial"/>
            <w:sz w:val="18"/>
            <w:szCs w:val="18"/>
            <w:u w:val="single" w:color="auto"/>
            <w:color w:val="0000FF"/>
          </w:rPr>
          <w:t>and between Marvell Technology Group Ltd. and U.S. Bank</w:t>
        </w:r>
      </w:hyperlink>
      <w:r>
        <w:rPr>
          <w:rFonts w:ascii="Arial" w:cs="Arial" w:eastAsia="Arial" w:hAnsi="Arial"/>
          <w:sz w:val="18"/>
          <w:szCs w:val="18"/>
          <w:u w:val="single" w:color="auto"/>
          <w:color w:val="0000FF"/>
        </w:rPr>
        <w:t xml:space="preserve"> </w:t>
      </w:r>
      <w:hyperlink r:id="rId128">
        <w:r>
          <w:rPr>
            <w:rFonts w:ascii="Arial" w:cs="Arial" w:eastAsia="Arial" w:hAnsi="Arial"/>
            <w:sz w:val="18"/>
            <w:szCs w:val="18"/>
            <w:u w:val="single" w:color="auto"/>
            <w:color w:val="0000FF"/>
          </w:rPr>
          <w:t>National Association, as trustee</w:t>
        </w:r>
      </w:hyperlink>
    </w:p>
    <w:p>
      <w:pPr>
        <w:spacing w:after="0" w:line="200" w:lineRule="exact"/>
        <w:rPr>
          <w:rFonts w:ascii="Arial" w:cs="Arial" w:eastAsia="Arial" w:hAnsi="Arial"/>
          <w:sz w:val="18"/>
          <w:szCs w:val="18"/>
          <w:u w:val="single" w:color="auto"/>
          <w:color w:val="0000FF"/>
        </w:rPr>
      </w:pPr>
    </w:p>
    <w:p>
      <w:pPr>
        <w:spacing w:after="0" w:line="206" w:lineRule="exact"/>
        <w:rPr>
          <w:rFonts w:ascii="Arial" w:cs="Arial" w:eastAsia="Arial" w:hAnsi="Arial"/>
          <w:sz w:val="18"/>
          <w:szCs w:val="18"/>
          <w:u w:val="single" w:color="auto"/>
          <w:color w:val="0000FF"/>
        </w:rPr>
      </w:pPr>
    </w:p>
    <w:p>
      <w:pPr>
        <w:jc w:val="both"/>
        <w:spacing w:after="0" w:line="235" w:lineRule="auto"/>
        <w:rPr>
          <w:rFonts w:ascii="Arial" w:cs="Arial" w:eastAsia="Arial" w:hAnsi="Arial"/>
          <w:sz w:val="18"/>
          <w:szCs w:val="18"/>
          <w:u w:val="single" w:color="auto"/>
          <w:color w:val="0000FF"/>
        </w:rPr>
      </w:pPr>
      <w:hyperlink r:id="rId128">
        <w:r>
          <w:rPr>
            <w:rFonts w:ascii="Arial" w:cs="Arial" w:eastAsia="Arial" w:hAnsi="Arial"/>
            <w:sz w:val="18"/>
            <w:szCs w:val="18"/>
            <w:u w:val="single" w:color="auto"/>
            <w:color w:val="0000FF"/>
          </w:rPr>
          <w:t>Form of 4.200% Senior Notes due 2023 (included in Exhibit</w:t>
        </w:r>
      </w:hyperlink>
      <w:r>
        <w:rPr>
          <w:rFonts w:ascii="Arial" w:cs="Arial" w:eastAsia="Arial" w:hAnsi="Arial"/>
          <w:sz w:val="18"/>
          <w:szCs w:val="18"/>
          <w:u w:val="single" w:color="auto"/>
          <w:color w:val="0000FF"/>
        </w:rPr>
        <w:t xml:space="preserve"> </w:t>
      </w:r>
      <w:hyperlink r:id="rId128">
        <w:r>
          <w:rPr>
            <w:rFonts w:ascii="Arial" w:cs="Arial" w:eastAsia="Arial" w:hAnsi="Arial"/>
            <w:sz w:val="18"/>
            <w:szCs w:val="18"/>
            <w:u w:val="single" w:color="auto"/>
            <w:color w:val="0000FF"/>
          </w:rPr>
          <w:t>4.3)</w:t>
        </w:r>
      </w:hyperlink>
    </w:p>
    <w:p>
      <w:pPr>
        <w:spacing w:after="0" w:line="20" w:lineRule="exact"/>
        <w:rPr>
          <w:sz w:val="20"/>
          <w:szCs w:val="20"/>
          <w:color w:val="auto"/>
        </w:rPr>
      </w:pPr>
      <w:r>
        <w:rPr>
          <w:sz w:val="20"/>
          <w:szCs w:val="20"/>
          <w:color w:val="auto"/>
        </w:rPr>
        <w:br w:type="column"/>
      </w:r>
    </w:p>
    <w:p>
      <w:pPr>
        <w:spacing w:after="0"/>
        <w:tabs>
          <w:tab w:leader="none" w:pos="900" w:val="left"/>
          <w:tab w:leader="none" w:pos="2340" w:val="left"/>
          <w:tab w:leader="none" w:pos="3920" w:val="left"/>
        </w:tabs>
        <w:rPr>
          <w:sz w:val="20"/>
          <w:szCs w:val="20"/>
          <w:color w:val="auto"/>
        </w:rPr>
      </w:pPr>
      <w:r>
        <w:rPr>
          <w:rFonts w:ascii="Arial" w:cs="Arial" w:eastAsia="Arial" w:hAnsi="Arial"/>
          <w:sz w:val="18"/>
          <w:szCs w:val="18"/>
          <w:color w:val="auto"/>
        </w:rPr>
        <w:t>8-K</w:t>
      </w:r>
      <w:r>
        <w:rPr>
          <w:sz w:val="20"/>
          <w:szCs w:val="20"/>
          <w:color w:val="auto"/>
        </w:rPr>
        <w:tab/>
      </w:r>
      <w:r>
        <w:rPr>
          <w:rFonts w:ascii="Arial" w:cs="Arial" w:eastAsia="Arial" w:hAnsi="Arial"/>
          <w:sz w:val="18"/>
          <w:szCs w:val="18"/>
          <w:color w:val="auto"/>
        </w:rPr>
        <w:t>000-30877</w:t>
      </w:r>
      <w:r>
        <w:rPr>
          <w:sz w:val="20"/>
          <w:szCs w:val="20"/>
          <w:color w:val="auto"/>
        </w:rPr>
        <w:tab/>
      </w:r>
      <w:r>
        <w:rPr>
          <w:rFonts w:ascii="Arial" w:cs="Arial" w:eastAsia="Arial" w:hAnsi="Arial"/>
          <w:sz w:val="18"/>
          <w:szCs w:val="18"/>
          <w:color w:val="auto"/>
        </w:rPr>
        <w:t>4.2</w:t>
      </w:r>
      <w:r>
        <w:rPr>
          <w:sz w:val="20"/>
          <w:szCs w:val="20"/>
          <w:color w:val="auto"/>
        </w:rPr>
        <w:tab/>
      </w:r>
      <w:r>
        <w:rPr>
          <w:rFonts w:ascii="Arial" w:cs="Arial" w:eastAsia="Arial" w:hAnsi="Arial"/>
          <w:sz w:val="16"/>
          <w:szCs w:val="16"/>
          <w:color w:val="auto"/>
        </w:rPr>
        <w:t>06/22/2018</w:t>
      </w:r>
    </w:p>
    <w:p>
      <w:pPr>
        <w:spacing w:after="0" w:line="200" w:lineRule="exact"/>
        <w:rPr>
          <w:sz w:val="20"/>
          <w:szCs w:val="20"/>
          <w:color w:val="auto"/>
        </w:rPr>
      </w:pPr>
    </w:p>
    <w:p>
      <w:pPr>
        <w:spacing w:after="0" w:line="200" w:lineRule="exact"/>
        <w:rPr>
          <w:sz w:val="20"/>
          <w:szCs w:val="20"/>
          <w:color w:val="auto"/>
        </w:rPr>
      </w:pPr>
    </w:p>
    <w:p>
      <w:pPr>
        <w:spacing w:after="0" w:line="379" w:lineRule="exact"/>
        <w:rPr>
          <w:sz w:val="20"/>
          <w:szCs w:val="20"/>
          <w:color w:val="auto"/>
        </w:rPr>
      </w:pPr>
    </w:p>
    <w:p>
      <w:pPr>
        <w:spacing w:after="0"/>
        <w:tabs>
          <w:tab w:leader="none" w:pos="900" w:val="left"/>
          <w:tab w:leader="none" w:pos="2340" w:val="left"/>
          <w:tab w:leader="none" w:pos="3920" w:val="left"/>
        </w:tabs>
        <w:rPr>
          <w:sz w:val="20"/>
          <w:szCs w:val="20"/>
          <w:color w:val="auto"/>
        </w:rPr>
      </w:pPr>
      <w:r>
        <w:rPr>
          <w:rFonts w:ascii="Arial" w:cs="Arial" w:eastAsia="Arial" w:hAnsi="Arial"/>
          <w:sz w:val="18"/>
          <w:szCs w:val="18"/>
          <w:color w:val="auto"/>
        </w:rPr>
        <w:t>8-K</w:t>
      </w:r>
      <w:r>
        <w:rPr>
          <w:sz w:val="20"/>
          <w:szCs w:val="20"/>
          <w:color w:val="auto"/>
        </w:rPr>
        <w:tab/>
      </w:r>
      <w:r>
        <w:rPr>
          <w:rFonts w:ascii="Arial" w:cs="Arial" w:eastAsia="Arial" w:hAnsi="Arial"/>
          <w:sz w:val="18"/>
          <w:szCs w:val="18"/>
          <w:color w:val="auto"/>
        </w:rPr>
        <w:t>000-30877</w:t>
      </w:r>
      <w:r>
        <w:rPr>
          <w:sz w:val="20"/>
          <w:szCs w:val="20"/>
          <w:color w:val="auto"/>
        </w:rPr>
        <w:tab/>
      </w:r>
      <w:r>
        <w:rPr>
          <w:rFonts w:ascii="Arial" w:cs="Arial" w:eastAsia="Arial" w:hAnsi="Arial"/>
          <w:sz w:val="18"/>
          <w:szCs w:val="18"/>
          <w:color w:val="auto"/>
        </w:rPr>
        <w:t>4.3</w:t>
      </w:r>
      <w:r>
        <w:rPr>
          <w:sz w:val="20"/>
          <w:szCs w:val="20"/>
          <w:color w:val="auto"/>
        </w:rPr>
        <w:tab/>
      </w:r>
      <w:r>
        <w:rPr>
          <w:rFonts w:ascii="Arial" w:cs="Arial" w:eastAsia="Arial" w:hAnsi="Arial"/>
          <w:sz w:val="16"/>
          <w:szCs w:val="16"/>
          <w:color w:val="auto"/>
        </w:rPr>
        <w:t>06/22/2018</w:t>
      </w:r>
    </w:p>
    <w:p>
      <w:pPr>
        <w:spacing w:after="0" w:line="384" w:lineRule="exact"/>
        <w:rPr>
          <w:sz w:val="20"/>
          <w:szCs w:val="20"/>
          <w:color w:val="auto"/>
        </w:rPr>
      </w:pPr>
    </w:p>
    <w:p>
      <w:pPr>
        <w:sectPr>
          <w:pgSz w:w="11900" w:h="16838" w:orient="portrait"/>
          <w:cols w:equalWidth="0" w:num="3">
            <w:col w:w="520" w:space="720"/>
            <w:col w:w="4360" w:space="360"/>
            <w:col w:w="5280"/>
          </w:cols>
          <w:pgMar w:left="320" w:top="1282" w:right="339" w:bottom="1440" w:gutter="0" w:footer="0" w:header="0"/>
          <w:type w:val="continuous"/>
        </w:sectPr>
      </w:pPr>
    </w:p>
    <w:p>
      <w:pPr>
        <w:spacing w:after="0" w:line="200" w:lineRule="exact"/>
        <w:rPr>
          <w:sz w:val="20"/>
          <w:szCs w:val="20"/>
          <w:color w:val="auto"/>
        </w:rPr>
      </w:pPr>
    </w:p>
    <w:p>
      <w:pPr>
        <w:spacing w:after="0" w:line="261"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2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type w:val="continuous"/>
        </w:sectPr>
      </w:pPr>
    </w:p>
    <w:bookmarkStart w:id="103" w:name="page104"/>
    <w:bookmarkEnd w:id="103"/>
    <w:p>
      <w:pPr>
        <w:spacing w:after="0" w:line="13" w:lineRule="exact"/>
        <w:rPr>
          <w:sz w:val="20"/>
          <w:szCs w:val="20"/>
          <w:color w:val="auto"/>
        </w:rPr>
      </w:pPr>
    </w:p>
    <w:p>
      <w:pPr>
        <w:spacing w:after="0"/>
        <w:rPr>
          <w:sz w:val="20"/>
          <w:szCs w:val="20"/>
          <w:color w:val="auto"/>
        </w:rPr>
      </w:pPr>
      <w:r>
        <w:rPr>
          <w:rFonts w:ascii="Arial" w:cs="Arial" w:eastAsia="Arial" w:hAnsi="Arial"/>
          <w:sz w:val="18"/>
          <w:szCs w:val="18"/>
          <w:color w:val="auto"/>
        </w:rPr>
        <w:t>4.5</w:t>
      </w:r>
    </w:p>
    <w:p>
      <w:pPr>
        <w:spacing w:after="0" w:line="360" w:lineRule="exact"/>
        <w:rPr>
          <w:sz w:val="20"/>
          <w:szCs w:val="20"/>
          <w:color w:val="auto"/>
        </w:rPr>
      </w:pPr>
    </w:p>
    <w:p>
      <w:pPr>
        <w:spacing w:after="0"/>
        <w:rPr>
          <w:sz w:val="20"/>
          <w:szCs w:val="20"/>
          <w:color w:val="auto"/>
        </w:rPr>
      </w:pPr>
      <w:r>
        <w:rPr>
          <w:rFonts w:ascii="Arial" w:cs="Arial" w:eastAsia="Arial" w:hAnsi="Arial"/>
          <w:sz w:val="18"/>
          <w:szCs w:val="18"/>
          <w:color w:val="auto"/>
        </w:rPr>
        <w:t>4.6</w:t>
      </w:r>
    </w:p>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color w:val="auto"/>
        </w:rPr>
        <w:t>10.2#</w:t>
      </w:r>
    </w:p>
    <w:p>
      <w:pPr>
        <w:spacing w:after="0" w:line="360" w:lineRule="exact"/>
        <w:rPr>
          <w:sz w:val="20"/>
          <w:szCs w:val="20"/>
          <w:color w:val="auto"/>
        </w:rPr>
      </w:pPr>
    </w:p>
    <w:p>
      <w:pPr>
        <w:spacing w:after="0"/>
        <w:rPr>
          <w:sz w:val="20"/>
          <w:szCs w:val="20"/>
          <w:color w:val="auto"/>
        </w:rPr>
      </w:pPr>
      <w:r>
        <w:rPr>
          <w:rFonts w:ascii="Arial" w:cs="Arial" w:eastAsia="Arial" w:hAnsi="Arial"/>
          <w:sz w:val="16"/>
          <w:szCs w:val="16"/>
          <w:color w:val="auto"/>
        </w:rPr>
        <w:t>10.2.1#</w:t>
      </w:r>
    </w:p>
    <w:p>
      <w:pPr>
        <w:spacing w:after="0" w:line="383" w:lineRule="exact"/>
        <w:rPr>
          <w:sz w:val="20"/>
          <w:szCs w:val="20"/>
          <w:color w:val="auto"/>
        </w:rPr>
      </w:pPr>
    </w:p>
    <w:p>
      <w:pPr>
        <w:spacing w:after="0"/>
        <w:rPr>
          <w:sz w:val="20"/>
          <w:szCs w:val="20"/>
          <w:color w:val="auto"/>
        </w:rPr>
      </w:pPr>
      <w:r>
        <w:rPr>
          <w:rFonts w:ascii="Arial" w:cs="Arial" w:eastAsia="Arial" w:hAnsi="Arial"/>
          <w:sz w:val="18"/>
          <w:szCs w:val="18"/>
          <w:color w:val="auto"/>
        </w:rPr>
        <w:t>10.3#</w:t>
      </w:r>
    </w:p>
    <w:p>
      <w:pPr>
        <w:spacing w:after="0" w:line="360" w:lineRule="exact"/>
        <w:rPr>
          <w:sz w:val="20"/>
          <w:szCs w:val="20"/>
          <w:color w:val="auto"/>
        </w:rPr>
      </w:pPr>
    </w:p>
    <w:p>
      <w:pPr>
        <w:spacing w:after="0"/>
        <w:rPr>
          <w:sz w:val="20"/>
          <w:szCs w:val="20"/>
          <w:color w:val="auto"/>
        </w:rPr>
      </w:pPr>
      <w:r>
        <w:rPr>
          <w:rFonts w:ascii="Arial" w:cs="Arial" w:eastAsia="Arial" w:hAnsi="Arial"/>
          <w:sz w:val="16"/>
          <w:szCs w:val="16"/>
          <w:color w:val="auto"/>
        </w:rPr>
        <w:t>10.3.1#</w:t>
      </w:r>
    </w:p>
    <w:p>
      <w:pPr>
        <w:spacing w:after="0" w:line="383" w:lineRule="exact"/>
        <w:rPr>
          <w:sz w:val="20"/>
          <w:szCs w:val="20"/>
          <w:color w:val="auto"/>
        </w:rPr>
      </w:pPr>
    </w:p>
    <w:p>
      <w:pPr>
        <w:spacing w:after="0"/>
        <w:rPr>
          <w:sz w:val="20"/>
          <w:szCs w:val="20"/>
          <w:color w:val="auto"/>
        </w:rPr>
      </w:pPr>
      <w:r>
        <w:rPr>
          <w:rFonts w:ascii="Arial" w:cs="Arial" w:eastAsia="Arial" w:hAnsi="Arial"/>
          <w:sz w:val="16"/>
          <w:szCs w:val="16"/>
          <w:color w:val="auto"/>
        </w:rPr>
        <w:t>10.3.2#</w:t>
      </w: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Arial" w:cs="Arial" w:eastAsia="Arial" w:hAnsi="Arial"/>
          <w:sz w:val="16"/>
          <w:szCs w:val="16"/>
          <w:color w:val="auto"/>
        </w:rPr>
        <w:t>10.3.3#</w:t>
      </w:r>
    </w:p>
    <w:p>
      <w:pPr>
        <w:spacing w:after="0" w:line="20" w:lineRule="exact"/>
        <w:rPr>
          <w:sz w:val="20"/>
          <w:szCs w:val="20"/>
          <w:color w:val="auto"/>
        </w:rPr>
      </w:pPr>
      <w:r>
        <w:rPr>
          <w:sz w:val="20"/>
          <w:szCs w:val="20"/>
          <w:color w:val="auto"/>
        </w:rPr>
        <w:br w:type="column"/>
      </w:r>
    </w:p>
    <w:p>
      <w:pPr>
        <w:ind w:right="220"/>
        <w:spacing w:after="0" w:line="235" w:lineRule="auto"/>
        <w:rPr>
          <w:rFonts w:ascii="Arial" w:cs="Arial" w:eastAsia="Arial" w:hAnsi="Arial"/>
          <w:sz w:val="18"/>
          <w:szCs w:val="18"/>
          <w:u w:val="single" w:color="auto"/>
          <w:color w:val="0000FF"/>
        </w:rPr>
      </w:pPr>
      <w:hyperlink r:id="rId128">
        <w:r>
          <w:rPr>
            <w:rFonts w:ascii="Arial" w:cs="Arial" w:eastAsia="Arial" w:hAnsi="Arial"/>
            <w:sz w:val="18"/>
            <w:szCs w:val="18"/>
            <w:u w:val="single" w:color="auto"/>
            <w:color w:val="0000FF"/>
          </w:rPr>
          <w:t>Form of 4.87% Senior Notes due 2028 (included in Exhibit</w:t>
        </w:r>
      </w:hyperlink>
      <w:r>
        <w:rPr>
          <w:rFonts w:ascii="Arial" w:cs="Arial" w:eastAsia="Arial" w:hAnsi="Arial"/>
          <w:sz w:val="18"/>
          <w:szCs w:val="18"/>
          <w:u w:val="single" w:color="auto"/>
          <w:color w:val="0000FF"/>
        </w:rPr>
        <w:t xml:space="preserve"> </w:t>
      </w:r>
      <w:hyperlink r:id="rId128">
        <w:r>
          <w:rPr>
            <w:rFonts w:ascii="Arial" w:cs="Arial" w:eastAsia="Arial" w:hAnsi="Arial"/>
            <w:sz w:val="18"/>
            <w:szCs w:val="18"/>
            <w:u w:val="single" w:color="auto"/>
            <w:color w:val="0000FF"/>
          </w:rPr>
          <w:t>4.3)</w:t>
        </w:r>
      </w:hyperlink>
    </w:p>
    <w:p>
      <w:pPr>
        <w:spacing w:after="0" w:line="162" w:lineRule="exact"/>
        <w:rPr>
          <w:sz w:val="20"/>
          <w:szCs w:val="20"/>
          <w:color w:val="auto"/>
        </w:rPr>
      </w:pPr>
    </w:p>
    <w:p>
      <w:pPr>
        <w:spacing w:after="0" w:line="235" w:lineRule="auto"/>
        <w:rPr>
          <w:rFonts w:ascii="Arial" w:cs="Arial" w:eastAsia="Arial" w:hAnsi="Arial"/>
          <w:sz w:val="18"/>
          <w:szCs w:val="18"/>
          <w:u w:val="single" w:color="auto"/>
          <w:color w:val="0000FF"/>
        </w:rPr>
      </w:pPr>
      <w:hyperlink w:anchor="page111">
        <w:r>
          <w:rPr>
            <w:rFonts w:ascii="Arial" w:cs="Arial" w:eastAsia="Arial" w:hAnsi="Arial"/>
            <w:sz w:val="18"/>
            <w:szCs w:val="18"/>
            <w:u w:val="single" w:color="auto"/>
            <w:color w:val="0000FF"/>
          </w:rPr>
          <w:t>Description of Marvell Securities Registered under Section 12</w:t>
        </w:r>
      </w:hyperlink>
      <w:r>
        <w:rPr>
          <w:rFonts w:ascii="Arial" w:cs="Arial" w:eastAsia="Arial" w:hAnsi="Arial"/>
          <w:sz w:val="18"/>
          <w:szCs w:val="18"/>
          <w:u w:val="single" w:color="auto"/>
          <w:color w:val="0000FF"/>
        </w:rPr>
        <w:t xml:space="preserve"> </w:t>
      </w:r>
      <w:hyperlink w:anchor="page111">
        <w:r>
          <w:rPr>
            <w:rFonts w:ascii="Arial" w:cs="Arial" w:eastAsia="Arial" w:hAnsi="Arial"/>
            <w:sz w:val="18"/>
            <w:szCs w:val="18"/>
            <w:u w:val="single" w:color="auto"/>
            <w:color w:val="0000FF"/>
          </w:rPr>
          <w:t>of the Exchange Act</w:t>
        </w:r>
      </w:hyperlink>
    </w:p>
    <w:p>
      <w:pPr>
        <w:spacing w:after="0" w:line="270" w:lineRule="exact"/>
        <w:rPr>
          <w:sz w:val="20"/>
          <w:szCs w:val="20"/>
          <w:color w:val="auto"/>
        </w:rPr>
      </w:pPr>
    </w:p>
    <w:p>
      <w:pPr>
        <w:ind w:right="580"/>
        <w:spacing w:after="0" w:line="235" w:lineRule="auto"/>
        <w:rPr>
          <w:rFonts w:ascii="Arial" w:cs="Arial" w:eastAsia="Arial" w:hAnsi="Arial"/>
          <w:sz w:val="18"/>
          <w:szCs w:val="18"/>
          <w:u w:val="single" w:color="auto"/>
          <w:color w:val="0000FF"/>
        </w:rPr>
      </w:pPr>
      <w:hyperlink r:id="rId130">
        <w:r>
          <w:rPr>
            <w:rFonts w:ascii="Arial" w:cs="Arial" w:eastAsia="Arial" w:hAnsi="Arial"/>
            <w:sz w:val="18"/>
            <w:szCs w:val="18"/>
            <w:u w:val="single" w:color="auto"/>
            <w:color w:val="0000FF"/>
          </w:rPr>
          <w:t>2000 Employee Stock Purchase Plan (as amended and</w:t>
        </w:r>
      </w:hyperlink>
      <w:r>
        <w:rPr>
          <w:rFonts w:ascii="Arial" w:cs="Arial" w:eastAsia="Arial" w:hAnsi="Arial"/>
          <w:sz w:val="18"/>
          <w:szCs w:val="18"/>
          <w:u w:val="single" w:color="auto"/>
          <w:color w:val="0000FF"/>
        </w:rPr>
        <w:t xml:space="preserve"> </w:t>
      </w:r>
      <w:hyperlink r:id="rId130">
        <w:r>
          <w:rPr>
            <w:rFonts w:ascii="Arial" w:cs="Arial" w:eastAsia="Arial" w:hAnsi="Arial"/>
            <w:sz w:val="18"/>
            <w:szCs w:val="18"/>
            <w:u w:val="single" w:color="auto"/>
            <w:color w:val="0000FF"/>
          </w:rPr>
          <w:t>restated as of October 31, 2011)</w:t>
        </w:r>
      </w:hyperlink>
    </w:p>
    <w:p>
      <w:pPr>
        <w:spacing w:after="0" w:line="162" w:lineRule="exact"/>
        <w:rPr>
          <w:sz w:val="20"/>
          <w:szCs w:val="20"/>
          <w:color w:val="auto"/>
        </w:rPr>
      </w:pPr>
    </w:p>
    <w:p>
      <w:pPr>
        <w:ind w:right="240"/>
        <w:spacing w:after="0" w:line="235" w:lineRule="auto"/>
        <w:rPr>
          <w:rFonts w:ascii="Arial" w:cs="Arial" w:eastAsia="Arial" w:hAnsi="Arial"/>
          <w:sz w:val="18"/>
          <w:szCs w:val="18"/>
          <w:u w:val="single" w:color="auto"/>
          <w:color w:val="0000FF"/>
        </w:rPr>
      </w:pPr>
      <w:hyperlink r:id="rId131">
        <w:r>
          <w:rPr>
            <w:rFonts w:ascii="Arial" w:cs="Arial" w:eastAsia="Arial" w:hAnsi="Arial"/>
            <w:sz w:val="18"/>
            <w:szCs w:val="18"/>
            <w:u w:val="single" w:color="auto"/>
            <w:color w:val="0000FF"/>
          </w:rPr>
          <w:t>2000 Employee Stock Purchase Plan Form of Subscription</w:t>
        </w:r>
      </w:hyperlink>
      <w:r>
        <w:rPr>
          <w:rFonts w:ascii="Arial" w:cs="Arial" w:eastAsia="Arial" w:hAnsi="Arial"/>
          <w:sz w:val="18"/>
          <w:szCs w:val="18"/>
          <w:u w:val="single" w:color="auto"/>
          <w:color w:val="0000FF"/>
        </w:rPr>
        <w:t xml:space="preserve"> </w:t>
      </w:r>
      <w:hyperlink r:id="rId131">
        <w:r>
          <w:rPr>
            <w:rFonts w:ascii="Arial" w:cs="Arial" w:eastAsia="Arial" w:hAnsi="Arial"/>
            <w:sz w:val="18"/>
            <w:szCs w:val="18"/>
            <w:u w:val="single" w:color="auto"/>
            <w:color w:val="0000FF"/>
          </w:rPr>
          <w:t>Agreement</w:t>
        </w:r>
      </w:hyperlink>
    </w:p>
    <w:p>
      <w:pPr>
        <w:spacing w:after="0" w:line="162" w:lineRule="exact"/>
        <w:rPr>
          <w:sz w:val="20"/>
          <w:szCs w:val="20"/>
          <w:color w:val="auto"/>
        </w:rPr>
      </w:pPr>
    </w:p>
    <w:p>
      <w:pPr>
        <w:ind w:right="300"/>
        <w:spacing w:after="0" w:line="235" w:lineRule="auto"/>
        <w:rPr>
          <w:rFonts w:ascii="Arial" w:cs="Arial" w:eastAsia="Arial" w:hAnsi="Arial"/>
          <w:sz w:val="18"/>
          <w:szCs w:val="18"/>
          <w:u w:val="single" w:color="auto"/>
          <w:color w:val="0000FF"/>
        </w:rPr>
      </w:pPr>
      <w:hyperlink r:id="rId132">
        <w:r>
          <w:rPr>
            <w:rFonts w:ascii="Arial" w:cs="Arial" w:eastAsia="Arial" w:hAnsi="Arial"/>
            <w:sz w:val="18"/>
            <w:szCs w:val="18"/>
            <w:u w:val="single" w:color="auto"/>
            <w:color w:val="0000FF"/>
          </w:rPr>
          <w:t>Amended and Restated 1995 Stock Option Plan, amended</w:t>
        </w:r>
      </w:hyperlink>
      <w:r>
        <w:rPr>
          <w:rFonts w:ascii="Arial" w:cs="Arial" w:eastAsia="Arial" w:hAnsi="Arial"/>
          <w:sz w:val="18"/>
          <w:szCs w:val="18"/>
          <w:u w:val="single" w:color="auto"/>
          <w:color w:val="0000FF"/>
        </w:rPr>
        <w:t xml:space="preserve"> </w:t>
      </w:r>
      <w:hyperlink r:id="rId132">
        <w:r>
          <w:rPr>
            <w:rFonts w:ascii="Arial" w:cs="Arial" w:eastAsia="Arial" w:hAnsi="Arial"/>
            <w:sz w:val="18"/>
            <w:szCs w:val="18"/>
            <w:u w:val="single" w:color="auto"/>
            <w:color w:val="0000FF"/>
          </w:rPr>
          <w:t>through April 16, 2015</w:t>
        </w:r>
      </w:hyperlink>
    </w:p>
    <w:p>
      <w:pPr>
        <w:spacing w:after="0" w:line="162" w:lineRule="exact"/>
        <w:rPr>
          <w:sz w:val="20"/>
          <w:szCs w:val="20"/>
          <w:color w:val="auto"/>
        </w:rPr>
      </w:pPr>
    </w:p>
    <w:p>
      <w:pPr>
        <w:ind w:right="420"/>
        <w:spacing w:after="0" w:line="235" w:lineRule="auto"/>
        <w:rPr>
          <w:rFonts w:ascii="Arial" w:cs="Arial" w:eastAsia="Arial" w:hAnsi="Arial"/>
          <w:sz w:val="18"/>
          <w:szCs w:val="18"/>
          <w:u w:val="single" w:color="auto"/>
          <w:color w:val="0000FF"/>
        </w:rPr>
      </w:pPr>
      <w:hyperlink r:id="rId133">
        <w:r>
          <w:rPr>
            <w:rFonts w:ascii="Arial" w:cs="Arial" w:eastAsia="Arial" w:hAnsi="Arial"/>
            <w:sz w:val="18"/>
            <w:szCs w:val="18"/>
            <w:u w:val="single" w:color="auto"/>
            <w:color w:val="0000FF"/>
          </w:rPr>
          <w:t>Form of Amended and Restated 1995 Stock Option Plan</w:t>
        </w:r>
      </w:hyperlink>
      <w:r>
        <w:rPr>
          <w:rFonts w:ascii="Arial" w:cs="Arial" w:eastAsia="Arial" w:hAnsi="Arial"/>
          <w:sz w:val="18"/>
          <w:szCs w:val="18"/>
          <w:u w:val="single" w:color="auto"/>
          <w:color w:val="0000FF"/>
        </w:rPr>
        <w:t xml:space="preserve"> </w:t>
      </w:r>
      <w:hyperlink r:id="rId133">
        <w:r>
          <w:rPr>
            <w:rFonts w:ascii="Arial" w:cs="Arial" w:eastAsia="Arial" w:hAnsi="Arial"/>
            <w:sz w:val="18"/>
            <w:szCs w:val="18"/>
            <w:u w:val="single" w:color="auto"/>
            <w:color w:val="0000FF"/>
          </w:rPr>
          <w:t>Restricted Stock Agreement</w:t>
        </w:r>
      </w:hyperlink>
    </w:p>
    <w:p>
      <w:pPr>
        <w:spacing w:after="0" w:line="162" w:lineRule="exact"/>
        <w:rPr>
          <w:sz w:val="20"/>
          <w:szCs w:val="20"/>
          <w:color w:val="auto"/>
        </w:rPr>
      </w:pPr>
    </w:p>
    <w:p>
      <w:pPr>
        <w:spacing w:after="0" w:line="259" w:lineRule="auto"/>
        <w:rPr>
          <w:rFonts w:ascii="Arial" w:cs="Arial" w:eastAsia="Arial" w:hAnsi="Arial"/>
          <w:sz w:val="16"/>
          <w:szCs w:val="16"/>
          <w:u w:val="single" w:color="auto"/>
          <w:color w:val="0000FF"/>
        </w:rPr>
      </w:pPr>
      <w:hyperlink r:id="rId134">
        <w:r>
          <w:rPr>
            <w:rFonts w:ascii="Arial" w:cs="Arial" w:eastAsia="Arial" w:hAnsi="Arial"/>
            <w:sz w:val="16"/>
            <w:szCs w:val="16"/>
            <w:u w:val="single" w:color="auto"/>
            <w:color w:val="0000FF"/>
          </w:rPr>
          <w:t>Form of Stock Option Agreement and Notice of Grant of</w:t>
        </w:r>
      </w:hyperlink>
      <w:r>
        <w:rPr>
          <w:rFonts w:ascii="Arial" w:cs="Arial" w:eastAsia="Arial" w:hAnsi="Arial"/>
          <w:sz w:val="16"/>
          <w:szCs w:val="16"/>
          <w:u w:val="single" w:color="auto"/>
          <w:color w:val="0000FF"/>
        </w:rPr>
        <w:t xml:space="preserve"> </w:t>
      </w:r>
      <w:hyperlink r:id="rId134">
        <w:r>
          <w:rPr>
            <w:rFonts w:ascii="Arial" w:cs="Arial" w:eastAsia="Arial" w:hAnsi="Arial"/>
            <w:sz w:val="16"/>
            <w:szCs w:val="16"/>
            <w:u w:val="single" w:color="auto"/>
            <w:color w:val="0000FF"/>
          </w:rPr>
          <w:t>Stock Options and Option Agreement for use with 1995 Stock</w:t>
        </w:r>
      </w:hyperlink>
      <w:r>
        <w:rPr>
          <w:rFonts w:ascii="Arial" w:cs="Arial" w:eastAsia="Arial" w:hAnsi="Arial"/>
          <w:sz w:val="16"/>
          <w:szCs w:val="16"/>
          <w:u w:val="single" w:color="auto"/>
          <w:color w:val="0000FF"/>
        </w:rPr>
        <w:t xml:space="preserve"> </w:t>
      </w:r>
      <w:hyperlink r:id="rId134">
        <w:r>
          <w:rPr>
            <w:rFonts w:ascii="Arial" w:cs="Arial" w:eastAsia="Arial" w:hAnsi="Arial"/>
            <w:sz w:val="16"/>
            <w:szCs w:val="16"/>
            <w:u w:val="single" w:color="auto"/>
            <w:color w:val="0000FF"/>
          </w:rPr>
          <w:t>Option Plan (for options granted after September 20, 2013)</w:t>
        </w:r>
      </w:hyperlink>
    </w:p>
    <w:p>
      <w:pPr>
        <w:spacing w:after="0" w:line="12" w:lineRule="exact"/>
        <w:rPr>
          <w:rFonts w:ascii="Arial" w:cs="Arial" w:eastAsia="Arial" w:hAnsi="Arial"/>
          <w:sz w:val="16"/>
          <w:szCs w:val="16"/>
          <w:u w:val="single" w:color="auto"/>
          <w:color w:val="0000FF"/>
        </w:rPr>
      </w:pPr>
    </w:p>
    <w:p>
      <w:pPr>
        <w:ind w:right="40"/>
        <w:spacing w:after="0" w:line="219" w:lineRule="auto"/>
        <w:rPr>
          <w:rFonts w:ascii="Arial" w:cs="Arial" w:eastAsia="Arial" w:hAnsi="Arial"/>
          <w:sz w:val="18"/>
          <w:szCs w:val="18"/>
          <w:u w:val="single" w:color="auto"/>
          <w:color w:val="0000FF"/>
        </w:rPr>
      </w:pPr>
      <w:hyperlink r:id="rId135">
        <w:r>
          <w:rPr>
            <w:rFonts w:ascii="Arial" w:cs="Arial" w:eastAsia="Arial" w:hAnsi="Arial"/>
            <w:sz w:val="18"/>
            <w:szCs w:val="18"/>
            <w:u w:val="single" w:color="auto"/>
            <w:color w:val="0000FF"/>
          </w:rPr>
          <w:t>Form of Stock Unit Agreement and Notice of Grant of Award</w:t>
        </w:r>
      </w:hyperlink>
      <w:r>
        <w:rPr>
          <w:rFonts w:ascii="Arial" w:cs="Arial" w:eastAsia="Arial" w:hAnsi="Arial"/>
          <w:sz w:val="18"/>
          <w:szCs w:val="18"/>
          <w:u w:val="single" w:color="auto"/>
          <w:color w:val="0000FF"/>
        </w:rPr>
        <w:t xml:space="preserve"> </w:t>
      </w:r>
      <w:hyperlink r:id="rId135">
        <w:r>
          <w:rPr>
            <w:rFonts w:ascii="Arial" w:cs="Arial" w:eastAsia="Arial" w:hAnsi="Arial"/>
            <w:sz w:val="18"/>
            <w:szCs w:val="18"/>
            <w:u w:val="single" w:color="auto"/>
            <w:color w:val="0000FF"/>
          </w:rPr>
          <w:t>and Award Agreement for use with the Amended and</w:t>
        </w:r>
      </w:hyperlink>
      <w:r>
        <w:rPr>
          <w:rFonts w:ascii="Arial" w:cs="Arial" w:eastAsia="Arial" w:hAnsi="Arial"/>
          <w:sz w:val="18"/>
          <w:szCs w:val="18"/>
          <w:u w:val="single" w:color="auto"/>
          <w:color w:val="0000FF"/>
        </w:rPr>
        <w:t xml:space="preserve"> </w:t>
      </w:r>
      <w:hyperlink r:id="rId135">
        <w:r>
          <w:rPr>
            <w:rFonts w:ascii="Arial" w:cs="Arial" w:eastAsia="Arial" w:hAnsi="Arial"/>
            <w:sz w:val="18"/>
            <w:szCs w:val="18"/>
            <w:u w:val="single" w:color="auto"/>
            <w:color w:val="0000FF"/>
          </w:rPr>
          <w:t>Restated 1995 Stock Option Plan (for RSUs granted on or</w:t>
        </w:r>
      </w:hyperlink>
      <w:r>
        <w:rPr>
          <w:rFonts w:ascii="Arial" w:cs="Arial" w:eastAsia="Arial" w:hAnsi="Arial"/>
          <w:sz w:val="18"/>
          <w:szCs w:val="18"/>
          <w:u w:val="single" w:color="auto"/>
          <w:color w:val="0000FF"/>
        </w:rPr>
        <w:t xml:space="preserve"> </w:t>
      </w:r>
      <w:hyperlink r:id="rId135">
        <w:r>
          <w:rPr>
            <w:rFonts w:ascii="Arial" w:cs="Arial" w:eastAsia="Arial" w:hAnsi="Arial"/>
            <w:sz w:val="18"/>
            <w:szCs w:val="18"/>
            <w:u w:val="single" w:color="auto"/>
            <w:color w:val="0000FF"/>
          </w:rPr>
          <w:t>after August 2, 2010)</w:t>
        </w:r>
      </w:hyperlink>
    </w:p>
    <w:p>
      <w:pPr>
        <w:spacing w:after="0" w:line="20" w:lineRule="exact"/>
        <w:rPr>
          <w:rFonts w:ascii="Arial" w:cs="Arial" w:eastAsia="Arial" w:hAnsi="Arial"/>
          <w:sz w:val="18"/>
          <w:szCs w:val="18"/>
          <w:u w:val="single" w:color="auto"/>
          <w:color w:val="0000FF"/>
        </w:rPr>
      </w:pPr>
      <w:r>
        <w:rPr>
          <w:rFonts w:ascii="Arial" w:cs="Arial" w:eastAsia="Arial" w:hAnsi="Arial"/>
          <w:sz w:val="18"/>
          <w:szCs w:val="18"/>
          <w:u w:val="single" w:color="auto"/>
          <w:color w:val="0000FF"/>
        </w:rPr>
        <w:br w:type="column"/>
      </w:r>
    </w:p>
    <w:p>
      <w:pPr>
        <w:spacing w:after="0" w:line="1" w:lineRule="exact"/>
        <w:rPr>
          <w:rFonts w:ascii="Arial" w:cs="Arial" w:eastAsia="Arial" w:hAnsi="Arial"/>
          <w:sz w:val="1"/>
          <w:szCs w:val="1"/>
          <w:u w:val="single" w:color="auto"/>
          <w:color w:val="0000FF"/>
        </w:rPr>
      </w:pPr>
    </w:p>
    <w:tbl>
      <w:tblPr>
        <w:tblLayout w:type="fixed"/>
        <w:tblInd w:w="0" w:type="dxa"/>
        <w:tblCellMar>
          <w:top w:w="0" w:type="dxa"/>
          <w:left w:w="0" w:type="dxa"/>
          <w:bottom w:w="0" w:type="dxa"/>
          <w:right w:w="0" w:type="dxa"/>
        </w:tblCellMar>
      </w:tblPr>
      <w:tr>
        <w:trPr>
          <w:trHeight w:val="230"/>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4.4</w:t>
            </w:r>
          </w:p>
        </w:tc>
        <w:tc>
          <w:tcPr>
            <w:tcW w:w="1600" w:type="dxa"/>
            <w:vAlign w:val="bottom"/>
          </w:tcPr>
          <w:p>
            <w:pPr>
              <w:ind w:left="580"/>
              <w:spacing w:after="0"/>
              <w:rPr>
                <w:sz w:val="20"/>
                <w:szCs w:val="20"/>
                <w:color w:val="auto"/>
              </w:rPr>
            </w:pPr>
            <w:r>
              <w:rPr>
                <w:rFonts w:ascii="Arial" w:cs="Arial" w:eastAsia="Arial" w:hAnsi="Arial"/>
                <w:sz w:val="18"/>
                <w:szCs w:val="18"/>
                <w:color w:val="auto"/>
              </w:rPr>
              <w:t>06/22/2018</w:t>
            </w:r>
          </w:p>
        </w:tc>
      </w:tr>
      <w:tr>
        <w:trPr>
          <w:trHeight w:val="702"/>
        </w:trPr>
        <w:tc>
          <w:tcPr>
            <w:tcW w:w="6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600" w:type="dxa"/>
            <w:vAlign w:val="bottom"/>
          </w:tcPr>
          <w:p>
            <w:pPr>
              <w:ind w:left="580"/>
              <w:spacing w:after="0"/>
              <w:rPr>
                <w:sz w:val="20"/>
                <w:szCs w:val="20"/>
                <w:color w:val="auto"/>
              </w:rPr>
            </w:pPr>
            <w:r>
              <w:rPr>
                <w:rFonts w:ascii="Arial" w:cs="Arial" w:eastAsia="Arial" w:hAnsi="Arial"/>
                <w:sz w:val="18"/>
                <w:szCs w:val="18"/>
                <w:color w:val="auto"/>
                <w:w w:val="94"/>
              </w:rPr>
              <w:t>filed herewith</w:t>
            </w:r>
          </w:p>
        </w:tc>
      </w:tr>
      <w:tr>
        <w:trPr>
          <w:trHeight w:val="540"/>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10.1</w:t>
            </w:r>
          </w:p>
        </w:tc>
        <w:tc>
          <w:tcPr>
            <w:tcW w:w="1600" w:type="dxa"/>
            <w:vAlign w:val="bottom"/>
          </w:tcPr>
          <w:p>
            <w:pPr>
              <w:ind w:left="580"/>
              <w:spacing w:after="0"/>
              <w:rPr>
                <w:sz w:val="20"/>
                <w:szCs w:val="20"/>
                <w:color w:val="auto"/>
              </w:rPr>
            </w:pPr>
            <w:r>
              <w:rPr>
                <w:rFonts w:ascii="Arial" w:cs="Arial" w:eastAsia="Arial" w:hAnsi="Arial"/>
                <w:sz w:val="18"/>
                <w:szCs w:val="18"/>
                <w:color w:val="auto"/>
              </w:rPr>
              <w:t>12/2/2011</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10-K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10.4</w:t>
            </w:r>
          </w:p>
        </w:tc>
        <w:tc>
          <w:tcPr>
            <w:tcW w:w="1600" w:type="dxa"/>
            <w:vAlign w:val="bottom"/>
          </w:tcPr>
          <w:p>
            <w:pPr>
              <w:ind w:left="580"/>
              <w:spacing w:after="0"/>
              <w:rPr>
                <w:sz w:val="20"/>
                <w:szCs w:val="20"/>
                <w:color w:val="auto"/>
              </w:rPr>
            </w:pPr>
            <w:r>
              <w:rPr>
                <w:rFonts w:ascii="Arial" w:cs="Arial" w:eastAsia="Arial" w:hAnsi="Arial"/>
                <w:sz w:val="18"/>
                <w:szCs w:val="18"/>
                <w:color w:val="auto"/>
              </w:rPr>
              <w:t>3/29/2013</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10.2</w:t>
            </w:r>
          </w:p>
        </w:tc>
        <w:tc>
          <w:tcPr>
            <w:tcW w:w="1600" w:type="dxa"/>
            <w:vAlign w:val="bottom"/>
          </w:tcPr>
          <w:p>
            <w:pPr>
              <w:ind w:left="580"/>
              <w:spacing w:after="0"/>
              <w:rPr>
                <w:sz w:val="20"/>
                <w:szCs w:val="20"/>
                <w:color w:val="auto"/>
              </w:rPr>
            </w:pPr>
            <w:r>
              <w:rPr>
                <w:rFonts w:ascii="Arial" w:cs="Arial" w:eastAsia="Arial" w:hAnsi="Arial"/>
                <w:sz w:val="18"/>
                <w:szCs w:val="18"/>
                <w:color w:val="auto"/>
              </w:rPr>
              <w:t>7/2/2015</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10-K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10.20</w:t>
            </w:r>
          </w:p>
        </w:tc>
        <w:tc>
          <w:tcPr>
            <w:tcW w:w="1600" w:type="dxa"/>
            <w:vAlign w:val="bottom"/>
          </w:tcPr>
          <w:p>
            <w:pPr>
              <w:ind w:left="580"/>
              <w:spacing w:after="0"/>
              <w:rPr>
                <w:sz w:val="20"/>
                <w:szCs w:val="20"/>
                <w:color w:val="auto"/>
              </w:rPr>
            </w:pPr>
            <w:r>
              <w:rPr>
                <w:rFonts w:ascii="Arial" w:cs="Arial" w:eastAsia="Arial" w:hAnsi="Arial"/>
                <w:sz w:val="18"/>
                <w:szCs w:val="18"/>
                <w:color w:val="auto"/>
              </w:rPr>
              <w:t>4/13/2006</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10.2</w:t>
            </w:r>
          </w:p>
        </w:tc>
        <w:tc>
          <w:tcPr>
            <w:tcW w:w="1600" w:type="dxa"/>
            <w:vAlign w:val="bottom"/>
          </w:tcPr>
          <w:p>
            <w:pPr>
              <w:ind w:left="580"/>
              <w:spacing w:after="0"/>
              <w:rPr>
                <w:sz w:val="20"/>
                <w:szCs w:val="20"/>
                <w:color w:val="auto"/>
              </w:rPr>
            </w:pPr>
            <w:r>
              <w:rPr>
                <w:rFonts w:ascii="Arial" w:cs="Arial" w:eastAsia="Arial" w:hAnsi="Arial"/>
                <w:sz w:val="18"/>
                <w:szCs w:val="18"/>
                <w:color w:val="auto"/>
              </w:rPr>
              <w:t>9/26/2013</w:t>
            </w:r>
          </w:p>
        </w:tc>
      </w:tr>
      <w:tr>
        <w:trPr>
          <w:trHeight w:val="608"/>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10.4</w:t>
            </w:r>
          </w:p>
        </w:tc>
        <w:tc>
          <w:tcPr>
            <w:tcW w:w="1600" w:type="dxa"/>
            <w:vAlign w:val="bottom"/>
          </w:tcPr>
          <w:p>
            <w:pPr>
              <w:ind w:left="580"/>
              <w:spacing w:after="0"/>
              <w:rPr>
                <w:sz w:val="20"/>
                <w:szCs w:val="20"/>
                <w:color w:val="auto"/>
              </w:rPr>
            </w:pPr>
            <w:r>
              <w:rPr>
                <w:rFonts w:ascii="Arial" w:cs="Arial" w:eastAsia="Arial" w:hAnsi="Arial"/>
                <w:sz w:val="18"/>
                <w:szCs w:val="18"/>
                <w:color w:val="auto"/>
              </w:rPr>
              <w:t>9/3/2010</w:t>
            </w:r>
          </w:p>
        </w:tc>
      </w:tr>
    </w:tbl>
    <w:p>
      <w:pPr>
        <w:spacing w:after="0" w:line="674" w:lineRule="exact"/>
        <w:rPr>
          <w:rFonts w:ascii="Arial" w:cs="Arial" w:eastAsia="Arial" w:hAnsi="Arial"/>
          <w:sz w:val="18"/>
          <w:szCs w:val="18"/>
          <w:u w:val="single" w:color="auto"/>
          <w:color w:val="0000FF"/>
        </w:rPr>
      </w:pPr>
    </w:p>
    <w:p>
      <w:pPr>
        <w:sectPr>
          <w:pgSz w:w="11900" w:h="16838" w:orient="portrait"/>
          <w:cols w:equalWidth="0" w:num="3">
            <w:col w:w="540" w:space="580"/>
            <w:col w:w="4480" w:space="240"/>
            <w:col w:w="4960"/>
          </w:cols>
          <w:pgMar w:left="440" w:top="1327" w:right="659" w:bottom="1440" w:gutter="0" w:footer="0" w:header="0"/>
        </w:sectPr>
      </w:pPr>
    </w:p>
    <w:p>
      <w:pPr>
        <w:spacing w:after="0" w:line="13"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8"/>
          <w:szCs w:val="18"/>
          <w:color w:val="auto"/>
        </w:rPr>
        <w:t>10.3.9#</w:t>
      </w:r>
    </w:p>
    <w:p>
      <w:pPr>
        <w:spacing w:after="0" w:line="200" w:lineRule="exact"/>
        <w:rPr>
          <w:rFonts w:ascii="Arial" w:cs="Arial" w:eastAsia="Arial" w:hAnsi="Arial"/>
          <w:sz w:val="18"/>
          <w:szCs w:val="18"/>
          <w:u w:val="single" w:color="auto"/>
          <w:color w:val="0000FF"/>
        </w:rPr>
      </w:pPr>
    </w:p>
    <w:p>
      <w:pPr>
        <w:spacing w:after="0" w:line="336"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6"/>
          <w:szCs w:val="16"/>
          <w:color w:val="auto"/>
        </w:rPr>
        <w:t>10.3.10#</w:t>
      </w:r>
    </w:p>
    <w:p>
      <w:pPr>
        <w:spacing w:after="0" w:line="200" w:lineRule="exact"/>
        <w:rPr>
          <w:rFonts w:ascii="Arial" w:cs="Arial" w:eastAsia="Arial" w:hAnsi="Arial"/>
          <w:sz w:val="18"/>
          <w:szCs w:val="18"/>
          <w:u w:val="single" w:color="auto"/>
          <w:color w:val="0000FF"/>
        </w:rPr>
      </w:pPr>
    </w:p>
    <w:p>
      <w:pPr>
        <w:spacing w:after="0" w:line="359"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6"/>
          <w:szCs w:val="16"/>
          <w:color w:val="auto"/>
        </w:rPr>
        <w:t>10.3.11#</w:t>
      </w:r>
    </w:p>
    <w:p>
      <w:pPr>
        <w:spacing w:after="0" w:line="200" w:lineRule="exact"/>
        <w:rPr>
          <w:rFonts w:ascii="Arial" w:cs="Arial" w:eastAsia="Arial" w:hAnsi="Arial"/>
          <w:sz w:val="18"/>
          <w:szCs w:val="18"/>
          <w:u w:val="single" w:color="auto"/>
          <w:color w:val="0000FF"/>
        </w:rPr>
      </w:pPr>
    </w:p>
    <w:p>
      <w:pPr>
        <w:spacing w:after="0" w:line="359"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6"/>
          <w:szCs w:val="16"/>
          <w:color w:val="auto"/>
        </w:rPr>
        <w:t>10.3.12#</w:t>
      </w:r>
    </w:p>
    <w:p>
      <w:pPr>
        <w:spacing w:after="0" w:line="194"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6"/>
          <w:szCs w:val="16"/>
          <w:color w:val="auto"/>
        </w:rPr>
        <w:t>10.2.12#</w:t>
      </w:r>
    </w:p>
    <w:p>
      <w:pPr>
        <w:spacing w:after="0" w:line="200" w:lineRule="exact"/>
        <w:rPr>
          <w:rFonts w:ascii="Arial" w:cs="Arial" w:eastAsia="Arial" w:hAnsi="Arial"/>
          <w:sz w:val="18"/>
          <w:szCs w:val="18"/>
          <w:u w:val="single" w:color="auto"/>
          <w:color w:val="0000FF"/>
        </w:rPr>
      </w:pPr>
    </w:p>
    <w:p>
      <w:pPr>
        <w:spacing w:after="0" w:line="210"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8"/>
          <w:szCs w:val="18"/>
          <w:color w:val="auto"/>
        </w:rPr>
        <w:t>10.4#</w:t>
      </w:r>
    </w:p>
    <w:p>
      <w:pPr>
        <w:spacing w:after="0" w:line="360"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8"/>
          <w:szCs w:val="18"/>
          <w:color w:val="auto"/>
        </w:rPr>
        <w:t>10.6#</w:t>
      </w:r>
    </w:p>
    <w:p>
      <w:pPr>
        <w:spacing w:after="0" w:line="360"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8"/>
          <w:szCs w:val="18"/>
          <w:color w:val="auto"/>
        </w:rPr>
        <w:t>10.7#</w:t>
      </w:r>
    </w:p>
    <w:p>
      <w:pPr>
        <w:spacing w:after="0" w:line="20" w:lineRule="exact"/>
        <w:rPr>
          <w:rFonts w:ascii="Arial" w:cs="Arial" w:eastAsia="Arial" w:hAnsi="Arial"/>
          <w:sz w:val="18"/>
          <w:szCs w:val="18"/>
          <w:u w:val="single" w:color="auto"/>
          <w:color w:val="0000FF"/>
        </w:rPr>
      </w:pPr>
      <w:r>
        <w:rPr>
          <w:rFonts w:ascii="Arial" w:cs="Arial" w:eastAsia="Arial" w:hAnsi="Arial"/>
          <w:sz w:val="18"/>
          <w:szCs w:val="18"/>
          <w:u w:val="single" w:color="auto"/>
          <w:color w:val="0000FF"/>
        </w:rPr>
        <w:br w:type="column"/>
      </w:r>
    </w:p>
    <w:p>
      <w:pPr>
        <w:jc w:val="both"/>
        <w:ind w:right="240"/>
        <w:spacing w:after="0" w:line="224" w:lineRule="auto"/>
        <w:rPr>
          <w:rFonts w:ascii="Arial" w:cs="Arial" w:eastAsia="Arial" w:hAnsi="Arial"/>
          <w:sz w:val="18"/>
          <w:szCs w:val="18"/>
          <w:u w:val="single" w:color="auto"/>
          <w:color w:val="0000FF"/>
        </w:rPr>
      </w:pPr>
      <w:hyperlink r:id="rId136">
        <w:r>
          <w:rPr>
            <w:rFonts w:ascii="Arial" w:cs="Arial" w:eastAsia="Arial" w:hAnsi="Arial"/>
            <w:sz w:val="18"/>
            <w:szCs w:val="18"/>
            <w:u w:val="single" w:color="auto"/>
            <w:color w:val="0000FF"/>
          </w:rPr>
          <w:t>Form of Notice of Grant of Stock Options — Performance-</w:t>
        </w:r>
      </w:hyperlink>
      <w:hyperlink r:id="rId136">
        <w:r>
          <w:rPr>
            <w:rFonts w:ascii="Arial" w:cs="Arial" w:eastAsia="Arial" w:hAnsi="Arial"/>
            <w:sz w:val="18"/>
            <w:szCs w:val="18"/>
            <w:u w:val="single" w:color="auto"/>
            <w:color w:val="0000FF"/>
          </w:rPr>
          <w:t>Based, for use with the Amended and Restated 1995 Stock</w:t>
        </w:r>
      </w:hyperlink>
      <w:r>
        <w:rPr>
          <w:rFonts w:ascii="Arial" w:cs="Arial" w:eastAsia="Arial" w:hAnsi="Arial"/>
          <w:sz w:val="18"/>
          <w:szCs w:val="18"/>
          <w:u w:val="single" w:color="auto"/>
          <w:color w:val="0000FF"/>
        </w:rPr>
        <w:t xml:space="preserve"> </w:t>
      </w:r>
      <w:hyperlink r:id="rId136">
        <w:r>
          <w:rPr>
            <w:rFonts w:ascii="Arial" w:cs="Arial" w:eastAsia="Arial" w:hAnsi="Arial"/>
            <w:sz w:val="18"/>
            <w:szCs w:val="18"/>
            <w:u w:val="single" w:color="auto"/>
            <w:color w:val="0000FF"/>
          </w:rPr>
          <w:t>Option Plan</w:t>
        </w:r>
      </w:hyperlink>
    </w:p>
    <w:p>
      <w:pPr>
        <w:spacing w:after="0" w:line="163" w:lineRule="exact"/>
        <w:rPr>
          <w:rFonts w:ascii="Arial" w:cs="Arial" w:eastAsia="Arial" w:hAnsi="Arial"/>
          <w:sz w:val="18"/>
          <w:szCs w:val="18"/>
          <w:u w:val="single" w:color="auto"/>
          <w:color w:val="0000FF"/>
        </w:rPr>
      </w:pPr>
    </w:p>
    <w:p>
      <w:pPr>
        <w:jc w:val="both"/>
        <w:ind w:right="60"/>
        <w:spacing w:after="0" w:line="259" w:lineRule="auto"/>
        <w:rPr>
          <w:rFonts w:ascii="Arial" w:cs="Arial" w:eastAsia="Arial" w:hAnsi="Arial"/>
          <w:sz w:val="16"/>
          <w:szCs w:val="16"/>
          <w:u w:val="single" w:color="auto"/>
          <w:color w:val="0000FF"/>
        </w:rPr>
      </w:pPr>
      <w:hyperlink r:id="rId137">
        <w:r>
          <w:rPr>
            <w:rFonts w:ascii="Arial" w:cs="Arial" w:eastAsia="Arial" w:hAnsi="Arial"/>
            <w:sz w:val="16"/>
            <w:szCs w:val="16"/>
            <w:u w:val="single" w:color="auto"/>
            <w:color w:val="0000FF"/>
          </w:rPr>
          <w:t>Form of Performance Award Agreement and Notice of Grant</w:t>
        </w:r>
      </w:hyperlink>
      <w:r>
        <w:rPr>
          <w:rFonts w:ascii="Arial" w:cs="Arial" w:eastAsia="Arial" w:hAnsi="Arial"/>
          <w:sz w:val="16"/>
          <w:szCs w:val="16"/>
          <w:u w:val="single" w:color="auto"/>
          <w:color w:val="0000FF"/>
        </w:rPr>
        <w:t xml:space="preserve"> </w:t>
      </w:r>
      <w:hyperlink r:id="rId137">
        <w:r>
          <w:rPr>
            <w:rFonts w:ascii="Arial" w:cs="Arial" w:eastAsia="Arial" w:hAnsi="Arial"/>
            <w:sz w:val="16"/>
            <w:szCs w:val="16"/>
            <w:u w:val="single" w:color="auto"/>
            <w:color w:val="0000FF"/>
          </w:rPr>
          <w:t>of Performance Award and Award Agreement for use with the</w:t>
        </w:r>
      </w:hyperlink>
      <w:r>
        <w:rPr>
          <w:rFonts w:ascii="Arial" w:cs="Arial" w:eastAsia="Arial" w:hAnsi="Arial"/>
          <w:sz w:val="16"/>
          <w:szCs w:val="16"/>
          <w:u w:val="single" w:color="auto"/>
          <w:color w:val="0000FF"/>
        </w:rPr>
        <w:t xml:space="preserve"> </w:t>
      </w:r>
      <w:hyperlink r:id="rId137">
        <w:r>
          <w:rPr>
            <w:rFonts w:ascii="Arial" w:cs="Arial" w:eastAsia="Arial" w:hAnsi="Arial"/>
            <w:sz w:val="16"/>
            <w:szCs w:val="16"/>
            <w:u w:val="single" w:color="auto"/>
            <w:color w:val="0000FF"/>
          </w:rPr>
          <w:t>Amended and Restated 1995 Stock Option Plan</w:t>
        </w:r>
      </w:hyperlink>
    </w:p>
    <w:p>
      <w:pPr>
        <w:spacing w:after="0" w:line="147" w:lineRule="exact"/>
        <w:rPr>
          <w:rFonts w:ascii="Arial" w:cs="Arial" w:eastAsia="Arial" w:hAnsi="Arial"/>
          <w:sz w:val="16"/>
          <w:szCs w:val="16"/>
          <w:u w:val="single" w:color="auto"/>
          <w:color w:val="0000FF"/>
        </w:rPr>
      </w:pPr>
    </w:p>
    <w:p>
      <w:pPr>
        <w:jc w:val="both"/>
        <w:ind w:right="220"/>
        <w:spacing w:after="0" w:line="224" w:lineRule="auto"/>
        <w:rPr>
          <w:rFonts w:ascii="Arial" w:cs="Arial" w:eastAsia="Arial" w:hAnsi="Arial"/>
          <w:sz w:val="18"/>
          <w:szCs w:val="18"/>
          <w:u w:val="single" w:color="auto"/>
          <w:color w:val="0000FF"/>
        </w:rPr>
      </w:pPr>
      <w:hyperlink r:id="rId138">
        <w:r>
          <w:rPr>
            <w:rFonts w:ascii="Arial" w:cs="Arial" w:eastAsia="Arial" w:hAnsi="Arial"/>
            <w:sz w:val="18"/>
            <w:szCs w:val="18"/>
            <w:u w:val="single" w:color="auto"/>
            <w:color w:val="0000FF"/>
          </w:rPr>
          <w:t>Form of Deferral Feature Stock Unit Agreement with Stock</w:t>
        </w:r>
      </w:hyperlink>
      <w:r>
        <w:rPr>
          <w:rFonts w:ascii="Arial" w:cs="Arial" w:eastAsia="Arial" w:hAnsi="Arial"/>
          <w:sz w:val="18"/>
          <w:szCs w:val="18"/>
          <w:u w:val="single" w:color="auto"/>
          <w:color w:val="0000FF"/>
        </w:rPr>
        <w:t xml:space="preserve"> </w:t>
      </w:r>
      <w:hyperlink r:id="rId138">
        <w:r>
          <w:rPr>
            <w:rFonts w:ascii="Arial" w:cs="Arial" w:eastAsia="Arial" w:hAnsi="Arial"/>
            <w:sz w:val="18"/>
            <w:szCs w:val="18"/>
            <w:u w:val="single" w:color="auto"/>
            <w:color w:val="0000FF"/>
          </w:rPr>
          <w:t>Unit Election Form for use with the Amended and Restated</w:t>
        </w:r>
      </w:hyperlink>
      <w:r>
        <w:rPr>
          <w:rFonts w:ascii="Arial" w:cs="Arial" w:eastAsia="Arial" w:hAnsi="Arial"/>
          <w:sz w:val="18"/>
          <w:szCs w:val="18"/>
          <w:u w:val="single" w:color="auto"/>
          <w:color w:val="0000FF"/>
        </w:rPr>
        <w:t xml:space="preserve"> </w:t>
      </w:r>
      <w:hyperlink r:id="rId138">
        <w:r>
          <w:rPr>
            <w:rFonts w:ascii="Arial" w:cs="Arial" w:eastAsia="Arial" w:hAnsi="Arial"/>
            <w:sz w:val="18"/>
            <w:szCs w:val="18"/>
            <w:u w:val="single" w:color="auto"/>
            <w:color w:val="0000FF"/>
          </w:rPr>
          <w:t>1995 Stock Option Plan</w:t>
        </w:r>
      </w:hyperlink>
    </w:p>
    <w:p>
      <w:pPr>
        <w:spacing w:after="0" w:line="163" w:lineRule="exact"/>
        <w:rPr>
          <w:rFonts w:ascii="Arial" w:cs="Arial" w:eastAsia="Arial" w:hAnsi="Arial"/>
          <w:sz w:val="18"/>
          <w:szCs w:val="18"/>
          <w:u w:val="single" w:color="auto"/>
          <w:color w:val="0000FF"/>
        </w:rPr>
      </w:pPr>
    </w:p>
    <w:p>
      <w:pPr>
        <w:spacing w:after="0"/>
        <w:rPr>
          <w:rFonts w:ascii="Arial" w:cs="Arial" w:eastAsia="Arial" w:hAnsi="Arial"/>
          <w:sz w:val="18"/>
          <w:szCs w:val="18"/>
          <w:u w:val="single" w:color="auto"/>
          <w:color w:val="0000FF"/>
        </w:rPr>
      </w:pPr>
      <w:hyperlink r:id="rId139">
        <w:r>
          <w:rPr>
            <w:rFonts w:ascii="Arial" w:cs="Arial" w:eastAsia="Arial" w:hAnsi="Arial"/>
            <w:sz w:val="18"/>
            <w:szCs w:val="18"/>
            <w:u w:val="single" w:color="auto"/>
            <w:color w:val="0000FF"/>
          </w:rPr>
          <w:t>Form of Relative TSR RSU Grant Notice</w:t>
        </w:r>
      </w:hyperlink>
    </w:p>
    <w:p>
      <w:pPr>
        <w:spacing w:after="0" w:line="171" w:lineRule="exact"/>
        <w:rPr>
          <w:rFonts w:ascii="Arial" w:cs="Arial" w:eastAsia="Arial" w:hAnsi="Arial"/>
          <w:sz w:val="18"/>
          <w:szCs w:val="18"/>
          <w:u w:val="single" w:color="auto"/>
          <w:color w:val="0000FF"/>
        </w:rPr>
      </w:pPr>
    </w:p>
    <w:p>
      <w:pPr>
        <w:ind w:right="460"/>
        <w:spacing w:after="0" w:line="307" w:lineRule="auto"/>
        <w:rPr>
          <w:rFonts w:ascii="Arial" w:cs="Arial" w:eastAsia="Arial" w:hAnsi="Arial"/>
          <w:sz w:val="16"/>
          <w:szCs w:val="16"/>
          <w:u w:val="single" w:color="auto"/>
          <w:color w:val="0000FF"/>
        </w:rPr>
      </w:pPr>
      <w:hyperlink r:id="rId140">
        <w:r>
          <w:rPr>
            <w:rFonts w:ascii="Arial" w:cs="Arial" w:eastAsia="Arial" w:hAnsi="Arial"/>
            <w:sz w:val="16"/>
            <w:szCs w:val="16"/>
            <w:u w:val="single" w:color="auto"/>
            <w:color w:val="0000FF"/>
          </w:rPr>
          <w:t>Form of Relative Total Shareholder Return Performance</w:t>
        </w:r>
      </w:hyperlink>
      <w:r>
        <w:rPr>
          <w:rFonts w:ascii="Arial" w:cs="Arial" w:eastAsia="Arial" w:hAnsi="Arial"/>
          <w:sz w:val="16"/>
          <w:szCs w:val="16"/>
          <w:u w:val="single" w:color="auto"/>
          <w:color w:val="0000FF"/>
        </w:rPr>
        <w:t xml:space="preserve"> </w:t>
      </w:r>
      <w:hyperlink r:id="rId140">
        <w:r>
          <w:rPr>
            <w:rFonts w:ascii="Arial" w:cs="Arial" w:eastAsia="Arial" w:hAnsi="Arial"/>
            <w:sz w:val="16"/>
            <w:szCs w:val="16"/>
            <w:u w:val="single" w:color="auto"/>
            <w:color w:val="0000FF"/>
          </w:rPr>
          <w:t>Based Restricted Stock Unit Grant Notice</w:t>
        </w:r>
      </w:hyperlink>
    </w:p>
    <w:p>
      <w:pPr>
        <w:spacing w:after="0" w:line="123" w:lineRule="exact"/>
        <w:rPr>
          <w:sz w:val="20"/>
          <w:szCs w:val="20"/>
          <w:color w:val="auto"/>
        </w:rPr>
      </w:pPr>
    </w:p>
    <w:p>
      <w:pPr>
        <w:ind w:right="480"/>
        <w:spacing w:after="0" w:line="235" w:lineRule="auto"/>
        <w:rPr>
          <w:rFonts w:ascii="Arial" w:cs="Arial" w:eastAsia="Arial" w:hAnsi="Arial"/>
          <w:sz w:val="18"/>
          <w:szCs w:val="18"/>
          <w:u w:val="single" w:color="auto"/>
          <w:color w:val="0000FF"/>
        </w:rPr>
      </w:pPr>
      <w:hyperlink r:id="rId141">
        <w:r>
          <w:rPr>
            <w:rFonts w:ascii="Arial" w:cs="Arial" w:eastAsia="Arial" w:hAnsi="Arial"/>
            <w:sz w:val="18"/>
            <w:szCs w:val="18"/>
            <w:u w:val="single" w:color="auto"/>
            <w:color w:val="0000FF"/>
          </w:rPr>
          <w:t>Marvell Technology Group Ltd. Executive Performance</w:t>
        </w:r>
      </w:hyperlink>
      <w:r>
        <w:rPr>
          <w:rFonts w:ascii="Arial" w:cs="Arial" w:eastAsia="Arial" w:hAnsi="Arial"/>
          <w:sz w:val="18"/>
          <w:szCs w:val="18"/>
          <w:u w:val="single" w:color="auto"/>
          <w:color w:val="0000FF"/>
        </w:rPr>
        <w:t xml:space="preserve"> </w:t>
      </w:r>
      <w:hyperlink r:id="rId141">
        <w:r>
          <w:rPr>
            <w:rFonts w:ascii="Arial" w:cs="Arial" w:eastAsia="Arial" w:hAnsi="Arial"/>
            <w:sz w:val="18"/>
            <w:szCs w:val="18"/>
            <w:u w:val="single" w:color="auto"/>
            <w:color w:val="0000FF"/>
          </w:rPr>
          <w:t>Incentive Plan</w:t>
        </w:r>
      </w:hyperlink>
    </w:p>
    <w:p>
      <w:pPr>
        <w:spacing w:after="0" w:line="162" w:lineRule="exact"/>
        <w:rPr>
          <w:sz w:val="20"/>
          <w:szCs w:val="20"/>
          <w:color w:val="auto"/>
        </w:rPr>
      </w:pPr>
    </w:p>
    <w:p>
      <w:pPr>
        <w:ind w:right="120"/>
        <w:spacing w:after="0" w:line="235" w:lineRule="auto"/>
        <w:rPr>
          <w:rFonts w:ascii="Arial" w:cs="Arial" w:eastAsia="Arial" w:hAnsi="Arial"/>
          <w:sz w:val="18"/>
          <w:szCs w:val="18"/>
          <w:u w:val="single" w:color="auto"/>
          <w:color w:val="0000FF"/>
        </w:rPr>
      </w:pPr>
      <w:hyperlink r:id="rId142">
        <w:r>
          <w:rPr>
            <w:rFonts w:ascii="Arial" w:cs="Arial" w:eastAsia="Arial" w:hAnsi="Arial"/>
            <w:sz w:val="18"/>
            <w:szCs w:val="18"/>
            <w:u w:val="single" w:color="auto"/>
            <w:color w:val="0000FF"/>
          </w:rPr>
          <w:t>Description of Indemnification Rights for certain current and</w:t>
        </w:r>
      </w:hyperlink>
      <w:r>
        <w:rPr>
          <w:rFonts w:ascii="Arial" w:cs="Arial" w:eastAsia="Arial" w:hAnsi="Arial"/>
          <w:sz w:val="18"/>
          <w:szCs w:val="18"/>
          <w:u w:val="single" w:color="auto"/>
          <w:color w:val="0000FF"/>
        </w:rPr>
        <w:t xml:space="preserve"> </w:t>
      </w:r>
      <w:hyperlink r:id="rId142">
        <w:r>
          <w:rPr>
            <w:rFonts w:ascii="Arial" w:cs="Arial" w:eastAsia="Arial" w:hAnsi="Arial"/>
            <w:sz w:val="18"/>
            <w:szCs w:val="18"/>
            <w:u w:val="single" w:color="auto"/>
            <w:color w:val="0000FF"/>
          </w:rPr>
          <w:t>former directors, officers and employees</w:t>
        </w:r>
      </w:hyperlink>
    </w:p>
    <w:p>
      <w:pPr>
        <w:spacing w:after="0" w:line="162" w:lineRule="exact"/>
        <w:rPr>
          <w:sz w:val="20"/>
          <w:szCs w:val="20"/>
          <w:color w:val="auto"/>
        </w:rPr>
      </w:pPr>
    </w:p>
    <w:p>
      <w:pPr>
        <w:ind w:right="520"/>
        <w:spacing w:after="0" w:line="235" w:lineRule="auto"/>
        <w:rPr>
          <w:rFonts w:ascii="Arial" w:cs="Arial" w:eastAsia="Arial" w:hAnsi="Arial"/>
          <w:sz w:val="18"/>
          <w:szCs w:val="18"/>
          <w:u w:val="single" w:color="auto"/>
          <w:color w:val="0000FF"/>
        </w:rPr>
      </w:pPr>
      <w:hyperlink r:id="rId143">
        <w:r>
          <w:rPr>
            <w:rFonts w:ascii="Arial" w:cs="Arial" w:eastAsia="Arial" w:hAnsi="Arial"/>
            <w:sz w:val="18"/>
            <w:szCs w:val="18"/>
            <w:u w:val="single" w:color="auto"/>
            <w:color w:val="0000FF"/>
          </w:rPr>
          <w:t>Form of Indemnification Agreement with Directors and</w:t>
        </w:r>
      </w:hyperlink>
      <w:r>
        <w:rPr>
          <w:rFonts w:ascii="Arial" w:cs="Arial" w:eastAsia="Arial" w:hAnsi="Arial"/>
          <w:sz w:val="18"/>
          <w:szCs w:val="18"/>
          <w:u w:val="single" w:color="auto"/>
          <w:color w:val="0000FF"/>
        </w:rPr>
        <w:t xml:space="preserve"> </w:t>
      </w:r>
      <w:hyperlink r:id="rId143">
        <w:r>
          <w:rPr>
            <w:rFonts w:ascii="Arial" w:cs="Arial" w:eastAsia="Arial" w:hAnsi="Arial"/>
            <w:sz w:val="18"/>
            <w:szCs w:val="18"/>
            <w:u w:val="single" w:color="auto"/>
            <w:color w:val="0000FF"/>
          </w:rPr>
          <w:t>Executive Officers</w:t>
        </w:r>
      </w:hyperlink>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-781685</wp:posOffset>
            </wp:positionH>
            <wp:positionV relativeFrom="paragraph">
              <wp:posOffset>237490</wp:posOffset>
            </wp:positionV>
            <wp:extent cx="7132320" cy="1714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4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0"/>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20" w:type="dxa"/>
            <w:vAlign w:val="bottom"/>
          </w:tcPr>
          <w:p>
            <w:pPr>
              <w:ind w:left="320"/>
              <w:spacing w:after="0"/>
              <w:rPr>
                <w:sz w:val="20"/>
                <w:szCs w:val="20"/>
                <w:color w:val="auto"/>
              </w:rPr>
            </w:pPr>
            <w:r>
              <w:rPr>
                <w:rFonts w:ascii="Arial" w:cs="Arial" w:eastAsia="Arial" w:hAnsi="Arial"/>
                <w:sz w:val="18"/>
                <w:szCs w:val="18"/>
                <w:color w:val="auto"/>
              </w:rPr>
              <w:t>10.1</w:t>
            </w:r>
          </w:p>
        </w:tc>
        <w:tc>
          <w:tcPr>
            <w:tcW w:w="1300" w:type="dxa"/>
            <w:vAlign w:val="bottom"/>
          </w:tcPr>
          <w:p>
            <w:pPr>
              <w:ind w:left="480"/>
              <w:spacing w:after="0"/>
              <w:rPr>
                <w:sz w:val="20"/>
                <w:szCs w:val="20"/>
                <w:color w:val="auto"/>
              </w:rPr>
            </w:pPr>
            <w:r>
              <w:rPr>
                <w:rFonts w:ascii="Arial" w:cs="Arial" w:eastAsia="Arial" w:hAnsi="Arial"/>
                <w:sz w:val="18"/>
                <w:szCs w:val="18"/>
                <w:color w:val="auto"/>
                <w:w w:val="88"/>
              </w:rPr>
              <w:t>12/19/2008</w:t>
            </w:r>
          </w:p>
        </w:tc>
      </w:tr>
      <w:tr>
        <w:trPr>
          <w:trHeight w:val="742"/>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20" w:type="dxa"/>
            <w:vAlign w:val="bottom"/>
          </w:tcPr>
          <w:p>
            <w:pPr>
              <w:ind w:left="320"/>
              <w:spacing w:after="0"/>
              <w:rPr>
                <w:sz w:val="20"/>
                <w:szCs w:val="20"/>
                <w:color w:val="auto"/>
              </w:rPr>
            </w:pPr>
            <w:r>
              <w:rPr>
                <w:rFonts w:ascii="Arial" w:cs="Arial" w:eastAsia="Arial" w:hAnsi="Arial"/>
                <w:sz w:val="18"/>
                <w:szCs w:val="18"/>
                <w:color w:val="auto"/>
              </w:rPr>
              <w:t>10.2</w:t>
            </w:r>
          </w:p>
        </w:tc>
        <w:tc>
          <w:tcPr>
            <w:tcW w:w="1300" w:type="dxa"/>
            <w:vAlign w:val="bottom"/>
          </w:tcPr>
          <w:p>
            <w:pPr>
              <w:ind w:left="480"/>
              <w:spacing w:after="0"/>
              <w:rPr>
                <w:sz w:val="20"/>
                <w:szCs w:val="20"/>
                <w:color w:val="auto"/>
              </w:rPr>
            </w:pPr>
            <w:r>
              <w:rPr>
                <w:rFonts w:ascii="Arial" w:cs="Arial" w:eastAsia="Arial" w:hAnsi="Arial"/>
                <w:sz w:val="18"/>
                <w:szCs w:val="18"/>
                <w:color w:val="auto"/>
              </w:rPr>
              <w:t>6/5/2014</w:t>
            </w:r>
          </w:p>
        </w:tc>
      </w:tr>
      <w:tr>
        <w:trPr>
          <w:trHeight w:val="743"/>
        </w:trPr>
        <w:tc>
          <w:tcPr>
            <w:tcW w:w="640" w:type="dxa"/>
            <w:vAlign w:val="bottom"/>
          </w:tcPr>
          <w:p>
            <w:pPr>
              <w:spacing w:after="0"/>
              <w:rPr>
                <w:sz w:val="20"/>
                <w:szCs w:val="20"/>
                <w:color w:val="auto"/>
              </w:rPr>
            </w:pPr>
            <w:r>
              <w:rPr>
                <w:rFonts w:ascii="Arial" w:cs="Arial" w:eastAsia="Arial" w:hAnsi="Arial"/>
                <w:sz w:val="18"/>
                <w:szCs w:val="18"/>
                <w:color w:val="auto"/>
              </w:rPr>
              <w:t>10-K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20" w:type="dxa"/>
            <w:vAlign w:val="bottom"/>
          </w:tcPr>
          <w:p>
            <w:pPr>
              <w:ind w:left="320"/>
              <w:spacing w:after="0"/>
              <w:rPr>
                <w:sz w:val="20"/>
                <w:szCs w:val="20"/>
                <w:color w:val="auto"/>
              </w:rPr>
            </w:pPr>
            <w:r>
              <w:rPr>
                <w:rFonts w:ascii="Arial" w:cs="Arial" w:eastAsia="Arial" w:hAnsi="Arial"/>
                <w:sz w:val="18"/>
                <w:szCs w:val="18"/>
                <w:color w:val="auto"/>
              </w:rPr>
              <w:t>10.3.11#</w:t>
            </w:r>
          </w:p>
        </w:tc>
        <w:tc>
          <w:tcPr>
            <w:tcW w:w="1300" w:type="dxa"/>
            <w:vAlign w:val="bottom"/>
          </w:tcPr>
          <w:p>
            <w:pPr>
              <w:ind w:left="480"/>
              <w:spacing w:after="0"/>
              <w:rPr>
                <w:sz w:val="20"/>
                <w:szCs w:val="20"/>
                <w:color w:val="auto"/>
              </w:rPr>
            </w:pPr>
            <w:r>
              <w:rPr>
                <w:rFonts w:ascii="Arial" w:cs="Arial" w:eastAsia="Arial" w:hAnsi="Arial"/>
                <w:sz w:val="18"/>
                <w:szCs w:val="18"/>
                <w:color w:val="auto"/>
                <w:w w:val="88"/>
              </w:rPr>
              <w:t>03/29/2018</w:t>
            </w:r>
          </w:p>
        </w:tc>
      </w:tr>
      <w:tr>
        <w:trPr>
          <w:trHeight w:val="743"/>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20" w:type="dxa"/>
            <w:vAlign w:val="bottom"/>
          </w:tcPr>
          <w:p>
            <w:pPr>
              <w:ind w:left="320"/>
              <w:spacing w:after="0"/>
              <w:rPr>
                <w:sz w:val="20"/>
                <w:szCs w:val="20"/>
                <w:color w:val="auto"/>
              </w:rPr>
            </w:pPr>
            <w:r>
              <w:rPr>
                <w:rFonts w:ascii="Arial" w:cs="Arial" w:eastAsia="Arial" w:hAnsi="Arial"/>
                <w:sz w:val="18"/>
                <w:szCs w:val="18"/>
                <w:color w:val="auto"/>
              </w:rPr>
              <w:t>10.3</w:t>
            </w:r>
          </w:p>
        </w:tc>
        <w:tc>
          <w:tcPr>
            <w:tcW w:w="1300" w:type="dxa"/>
            <w:vAlign w:val="bottom"/>
          </w:tcPr>
          <w:p>
            <w:pPr>
              <w:ind w:left="480"/>
              <w:spacing w:after="0"/>
              <w:rPr>
                <w:sz w:val="20"/>
                <w:szCs w:val="20"/>
                <w:color w:val="auto"/>
              </w:rPr>
            </w:pPr>
            <w:r>
              <w:rPr>
                <w:rFonts w:ascii="Arial" w:cs="Arial" w:eastAsia="Arial" w:hAnsi="Arial"/>
                <w:sz w:val="18"/>
                <w:szCs w:val="18"/>
                <w:color w:val="auto"/>
                <w:w w:val="88"/>
              </w:rPr>
              <w:t>06/06/2019</w:t>
            </w:r>
          </w:p>
        </w:tc>
      </w:tr>
      <w:tr>
        <w:trPr>
          <w:trHeight w:val="378"/>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20" w:type="dxa"/>
            <w:vAlign w:val="bottom"/>
          </w:tcPr>
          <w:p>
            <w:pPr>
              <w:ind w:left="320"/>
              <w:spacing w:after="0"/>
              <w:rPr>
                <w:sz w:val="20"/>
                <w:szCs w:val="20"/>
                <w:color w:val="auto"/>
              </w:rPr>
            </w:pPr>
            <w:r>
              <w:rPr>
                <w:rFonts w:ascii="Arial" w:cs="Arial" w:eastAsia="Arial" w:hAnsi="Arial"/>
                <w:sz w:val="18"/>
                <w:szCs w:val="18"/>
                <w:color w:val="auto"/>
              </w:rPr>
              <w:t>10.1</w:t>
            </w:r>
          </w:p>
        </w:tc>
        <w:tc>
          <w:tcPr>
            <w:tcW w:w="1300" w:type="dxa"/>
            <w:vAlign w:val="bottom"/>
          </w:tcPr>
          <w:p>
            <w:pPr>
              <w:ind w:left="480"/>
              <w:spacing w:after="0"/>
              <w:rPr>
                <w:sz w:val="20"/>
                <w:szCs w:val="20"/>
                <w:color w:val="auto"/>
              </w:rPr>
            </w:pPr>
            <w:r>
              <w:rPr>
                <w:rFonts w:ascii="Arial" w:cs="Arial" w:eastAsia="Arial" w:hAnsi="Arial"/>
                <w:sz w:val="18"/>
                <w:szCs w:val="18"/>
                <w:color w:val="auto"/>
                <w:w w:val="88"/>
              </w:rPr>
              <w:t>06/06/2019</w:t>
            </w:r>
          </w:p>
        </w:tc>
      </w:tr>
      <w:tr>
        <w:trPr>
          <w:trHeight w:val="594"/>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20" w:type="dxa"/>
            <w:vAlign w:val="bottom"/>
          </w:tcPr>
          <w:p>
            <w:pPr>
              <w:ind w:left="320"/>
              <w:spacing w:after="0"/>
              <w:rPr>
                <w:sz w:val="20"/>
                <w:szCs w:val="20"/>
                <w:color w:val="auto"/>
              </w:rPr>
            </w:pPr>
            <w:r>
              <w:rPr>
                <w:rFonts w:ascii="Arial" w:cs="Arial" w:eastAsia="Arial" w:hAnsi="Arial"/>
                <w:sz w:val="18"/>
                <w:szCs w:val="18"/>
                <w:color w:val="auto"/>
              </w:rPr>
              <w:t>10.1</w:t>
            </w:r>
          </w:p>
        </w:tc>
        <w:tc>
          <w:tcPr>
            <w:tcW w:w="1300" w:type="dxa"/>
            <w:vAlign w:val="bottom"/>
          </w:tcPr>
          <w:p>
            <w:pPr>
              <w:ind w:left="480"/>
              <w:spacing w:after="0"/>
              <w:rPr>
                <w:sz w:val="20"/>
                <w:szCs w:val="20"/>
                <w:color w:val="auto"/>
              </w:rPr>
            </w:pPr>
            <w:r>
              <w:rPr>
                <w:rFonts w:ascii="Arial" w:cs="Arial" w:eastAsia="Arial" w:hAnsi="Arial"/>
                <w:sz w:val="18"/>
                <w:szCs w:val="18"/>
                <w:color w:val="auto"/>
              </w:rPr>
              <w:t>7/2/2015</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20" w:type="dxa"/>
            <w:vAlign w:val="bottom"/>
          </w:tcPr>
          <w:p>
            <w:pPr>
              <w:ind w:left="320"/>
              <w:spacing w:after="0"/>
              <w:rPr>
                <w:sz w:val="20"/>
                <w:szCs w:val="20"/>
                <w:color w:val="auto"/>
              </w:rPr>
            </w:pPr>
            <w:r>
              <w:rPr>
                <w:rFonts w:ascii="Arial" w:cs="Arial" w:eastAsia="Arial" w:hAnsi="Arial"/>
                <w:sz w:val="18"/>
                <w:szCs w:val="18"/>
                <w:color w:val="auto"/>
              </w:rPr>
              <w:t>10.37</w:t>
            </w:r>
          </w:p>
        </w:tc>
        <w:tc>
          <w:tcPr>
            <w:tcW w:w="1300" w:type="dxa"/>
            <w:vAlign w:val="bottom"/>
          </w:tcPr>
          <w:p>
            <w:pPr>
              <w:ind w:left="480"/>
              <w:spacing w:after="0"/>
              <w:rPr>
                <w:sz w:val="20"/>
                <w:szCs w:val="20"/>
                <w:color w:val="auto"/>
              </w:rPr>
            </w:pPr>
            <w:r>
              <w:rPr>
                <w:rFonts w:ascii="Arial" w:cs="Arial" w:eastAsia="Arial" w:hAnsi="Arial"/>
                <w:sz w:val="18"/>
                <w:szCs w:val="18"/>
                <w:color w:val="auto"/>
              </w:rPr>
              <w:t>9/6/2007</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420" w:type="dxa"/>
            <w:vAlign w:val="bottom"/>
          </w:tcPr>
          <w:p>
            <w:pPr>
              <w:ind w:left="320"/>
              <w:spacing w:after="0"/>
              <w:rPr>
                <w:sz w:val="20"/>
                <w:szCs w:val="20"/>
                <w:color w:val="auto"/>
              </w:rPr>
            </w:pPr>
            <w:r>
              <w:rPr>
                <w:rFonts w:ascii="Arial" w:cs="Arial" w:eastAsia="Arial" w:hAnsi="Arial"/>
                <w:sz w:val="18"/>
                <w:szCs w:val="18"/>
                <w:color w:val="auto"/>
              </w:rPr>
              <w:t>10.1</w:t>
            </w:r>
          </w:p>
        </w:tc>
        <w:tc>
          <w:tcPr>
            <w:tcW w:w="1300" w:type="dxa"/>
            <w:vAlign w:val="bottom"/>
          </w:tcPr>
          <w:p>
            <w:pPr>
              <w:ind w:left="480"/>
              <w:spacing w:after="0"/>
              <w:rPr>
                <w:sz w:val="20"/>
                <w:szCs w:val="20"/>
                <w:color w:val="auto"/>
              </w:rPr>
            </w:pPr>
            <w:r>
              <w:rPr>
                <w:rFonts w:ascii="Arial" w:cs="Arial" w:eastAsia="Arial" w:hAnsi="Arial"/>
                <w:sz w:val="18"/>
                <w:szCs w:val="18"/>
                <w:color w:val="auto"/>
                <w:w w:val="88"/>
              </w:rPr>
              <w:t>10/10/2008</w:t>
            </w:r>
          </w:p>
        </w:tc>
      </w:tr>
    </w:tbl>
    <w:p>
      <w:pPr>
        <w:sectPr>
          <w:pgSz w:w="11900" w:h="16838" w:orient="portrait"/>
          <w:cols w:equalWidth="0" w:num="3">
            <w:col w:w="640" w:space="480"/>
            <w:col w:w="4520" w:space="200"/>
            <w:col w:w="4960"/>
          </w:cols>
          <w:pgMar w:left="440" w:top="1327" w:right="659" w:bottom="1440" w:gutter="0" w:footer="0" w:header="0"/>
          <w:type w:val="continuous"/>
        </w:sectPr>
      </w:pPr>
    </w:p>
    <w:bookmarkStart w:id="104" w:name="page105"/>
    <w:bookmarkEnd w:id="104"/>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27"/>
        </w:trPr>
        <w:tc>
          <w:tcPr>
            <w:tcW w:w="1120" w:type="dxa"/>
            <w:vAlign w:val="bottom"/>
          </w:tcPr>
          <w:p>
            <w:pPr>
              <w:spacing w:after="0"/>
              <w:rPr>
                <w:sz w:val="20"/>
                <w:szCs w:val="20"/>
                <w:color w:val="auto"/>
              </w:rPr>
            </w:pPr>
            <w:r>
              <w:rPr>
                <w:rFonts w:ascii="Arial" w:cs="Arial" w:eastAsia="Arial" w:hAnsi="Arial"/>
                <w:sz w:val="18"/>
                <w:szCs w:val="18"/>
                <w:color w:val="auto"/>
              </w:rPr>
              <w:t>10.8#</w:t>
            </w:r>
          </w:p>
        </w:tc>
        <w:tc>
          <w:tcPr>
            <w:tcW w:w="3860" w:type="dxa"/>
            <w:vAlign w:val="bottom"/>
            <w:tcBorders>
              <w:bottom w:val="single" w:sz="8" w:color="0000FF"/>
            </w:tcBorders>
            <w:gridSpan w:val="7"/>
          </w:tcPr>
          <w:p>
            <w:pPr>
              <w:spacing w:after="0"/>
              <w:rPr>
                <w:rFonts w:ascii="Arial" w:cs="Arial" w:eastAsia="Arial" w:hAnsi="Arial"/>
                <w:sz w:val="18"/>
                <w:szCs w:val="18"/>
                <w:color w:val="0000FF"/>
                <w:w w:val="91"/>
              </w:rPr>
            </w:pPr>
            <w:hyperlink r:id="rId145">
              <w:r>
                <w:rPr>
                  <w:rFonts w:ascii="Arial" w:cs="Arial" w:eastAsia="Arial" w:hAnsi="Arial"/>
                  <w:sz w:val="18"/>
                  <w:szCs w:val="18"/>
                  <w:color w:val="0000FF"/>
                  <w:w w:val="91"/>
                </w:rPr>
                <w:t>Indemnification Arrangement with Dr. Sehat Sutardja</w:t>
              </w:r>
            </w:hyperlink>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2"/>
        </w:trPr>
        <w:tc>
          <w:tcPr>
            <w:tcW w:w="1120" w:type="dxa"/>
            <w:vAlign w:val="bottom"/>
          </w:tcPr>
          <w:p>
            <w:pPr>
              <w:spacing w:after="0"/>
              <w:rPr>
                <w:sz w:val="20"/>
                <w:szCs w:val="20"/>
                <w:color w:val="auto"/>
              </w:rPr>
            </w:pPr>
            <w:r>
              <w:rPr>
                <w:rFonts w:ascii="Arial" w:cs="Arial" w:eastAsia="Arial" w:hAnsi="Arial"/>
                <w:sz w:val="18"/>
                <w:szCs w:val="18"/>
                <w:color w:val="auto"/>
              </w:rPr>
              <w:t>10.9#</w:t>
            </w:r>
          </w:p>
        </w:tc>
        <w:tc>
          <w:tcPr>
            <w:tcW w:w="4460" w:type="dxa"/>
            <w:vAlign w:val="bottom"/>
            <w:tcBorders>
              <w:bottom w:val="single" w:sz="8" w:color="0000FF"/>
            </w:tcBorders>
            <w:gridSpan w:val="13"/>
          </w:tcPr>
          <w:p>
            <w:pPr>
              <w:spacing w:after="0"/>
              <w:rPr>
                <w:rFonts w:ascii="Arial" w:cs="Arial" w:eastAsia="Arial" w:hAnsi="Arial"/>
                <w:sz w:val="18"/>
                <w:szCs w:val="18"/>
                <w:color w:val="0000FF"/>
                <w:w w:val="91"/>
              </w:rPr>
            </w:pPr>
            <w:hyperlink r:id="rId146">
              <w:r>
                <w:rPr>
                  <w:rFonts w:ascii="Arial" w:cs="Arial" w:eastAsia="Arial" w:hAnsi="Arial"/>
                  <w:sz w:val="18"/>
                  <w:szCs w:val="18"/>
                  <w:color w:val="0000FF"/>
                  <w:w w:val="91"/>
                </w:rPr>
                <w:t>Offer Letter between the Marvell and Matthew J. Murphy and</w:t>
              </w:r>
            </w:hyperlink>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460" w:type="dxa"/>
            <w:vAlign w:val="bottom"/>
            <w:tcBorders>
              <w:bottom w:val="single" w:sz="8" w:color="0000FF"/>
            </w:tcBorders>
            <w:gridSpan w:val="13"/>
          </w:tcPr>
          <w:p>
            <w:pPr>
              <w:spacing w:after="0" w:line="156" w:lineRule="exact"/>
              <w:rPr>
                <w:rFonts w:ascii="Arial" w:cs="Arial" w:eastAsia="Arial" w:hAnsi="Arial"/>
                <w:sz w:val="18"/>
                <w:szCs w:val="18"/>
                <w:color w:val="0000FF"/>
                <w:w w:val="89"/>
              </w:rPr>
            </w:pPr>
            <w:hyperlink r:id="rId146">
              <w:r>
                <w:rPr>
                  <w:rFonts w:ascii="Arial" w:cs="Arial" w:eastAsia="Arial" w:hAnsi="Arial"/>
                  <w:sz w:val="18"/>
                  <w:szCs w:val="18"/>
                  <w:color w:val="0000FF"/>
                  <w:w w:val="89"/>
                </w:rPr>
                <w:t>form of Severance Agreement attached thereto as Appendix B</w:t>
              </w:r>
            </w:hyperlink>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0" w:type="dxa"/>
            <w:vAlign w:val="bottom"/>
          </w:tcPr>
          <w:p>
            <w:pPr>
              <w:spacing w:after="0"/>
              <w:rPr>
                <w:sz w:val="1"/>
                <w:szCs w:val="1"/>
                <w:color w:val="auto"/>
              </w:rPr>
            </w:pPr>
          </w:p>
        </w:tc>
      </w:tr>
      <w:tr>
        <w:trPr>
          <w:trHeight w:val="372"/>
        </w:trPr>
        <w:tc>
          <w:tcPr>
            <w:tcW w:w="1120" w:type="dxa"/>
            <w:vAlign w:val="bottom"/>
          </w:tcPr>
          <w:p>
            <w:pPr>
              <w:spacing w:after="0"/>
              <w:rPr>
                <w:sz w:val="20"/>
                <w:szCs w:val="20"/>
                <w:color w:val="auto"/>
              </w:rPr>
            </w:pPr>
            <w:r>
              <w:rPr>
                <w:rFonts w:ascii="Arial" w:cs="Arial" w:eastAsia="Arial" w:hAnsi="Arial"/>
                <w:sz w:val="18"/>
                <w:szCs w:val="18"/>
                <w:color w:val="auto"/>
              </w:rPr>
              <w:t>10.10#</w:t>
            </w:r>
          </w:p>
        </w:tc>
        <w:tc>
          <w:tcPr>
            <w:tcW w:w="4500" w:type="dxa"/>
            <w:vAlign w:val="bottom"/>
            <w:gridSpan w:val="15"/>
          </w:tcPr>
          <w:p>
            <w:pPr>
              <w:spacing w:after="0"/>
              <w:rPr>
                <w:rFonts w:ascii="Arial" w:cs="Arial" w:eastAsia="Arial" w:hAnsi="Arial"/>
                <w:sz w:val="18"/>
                <w:szCs w:val="18"/>
                <w:color w:val="0000FF"/>
                <w:w w:val="91"/>
              </w:rPr>
            </w:pPr>
            <w:hyperlink r:id="rId147">
              <w:r>
                <w:rPr>
                  <w:rFonts w:ascii="Arial" w:cs="Arial" w:eastAsia="Arial" w:hAnsi="Arial"/>
                  <w:sz w:val="18"/>
                  <w:szCs w:val="18"/>
                  <w:color w:val="0000FF"/>
                  <w:w w:val="91"/>
                </w:rPr>
                <w:t>Marvell Technology Group Ltd. Change in Control Severance</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480" w:type="dxa"/>
            <w:vAlign w:val="bottom"/>
            <w:tcBorders>
              <w:top w:val="single" w:sz="8" w:color="0000FF"/>
            </w:tcBorders>
            <w:gridSpan w:val="14"/>
          </w:tcPr>
          <w:p>
            <w:pPr>
              <w:spacing w:after="0" w:line="156" w:lineRule="exact"/>
              <w:rPr>
                <w:rFonts w:ascii="Arial" w:cs="Arial" w:eastAsia="Arial" w:hAnsi="Arial"/>
                <w:sz w:val="18"/>
                <w:szCs w:val="18"/>
                <w:color w:val="0000FF"/>
                <w:w w:val="91"/>
              </w:rPr>
            </w:pPr>
            <w:hyperlink r:id="rId147">
              <w:r>
                <w:rPr>
                  <w:rFonts w:ascii="Arial" w:cs="Arial" w:eastAsia="Arial" w:hAnsi="Arial"/>
                  <w:sz w:val="18"/>
                  <w:szCs w:val="18"/>
                  <w:color w:val="0000FF"/>
                  <w:w w:val="91"/>
                </w:rPr>
                <w:t>Plan and Summary Plan Description, effective June 15, 2016</w:t>
              </w:r>
            </w:hyperlink>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72"/>
        </w:trPr>
        <w:tc>
          <w:tcPr>
            <w:tcW w:w="1120" w:type="dxa"/>
            <w:vAlign w:val="bottom"/>
          </w:tcPr>
          <w:p>
            <w:pPr>
              <w:spacing w:after="0"/>
              <w:rPr>
                <w:sz w:val="20"/>
                <w:szCs w:val="20"/>
                <w:color w:val="auto"/>
              </w:rPr>
            </w:pPr>
            <w:r>
              <w:rPr>
                <w:rFonts w:ascii="Arial" w:cs="Arial" w:eastAsia="Arial" w:hAnsi="Arial"/>
                <w:sz w:val="18"/>
                <w:szCs w:val="18"/>
                <w:color w:val="auto"/>
              </w:rPr>
              <w:t>10.11#</w:t>
            </w:r>
          </w:p>
        </w:tc>
        <w:tc>
          <w:tcPr>
            <w:tcW w:w="4380" w:type="dxa"/>
            <w:vAlign w:val="bottom"/>
            <w:tcBorders>
              <w:top w:val="single" w:sz="8" w:color="0000FF"/>
            </w:tcBorders>
            <w:gridSpan w:val="11"/>
          </w:tcPr>
          <w:p>
            <w:pPr>
              <w:spacing w:after="0"/>
              <w:rPr>
                <w:rFonts w:ascii="Arial" w:cs="Arial" w:eastAsia="Arial" w:hAnsi="Arial"/>
                <w:sz w:val="18"/>
                <w:szCs w:val="18"/>
                <w:color w:val="0000FF"/>
              </w:rPr>
            </w:pPr>
            <w:hyperlink r:id="rId148">
              <w:r>
                <w:rPr>
                  <w:rFonts w:ascii="Arial" w:cs="Arial" w:eastAsia="Arial" w:hAnsi="Arial"/>
                  <w:sz w:val="18"/>
                  <w:szCs w:val="18"/>
                  <w:color w:val="0000FF"/>
                </w:rPr>
                <w:t>Offer Letter between Marvell and Mitchell Gaynor</w:t>
              </w:r>
            </w:hyperlink>
          </w:p>
        </w:tc>
        <w:tc>
          <w:tcPr>
            <w:tcW w:w="120" w:type="dxa"/>
            <w:vAlign w:val="bottom"/>
            <w:gridSpan w:val="4"/>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540" w:type="dxa"/>
            <w:vAlign w:val="bottom"/>
            <w:shd w:val="clear" w:color="auto" w:fill="0000FF"/>
          </w:tcPr>
          <w:p>
            <w:pPr>
              <w:spacing w:after="0" w:line="20" w:lineRule="exact"/>
              <w:rPr>
                <w:sz w:val="1"/>
                <w:szCs w:val="1"/>
                <w:color w:val="auto"/>
              </w:rPr>
            </w:pPr>
          </w:p>
        </w:tc>
        <w:tc>
          <w:tcPr>
            <w:tcW w:w="1940" w:type="dxa"/>
            <w:vAlign w:val="bottom"/>
            <w:shd w:val="clear" w:color="auto" w:fill="0000FF"/>
          </w:tcPr>
          <w:p>
            <w:pPr>
              <w:spacing w:after="0" w:line="20" w:lineRule="exact"/>
              <w:rPr>
                <w:sz w:val="1"/>
                <w:szCs w:val="1"/>
                <w:color w:val="auto"/>
              </w:rPr>
            </w:pPr>
          </w:p>
        </w:tc>
        <w:tc>
          <w:tcPr>
            <w:tcW w:w="9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120" w:type="dxa"/>
            <w:vAlign w:val="bottom"/>
            <w:tcBorders>
              <w:right w:val="single" w:sz="8" w:color="0000FF"/>
            </w:tcBorders>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2"/>
        </w:trPr>
        <w:tc>
          <w:tcPr>
            <w:tcW w:w="1120" w:type="dxa"/>
            <w:vAlign w:val="bottom"/>
          </w:tcPr>
          <w:p>
            <w:pPr>
              <w:spacing w:after="0"/>
              <w:rPr>
                <w:sz w:val="20"/>
                <w:szCs w:val="20"/>
                <w:color w:val="auto"/>
              </w:rPr>
            </w:pPr>
            <w:r>
              <w:rPr>
                <w:rFonts w:ascii="Arial" w:cs="Arial" w:eastAsia="Arial" w:hAnsi="Arial"/>
                <w:sz w:val="18"/>
                <w:szCs w:val="18"/>
                <w:color w:val="auto"/>
              </w:rPr>
              <w:t>10.13#</w:t>
            </w:r>
          </w:p>
        </w:tc>
        <w:tc>
          <w:tcPr>
            <w:tcW w:w="4500" w:type="dxa"/>
            <w:vAlign w:val="bottom"/>
            <w:gridSpan w:val="15"/>
          </w:tcPr>
          <w:p>
            <w:pPr>
              <w:spacing w:after="0"/>
              <w:rPr>
                <w:rFonts w:ascii="Arial" w:cs="Arial" w:eastAsia="Arial" w:hAnsi="Arial"/>
                <w:sz w:val="18"/>
                <w:szCs w:val="18"/>
                <w:color w:val="0000FF"/>
              </w:rPr>
            </w:pPr>
            <w:hyperlink r:id="rId149">
              <w:r>
                <w:rPr>
                  <w:rFonts w:ascii="Arial" w:cs="Arial" w:eastAsia="Arial" w:hAnsi="Arial"/>
                  <w:sz w:val="18"/>
                  <w:szCs w:val="18"/>
                  <w:color w:val="0000FF"/>
                </w:rPr>
                <w:t>Offer Letter between Marvell and Andrew Micallef</w:t>
              </w:r>
            </w:hyperlink>
          </w:p>
        </w:tc>
        <w:tc>
          <w:tcPr>
            <w:tcW w:w="0" w:type="dxa"/>
            <w:vAlign w:val="bottom"/>
          </w:tcPr>
          <w:p>
            <w:pPr>
              <w:spacing w:after="0"/>
              <w:rPr>
                <w:sz w:val="1"/>
                <w:szCs w:val="1"/>
                <w:color w:val="auto"/>
              </w:rPr>
            </w:pPr>
          </w:p>
        </w:tc>
      </w:tr>
      <w:tr>
        <w:trPr>
          <w:trHeight w:val="412"/>
        </w:trPr>
        <w:tc>
          <w:tcPr>
            <w:tcW w:w="1120" w:type="dxa"/>
            <w:vAlign w:val="bottom"/>
          </w:tcPr>
          <w:p>
            <w:pPr>
              <w:spacing w:after="0"/>
              <w:rPr>
                <w:sz w:val="20"/>
                <w:szCs w:val="20"/>
                <w:color w:val="auto"/>
              </w:rPr>
            </w:pPr>
            <w:r>
              <w:rPr>
                <w:rFonts w:ascii="Arial" w:cs="Arial" w:eastAsia="Arial" w:hAnsi="Arial"/>
                <w:sz w:val="18"/>
                <w:szCs w:val="18"/>
                <w:color w:val="auto"/>
              </w:rPr>
              <w:t>10.15#</w:t>
            </w:r>
          </w:p>
        </w:tc>
        <w:tc>
          <w:tcPr>
            <w:tcW w:w="3700" w:type="dxa"/>
            <w:vAlign w:val="bottom"/>
            <w:tcBorders>
              <w:top w:val="single" w:sz="8" w:color="0000FF"/>
            </w:tcBorders>
            <w:gridSpan w:val="6"/>
          </w:tcPr>
          <w:p>
            <w:pPr>
              <w:spacing w:after="0"/>
              <w:rPr>
                <w:rFonts w:ascii="Arial" w:cs="Arial" w:eastAsia="Arial" w:hAnsi="Arial"/>
                <w:sz w:val="18"/>
                <w:szCs w:val="18"/>
                <w:color w:val="0000FF"/>
                <w:w w:val="96"/>
              </w:rPr>
            </w:pPr>
            <w:hyperlink r:id="rId150">
              <w:r>
                <w:rPr>
                  <w:rFonts w:ascii="Arial" w:cs="Arial" w:eastAsia="Arial" w:hAnsi="Arial"/>
                  <w:sz w:val="18"/>
                  <w:szCs w:val="18"/>
                  <w:color w:val="0000FF"/>
                  <w:w w:val="96"/>
                </w:rPr>
                <w:t>Offer Letter between the Company and Jean Hu</w:t>
              </w:r>
            </w:hyperlink>
          </w:p>
        </w:tc>
        <w:tc>
          <w:tcPr>
            <w:tcW w:w="800" w:type="dxa"/>
            <w:vAlign w:val="bottom"/>
            <w:gridSpan w:val="9"/>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540" w:type="dxa"/>
            <w:vAlign w:val="bottom"/>
            <w:shd w:val="clear" w:color="auto" w:fill="0000FF"/>
          </w:tcPr>
          <w:p>
            <w:pPr>
              <w:spacing w:after="0" w:line="20" w:lineRule="exact"/>
              <w:rPr>
                <w:sz w:val="1"/>
                <w:szCs w:val="1"/>
                <w:color w:val="auto"/>
              </w:rPr>
            </w:pPr>
          </w:p>
        </w:tc>
        <w:tc>
          <w:tcPr>
            <w:tcW w:w="1940" w:type="dxa"/>
            <w:vAlign w:val="bottom"/>
            <w:shd w:val="clear" w:color="auto" w:fill="0000FF"/>
          </w:tcPr>
          <w:p>
            <w:pPr>
              <w:spacing w:after="0" w:line="20" w:lineRule="exact"/>
              <w:rPr>
                <w:sz w:val="1"/>
                <w:szCs w:val="1"/>
                <w:color w:val="auto"/>
              </w:rPr>
            </w:pPr>
          </w:p>
        </w:tc>
        <w:tc>
          <w:tcPr>
            <w:tcW w:w="960" w:type="dxa"/>
            <w:vAlign w:val="bottom"/>
            <w:shd w:val="clear" w:color="auto" w:fill="0000FF"/>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2"/>
        </w:trPr>
        <w:tc>
          <w:tcPr>
            <w:tcW w:w="1120" w:type="dxa"/>
            <w:vAlign w:val="bottom"/>
          </w:tcPr>
          <w:p>
            <w:pPr>
              <w:spacing w:after="0"/>
              <w:rPr>
                <w:sz w:val="20"/>
                <w:szCs w:val="20"/>
                <w:color w:val="auto"/>
              </w:rPr>
            </w:pPr>
            <w:r>
              <w:rPr>
                <w:rFonts w:ascii="Arial" w:cs="Arial" w:eastAsia="Arial" w:hAnsi="Arial"/>
                <w:sz w:val="18"/>
                <w:szCs w:val="18"/>
                <w:color w:val="auto"/>
              </w:rPr>
              <w:t>10.17#</w:t>
            </w:r>
          </w:p>
        </w:tc>
        <w:tc>
          <w:tcPr>
            <w:tcW w:w="4020" w:type="dxa"/>
            <w:vAlign w:val="bottom"/>
            <w:tcBorders>
              <w:bottom w:val="single" w:sz="8" w:color="0000FF"/>
            </w:tcBorders>
            <w:gridSpan w:val="8"/>
          </w:tcPr>
          <w:p>
            <w:pPr>
              <w:spacing w:after="0"/>
              <w:rPr>
                <w:rFonts w:ascii="Arial" w:cs="Arial" w:eastAsia="Arial" w:hAnsi="Arial"/>
                <w:sz w:val="18"/>
                <w:szCs w:val="18"/>
                <w:color w:val="0000FF"/>
                <w:w w:val="89"/>
              </w:rPr>
            </w:pPr>
            <w:hyperlink r:id="rId151">
              <w:r>
                <w:rPr>
                  <w:rFonts w:ascii="Arial" w:cs="Arial" w:eastAsia="Arial" w:hAnsi="Arial"/>
                  <w:sz w:val="18"/>
                  <w:szCs w:val="18"/>
                  <w:color w:val="0000FF"/>
                  <w:w w:val="89"/>
                </w:rPr>
                <w:t>Offer Letter between the Company and Thomas Lagatta</w:t>
              </w:r>
            </w:hyperlink>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gridSpan w:val="2"/>
          </w:tcPr>
          <w:p>
            <w:pPr>
              <w:spacing w:after="0"/>
              <w:rPr>
                <w:sz w:val="24"/>
                <w:szCs w:val="24"/>
                <w:color w:val="auto"/>
              </w:rPr>
            </w:pPr>
          </w:p>
        </w:tc>
        <w:tc>
          <w:tcPr>
            <w:tcW w:w="100" w:type="dxa"/>
            <w:vAlign w:val="bottom"/>
            <w:gridSpan w:val="3"/>
          </w:tcPr>
          <w:p>
            <w:pPr>
              <w:spacing w:after="0"/>
              <w:rPr>
                <w:sz w:val="24"/>
                <w:szCs w:val="24"/>
                <w:color w:val="auto"/>
              </w:rPr>
            </w:pPr>
          </w:p>
        </w:tc>
        <w:tc>
          <w:tcPr>
            <w:tcW w:w="0" w:type="dxa"/>
            <w:vAlign w:val="bottom"/>
          </w:tcPr>
          <w:p>
            <w:pPr>
              <w:spacing w:after="0"/>
              <w:rPr>
                <w:sz w:val="1"/>
                <w:szCs w:val="1"/>
                <w:color w:val="auto"/>
              </w:rPr>
            </w:pPr>
          </w:p>
        </w:tc>
      </w:tr>
      <w:tr>
        <w:trPr>
          <w:trHeight w:val="412"/>
        </w:trPr>
        <w:tc>
          <w:tcPr>
            <w:tcW w:w="1120" w:type="dxa"/>
            <w:vAlign w:val="bottom"/>
          </w:tcPr>
          <w:p>
            <w:pPr>
              <w:spacing w:after="0"/>
              <w:rPr>
                <w:sz w:val="20"/>
                <w:szCs w:val="20"/>
                <w:color w:val="auto"/>
              </w:rPr>
            </w:pPr>
            <w:r>
              <w:rPr>
                <w:rFonts w:ascii="Arial" w:cs="Arial" w:eastAsia="Arial" w:hAnsi="Arial"/>
                <w:sz w:val="18"/>
                <w:szCs w:val="18"/>
                <w:color w:val="auto"/>
              </w:rPr>
              <w:t>1018#</w:t>
            </w:r>
          </w:p>
        </w:tc>
        <w:tc>
          <w:tcPr>
            <w:tcW w:w="4200" w:type="dxa"/>
            <w:vAlign w:val="bottom"/>
            <w:tcBorders>
              <w:bottom w:val="single" w:sz="8" w:color="0000FF"/>
            </w:tcBorders>
            <w:gridSpan w:val="10"/>
          </w:tcPr>
          <w:p>
            <w:pPr>
              <w:spacing w:after="0"/>
              <w:rPr>
                <w:rFonts w:ascii="Arial" w:cs="Arial" w:eastAsia="Arial" w:hAnsi="Arial"/>
                <w:sz w:val="18"/>
                <w:szCs w:val="18"/>
                <w:color w:val="0000FF"/>
                <w:w w:val="89"/>
              </w:rPr>
            </w:pPr>
            <w:hyperlink r:id="rId152">
              <w:r>
                <w:rPr>
                  <w:rFonts w:ascii="Arial" w:cs="Arial" w:eastAsia="Arial" w:hAnsi="Arial"/>
                  <w:sz w:val="18"/>
                  <w:szCs w:val="18"/>
                  <w:color w:val="0000FF"/>
                  <w:w w:val="89"/>
                </w:rPr>
                <w:t>Severance Agreement between the Company and Mitchell</w:t>
              </w:r>
            </w:hyperlink>
          </w:p>
        </w:tc>
        <w:tc>
          <w:tcPr>
            <w:tcW w:w="200" w:type="dxa"/>
            <w:vAlign w:val="bottom"/>
            <w:gridSpan w:val="2"/>
          </w:tcPr>
          <w:p>
            <w:pPr>
              <w:spacing w:after="0"/>
              <w:rPr>
                <w:sz w:val="24"/>
                <w:szCs w:val="24"/>
                <w:color w:val="auto"/>
              </w:rPr>
            </w:pPr>
          </w:p>
        </w:tc>
        <w:tc>
          <w:tcPr>
            <w:tcW w:w="100" w:type="dxa"/>
            <w:vAlign w:val="bottom"/>
            <w:gridSpan w:val="3"/>
          </w:tcPr>
          <w:p>
            <w:pPr>
              <w:spacing w:after="0"/>
              <w:rPr>
                <w:sz w:val="24"/>
                <w:szCs w:val="24"/>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200" w:type="dxa"/>
            <w:vAlign w:val="bottom"/>
            <w:gridSpan w:val="10"/>
          </w:tcPr>
          <w:p>
            <w:pPr>
              <w:spacing w:after="0" w:line="156" w:lineRule="exact"/>
              <w:rPr>
                <w:rFonts w:ascii="Arial" w:cs="Arial" w:eastAsia="Arial" w:hAnsi="Arial"/>
                <w:sz w:val="18"/>
                <w:szCs w:val="18"/>
                <w:color w:val="0000FF"/>
              </w:rPr>
            </w:pPr>
            <w:hyperlink r:id="rId152">
              <w:r>
                <w:rPr>
                  <w:rFonts w:ascii="Arial" w:cs="Arial" w:eastAsia="Arial" w:hAnsi="Arial"/>
                  <w:sz w:val="18"/>
                  <w:szCs w:val="18"/>
                  <w:color w:val="0000FF"/>
                </w:rPr>
                <w:t>Gaynor</w:t>
              </w:r>
            </w:hyperlink>
          </w:p>
        </w:tc>
        <w:tc>
          <w:tcPr>
            <w:tcW w:w="200" w:type="dxa"/>
            <w:vAlign w:val="bottom"/>
            <w:gridSpan w:val="2"/>
          </w:tcPr>
          <w:p>
            <w:pPr>
              <w:spacing w:after="0"/>
              <w:rPr>
                <w:sz w:val="13"/>
                <w:szCs w:val="13"/>
                <w:color w:val="auto"/>
              </w:rPr>
            </w:pPr>
          </w:p>
        </w:tc>
        <w:tc>
          <w:tcPr>
            <w:tcW w:w="10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vMerge w:val="restart"/>
          </w:tcPr>
          <w:p>
            <w:pPr>
              <w:spacing w:after="0"/>
              <w:rPr>
                <w:sz w:val="20"/>
                <w:szCs w:val="20"/>
                <w:color w:val="auto"/>
              </w:rPr>
            </w:pPr>
            <w:r>
              <w:rPr>
                <w:rFonts w:ascii="Arial" w:cs="Arial" w:eastAsia="Arial" w:hAnsi="Arial"/>
                <w:sz w:val="18"/>
                <w:szCs w:val="18"/>
                <w:color w:val="auto"/>
              </w:rPr>
              <w:t>10.19#</w:t>
            </w:r>
          </w:p>
        </w:tc>
        <w:tc>
          <w:tcPr>
            <w:tcW w:w="540" w:type="dxa"/>
            <w:vAlign w:val="bottom"/>
            <w:shd w:val="clear" w:color="auto" w:fill="0000FF"/>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106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60" w:type="dxa"/>
            <w:vAlign w:val="bottom"/>
            <w:gridSpan w:val="4"/>
          </w:tcPr>
          <w:p>
            <w:pPr>
              <w:spacing w:after="0" w:line="20" w:lineRule="exact"/>
              <w:rPr>
                <w:sz w:val="1"/>
                <w:szCs w:val="1"/>
                <w:color w:val="auto"/>
              </w:rPr>
            </w:pPr>
          </w:p>
        </w:tc>
        <w:tc>
          <w:tcPr>
            <w:tcW w:w="280" w:type="dxa"/>
            <w:vAlign w:val="bottom"/>
            <w:gridSpan w:val="3"/>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2"/>
        </w:trPr>
        <w:tc>
          <w:tcPr>
            <w:tcW w:w="1120" w:type="dxa"/>
            <w:vAlign w:val="bottom"/>
            <w:vMerge w:val="continue"/>
          </w:tcPr>
          <w:p>
            <w:pPr>
              <w:spacing w:after="0"/>
              <w:rPr>
                <w:sz w:val="24"/>
                <w:szCs w:val="24"/>
                <w:color w:val="auto"/>
              </w:rPr>
            </w:pPr>
          </w:p>
        </w:tc>
        <w:tc>
          <w:tcPr>
            <w:tcW w:w="3540" w:type="dxa"/>
            <w:vAlign w:val="bottom"/>
            <w:tcBorders>
              <w:bottom w:val="single" w:sz="8" w:color="0000FF"/>
            </w:tcBorders>
            <w:gridSpan w:val="4"/>
          </w:tcPr>
          <w:p>
            <w:pPr>
              <w:spacing w:after="0"/>
              <w:rPr>
                <w:rFonts w:ascii="Arial" w:cs="Arial" w:eastAsia="Arial" w:hAnsi="Arial"/>
                <w:sz w:val="18"/>
                <w:szCs w:val="18"/>
                <w:color w:val="0000FF"/>
                <w:w w:val="91"/>
              </w:rPr>
            </w:pPr>
            <w:hyperlink r:id="rId153">
              <w:r>
                <w:rPr>
                  <w:rFonts w:ascii="Arial" w:cs="Arial" w:eastAsia="Arial" w:hAnsi="Arial"/>
                  <w:sz w:val="18"/>
                  <w:szCs w:val="18"/>
                  <w:color w:val="0000FF"/>
                  <w:w w:val="91"/>
                </w:rPr>
                <w:t>Offer Letter between the Company and Neil Kim</w:t>
              </w:r>
            </w:hyperlink>
          </w:p>
        </w:tc>
        <w:tc>
          <w:tcPr>
            <w:tcW w:w="960" w:type="dxa"/>
            <w:vAlign w:val="bottom"/>
            <w:gridSpan w:val="11"/>
          </w:tcPr>
          <w:p>
            <w:pPr>
              <w:spacing w:after="0"/>
              <w:rPr>
                <w:sz w:val="24"/>
                <w:szCs w:val="24"/>
                <w:color w:val="auto"/>
              </w:rPr>
            </w:pPr>
          </w:p>
        </w:tc>
        <w:tc>
          <w:tcPr>
            <w:tcW w:w="0" w:type="dxa"/>
            <w:vAlign w:val="bottom"/>
          </w:tcPr>
          <w:p>
            <w:pPr>
              <w:spacing w:after="0"/>
              <w:rPr>
                <w:sz w:val="1"/>
                <w:szCs w:val="1"/>
                <w:color w:val="auto"/>
              </w:rPr>
            </w:pPr>
          </w:p>
        </w:tc>
      </w:tr>
      <w:tr>
        <w:trPr>
          <w:trHeight w:val="372"/>
        </w:trPr>
        <w:tc>
          <w:tcPr>
            <w:tcW w:w="1120" w:type="dxa"/>
            <w:vAlign w:val="bottom"/>
          </w:tcPr>
          <w:p>
            <w:pPr>
              <w:spacing w:after="0"/>
              <w:rPr>
                <w:sz w:val="20"/>
                <w:szCs w:val="20"/>
                <w:color w:val="auto"/>
              </w:rPr>
            </w:pPr>
            <w:r>
              <w:rPr>
                <w:rFonts w:ascii="Arial" w:cs="Arial" w:eastAsia="Arial" w:hAnsi="Arial"/>
                <w:sz w:val="18"/>
                <w:szCs w:val="18"/>
                <w:color w:val="auto"/>
              </w:rPr>
              <w:t>10.22#</w:t>
            </w:r>
          </w:p>
        </w:tc>
        <w:tc>
          <w:tcPr>
            <w:tcW w:w="3660" w:type="dxa"/>
            <w:vAlign w:val="bottom"/>
            <w:tcBorders>
              <w:bottom w:val="single" w:sz="8" w:color="0000FF"/>
            </w:tcBorders>
            <w:gridSpan w:val="5"/>
          </w:tcPr>
          <w:p>
            <w:pPr>
              <w:spacing w:after="0"/>
              <w:rPr>
                <w:rFonts w:ascii="Arial" w:cs="Arial" w:eastAsia="Arial" w:hAnsi="Arial"/>
                <w:sz w:val="18"/>
                <w:szCs w:val="18"/>
                <w:color w:val="0000FF"/>
                <w:w w:val="91"/>
              </w:rPr>
            </w:pPr>
            <w:hyperlink r:id="rId154">
              <w:r>
                <w:rPr>
                  <w:rFonts w:ascii="Arial" w:cs="Arial" w:eastAsia="Arial" w:hAnsi="Arial"/>
                  <w:sz w:val="18"/>
                  <w:szCs w:val="18"/>
                  <w:color w:val="0000FF"/>
                  <w:w w:val="91"/>
                </w:rPr>
                <w:t>Offer Letter between Marvell and Raghib Hussain</w:t>
              </w:r>
            </w:hyperlink>
          </w:p>
        </w:tc>
        <w:tc>
          <w:tcPr>
            <w:tcW w:w="840" w:type="dxa"/>
            <w:vAlign w:val="bottom"/>
            <w:gridSpan w:val="10"/>
          </w:tcPr>
          <w:p>
            <w:pPr>
              <w:spacing w:after="0"/>
              <w:rPr>
                <w:sz w:val="24"/>
                <w:szCs w:val="24"/>
                <w:color w:val="auto"/>
              </w:rPr>
            </w:pPr>
          </w:p>
        </w:tc>
        <w:tc>
          <w:tcPr>
            <w:tcW w:w="0" w:type="dxa"/>
            <w:vAlign w:val="bottom"/>
          </w:tcPr>
          <w:p>
            <w:pPr>
              <w:spacing w:after="0"/>
              <w:rPr>
                <w:sz w:val="1"/>
                <w:szCs w:val="1"/>
                <w:color w:val="auto"/>
              </w:rPr>
            </w:pPr>
          </w:p>
        </w:tc>
      </w:tr>
      <w:tr>
        <w:trPr>
          <w:trHeight w:val="412"/>
        </w:trPr>
        <w:tc>
          <w:tcPr>
            <w:tcW w:w="1120" w:type="dxa"/>
            <w:vAlign w:val="bottom"/>
          </w:tcPr>
          <w:p>
            <w:pPr>
              <w:spacing w:after="0"/>
              <w:rPr>
                <w:sz w:val="20"/>
                <w:szCs w:val="20"/>
                <w:color w:val="auto"/>
              </w:rPr>
            </w:pPr>
            <w:r>
              <w:rPr>
                <w:rFonts w:ascii="Arial" w:cs="Arial" w:eastAsia="Arial" w:hAnsi="Arial"/>
                <w:sz w:val="18"/>
                <w:szCs w:val="18"/>
                <w:color w:val="auto"/>
              </w:rPr>
              <w:t>10.23#</w:t>
            </w:r>
          </w:p>
        </w:tc>
        <w:tc>
          <w:tcPr>
            <w:tcW w:w="4500" w:type="dxa"/>
            <w:vAlign w:val="bottom"/>
            <w:gridSpan w:val="15"/>
          </w:tcPr>
          <w:p>
            <w:pPr>
              <w:spacing w:after="0"/>
              <w:rPr>
                <w:rFonts w:ascii="Arial" w:cs="Arial" w:eastAsia="Arial" w:hAnsi="Arial"/>
                <w:sz w:val="18"/>
                <w:szCs w:val="18"/>
                <w:color w:val="0000FF"/>
                <w:w w:val="97"/>
              </w:rPr>
            </w:pPr>
            <w:hyperlink r:id="rId155">
              <w:r>
                <w:rPr>
                  <w:rFonts w:ascii="Arial" w:cs="Arial" w:eastAsia="Arial" w:hAnsi="Arial"/>
                  <w:sz w:val="18"/>
                  <w:szCs w:val="18"/>
                  <w:color w:val="0000FF"/>
                  <w:w w:val="97"/>
                </w:rPr>
                <w:t>Severance Agreement between the Company and Willem</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24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9"/>
              </w:rPr>
            </w:pPr>
            <w:hyperlink r:id="rId155">
              <w:r>
                <w:rPr>
                  <w:rFonts w:ascii="Arial" w:cs="Arial" w:eastAsia="Arial" w:hAnsi="Arial"/>
                  <w:sz w:val="18"/>
                  <w:szCs w:val="18"/>
                  <w:color w:val="0000FF"/>
                  <w:w w:val="89"/>
                </w:rPr>
                <w:t>Meintjes, dated December 9, 2016</w:t>
              </w:r>
            </w:hyperlink>
          </w:p>
        </w:tc>
        <w:tc>
          <w:tcPr>
            <w:tcW w:w="1640" w:type="dxa"/>
            <w:vAlign w:val="bottom"/>
            <w:tcBorders>
              <w:top w:val="single" w:sz="8" w:color="0000FF"/>
            </w:tcBorders>
            <w:gridSpan w:val="7"/>
          </w:tcPr>
          <w:p>
            <w:pPr>
              <w:spacing w:after="0"/>
              <w:rPr>
                <w:sz w:val="13"/>
                <w:szCs w:val="13"/>
                <w:color w:val="auto"/>
              </w:rPr>
            </w:pPr>
          </w:p>
        </w:tc>
        <w:tc>
          <w:tcPr>
            <w:tcW w:w="280" w:type="dxa"/>
            <w:vAlign w:val="bottom"/>
            <w:gridSpan w:val="3"/>
          </w:tcPr>
          <w:p>
            <w:pPr>
              <w:spacing w:after="0"/>
              <w:rPr>
                <w:sz w:val="13"/>
                <w:szCs w:val="13"/>
                <w:color w:val="auto"/>
              </w:rPr>
            </w:pPr>
          </w:p>
        </w:tc>
        <w:tc>
          <w:tcPr>
            <w:tcW w:w="10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425"/>
        </w:trPr>
        <w:tc>
          <w:tcPr>
            <w:tcW w:w="1120" w:type="dxa"/>
            <w:vAlign w:val="bottom"/>
          </w:tcPr>
          <w:p>
            <w:pPr>
              <w:spacing w:after="0"/>
              <w:rPr>
                <w:sz w:val="20"/>
                <w:szCs w:val="20"/>
                <w:color w:val="auto"/>
              </w:rPr>
            </w:pPr>
            <w:r>
              <w:rPr>
                <w:rFonts w:ascii="Arial" w:cs="Arial" w:eastAsia="Arial" w:hAnsi="Arial"/>
                <w:sz w:val="18"/>
                <w:szCs w:val="18"/>
                <w:color w:val="auto"/>
              </w:rPr>
              <w:t>10.24</w:t>
            </w:r>
          </w:p>
        </w:tc>
        <w:tc>
          <w:tcPr>
            <w:tcW w:w="4500" w:type="dxa"/>
            <w:vAlign w:val="bottom"/>
            <w:gridSpan w:val="15"/>
          </w:tcPr>
          <w:p>
            <w:pPr>
              <w:spacing w:after="0"/>
              <w:rPr>
                <w:rFonts w:ascii="Arial" w:cs="Arial" w:eastAsia="Arial" w:hAnsi="Arial"/>
                <w:sz w:val="18"/>
                <w:szCs w:val="18"/>
                <w:color w:val="0000FF"/>
                <w:w w:val="92"/>
              </w:rPr>
            </w:pPr>
            <w:hyperlink r:id="rId156">
              <w:r>
                <w:rPr>
                  <w:rFonts w:ascii="Arial" w:cs="Arial" w:eastAsia="Arial" w:hAnsi="Arial"/>
                  <w:sz w:val="18"/>
                  <w:szCs w:val="18"/>
                  <w:color w:val="0000FF"/>
                  <w:w w:val="92"/>
                </w:rPr>
                <w:t>Credit Agreement dated as of June 13, 2018, among Marvell</w:t>
              </w:r>
            </w:hyperlink>
          </w:p>
        </w:tc>
        <w:tc>
          <w:tcPr>
            <w:tcW w:w="0" w:type="dxa"/>
            <w:vAlign w:val="bottom"/>
          </w:tcPr>
          <w:p>
            <w:pPr>
              <w:spacing w:after="0"/>
              <w:rPr>
                <w:sz w:val="1"/>
                <w:szCs w:val="1"/>
                <w:color w:val="auto"/>
              </w:rPr>
            </w:pPr>
          </w:p>
        </w:tc>
      </w:tr>
      <w:tr>
        <w:trPr>
          <w:trHeight w:val="157"/>
        </w:trPr>
        <w:tc>
          <w:tcPr>
            <w:tcW w:w="1120" w:type="dxa"/>
            <w:vAlign w:val="bottom"/>
          </w:tcPr>
          <w:p>
            <w:pPr>
              <w:spacing w:after="0"/>
              <w:rPr>
                <w:sz w:val="13"/>
                <w:szCs w:val="13"/>
                <w:color w:val="auto"/>
              </w:rPr>
            </w:pPr>
          </w:p>
        </w:tc>
        <w:tc>
          <w:tcPr>
            <w:tcW w:w="4400" w:type="dxa"/>
            <w:vAlign w:val="bottom"/>
            <w:tcBorders>
              <w:top w:val="single" w:sz="8" w:color="0000FF"/>
            </w:tcBorders>
            <w:gridSpan w:val="12"/>
          </w:tcPr>
          <w:p>
            <w:pPr>
              <w:spacing w:after="0" w:line="157" w:lineRule="exact"/>
              <w:rPr>
                <w:rFonts w:ascii="Arial" w:cs="Arial" w:eastAsia="Arial" w:hAnsi="Arial"/>
                <w:sz w:val="18"/>
                <w:szCs w:val="18"/>
                <w:u w:val="single" w:color="auto"/>
                <w:color w:val="0000FF"/>
                <w:w w:val="91"/>
              </w:rPr>
            </w:pPr>
            <w:hyperlink r:id="rId156">
              <w:r>
                <w:rPr>
                  <w:rFonts w:ascii="Arial" w:cs="Arial" w:eastAsia="Arial" w:hAnsi="Arial"/>
                  <w:sz w:val="18"/>
                  <w:szCs w:val="18"/>
                  <w:u w:val="single" w:color="auto"/>
                  <w:color w:val="0000FF"/>
                  <w:w w:val="91"/>
                </w:rPr>
                <w:t>Technology Group Ltd., the Lenders party thereto, Goldman</w:t>
              </w:r>
            </w:hyperlink>
          </w:p>
        </w:tc>
        <w:tc>
          <w:tcPr>
            <w:tcW w:w="10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bl>
    <w:p>
      <w:pPr>
        <w:jc w:val="both"/>
        <w:ind w:left="1120" w:right="180"/>
        <w:spacing w:after="0" w:line="218" w:lineRule="auto"/>
        <w:rPr>
          <w:rFonts w:ascii="Arial" w:cs="Arial" w:eastAsia="Arial" w:hAnsi="Arial"/>
          <w:sz w:val="18"/>
          <w:szCs w:val="18"/>
          <w:u w:val="single" w:color="auto"/>
          <w:color w:val="0000FF"/>
        </w:rPr>
      </w:pPr>
      <w:hyperlink r:id="rId156">
        <w:r>
          <w:rPr>
            <w:rFonts w:ascii="Arial" w:cs="Arial" w:eastAsia="Arial" w:hAnsi="Arial"/>
            <w:sz w:val="18"/>
            <w:szCs w:val="18"/>
            <w:u w:val="single" w:color="auto"/>
            <w:color w:val="0000FF"/>
          </w:rPr>
          <w:t>Sachs Bank USA, as the General Administrative Agent and</w:t>
        </w:r>
      </w:hyperlink>
      <w:r>
        <w:rPr>
          <w:rFonts w:ascii="Arial" w:cs="Arial" w:eastAsia="Arial" w:hAnsi="Arial"/>
          <w:sz w:val="18"/>
          <w:szCs w:val="18"/>
          <w:u w:val="single" w:color="auto"/>
          <w:color w:val="0000FF"/>
        </w:rPr>
        <w:t xml:space="preserve"> </w:t>
      </w:r>
      <w:hyperlink r:id="rId156">
        <w:r>
          <w:rPr>
            <w:rFonts w:ascii="Arial" w:cs="Arial" w:eastAsia="Arial" w:hAnsi="Arial"/>
            <w:sz w:val="18"/>
            <w:szCs w:val="18"/>
            <w:u w:val="single" w:color="auto"/>
            <w:color w:val="0000FF"/>
          </w:rPr>
          <w:t>the Term Facility Agent, and Bank of America, N.A., as the</w:t>
        </w:r>
      </w:hyperlink>
      <w:r>
        <w:rPr>
          <w:rFonts w:ascii="Arial" w:cs="Arial" w:eastAsia="Arial" w:hAnsi="Arial"/>
          <w:sz w:val="18"/>
          <w:szCs w:val="18"/>
          <w:u w:val="single" w:color="auto"/>
          <w:color w:val="0000FF"/>
        </w:rPr>
        <w:t xml:space="preserve"> </w:t>
      </w:r>
      <w:hyperlink r:id="rId156">
        <w:r>
          <w:rPr>
            <w:rFonts w:ascii="Arial" w:cs="Arial" w:eastAsia="Arial" w:hAnsi="Arial"/>
            <w:sz w:val="18"/>
            <w:szCs w:val="18"/>
            <w:u w:val="single" w:color="auto"/>
            <w:color w:val="0000FF"/>
          </w:rPr>
          <w:t>Revolving Facility Agent</w:t>
        </w:r>
      </w:hyperlink>
    </w:p>
    <w:p>
      <w:pPr>
        <w:spacing w:after="0" w:line="20" w:lineRule="exact"/>
        <w:rPr>
          <w:rFonts w:ascii="Arial" w:cs="Arial" w:eastAsia="Arial" w:hAnsi="Arial"/>
          <w:sz w:val="18"/>
          <w:szCs w:val="18"/>
          <w:u w:val="single" w:color="auto"/>
          <w:color w:val="0000FF"/>
        </w:rPr>
      </w:pPr>
      <w:r>
        <w:rPr>
          <w:rFonts w:ascii="Arial" w:cs="Arial" w:eastAsia="Arial" w:hAnsi="Arial"/>
          <w:sz w:val="18"/>
          <w:szCs w:val="18"/>
          <w:u w:val="single" w:color="auto"/>
          <w:color w:val="0000FF"/>
        </w:rPr>
        <w:br w:type="column"/>
      </w:r>
    </w:p>
    <w:p>
      <w:pPr>
        <w:spacing w:after="0" w:line="31" w:lineRule="exact"/>
        <w:rPr>
          <w:rFonts w:ascii="Arial" w:cs="Arial" w:eastAsia="Arial" w:hAnsi="Arial"/>
          <w:sz w:val="18"/>
          <w:szCs w:val="18"/>
          <w:u w:val="single" w:color="auto"/>
          <w:color w:val="0000FF"/>
        </w:rPr>
      </w:pPr>
    </w:p>
    <w:p>
      <w:pPr>
        <w:spacing w:after="0" w:line="1" w:lineRule="exact"/>
        <w:rPr>
          <w:rFonts w:ascii="Arial" w:cs="Arial" w:eastAsia="Arial" w:hAnsi="Arial"/>
          <w:sz w:val="1"/>
          <w:szCs w:val="1"/>
          <w:u w:val="single" w:color="auto"/>
          <w:color w:val="0000FF"/>
        </w:rPr>
      </w:pPr>
    </w:p>
    <w:tbl>
      <w:tblPr>
        <w:tblLayout w:type="fixed"/>
        <w:tblInd w:w="0" w:type="dxa"/>
        <w:tblCellMar>
          <w:top w:w="0" w:type="dxa"/>
          <w:left w:w="0" w:type="dxa"/>
          <w:bottom w:w="0" w:type="dxa"/>
          <w:right w:w="0" w:type="dxa"/>
        </w:tblCellMar>
      </w:tblPr>
      <w:tr>
        <w:trPr>
          <w:trHeight w:val="230"/>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10.1</w:t>
            </w:r>
          </w:p>
        </w:tc>
        <w:tc>
          <w:tcPr>
            <w:tcW w:w="1400" w:type="dxa"/>
            <w:vAlign w:val="bottom"/>
          </w:tcPr>
          <w:p>
            <w:pPr>
              <w:ind w:left="580"/>
              <w:spacing w:after="0"/>
              <w:rPr>
                <w:sz w:val="20"/>
                <w:szCs w:val="20"/>
                <w:color w:val="auto"/>
              </w:rPr>
            </w:pPr>
            <w:r>
              <w:rPr>
                <w:rFonts w:ascii="Arial" w:cs="Arial" w:eastAsia="Arial" w:hAnsi="Arial"/>
                <w:sz w:val="18"/>
                <w:szCs w:val="18"/>
                <w:color w:val="auto"/>
              </w:rPr>
              <w:t>3/7/2011</w:t>
            </w:r>
          </w:p>
        </w:tc>
      </w:tr>
      <w:tr>
        <w:trPr>
          <w:trHeight w:val="432"/>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10.1</w:t>
            </w:r>
          </w:p>
        </w:tc>
        <w:tc>
          <w:tcPr>
            <w:tcW w:w="1400" w:type="dxa"/>
            <w:vAlign w:val="bottom"/>
          </w:tcPr>
          <w:p>
            <w:pPr>
              <w:ind w:left="580"/>
              <w:spacing w:after="0"/>
              <w:rPr>
                <w:sz w:val="20"/>
                <w:szCs w:val="20"/>
                <w:color w:val="auto"/>
              </w:rPr>
            </w:pPr>
            <w:r>
              <w:rPr>
                <w:rFonts w:ascii="Arial" w:cs="Arial" w:eastAsia="Arial" w:hAnsi="Arial"/>
                <w:sz w:val="18"/>
                <w:szCs w:val="18"/>
                <w:color w:val="auto"/>
                <w:w w:val="99"/>
              </w:rPr>
              <w:t>6/20/2016</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10.8</w:t>
            </w:r>
          </w:p>
        </w:tc>
        <w:tc>
          <w:tcPr>
            <w:tcW w:w="1400" w:type="dxa"/>
            <w:vAlign w:val="bottom"/>
          </w:tcPr>
          <w:p>
            <w:pPr>
              <w:ind w:left="580"/>
              <w:spacing w:after="0"/>
              <w:rPr>
                <w:sz w:val="20"/>
                <w:szCs w:val="20"/>
                <w:color w:val="auto"/>
              </w:rPr>
            </w:pPr>
            <w:r>
              <w:rPr>
                <w:rFonts w:ascii="Arial" w:cs="Arial" w:eastAsia="Arial" w:hAnsi="Arial"/>
                <w:sz w:val="18"/>
                <w:szCs w:val="18"/>
                <w:color w:val="auto"/>
                <w:w w:val="99"/>
              </w:rPr>
              <w:t>12/4/2019</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10.3</w:t>
            </w:r>
          </w:p>
        </w:tc>
        <w:tc>
          <w:tcPr>
            <w:tcW w:w="1400" w:type="dxa"/>
            <w:vAlign w:val="bottom"/>
          </w:tcPr>
          <w:p>
            <w:pPr>
              <w:ind w:left="580"/>
              <w:spacing w:after="0"/>
              <w:rPr>
                <w:sz w:val="20"/>
                <w:szCs w:val="20"/>
                <w:color w:val="auto"/>
              </w:rPr>
            </w:pPr>
            <w:r>
              <w:rPr>
                <w:rFonts w:ascii="Arial" w:cs="Arial" w:eastAsia="Arial" w:hAnsi="Arial"/>
                <w:sz w:val="18"/>
                <w:szCs w:val="18"/>
                <w:color w:val="auto"/>
              </w:rPr>
              <w:t>9/8/2016</w:t>
            </w:r>
          </w:p>
        </w:tc>
      </w:tr>
      <w:tr>
        <w:trPr>
          <w:trHeight w:val="432"/>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10.5</w:t>
            </w:r>
          </w:p>
        </w:tc>
        <w:tc>
          <w:tcPr>
            <w:tcW w:w="1400" w:type="dxa"/>
            <w:vAlign w:val="bottom"/>
          </w:tcPr>
          <w:p>
            <w:pPr>
              <w:ind w:left="580"/>
              <w:spacing w:after="0"/>
              <w:rPr>
                <w:sz w:val="20"/>
                <w:szCs w:val="20"/>
                <w:color w:val="auto"/>
              </w:rPr>
            </w:pPr>
            <w:r>
              <w:rPr>
                <w:rFonts w:ascii="Arial" w:cs="Arial" w:eastAsia="Arial" w:hAnsi="Arial"/>
                <w:sz w:val="18"/>
                <w:szCs w:val="18"/>
                <w:color w:val="auto"/>
              </w:rPr>
              <w:t>9/8/2016</w:t>
            </w:r>
          </w:p>
        </w:tc>
      </w:tr>
      <w:tr>
        <w:trPr>
          <w:trHeight w:val="432"/>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10.1</w:t>
            </w:r>
          </w:p>
        </w:tc>
        <w:tc>
          <w:tcPr>
            <w:tcW w:w="1400" w:type="dxa"/>
            <w:vAlign w:val="bottom"/>
          </w:tcPr>
          <w:p>
            <w:pPr>
              <w:ind w:left="580"/>
              <w:spacing w:after="0"/>
              <w:rPr>
                <w:sz w:val="20"/>
                <w:szCs w:val="20"/>
                <w:color w:val="auto"/>
              </w:rPr>
            </w:pPr>
            <w:r>
              <w:rPr>
                <w:rFonts w:ascii="Arial" w:cs="Arial" w:eastAsia="Arial" w:hAnsi="Arial"/>
                <w:sz w:val="18"/>
                <w:szCs w:val="18"/>
                <w:color w:val="auto"/>
                <w:w w:val="99"/>
              </w:rPr>
              <w:t>8/23/2016</w:t>
            </w:r>
          </w:p>
        </w:tc>
      </w:tr>
      <w:tr>
        <w:trPr>
          <w:trHeight w:val="432"/>
        </w:trPr>
        <w:tc>
          <w:tcPr>
            <w:tcW w:w="640" w:type="dxa"/>
            <w:vAlign w:val="bottom"/>
          </w:tcPr>
          <w:p>
            <w:pPr>
              <w:spacing w:after="0"/>
              <w:rPr>
                <w:sz w:val="20"/>
                <w:szCs w:val="20"/>
                <w:color w:val="auto"/>
              </w:rPr>
            </w:pPr>
            <w:r>
              <w:rPr>
                <w:rFonts w:ascii="Arial" w:cs="Arial" w:eastAsia="Arial" w:hAnsi="Arial"/>
                <w:sz w:val="18"/>
                <w:szCs w:val="18"/>
                <w:color w:val="auto"/>
              </w:rPr>
              <w:t>10-K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10.22</w:t>
            </w:r>
          </w:p>
        </w:tc>
        <w:tc>
          <w:tcPr>
            <w:tcW w:w="1400" w:type="dxa"/>
            <w:vAlign w:val="bottom"/>
          </w:tcPr>
          <w:p>
            <w:pPr>
              <w:ind w:left="580"/>
              <w:spacing w:after="0"/>
              <w:rPr>
                <w:sz w:val="20"/>
                <w:szCs w:val="20"/>
                <w:color w:val="auto"/>
              </w:rPr>
            </w:pPr>
            <w:r>
              <w:rPr>
                <w:rFonts w:ascii="Arial" w:cs="Arial" w:eastAsia="Arial" w:hAnsi="Arial"/>
                <w:sz w:val="18"/>
                <w:szCs w:val="18"/>
                <w:color w:val="auto"/>
                <w:w w:val="88"/>
              </w:rPr>
              <w:t>03/28/2017</w:t>
            </w:r>
          </w:p>
        </w:tc>
      </w:tr>
      <w:tr>
        <w:trPr>
          <w:trHeight w:val="432"/>
        </w:trPr>
        <w:tc>
          <w:tcPr>
            <w:tcW w:w="640" w:type="dxa"/>
            <w:vAlign w:val="bottom"/>
          </w:tcPr>
          <w:p>
            <w:pPr>
              <w:spacing w:after="0"/>
              <w:rPr>
                <w:sz w:val="20"/>
                <w:szCs w:val="20"/>
                <w:color w:val="auto"/>
              </w:rPr>
            </w:pPr>
            <w:r>
              <w:rPr>
                <w:rFonts w:ascii="Arial" w:cs="Arial" w:eastAsia="Arial" w:hAnsi="Arial"/>
                <w:sz w:val="18"/>
                <w:szCs w:val="18"/>
                <w:color w:val="auto"/>
              </w:rPr>
              <w:t>10-K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10.23</w:t>
            </w:r>
          </w:p>
        </w:tc>
        <w:tc>
          <w:tcPr>
            <w:tcW w:w="1400" w:type="dxa"/>
            <w:vAlign w:val="bottom"/>
          </w:tcPr>
          <w:p>
            <w:pPr>
              <w:ind w:left="580"/>
              <w:spacing w:after="0"/>
              <w:rPr>
                <w:sz w:val="20"/>
                <w:szCs w:val="20"/>
                <w:color w:val="auto"/>
              </w:rPr>
            </w:pPr>
            <w:r>
              <w:rPr>
                <w:rFonts w:ascii="Arial" w:cs="Arial" w:eastAsia="Arial" w:hAnsi="Arial"/>
                <w:sz w:val="18"/>
                <w:szCs w:val="18"/>
                <w:color w:val="auto"/>
                <w:w w:val="88"/>
              </w:rPr>
              <w:t>03/28/2017</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000-30877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10.1</w:t>
            </w:r>
          </w:p>
        </w:tc>
        <w:tc>
          <w:tcPr>
            <w:tcW w:w="1400" w:type="dxa"/>
            <w:vAlign w:val="bottom"/>
          </w:tcPr>
          <w:p>
            <w:pPr>
              <w:ind w:left="580"/>
              <w:spacing w:after="0"/>
              <w:rPr>
                <w:sz w:val="20"/>
                <w:szCs w:val="20"/>
                <w:color w:val="auto"/>
              </w:rPr>
            </w:pPr>
            <w:r>
              <w:rPr>
                <w:rFonts w:ascii="Arial" w:cs="Arial" w:eastAsia="Arial" w:hAnsi="Arial"/>
                <w:sz w:val="18"/>
                <w:szCs w:val="18"/>
                <w:color w:val="auto"/>
                <w:w w:val="88"/>
              </w:rPr>
              <w:t>06/05/2017</w:t>
            </w:r>
          </w:p>
        </w:tc>
      </w:tr>
      <w:tr>
        <w:trPr>
          <w:trHeight w:val="432"/>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10.3</w:t>
            </w:r>
          </w:p>
        </w:tc>
        <w:tc>
          <w:tcPr>
            <w:tcW w:w="1400" w:type="dxa"/>
            <w:vAlign w:val="bottom"/>
          </w:tcPr>
          <w:p>
            <w:pPr>
              <w:ind w:left="580"/>
              <w:spacing w:after="0"/>
              <w:rPr>
                <w:sz w:val="20"/>
                <w:szCs w:val="20"/>
                <w:color w:val="auto"/>
              </w:rPr>
            </w:pPr>
            <w:r>
              <w:rPr>
                <w:rFonts w:ascii="Arial" w:cs="Arial" w:eastAsia="Arial" w:hAnsi="Arial"/>
                <w:sz w:val="18"/>
                <w:szCs w:val="18"/>
                <w:color w:val="auto"/>
              </w:rPr>
              <w:t>09/12/28</w:t>
            </w:r>
          </w:p>
        </w:tc>
      </w:tr>
      <w:tr>
        <w:trPr>
          <w:trHeight w:val="432"/>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10.1</w:t>
            </w:r>
          </w:p>
        </w:tc>
        <w:tc>
          <w:tcPr>
            <w:tcW w:w="1400" w:type="dxa"/>
            <w:vAlign w:val="bottom"/>
          </w:tcPr>
          <w:p>
            <w:pPr>
              <w:ind w:left="580"/>
              <w:spacing w:after="0"/>
              <w:rPr>
                <w:sz w:val="20"/>
                <w:szCs w:val="20"/>
                <w:color w:val="auto"/>
              </w:rPr>
            </w:pPr>
            <w:r>
              <w:rPr>
                <w:rFonts w:ascii="Arial" w:cs="Arial" w:eastAsia="Arial" w:hAnsi="Arial"/>
                <w:sz w:val="18"/>
                <w:szCs w:val="18"/>
                <w:color w:val="auto"/>
                <w:w w:val="88"/>
              </w:rPr>
              <w:t>06/29/2018</w:t>
            </w:r>
          </w:p>
        </w:tc>
      </w:tr>
      <w:tr>
        <w:trPr>
          <w:trHeight w:val="621"/>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10.1</w:t>
            </w:r>
          </w:p>
        </w:tc>
        <w:tc>
          <w:tcPr>
            <w:tcW w:w="1400" w:type="dxa"/>
            <w:vAlign w:val="bottom"/>
          </w:tcPr>
          <w:p>
            <w:pPr>
              <w:ind w:left="580"/>
              <w:spacing w:after="0"/>
              <w:rPr>
                <w:sz w:val="20"/>
                <w:szCs w:val="20"/>
                <w:color w:val="auto"/>
              </w:rPr>
            </w:pPr>
            <w:r>
              <w:rPr>
                <w:rFonts w:ascii="Arial" w:cs="Arial" w:eastAsia="Arial" w:hAnsi="Arial"/>
                <w:sz w:val="18"/>
                <w:szCs w:val="18"/>
                <w:color w:val="auto"/>
                <w:w w:val="88"/>
              </w:rPr>
              <w:t>06/13/2018</w:t>
            </w:r>
          </w:p>
        </w:tc>
      </w:tr>
    </w:tbl>
    <w:p>
      <w:pPr>
        <w:spacing w:after="0" w:line="849" w:lineRule="exact"/>
        <w:rPr>
          <w:rFonts w:ascii="Arial" w:cs="Arial" w:eastAsia="Arial" w:hAnsi="Arial"/>
          <w:sz w:val="18"/>
          <w:szCs w:val="18"/>
          <w:u w:val="single" w:color="auto"/>
          <w:color w:val="0000FF"/>
        </w:rPr>
      </w:pPr>
    </w:p>
    <w:p>
      <w:pPr>
        <w:sectPr>
          <w:pgSz w:w="11900" w:h="16838" w:orient="portrait"/>
          <w:cols w:equalWidth="0" w:num="2">
            <w:col w:w="5600" w:space="240"/>
            <w:col w:w="4760"/>
          </w:cols>
          <w:pgMar w:left="440" w:top="1290" w:right="859" w:bottom="1440" w:gutter="0" w:footer="0" w:header="0"/>
        </w:sectPr>
      </w:pPr>
    </w:p>
    <w:p>
      <w:pPr>
        <w:spacing w:after="0"/>
        <w:rPr>
          <w:sz w:val="20"/>
          <w:szCs w:val="20"/>
          <w:color w:val="auto"/>
        </w:rPr>
      </w:pPr>
      <w:r>
        <w:rPr>
          <w:rFonts w:ascii="Arial" w:cs="Arial" w:eastAsia="Arial" w:hAnsi="Arial"/>
          <w:sz w:val="16"/>
          <w:szCs w:val="16"/>
          <w:color w:val="auto"/>
        </w:rPr>
        <w:t>10.25#</w:t>
      </w:r>
    </w:p>
    <w:p>
      <w:pPr>
        <w:spacing w:after="0" w:line="248"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6"/>
          <w:szCs w:val="16"/>
          <w:color w:val="auto"/>
        </w:rPr>
        <w:t>10.26#</w:t>
      </w:r>
    </w:p>
    <w:p>
      <w:pPr>
        <w:spacing w:after="0" w:line="200" w:lineRule="exact"/>
        <w:rPr>
          <w:rFonts w:ascii="Arial" w:cs="Arial" w:eastAsia="Arial" w:hAnsi="Arial"/>
          <w:sz w:val="18"/>
          <w:szCs w:val="18"/>
          <w:u w:val="single" w:color="auto"/>
          <w:color w:val="0000FF"/>
        </w:rPr>
      </w:pPr>
    </w:p>
    <w:p>
      <w:pPr>
        <w:spacing w:after="0" w:line="224"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6"/>
          <w:szCs w:val="16"/>
          <w:color w:val="auto"/>
        </w:rPr>
        <w:t>10.27#</w:t>
      </w:r>
    </w:p>
    <w:p>
      <w:pPr>
        <w:spacing w:after="0" w:line="200" w:lineRule="exact"/>
        <w:rPr>
          <w:rFonts w:ascii="Arial" w:cs="Arial" w:eastAsia="Arial" w:hAnsi="Arial"/>
          <w:sz w:val="18"/>
          <w:szCs w:val="18"/>
          <w:u w:val="single" w:color="auto"/>
          <w:color w:val="0000FF"/>
        </w:rPr>
      </w:pPr>
    </w:p>
    <w:p>
      <w:pPr>
        <w:spacing w:after="0" w:line="251"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6"/>
          <w:szCs w:val="16"/>
          <w:color w:val="auto"/>
        </w:rPr>
        <w:t>10.28#</w:t>
      </w:r>
    </w:p>
    <w:p>
      <w:pPr>
        <w:spacing w:after="0" w:line="200" w:lineRule="exact"/>
        <w:rPr>
          <w:rFonts w:ascii="Arial" w:cs="Arial" w:eastAsia="Arial" w:hAnsi="Arial"/>
          <w:sz w:val="18"/>
          <w:szCs w:val="18"/>
          <w:u w:val="single" w:color="auto"/>
          <w:color w:val="0000FF"/>
        </w:rPr>
      </w:pPr>
    </w:p>
    <w:p>
      <w:pPr>
        <w:spacing w:after="0" w:line="251"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6"/>
          <w:szCs w:val="16"/>
          <w:color w:val="auto"/>
        </w:rPr>
        <w:t>10.29#</w:t>
      </w:r>
    </w:p>
    <w:p>
      <w:pPr>
        <w:spacing w:after="0" w:line="200" w:lineRule="exact"/>
        <w:rPr>
          <w:rFonts w:ascii="Arial" w:cs="Arial" w:eastAsia="Arial" w:hAnsi="Arial"/>
          <w:sz w:val="18"/>
          <w:szCs w:val="18"/>
          <w:u w:val="single" w:color="auto"/>
          <w:color w:val="0000FF"/>
        </w:rPr>
      </w:pPr>
    </w:p>
    <w:p>
      <w:pPr>
        <w:spacing w:after="0" w:line="210"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6"/>
          <w:szCs w:val="16"/>
          <w:color w:val="auto"/>
        </w:rPr>
        <w:t>10.30#</w:t>
      </w:r>
    </w:p>
    <w:p>
      <w:pPr>
        <w:spacing w:after="0" w:line="200" w:lineRule="exact"/>
        <w:rPr>
          <w:rFonts w:ascii="Arial" w:cs="Arial" w:eastAsia="Arial" w:hAnsi="Arial"/>
          <w:sz w:val="18"/>
          <w:szCs w:val="18"/>
          <w:u w:val="single" w:color="auto"/>
          <w:color w:val="0000FF"/>
        </w:rPr>
      </w:pPr>
    </w:p>
    <w:p>
      <w:pPr>
        <w:spacing w:after="0" w:line="210"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6"/>
          <w:szCs w:val="16"/>
          <w:color w:val="auto"/>
        </w:rPr>
        <w:t>10.31#</w:t>
      </w:r>
    </w:p>
    <w:p>
      <w:pPr>
        <w:spacing w:after="0" w:line="20" w:lineRule="exact"/>
        <w:rPr>
          <w:rFonts w:ascii="Arial" w:cs="Arial" w:eastAsia="Arial" w:hAnsi="Arial"/>
          <w:sz w:val="18"/>
          <w:szCs w:val="18"/>
          <w:u w:val="single" w:color="auto"/>
          <w:color w:val="0000FF"/>
        </w:rPr>
      </w:pPr>
      <w:r>
        <w:rPr>
          <w:rFonts w:ascii="Arial" w:cs="Arial" w:eastAsia="Arial" w:hAnsi="Arial"/>
          <w:sz w:val="18"/>
          <w:szCs w:val="18"/>
          <w:u w:val="single" w:color="auto"/>
          <w:color w:val="0000FF"/>
        </w:rPr>
        <w:br w:type="column"/>
      </w:r>
    </w:p>
    <w:p>
      <w:pPr>
        <w:spacing w:after="0"/>
        <w:rPr>
          <w:rFonts w:ascii="Arial" w:cs="Arial" w:eastAsia="Arial" w:hAnsi="Arial"/>
          <w:sz w:val="18"/>
          <w:szCs w:val="18"/>
          <w:u w:val="single" w:color="auto"/>
          <w:color w:val="0000FF"/>
        </w:rPr>
      </w:pPr>
      <w:hyperlink r:id="rId157">
        <w:r>
          <w:rPr>
            <w:rFonts w:ascii="Arial" w:cs="Arial" w:eastAsia="Arial" w:hAnsi="Arial"/>
            <w:sz w:val="18"/>
            <w:szCs w:val="18"/>
            <w:u w:val="single" w:color="auto"/>
            <w:color w:val="0000FF"/>
          </w:rPr>
          <w:t>Summary of Fiscal 2020 Compensation Arrangements</w:t>
        </w:r>
      </w:hyperlink>
    </w:p>
    <w:p>
      <w:pPr>
        <w:spacing w:after="0" w:line="198" w:lineRule="exact"/>
        <w:rPr>
          <w:rFonts w:ascii="Arial" w:cs="Arial" w:eastAsia="Arial" w:hAnsi="Arial"/>
          <w:sz w:val="18"/>
          <w:szCs w:val="18"/>
          <w:u w:val="single" w:color="auto"/>
          <w:color w:val="0000FF"/>
        </w:rPr>
      </w:pPr>
    </w:p>
    <w:p>
      <w:pPr>
        <w:ind w:right="20"/>
        <w:spacing w:after="0" w:line="235" w:lineRule="auto"/>
        <w:rPr>
          <w:rFonts w:ascii="Arial" w:cs="Arial" w:eastAsia="Arial" w:hAnsi="Arial"/>
          <w:sz w:val="18"/>
          <w:szCs w:val="18"/>
          <w:u w:val="single" w:color="auto"/>
          <w:color w:val="0000FF"/>
        </w:rPr>
      </w:pPr>
      <w:hyperlink r:id="rId158">
        <w:r>
          <w:rPr>
            <w:rFonts w:ascii="Arial" w:cs="Arial" w:eastAsia="Arial" w:hAnsi="Arial"/>
            <w:sz w:val="18"/>
            <w:szCs w:val="18"/>
            <w:u w:val="single" w:color="auto"/>
            <w:color w:val="0000FF"/>
          </w:rPr>
          <w:t>Warrant to Purchase Common Shares of Marvell dated June 5,</w:t>
        </w:r>
      </w:hyperlink>
      <w:r>
        <w:rPr>
          <w:rFonts w:ascii="Arial" w:cs="Arial" w:eastAsia="Arial" w:hAnsi="Arial"/>
          <w:sz w:val="18"/>
          <w:szCs w:val="18"/>
          <w:u w:val="single" w:color="auto"/>
          <w:color w:val="0000FF"/>
        </w:rPr>
        <w:t xml:space="preserve"> </w:t>
      </w:r>
      <w:hyperlink r:id="rId158">
        <w:r>
          <w:rPr>
            <w:rFonts w:ascii="Arial" w:cs="Arial" w:eastAsia="Arial" w:hAnsi="Arial"/>
            <w:sz w:val="18"/>
            <w:szCs w:val="18"/>
            <w:u w:val="single" w:color="auto"/>
            <w:color w:val="0000FF"/>
          </w:rPr>
          <w:t>2019</w:t>
        </w:r>
      </w:hyperlink>
    </w:p>
    <w:p>
      <w:pPr>
        <w:spacing w:after="0" w:line="202" w:lineRule="exact"/>
        <w:rPr>
          <w:sz w:val="20"/>
          <w:szCs w:val="20"/>
          <w:color w:val="auto"/>
        </w:rPr>
      </w:pPr>
    </w:p>
    <w:p>
      <w:pPr>
        <w:ind w:right="140"/>
        <w:spacing w:after="0" w:line="246" w:lineRule="auto"/>
        <w:rPr>
          <w:rFonts w:ascii="Arial" w:cs="Arial" w:eastAsia="Arial" w:hAnsi="Arial"/>
          <w:sz w:val="18"/>
          <w:szCs w:val="18"/>
          <w:u w:val="single" w:color="auto"/>
          <w:color w:val="0000FF"/>
        </w:rPr>
      </w:pPr>
      <w:hyperlink r:id="rId159">
        <w:r>
          <w:rPr>
            <w:rFonts w:ascii="Arial" w:cs="Arial" w:eastAsia="Arial" w:hAnsi="Arial"/>
            <w:sz w:val="18"/>
            <w:szCs w:val="18"/>
            <w:u w:val="single" w:color="auto"/>
            <w:color w:val="0000FF"/>
          </w:rPr>
          <w:t>Cavium, Inc. 2016 Equity Incentive Plan (including forms of</w:t>
        </w:r>
      </w:hyperlink>
      <w:r>
        <w:rPr>
          <w:rFonts w:ascii="Arial" w:cs="Arial" w:eastAsia="Arial" w:hAnsi="Arial"/>
          <w:sz w:val="18"/>
          <w:szCs w:val="18"/>
          <w:u w:val="single" w:color="auto"/>
          <w:color w:val="0000FF"/>
        </w:rPr>
        <w:t xml:space="preserve"> </w:t>
      </w:r>
      <w:hyperlink r:id="rId159">
        <w:r>
          <w:rPr>
            <w:rFonts w:ascii="Arial" w:cs="Arial" w:eastAsia="Arial" w:hAnsi="Arial"/>
            <w:sz w:val="18"/>
            <w:szCs w:val="18"/>
            <w:u w:val="single" w:color="auto"/>
            <w:color w:val="0000FF"/>
          </w:rPr>
          <w:t>grant notice and agreements)</w:t>
        </w:r>
      </w:hyperlink>
    </w:p>
    <w:p>
      <w:pPr>
        <w:spacing w:after="0" w:line="210" w:lineRule="exact"/>
        <w:rPr>
          <w:sz w:val="20"/>
          <w:szCs w:val="20"/>
          <w:color w:val="auto"/>
        </w:rPr>
      </w:pPr>
    </w:p>
    <w:p>
      <w:pPr>
        <w:ind w:right="140"/>
        <w:spacing w:after="0" w:line="246" w:lineRule="auto"/>
        <w:rPr>
          <w:rFonts w:ascii="Arial" w:cs="Arial" w:eastAsia="Arial" w:hAnsi="Arial"/>
          <w:sz w:val="18"/>
          <w:szCs w:val="18"/>
          <w:u w:val="single" w:color="auto"/>
          <w:color w:val="0000FF"/>
        </w:rPr>
      </w:pPr>
      <w:hyperlink r:id="rId160">
        <w:r>
          <w:rPr>
            <w:rFonts w:ascii="Arial" w:cs="Arial" w:eastAsia="Arial" w:hAnsi="Arial"/>
            <w:sz w:val="18"/>
            <w:szCs w:val="18"/>
            <w:u w:val="single" w:color="auto"/>
            <w:color w:val="0000FF"/>
          </w:rPr>
          <w:t>Cavium, Inc. 2007 Equity Incentive Plan (including forms of</w:t>
        </w:r>
      </w:hyperlink>
      <w:r>
        <w:rPr>
          <w:rFonts w:ascii="Arial" w:cs="Arial" w:eastAsia="Arial" w:hAnsi="Arial"/>
          <w:sz w:val="18"/>
          <w:szCs w:val="18"/>
          <w:u w:val="single" w:color="auto"/>
          <w:color w:val="0000FF"/>
        </w:rPr>
        <w:t xml:space="preserve"> </w:t>
      </w:r>
      <w:hyperlink r:id="rId160">
        <w:r>
          <w:rPr>
            <w:rFonts w:ascii="Arial" w:cs="Arial" w:eastAsia="Arial" w:hAnsi="Arial"/>
            <w:sz w:val="18"/>
            <w:szCs w:val="18"/>
            <w:u w:val="single" w:color="auto"/>
            <w:color w:val="0000FF"/>
          </w:rPr>
          <w:t>grant notice and agreements)</w:t>
        </w:r>
      </w:hyperlink>
    </w:p>
    <w:p>
      <w:pPr>
        <w:spacing w:after="0" w:line="210" w:lineRule="exact"/>
        <w:rPr>
          <w:sz w:val="20"/>
          <w:szCs w:val="20"/>
          <w:color w:val="auto"/>
        </w:rPr>
      </w:pPr>
    </w:p>
    <w:p>
      <w:pPr>
        <w:ind w:right="600"/>
        <w:spacing w:after="0" w:line="307" w:lineRule="auto"/>
        <w:rPr>
          <w:rFonts w:ascii="Arial" w:cs="Arial" w:eastAsia="Arial" w:hAnsi="Arial"/>
          <w:sz w:val="16"/>
          <w:szCs w:val="16"/>
          <w:u w:val="single" w:color="auto"/>
          <w:color w:val="0000FF"/>
        </w:rPr>
      </w:pPr>
      <w:hyperlink r:id="rId161">
        <w:r>
          <w:rPr>
            <w:rFonts w:ascii="Arial" w:cs="Arial" w:eastAsia="Arial" w:hAnsi="Arial"/>
            <w:sz w:val="16"/>
            <w:szCs w:val="16"/>
            <w:u w:val="single" w:color="auto"/>
            <w:color w:val="0000FF"/>
          </w:rPr>
          <w:t>QLogic Corporation 2005 Performance Incentive Plan</w:t>
        </w:r>
      </w:hyperlink>
      <w:r>
        <w:rPr>
          <w:rFonts w:ascii="Arial" w:cs="Arial" w:eastAsia="Arial" w:hAnsi="Arial"/>
          <w:sz w:val="16"/>
          <w:szCs w:val="16"/>
          <w:u w:val="single" w:color="auto"/>
          <w:color w:val="0000FF"/>
        </w:rPr>
        <w:t xml:space="preserve"> </w:t>
      </w:r>
      <w:hyperlink r:id="rId161">
        <w:r>
          <w:rPr>
            <w:rFonts w:ascii="Arial" w:cs="Arial" w:eastAsia="Arial" w:hAnsi="Arial"/>
            <w:sz w:val="16"/>
            <w:szCs w:val="16"/>
            <w:u w:val="single" w:color="auto"/>
            <w:color w:val="0000FF"/>
          </w:rPr>
          <w:t>(including forms of grant notice and agreements)</w:t>
        </w:r>
      </w:hyperlink>
    </w:p>
    <w:p>
      <w:pPr>
        <w:spacing w:after="0" w:line="123" w:lineRule="exact"/>
        <w:rPr>
          <w:sz w:val="20"/>
          <w:szCs w:val="20"/>
          <w:color w:val="auto"/>
        </w:rPr>
      </w:pPr>
    </w:p>
    <w:p>
      <w:pPr>
        <w:ind w:right="160"/>
        <w:spacing w:after="0" w:line="246" w:lineRule="auto"/>
        <w:rPr>
          <w:rFonts w:ascii="Arial" w:cs="Arial" w:eastAsia="Arial" w:hAnsi="Arial"/>
          <w:sz w:val="18"/>
          <w:szCs w:val="18"/>
          <w:u w:val="single" w:color="auto"/>
          <w:color w:val="0000FF"/>
        </w:rPr>
      </w:pPr>
      <w:hyperlink r:id="rId162">
        <w:r>
          <w:rPr>
            <w:rFonts w:ascii="Arial" w:cs="Arial" w:eastAsia="Arial" w:hAnsi="Arial"/>
            <w:sz w:val="18"/>
            <w:szCs w:val="18"/>
            <w:u w:val="single" w:color="auto"/>
            <w:color w:val="0000FF"/>
          </w:rPr>
          <w:t>Aquantia Corp. 2004 Equity Incentive Plan (including forms</w:t>
        </w:r>
      </w:hyperlink>
      <w:r>
        <w:rPr>
          <w:rFonts w:ascii="Arial" w:cs="Arial" w:eastAsia="Arial" w:hAnsi="Arial"/>
          <w:sz w:val="18"/>
          <w:szCs w:val="18"/>
          <w:u w:val="single" w:color="auto"/>
          <w:color w:val="0000FF"/>
        </w:rPr>
        <w:t xml:space="preserve"> </w:t>
      </w:r>
      <w:hyperlink r:id="rId162">
        <w:r>
          <w:rPr>
            <w:rFonts w:ascii="Arial" w:cs="Arial" w:eastAsia="Arial" w:hAnsi="Arial"/>
            <w:sz w:val="18"/>
            <w:szCs w:val="18"/>
            <w:u w:val="single" w:color="auto"/>
            <w:color w:val="0000FF"/>
          </w:rPr>
          <w:t>of grant notice and agreements)</w:t>
        </w:r>
      </w:hyperlink>
    </w:p>
    <w:p>
      <w:pPr>
        <w:spacing w:after="0" w:line="170" w:lineRule="exact"/>
        <w:rPr>
          <w:sz w:val="20"/>
          <w:szCs w:val="20"/>
          <w:color w:val="auto"/>
        </w:rPr>
      </w:pPr>
    </w:p>
    <w:p>
      <w:pPr>
        <w:ind w:right="160"/>
        <w:spacing w:after="0" w:line="246" w:lineRule="auto"/>
        <w:rPr>
          <w:rFonts w:ascii="Arial" w:cs="Arial" w:eastAsia="Arial" w:hAnsi="Arial"/>
          <w:sz w:val="18"/>
          <w:szCs w:val="18"/>
          <w:u w:val="single" w:color="auto"/>
          <w:color w:val="0000FF"/>
        </w:rPr>
      </w:pPr>
      <w:hyperlink r:id="rId163">
        <w:r>
          <w:rPr>
            <w:rFonts w:ascii="Arial" w:cs="Arial" w:eastAsia="Arial" w:hAnsi="Arial"/>
            <w:sz w:val="18"/>
            <w:szCs w:val="18"/>
            <w:u w:val="single" w:color="auto"/>
            <w:color w:val="0000FF"/>
          </w:rPr>
          <w:t>Aquantia Corp. 2015 Equity Incentive Plan (including forms</w:t>
        </w:r>
      </w:hyperlink>
      <w:r>
        <w:rPr>
          <w:rFonts w:ascii="Arial" w:cs="Arial" w:eastAsia="Arial" w:hAnsi="Arial"/>
          <w:sz w:val="18"/>
          <w:szCs w:val="18"/>
          <w:u w:val="single" w:color="auto"/>
          <w:color w:val="0000FF"/>
        </w:rPr>
        <w:t xml:space="preserve"> </w:t>
      </w:r>
      <w:hyperlink r:id="rId163">
        <w:r>
          <w:rPr>
            <w:rFonts w:ascii="Arial" w:cs="Arial" w:eastAsia="Arial" w:hAnsi="Arial"/>
            <w:sz w:val="18"/>
            <w:szCs w:val="18"/>
            <w:u w:val="single" w:color="auto"/>
            <w:color w:val="0000FF"/>
          </w:rPr>
          <w:t>of grant notice and agreements)</w:t>
        </w:r>
      </w:hyperlink>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-781685</wp:posOffset>
            </wp:positionH>
            <wp:positionV relativeFrom="paragraph">
              <wp:posOffset>237490</wp:posOffset>
            </wp:positionV>
            <wp:extent cx="7132320" cy="1714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6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0"/>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280" w:type="dxa"/>
            <w:vAlign w:val="bottom"/>
          </w:tcPr>
          <w:p>
            <w:pPr>
              <w:jc w:val="right"/>
              <w:ind w:right="550"/>
              <w:spacing w:after="0"/>
              <w:rPr>
                <w:sz w:val="20"/>
                <w:szCs w:val="20"/>
                <w:color w:val="auto"/>
              </w:rPr>
            </w:pPr>
            <w:r>
              <w:rPr>
                <w:rFonts w:ascii="Arial" w:cs="Arial" w:eastAsia="Arial" w:hAnsi="Arial"/>
                <w:sz w:val="18"/>
                <w:szCs w:val="18"/>
                <w:color w:val="auto"/>
              </w:rPr>
              <w:t>10.2</w:t>
            </w:r>
          </w:p>
        </w:tc>
        <w:tc>
          <w:tcPr>
            <w:tcW w:w="1440" w:type="dxa"/>
            <w:vAlign w:val="bottom"/>
          </w:tcPr>
          <w:p>
            <w:pPr>
              <w:jc w:val="right"/>
              <w:spacing w:after="0"/>
              <w:rPr>
                <w:sz w:val="20"/>
                <w:szCs w:val="20"/>
                <w:color w:val="auto"/>
              </w:rPr>
            </w:pPr>
            <w:r>
              <w:rPr>
                <w:rFonts w:ascii="Arial" w:cs="Arial" w:eastAsia="Arial" w:hAnsi="Arial"/>
                <w:sz w:val="18"/>
                <w:szCs w:val="18"/>
                <w:color w:val="auto"/>
              </w:rPr>
              <w:t>06/06/2019</w:t>
            </w:r>
          </w:p>
        </w:tc>
      </w:tr>
      <w:tr>
        <w:trPr>
          <w:trHeight w:val="432"/>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280" w:type="dxa"/>
            <w:vAlign w:val="bottom"/>
          </w:tcPr>
          <w:p>
            <w:pPr>
              <w:jc w:val="right"/>
              <w:ind w:right="550"/>
              <w:spacing w:after="0"/>
              <w:rPr>
                <w:sz w:val="20"/>
                <w:szCs w:val="20"/>
                <w:color w:val="auto"/>
              </w:rPr>
            </w:pPr>
            <w:r>
              <w:rPr>
                <w:rFonts w:ascii="Arial" w:cs="Arial" w:eastAsia="Arial" w:hAnsi="Arial"/>
                <w:sz w:val="18"/>
                <w:szCs w:val="18"/>
                <w:color w:val="auto"/>
              </w:rPr>
              <w:t>99.1</w:t>
            </w:r>
          </w:p>
        </w:tc>
        <w:tc>
          <w:tcPr>
            <w:tcW w:w="1440" w:type="dxa"/>
            <w:vAlign w:val="bottom"/>
          </w:tcPr>
          <w:p>
            <w:pPr>
              <w:jc w:val="right"/>
              <w:spacing w:after="0"/>
              <w:rPr>
                <w:sz w:val="20"/>
                <w:szCs w:val="20"/>
                <w:color w:val="auto"/>
              </w:rPr>
            </w:pPr>
            <w:r>
              <w:rPr>
                <w:rFonts w:ascii="Arial" w:cs="Arial" w:eastAsia="Arial" w:hAnsi="Arial"/>
                <w:sz w:val="18"/>
                <w:szCs w:val="18"/>
                <w:color w:val="auto"/>
              </w:rPr>
              <w:t>06/05/2019</w:t>
            </w:r>
          </w:p>
        </w:tc>
      </w:tr>
      <w:tr>
        <w:trPr>
          <w:trHeight w:val="608"/>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280" w:type="dxa"/>
            <w:vAlign w:val="bottom"/>
          </w:tcPr>
          <w:p>
            <w:pPr>
              <w:jc w:val="right"/>
              <w:ind w:right="550"/>
              <w:spacing w:after="0"/>
              <w:rPr>
                <w:sz w:val="20"/>
                <w:szCs w:val="20"/>
                <w:color w:val="auto"/>
              </w:rPr>
            </w:pPr>
            <w:r>
              <w:rPr>
                <w:rFonts w:ascii="Arial" w:cs="Arial" w:eastAsia="Arial" w:hAnsi="Arial"/>
                <w:sz w:val="18"/>
                <w:szCs w:val="18"/>
                <w:color w:val="auto"/>
              </w:rPr>
              <w:t>10.1</w:t>
            </w:r>
          </w:p>
        </w:tc>
        <w:tc>
          <w:tcPr>
            <w:tcW w:w="1440" w:type="dxa"/>
            <w:vAlign w:val="bottom"/>
          </w:tcPr>
          <w:p>
            <w:pPr>
              <w:jc w:val="right"/>
              <w:spacing w:after="0"/>
              <w:rPr>
                <w:sz w:val="20"/>
                <w:szCs w:val="20"/>
                <w:color w:val="auto"/>
              </w:rPr>
            </w:pPr>
            <w:r>
              <w:rPr>
                <w:rFonts w:ascii="Arial" w:cs="Arial" w:eastAsia="Arial" w:hAnsi="Arial"/>
                <w:sz w:val="18"/>
                <w:szCs w:val="18"/>
                <w:color w:val="auto"/>
              </w:rPr>
              <w:t>12/04/2019</w:t>
            </w:r>
          </w:p>
        </w:tc>
      </w:tr>
      <w:tr>
        <w:trPr>
          <w:trHeight w:val="635"/>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280" w:type="dxa"/>
            <w:vAlign w:val="bottom"/>
          </w:tcPr>
          <w:p>
            <w:pPr>
              <w:jc w:val="right"/>
              <w:ind w:right="550"/>
              <w:spacing w:after="0"/>
              <w:rPr>
                <w:sz w:val="20"/>
                <w:szCs w:val="20"/>
                <w:color w:val="auto"/>
              </w:rPr>
            </w:pPr>
            <w:r>
              <w:rPr>
                <w:rFonts w:ascii="Arial" w:cs="Arial" w:eastAsia="Arial" w:hAnsi="Arial"/>
                <w:sz w:val="18"/>
                <w:szCs w:val="18"/>
                <w:color w:val="auto"/>
              </w:rPr>
              <w:t>10.2</w:t>
            </w:r>
          </w:p>
        </w:tc>
        <w:tc>
          <w:tcPr>
            <w:tcW w:w="1440" w:type="dxa"/>
            <w:vAlign w:val="bottom"/>
          </w:tcPr>
          <w:p>
            <w:pPr>
              <w:jc w:val="right"/>
              <w:spacing w:after="0"/>
              <w:rPr>
                <w:sz w:val="20"/>
                <w:szCs w:val="20"/>
                <w:color w:val="auto"/>
              </w:rPr>
            </w:pPr>
            <w:r>
              <w:rPr>
                <w:rFonts w:ascii="Arial" w:cs="Arial" w:eastAsia="Arial" w:hAnsi="Arial"/>
                <w:sz w:val="18"/>
                <w:szCs w:val="18"/>
                <w:color w:val="auto"/>
              </w:rPr>
              <w:t>12/04/2019</w:t>
            </w:r>
          </w:p>
        </w:tc>
      </w:tr>
      <w:tr>
        <w:trPr>
          <w:trHeight w:val="634"/>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280" w:type="dxa"/>
            <w:vAlign w:val="bottom"/>
          </w:tcPr>
          <w:p>
            <w:pPr>
              <w:jc w:val="right"/>
              <w:ind w:right="550"/>
              <w:spacing w:after="0"/>
              <w:rPr>
                <w:sz w:val="20"/>
                <w:szCs w:val="20"/>
                <w:color w:val="auto"/>
              </w:rPr>
            </w:pPr>
            <w:r>
              <w:rPr>
                <w:rFonts w:ascii="Arial" w:cs="Arial" w:eastAsia="Arial" w:hAnsi="Arial"/>
                <w:sz w:val="18"/>
                <w:szCs w:val="18"/>
                <w:color w:val="auto"/>
              </w:rPr>
              <w:t>10.3</w:t>
            </w:r>
          </w:p>
        </w:tc>
        <w:tc>
          <w:tcPr>
            <w:tcW w:w="1440" w:type="dxa"/>
            <w:vAlign w:val="bottom"/>
          </w:tcPr>
          <w:p>
            <w:pPr>
              <w:jc w:val="right"/>
              <w:spacing w:after="0"/>
              <w:rPr>
                <w:sz w:val="20"/>
                <w:szCs w:val="20"/>
                <w:color w:val="auto"/>
              </w:rPr>
            </w:pPr>
            <w:r>
              <w:rPr>
                <w:rFonts w:ascii="Arial" w:cs="Arial" w:eastAsia="Arial" w:hAnsi="Arial"/>
                <w:sz w:val="18"/>
                <w:szCs w:val="18"/>
                <w:color w:val="auto"/>
              </w:rPr>
              <w:t>12/04/2019</w:t>
            </w:r>
          </w:p>
        </w:tc>
      </w:tr>
      <w:tr>
        <w:trPr>
          <w:trHeight w:val="594"/>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280" w:type="dxa"/>
            <w:vAlign w:val="bottom"/>
          </w:tcPr>
          <w:p>
            <w:pPr>
              <w:jc w:val="right"/>
              <w:ind w:right="550"/>
              <w:spacing w:after="0"/>
              <w:rPr>
                <w:sz w:val="20"/>
                <w:szCs w:val="20"/>
                <w:color w:val="auto"/>
              </w:rPr>
            </w:pPr>
            <w:r>
              <w:rPr>
                <w:rFonts w:ascii="Arial" w:cs="Arial" w:eastAsia="Arial" w:hAnsi="Arial"/>
                <w:sz w:val="18"/>
                <w:szCs w:val="18"/>
                <w:color w:val="auto"/>
              </w:rPr>
              <w:t>10.4</w:t>
            </w:r>
          </w:p>
        </w:tc>
        <w:tc>
          <w:tcPr>
            <w:tcW w:w="1440" w:type="dxa"/>
            <w:vAlign w:val="bottom"/>
          </w:tcPr>
          <w:p>
            <w:pPr>
              <w:jc w:val="right"/>
              <w:spacing w:after="0"/>
              <w:rPr>
                <w:sz w:val="20"/>
                <w:szCs w:val="20"/>
                <w:color w:val="auto"/>
              </w:rPr>
            </w:pPr>
            <w:r>
              <w:rPr>
                <w:rFonts w:ascii="Arial" w:cs="Arial" w:eastAsia="Arial" w:hAnsi="Arial"/>
                <w:sz w:val="18"/>
                <w:szCs w:val="18"/>
                <w:color w:val="auto"/>
              </w:rPr>
              <w:t>12/04/2019</w:t>
            </w:r>
          </w:p>
        </w:tc>
      </w:tr>
      <w:tr>
        <w:trPr>
          <w:trHeight w:val="594"/>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280" w:type="dxa"/>
            <w:vAlign w:val="bottom"/>
          </w:tcPr>
          <w:p>
            <w:pPr>
              <w:jc w:val="right"/>
              <w:ind w:right="550"/>
              <w:spacing w:after="0"/>
              <w:rPr>
                <w:sz w:val="20"/>
                <w:szCs w:val="20"/>
                <w:color w:val="auto"/>
              </w:rPr>
            </w:pPr>
            <w:r>
              <w:rPr>
                <w:rFonts w:ascii="Arial" w:cs="Arial" w:eastAsia="Arial" w:hAnsi="Arial"/>
                <w:sz w:val="18"/>
                <w:szCs w:val="18"/>
                <w:color w:val="auto"/>
              </w:rPr>
              <w:t>10.5</w:t>
            </w:r>
          </w:p>
        </w:tc>
        <w:tc>
          <w:tcPr>
            <w:tcW w:w="1440" w:type="dxa"/>
            <w:vAlign w:val="bottom"/>
          </w:tcPr>
          <w:p>
            <w:pPr>
              <w:jc w:val="right"/>
              <w:spacing w:after="0"/>
              <w:rPr>
                <w:sz w:val="20"/>
                <w:szCs w:val="20"/>
                <w:color w:val="auto"/>
              </w:rPr>
            </w:pPr>
            <w:r>
              <w:rPr>
                <w:rFonts w:ascii="Arial" w:cs="Arial" w:eastAsia="Arial" w:hAnsi="Arial"/>
                <w:sz w:val="18"/>
                <w:szCs w:val="18"/>
                <w:color w:val="auto"/>
              </w:rPr>
              <w:t>12/04/2019</w:t>
            </w:r>
          </w:p>
        </w:tc>
      </w:tr>
    </w:tbl>
    <w:p>
      <w:pPr>
        <w:sectPr>
          <w:pgSz w:w="11900" w:h="16838" w:orient="portrait"/>
          <w:cols w:equalWidth="0" w:num="3">
            <w:col w:w="500" w:space="620"/>
            <w:col w:w="4520" w:space="200"/>
            <w:col w:w="4760"/>
          </w:cols>
          <w:pgMar w:left="440" w:top="1290" w:right="859" w:bottom="1440" w:gutter="0" w:footer="0" w:header="0"/>
          <w:type w:val="continuous"/>
        </w:sectPr>
      </w:pPr>
    </w:p>
    <w:bookmarkStart w:id="105" w:name="page106"/>
    <w:bookmarkEnd w:id="105"/>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27"/>
        </w:trPr>
        <w:tc>
          <w:tcPr>
            <w:tcW w:w="1120" w:type="dxa"/>
            <w:vAlign w:val="bottom"/>
          </w:tcPr>
          <w:p>
            <w:pPr>
              <w:spacing w:after="0"/>
              <w:rPr>
                <w:sz w:val="20"/>
                <w:szCs w:val="20"/>
                <w:color w:val="auto"/>
              </w:rPr>
            </w:pPr>
            <w:r>
              <w:rPr>
                <w:rFonts w:ascii="Arial" w:cs="Arial" w:eastAsia="Arial" w:hAnsi="Arial"/>
                <w:sz w:val="18"/>
                <w:szCs w:val="18"/>
                <w:color w:val="auto"/>
              </w:rPr>
              <w:t>10.32#</w:t>
            </w:r>
          </w:p>
        </w:tc>
        <w:tc>
          <w:tcPr>
            <w:tcW w:w="4500" w:type="dxa"/>
            <w:vAlign w:val="bottom"/>
            <w:gridSpan w:val="18"/>
          </w:tcPr>
          <w:p>
            <w:pPr>
              <w:spacing w:after="0"/>
              <w:rPr>
                <w:rFonts w:ascii="Arial" w:cs="Arial" w:eastAsia="Arial" w:hAnsi="Arial"/>
                <w:sz w:val="18"/>
                <w:szCs w:val="18"/>
                <w:color w:val="0000FF"/>
                <w:w w:val="95"/>
              </w:rPr>
            </w:pPr>
            <w:hyperlink r:id="rId165">
              <w:r>
                <w:rPr>
                  <w:rFonts w:ascii="Arial" w:cs="Arial" w:eastAsia="Arial" w:hAnsi="Arial"/>
                  <w:sz w:val="18"/>
                  <w:szCs w:val="18"/>
                  <w:color w:val="0000FF"/>
                  <w:w w:val="95"/>
                </w:rPr>
                <w:t>Aquantia Corp. 2017 Equity Incentive Plan (including forms</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2280" w:type="dxa"/>
            <w:vAlign w:val="bottom"/>
            <w:tcBorders>
              <w:top w:val="single" w:sz="8" w:color="0000FF"/>
              <w:bottom w:val="single" w:sz="8" w:color="0000FF"/>
            </w:tcBorders>
            <w:gridSpan w:val="6"/>
          </w:tcPr>
          <w:p>
            <w:pPr>
              <w:spacing w:after="0" w:line="156" w:lineRule="exact"/>
              <w:rPr>
                <w:rFonts w:ascii="Arial" w:cs="Arial" w:eastAsia="Arial" w:hAnsi="Arial"/>
                <w:sz w:val="18"/>
                <w:szCs w:val="18"/>
                <w:color w:val="0000FF"/>
                <w:w w:val="88"/>
              </w:rPr>
            </w:pPr>
            <w:hyperlink r:id="rId165">
              <w:r>
                <w:rPr>
                  <w:rFonts w:ascii="Arial" w:cs="Arial" w:eastAsia="Arial" w:hAnsi="Arial"/>
                  <w:sz w:val="18"/>
                  <w:szCs w:val="18"/>
                  <w:color w:val="0000FF"/>
                  <w:w w:val="88"/>
                </w:rPr>
                <w:t>of grant notice and agreements)</w:t>
              </w:r>
            </w:hyperlink>
          </w:p>
        </w:tc>
        <w:tc>
          <w:tcPr>
            <w:tcW w:w="2080" w:type="dxa"/>
            <w:vAlign w:val="bottom"/>
            <w:tcBorders>
              <w:top w:val="single" w:sz="8" w:color="0000FF"/>
            </w:tcBorders>
            <w:gridSpan w:val="9"/>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74"/>
        </w:trPr>
        <w:tc>
          <w:tcPr>
            <w:tcW w:w="1120" w:type="dxa"/>
            <w:vAlign w:val="bottom"/>
          </w:tcPr>
          <w:p>
            <w:pPr>
              <w:spacing w:after="0"/>
              <w:rPr>
                <w:sz w:val="20"/>
                <w:szCs w:val="20"/>
                <w:color w:val="auto"/>
              </w:rPr>
            </w:pPr>
            <w:r>
              <w:rPr>
                <w:rFonts w:ascii="Arial" w:cs="Arial" w:eastAsia="Arial" w:hAnsi="Arial"/>
                <w:sz w:val="18"/>
                <w:szCs w:val="18"/>
                <w:color w:val="auto"/>
              </w:rPr>
              <w:t>10.33#</w:t>
            </w:r>
          </w:p>
        </w:tc>
        <w:tc>
          <w:tcPr>
            <w:tcW w:w="4500" w:type="dxa"/>
            <w:vAlign w:val="bottom"/>
            <w:gridSpan w:val="18"/>
          </w:tcPr>
          <w:p>
            <w:pPr>
              <w:spacing w:after="0"/>
              <w:rPr>
                <w:rFonts w:ascii="Arial" w:cs="Arial" w:eastAsia="Arial" w:hAnsi="Arial"/>
                <w:sz w:val="18"/>
                <w:szCs w:val="18"/>
                <w:color w:val="0000FF"/>
                <w:w w:val="98"/>
              </w:rPr>
            </w:pPr>
            <w:hyperlink r:id="rId166">
              <w:r>
                <w:rPr>
                  <w:rFonts w:ascii="Arial" w:cs="Arial" w:eastAsia="Arial" w:hAnsi="Arial"/>
                  <w:sz w:val="18"/>
                  <w:szCs w:val="18"/>
                  <w:color w:val="0000FF"/>
                  <w:w w:val="98"/>
                </w:rPr>
                <w:t>Form of Stock Unit Agreement and Notice of Grant under</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200" w:type="dxa"/>
            <w:vAlign w:val="bottom"/>
            <w:tcBorders>
              <w:top w:val="single" w:sz="8" w:color="0000FF"/>
            </w:tcBorders>
            <w:gridSpan w:val="13"/>
          </w:tcPr>
          <w:p>
            <w:pPr>
              <w:spacing w:after="0" w:line="156" w:lineRule="exact"/>
              <w:rPr>
                <w:rFonts w:ascii="Arial" w:cs="Arial" w:eastAsia="Arial" w:hAnsi="Arial"/>
                <w:sz w:val="18"/>
                <w:szCs w:val="18"/>
                <w:color w:val="0000FF"/>
              </w:rPr>
            </w:pPr>
            <w:hyperlink r:id="rId166">
              <w:r>
                <w:rPr>
                  <w:rFonts w:ascii="Arial" w:cs="Arial" w:eastAsia="Arial" w:hAnsi="Arial"/>
                  <w:sz w:val="18"/>
                  <w:szCs w:val="18"/>
                  <w:color w:val="0000FF"/>
                </w:rPr>
                <w:t>Amended 1995 Stock Option Plan</w:t>
              </w:r>
            </w:hyperlink>
          </w:p>
        </w:tc>
        <w:tc>
          <w:tcPr>
            <w:tcW w:w="40" w:type="dxa"/>
            <w:vAlign w:val="bottom"/>
          </w:tcPr>
          <w:p>
            <w:pPr>
              <w:spacing w:after="0"/>
              <w:rPr>
                <w:sz w:val="13"/>
                <w:szCs w:val="13"/>
                <w:color w:val="auto"/>
              </w:rPr>
            </w:pPr>
          </w:p>
        </w:tc>
        <w:tc>
          <w:tcPr>
            <w:tcW w:w="1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4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160" w:type="dxa"/>
            <w:vAlign w:val="bottom"/>
            <w:tcBorders>
              <w:right w:val="single" w:sz="8" w:color="0000FF"/>
            </w:tcBorders>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1120" w:type="dxa"/>
            <w:vAlign w:val="bottom"/>
          </w:tcPr>
          <w:p>
            <w:pPr>
              <w:spacing w:after="0"/>
              <w:rPr>
                <w:sz w:val="20"/>
                <w:szCs w:val="20"/>
                <w:color w:val="auto"/>
              </w:rPr>
            </w:pPr>
            <w:r>
              <w:rPr>
                <w:rFonts w:ascii="Arial" w:cs="Arial" w:eastAsia="Arial" w:hAnsi="Arial"/>
                <w:sz w:val="18"/>
                <w:szCs w:val="18"/>
                <w:color w:val="auto"/>
              </w:rPr>
              <w:t>10.34#</w:t>
            </w:r>
          </w:p>
        </w:tc>
        <w:tc>
          <w:tcPr>
            <w:tcW w:w="3900" w:type="dxa"/>
            <w:vAlign w:val="bottom"/>
            <w:tcBorders>
              <w:bottom w:val="single" w:sz="8" w:color="0000FF"/>
            </w:tcBorders>
            <w:gridSpan w:val="8"/>
          </w:tcPr>
          <w:p>
            <w:pPr>
              <w:spacing w:after="0"/>
              <w:rPr>
                <w:rFonts w:ascii="Arial" w:cs="Arial" w:eastAsia="Arial" w:hAnsi="Arial"/>
                <w:sz w:val="18"/>
                <w:szCs w:val="18"/>
                <w:color w:val="0000FF"/>
                <w:w w:val="89"/>
              </w:rPr>
            </w:pPr>
            <w:hyperlink r:id="rId167">
              <w:r>
                <w:rPr>
                  <w:rFonts w:ascii="Arial" w:cs="Arial" w:eastAsia="Arial" w:hAnsi="Arial"/>
                  <w:sz w:val="18"/>
                  <w:szCs w:val="18"/>
                  <w:color w:val="0000FF"/>
                  <w:w w:val="89"/>
                </w:rPr>
                <w:t>Change in Control Severance Plan and Summary Plan</w:t>
              </w:r>
            </w:hyperlink>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gridSpan w:val="2"/>
          </w:tcPr>
          <w:p>
            <w:pPr>
              <w:spacing w:after="0"/>
              <w:rPr>
                <w:sz w:val="24"/>
                <w:szCs w:val="24"/>
                <w:color w:val="auto"/>
              </w:rPr>
            </w:pPr>
          </w:p>
        </w:tc>
        <w:tc>
          <w:tcPr>
            <w:tcW w:w="180" w:type="dxa"/>
            <w:vAlign w:val="bottom"/>
            <w:gridSpan w:val="2"/>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3900" w:type="dxa"/>
            <w:vAlign w:val="bottom"/>
            <w:gridSpan w:val="8"/>
          </w:tcPr>
          <w:p>
            <w:pPr>
              <w:spacing w:after="0" w:line="156" w:lineRule="exact"/>
              <w:rPr>
                <w:rFonts w:ascii="Arial" w:cs="Arial" w:eastAsia="Arial" w:hAnsi="Arial"/>
                <w:sz w:val="18"/>
                <w:szCs w:val="18"/>
                <w:color w:val="0000FF"/>
              </w:rPr>
            </w:pPr>
            <w:hyperlink r:id="rId167">
              <w:r>
                <w:rPr>
                  <w:rFonts w:ascii="Arial" w:cs="Arial" w:eastAsia="Arial" w:hAnsi="Arial"/>
                  <w:sz w:val="18"/>
                  <w:szCs w:val="18"/>
                  <w:color w:val="0000FF"/>
                </w:rPr>
                <w:t>Description</w:t>
              </w:r>
            </w:hyperlink>
          </w:p>
        </w:tc>
        <w:tc>
          <w:tcPr>
            <w:tcW w:w="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1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vMerge w:val="restart"/>
          </w:tcPr>
          <w:p>
            <w:pPr>
              <w:spacing w:after="0"/>
              <w:rPr>
                <w:sz w:val="20"/>
                <w:szCs w:val="20"/>
                <w:color w:val="auto"/>
              </w:rPr>
            </w:pPr>
            <w:r>
              <w:rPr>
                <w:rFonts w:ascii="Arial" w:cs="Arial" w:eastAsia="Arial" w:hAnsi="Arial"/>
                <w:sz w:val="18"/>
                <w:szCs w:val="18"/>
                <w:color w:val="auto"/>
              </w:rPr>
              <w:t>10.35#</w:t>
            </w:r>
          </w:p>
        </w:tc>
        <w:tc>
          <w:tcPr>
            <w:tcW w:w="840" w:type="dxa"/>
            <w:vAlign w:val="bottom"/>
            <w:shd w:val="clear" w:color="auto" w:fill="0000FF"/>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100" w:type="dxa"/>
            <w:vAlign w:val="bottom"/>
            <w:gridSpan w:val="4"/>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2"/>
        </w:trPr>
        <w:tc>
          <w:tcPr>
            <w:tcW w:w="1120" w:type="dxa"/>
            <w:vAlign w:val="bottom"/>
            <w:vMerge w:val="continue"/>
          </w:tcPr>
          <w:p>
            <w:pPr>
              <w:spacing w:after="0"/>
              <w:rPr>
                <w:sz w:val="24"/>
                <w:szCs w:val="24"/>
                <w:color w:val="auto"/>
              </w:rPr>
            </w:pPr>
          </w:p>
        </w:tc>
        <w:tc>
          <w:tcPr>
            <w:tcW w:w="4500" w:type="dxa"/>
            <w:vAlign w:val="bottom"/>
            <w:tcBorders>
              <w:bottom w:val="single" w:sz="8" w:color="0000FF"/>
            </w:tcBorders>
            <w:gridSpan w:val="18"/>
          </w:tcPr>
          <w:p>
            <w:pPr>
              <w:spacing w:after="0"/>
              <w:rPr>
                <w:rFonts w:ascii="Arial" w:cs="Arial" w:eastAsia="Arial" w:hAnsi="Arial"/>
                <w:sz w:val="18"/>
                <w:szCs w:val="18"/>
                <w:color w:val="0000FF"/>
                <w:w w:val="90"/>
              </w:rPr>
            </w:pPr>
            <w:hyperlink r:id="rId168">
              <w:r>
                <w:rPr>
                  <w:rFonts w:ascii="Arial" w:cs="Arial" w:eastAsia="Arial" w:hAnsi="Arial"/>
                  <w:sz w:val="18"/>
                  <w:szCs w:val="18"/>
                  <w:color w:val="0000FF"/>
                  <w:w w:val="90"/>
                </w:rPr>
                <w:t>Offer Letter for Dean Jarnac and promotion summary of terms</w:t>
              </w:r>
            </w:hyperlink>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10.36</w:t>
            </w:r>
          </w:p>
        </w:tc>
        <w:tc>
          <w:tcPr>
            <w:tcW w:w="4000" w:type="dxa"/>
            <w:vAlign w:val="bottom"/>
            <w:tcBorders>
              <w:bottom w:val="single" w:sz="8" w:color="0000FF"/>
            </w:tcBorders>
            <w:gridSpan w:val="10"/>
          </w:tcPr>
          <w:p>
            <w:pPr>
              <w:spacing w:after="0"/>
              <w:rPr>
                <w:rFonts w:ascii="Arial" w:cs="Arial" w:eastAsia="Arial" w:hAnsi="Arial"/>
                <w:sz w:val="18"/>
                <w:szCs w:val="18"/>
                <w:color w:val="0000FF"/>
                <w:w w:val="90"/>
              </w:rPr>
            </w:pPr>
            <w:hyperlink r:id="rId169">
              <w:r>
                <w:rPr>
                  <w:rFonts w:ascii="Arial" w:cs="Arial" w:eastAsia="Arial" w:hAnsi="Arial"/>
                  <w:sz w:val="18"/>
                  <w:szCs w:val="18"/>
                  <w:color w:val="0000FF"/>
                  <w:w w:val="90"/>
                </w:rPr>
                <w:t>Bridge Credit Agreement dated November 2019 among</w:t>
              </w:r>
            </w:hyperlink>
          </w:p>
        </w:tc>
        <w:tc>
          <w:tcPr>
            <w:tcW w:w="60" w:type="dxa"/>
            <w:vAlign w:val="bottom"/>
          </w:tcPr>
          <w:p>
            <w:pPr>
              <w:spacing w:after="0"/>
              <w:rPr>
                <w:sz w:val="24"/>
                <w:szCs w:val="24"/>
                <w:color w:val="auto"/>
              </w:rPr>
            </w:pPr>
          </w:p>
        </w:tc>
        <w:tc>
          <w:tcPr>
            <w:tcW w:w="440" w:type="dxa"/>
            <w:vAlign w:val="bottom"/>
            <w:gridSpan w:val="7"/>
            <w:vMerge w:val="restart"/>
          </w:tcPr>
          <w:p>
            <w:pPr>
              <w:ind w:left="40"/>
              <w:spacing w:after="0"/>
              <w:rPr>
                <w:rFonts w:ascii="Arial" w:cs="Arial" w:eastAsia="Arial" w:hAnsi="Arial"/>
                <w:sz w:val="18"/>
                <w:szCs w:val="18"/>
                <w:color w:val="0000FF"/>
              </w:rPr>
            </w:pPr>
            <w:hyperlink r:id="rId169">
              <w:r>
                <w:rPr>
                  <w:rFonts w:ascii="Arial" w:cs="Arial" w:eastAsia="Arial" w:hAnsi="Arial"/>
                  <w:sz w:val="18"/>
                  <w:szCs w:val="18"/>
                  <w:color w:val="0000FF"/>
                </w:rPr>
                <w:t>as</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000" w:type="dxa"/>
            <w:vAlign w:val="bottom"/>
            <w:gridSpan w:val="10"/>
          </w:tcPr>
          <w:p>
            <w:pPr>
              <w:spacing w:after="0" w:line="156" w:lineRule="exact"/>
              <w:rPr>
                <w:rFonts w:ascii="Arial" w:cs="Arial" w:eastAsia="Arial" w:hAnsi="Arial"/>
                <w:sz w:val="18"/>
                <w:szCs w:val="18"/>
                <w:color w:val="0000FF"/>
                <w:w w:val="89"/>
              </w:rPr>
            </w:pPr>
            <w:hyperlink r:id="rId169">
              <w:r>
                <w:rPr>
                  <w:rFonts w:ascii="Arial" w:cs="Arial" w:eastAsia="Arial" w:hAnsi="Arial"/>
                  <w:sz w:val="18"/>
                  <w:szCs w:val="18"/>
                  <w:color w:val="0000FF"/>
                  <w:w w:val="89"/>
                </w:rPr>
                <w:t>Marvell and the lenders party thereto, Wells Fargo Bank</w:t>
              </w:r>
            </w:hyperlink>
          </w:p>
        </w:tc>
        <w:tc>
          <w:tcPr>
            <w:tcW w:w="60" w:type="dxa"/>
            <w:vAlign w:val="bottom"/>
          </w:tcPr>
          <w:p>
            <w:pPr>
              <w:spacing w:after="0"/>
              <w:rPr>
                <w:sz w:val="13"/>
                <w:szCs w:val="13"/>
                <w:color w:val="auto"/>
              </w:rPr>
            </w:pPr>
          </w:p>
        </w:tc>
        <w:tc>
          <w:tcPr>
            <w:tcW w:w="440" w:type="dxa"/>
            <w:vAlign w:val="bottom"/>
            <w:gridSpan w:val="7"/>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060" w:type="dxa"/>
            <w:vAlign w:val="bottom"/>
            <w:tcBorders>
              <w:top w:val="single" w:sz="8" w:color="0000FF"/>
              <w:bottom w:val="single" w:sz="8" w:color="0000FF"/>
            </w:tcBorders>
            <w:gridSpan w:val="11"/>
          </w:tcPr>
          <w:p>
            <w:pPr>
              <w:spacing w:after="0" w:line="156" w:lineRule="exact"/>
              <w:rPr>
                <w:rFonts w:ascii="Arial" w:cs="Arial" w:eastAsia="Arial" w:hAnsi="Arial"/>
                <w:sz w:val="18"/>
                <w:szCs w:val="18"/>
                <w:color w:val="0000FF"/>
                <w:w w:val="90"/>
              </w:rPr>
            </w:pPr>
            <w:hyperlink r:id="rId169">
              <w:r>
                <w:rPr>
                  <w:rFonts w:ascii="Arial" w:cs="Arial" w:eastAsia="Arial" w:hAnsi="Arial"/>
                  <w:sz w:val="18"/>
                  <w:szCs w:val="18"/>
                  <w:color w:val="0000FF"/>
                  <w:w w:val="90"/>
                </w:rPr>
                <w:t>administrative agent, Wells Faro Securities and Citibank</w:t>
              </w:r>
            </w:hyperlink>
          </w:p>
        </w:tc>
        <w:tc>
          <w:tcPr>
            <w:tcW w:w="180" w:type="dxa"/>
            <w:vAlign w:val="bottom"/>
            <w:tcBorders>
              <w:top w:val="single" w:sz="8" w:color="0000FF"/>
            </w:tcBorders>
            <w:gridSpan w:val="3"/>
          </w:tcPr>
          <w:p>
            <w:pPr>
              <w:spacing w:after="0"/>
              <w:rPr>
                <w:sz w:val="13"/>
                <w:szCs w:val="13"/>
                <w:color w:val="auto"/>
              </w:rPr>
            </w:pPr>
          </w:p>
        </w:tc>
        <w:tc>
          <w:tcPr>
            <w:tcW w:w="1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38"/>
        </w:trPr>
        <w:tc>
          <w:tcPr>
            <w:tcW w:w="1120" w:type="dxa"/>
            <w:vAlign w:val="bottom"/>
          </w:tcPr>
          <w:p>
            <w:pPr>
              <w:spacing w:after="0"/>
              <w:rPr>
                <w:sz w:val="20"/>
                <w:szCs w:val="20"/>
                <w:color w:val="auto"/>
              </w:rPr>
            </w:pPr>
            <w:r>
              <w:rPr>
                <w:rFonts w:ascii="Arial" w:cs="Arial" w:eastAsia="Arial" w:hAnsi="Arial"/>
                <w:sz w:val="18"/>
                <w:szCs w:val="18"/>
                <w:color w:val="auto"/>
              </w:rPr>
              <w:t>21.1</w:t>
            </w:r>
          </w:p>
        </w:tc>
        <w:tc>
          <w:tcPr>
            <w:tcW w:w="1860" w:type="dxa"/>
            <w:vAlign w:val="bottom"/>
            <w:tcBorders>
              <w:bottom w:val="single" w:sz="8" w:color="0000FF"/>
            </w:tcBorders>
            <w:gridSpan w:val="5"/>
          </w:tcPr>
          <w:p>
            <w:pPr>
              <w:spacing w:after="0"/>
              <w:rPr>
                <w:rFonts w:ascii="Arial" w:cs="Arial" w:eastAsia="Arial" w:hAnsi="Arial"/>
                <w:sz w:val="18"/>
                <w:szCs w:val="18"/>
                <w:color w:val="0000FF"/>
                <w:w w:val="89"/>
              </w:rPr>
            </w:pPr>
            <w:hyperlink w:anchor="page117">
              <w:r>
                <w:rPr>
                  <w:rFonts w:ascii="Arial" w:cs="Arial" w:eastAsia="Arial" w:hAnsi="Arial"/>
                  <w:sz w:val="18"/>
                  <w:szCs w:val="18"/>
                  <w:color w:val="0000FF"/>
                  <w:w w:val="89"/>
                </w:rPr>
                <w:t>Subsidiaries of Registrant</w:t>
              </w:r>
            </w:hyperlink>
          </w:p>
        </w:tc>
        <w:tc>
          <w:tcPr>
            <w:tcW w:w="2640" w:type="dxa"/>
            <w:vAlign w:val="bottom"/>
            <w:gridSpan w:val="13"/>
          </w:tcPr>
          <w:p>
            <w:pPr>
              <w:spacing w:after="0"/>
              <w:rPr>
                <w:sz w:val="24"/>
                <w:szCs w:val="24"/>
                <w:color w:val="auto"/>
              </w:rPr>
            </w:pPr>
          </w:p>
        </w:tc>
        <w:tc>
          <w:tcPr>
            <w:tcW w:w="0" w:type="dxa"/>
            <w:vAlign w:val="bottom"/>
          </w:tcPr>
          <w:p>
            <w:pPr>
              <w:spacing w:after="0"/>
              <w:rPr>
                <w:sz w:val="1"/>
                <w:szCs w:val="1"/>
                <w:color w:val="auto"/>
              </w:rPr>
            </w:pPr>
          </w:p>
        </w:tc>
      </w:tr>
      <w:tr>
        <w:trPr>
          <w:trHeight w:val="412"/>
        </w:trPr>
        <w:tc>
          <w:tcPr>
            <w:tcW w:w="1120" w:type="dxa"/>
            <w:vAlign w:val="bottom"/>
          </w:tcPr>
          <w:p>
            <w:pPr>
              <w:spacing w:after="0"/>
              <w:rPr>
                <w:sz w:val="20"/>
                <w:szCs w:val="20"/>
                <w:color w:val="auto"/>
              </w:rPr>
            </w:pPr>
            <w:r>
              <w:rPr>
                <w:rFonts w:ascii="Arial" w:cs="Arial" w:eastAsia="Arial" w:hAnsi="Arial"/>
                <w:sz w:val="18"/>
                <w:szCs w:val="18"/>
                <w:color w:val="auto"/>
              </w:rPr>
              <w:t>23.1</w:t>
            </w:r>
          </w:p>
        </w:tc>
        <w:tc>
          <w:tcPr>
            <w:tcW w:w="4500" w:type="dxa"/>
            <w:vAlign w:val="bottom"/>
            <w:gridSpan w:val="18"/>
          </w:tcPr>
          <w:p>
            <w:pPr>
              <w:spacing w:after="0"/>
              <w:rPr>
                <w:rFonts w:ascii="Arial" w:cs="Arial" w:eastAsia="Arial" w:hAnsi="Arial"/>
                <w:sz w:val="18"/>
                <w:szCs w:val="18"/>
                <w:color w:val="0000FF"/>
                <w:w w:val="92"/>
              </w:rPr>
            </w:pPr>
            <w:hyperlink w:anchor="page119">
              <w:r>
                <w:rPr>
                  <w:rFonts w:ascii="Arial" w:cs="Arial" w:eastAsia="Arial" w:hAnsi="Arial"/>
                  <w:sz w:val="18"/>
                  <w:szCs w:val="18"/>
                  <w:color w:val="0000FF"/>
                  <w:w w:val="92"/>
                </w:rPr>
                <w:t>Consent of Independent Registered Public Accounting Firm -</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440" w:type="dxa"/>
            <w:vAlign w:val="bottom"/>
            <w:tcBorders>
              <w:top w:val="single" w:sz="8" w:color="0000FF"/>
            </w:tcBorders>
            <w:gridSpan w:val="17"/>
          </w:tcPr>
          <w:p>
            <w:pPr>
              <w:spacing w:after="0" w:line="156" w:lineRule="exact"/>
              <w:rPr>
                <w:rFonts w:ascii="Arial" w:cs="Arial" w:eastAsia="Arial" w:hAnsi="Arial"/>
                <w:sz w:val="18"/>
                <w:szCs w:val="18"/>
                <w:color w:val="0000FF"/>
              </w:rPr>
            </w:pPr>
            <w:hyperlink w:anchor="page119">
              <w:r>
                <w:rPr>
                  <w:rFonts w:ascii="Arial" w:cs="Arial" w:eastAsia="Arial" w:hAnsi="Arial"/>
                  <w:sz w:val="18"/>
                  <w:szCs w:val="18"/>
                  <w:color w:val="0000FF"/>
                </w:rPr>
                <w:t>Deloitte &amp; Touche LLP</w:t>
              </w:r>
            </w:hyperlink>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1120" w:type="dxa"/>
            <w:vAlign w:val="bottom"/>
            <w:gridSpan w:val="2"/>
            <w:shd w:val="clear" w:color="auto" w:fill="0000FF"/>
          </w:tcPr>
          <w:p>
            <w:pPr>
              <w:spacing w:after="0" w:line="20" w:lineRule="exact"/>
              <w:rPr>
                <w:sz w:val="1"/>
                <w:szCs w:val="1"/>
                <w:color w:val="auto"/>
              </w:rPr>
            </w:pPr>
          </w:p>
        </w:tc>
        <w:tc>
          <w:tcPr>
            <w:tcW w:w="160" w:type="dxa"/>
            <w:vAlign w:val="bottom"/>
            <w:tcBorders>
              <w:right w:val="single" w:sz="8" w:color="0000FF"/>
            </w:tcBorders>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260" w:type="dxa"/>
            <w:vAlign w:val="bottom"/>
            <w:gridSpan w:val="5"/>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1120" w:type="dxa"/>
            <w:vAlign w:val="bottom"/>
          </w:tcPr>
          <w:p>
            <w:pPr>
              <w:spacing w:after="0"/>
              <w:rPr>
                <w:sz w:val="20"/>
                <w:szCs w:val="20"/>
                <w:color w:val="auto"/>
              </w:rPr>
            </w:pPr>
            <w:r>
              <w:rPr>
                <w:rFonts w:ascii="Arial" w:cs="Arial" w:eastAsia="Arial" w:hAnsi="Arial"/>
                <w:sz w:val="18"/>
                <w:szCs w:val="18"/>
                <w:color w:val="auto"/>
              </w:rPr>
              <w:t>24.1</w:t>
            </w:r>
          </w:p>
        </w:tc>
        <w:tc>
          <w:tcPr>
            <w:tcW w:w="4500" w:type="dxa"/>
            <w:vAlign w:val="bottom"/>
            <w:gridSpan w:val="18"/>
          </w:tcPr>
          <w:p>
            <w:pPr>
              <w:spacing w:after="0"/>
              <w:rPr>
                <w:rFonts w:ascii="Arial" w:cs="Arial" w:eastAsia="Arial" w:hAnsi="Arial"/>
                <w:sz w:val="18"/>
                <w:szCs w:val="18"/>
                <w:color w:val="0000FF"/>
                <w:w w:val="97"/>
              </w:rPr>
            </w:pPr>
            <w:hyperlink w:anchor="page107">
              <w:r>
                <w:rPr>
                  <w:rFonts w:ascii="Arial" w:cs="Arial" w:eastAsia="Arial" w:hAnsi="Arial"/>
                  <w:sz w:val="18"/>
                  <w:szCs w:val="18"/>
                  <w:color w:val="0000FF"/>
                  <w:w w:val="97"/>
                </w:rPr>
                <w:t>Power of Attorney (contained in the signature page to this</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180" w:type="dxa"/>
            <w:vAlign w:val="bottom"/>
            <w:tcBorders>
              <w:top w:val="single" w:sz="8" w:color="0000FF"/>
            </w:tcBorders>
            <w:gridSpan w:val="12"/>
          </w:tcPr>
          <w:p>
            <w:pPr>
              <w:spacing w:after="0" w:line="156" w:lineRule="exact"/>
              <w:rPr>
                <w:rFonts w:ascii="Arial" w:cs="Arial" w:eastAsia="Arial" w:hAnsi="Arial"/>
                <w:sz w:val="18"/>
                <w:szCs w:val="18"/>
                <w:color w:val="0000FF"/>
              </w:rPr>
            </w:pPr>
            <w:hyperlink w:anchor="page107">
              <w:r>
                <w:rPr>
                  <w:rFonts w:ascii="Arial" w:cs="Arial" w:eastAsia="Arial" w:hAnsi="Arial"/>
                  <w:sz w:val="18"/>
                  <w:szCs w:val="18"/>
                  <w:color w:val="0000FF"/>
                </w:rPr>
                <w:t>Annual Report)</w:t>
              </w:r>
            </w:hyperlink>
          </w:p>
        </w:tc>
        <w:tc>
          <w:tcPr>
            <w:tcW w:w="240" w:type="dxa"/>
            <w:vAlign w:val="bottom"/>
            <w:gridSpan w:val="4"/>
          </w:tcPr>
          <w:p>
            <w:pPr>
              <w:spacing w:after="0"/>
              <w:rPr>
                <w:sz w:val="13"/>
                <w:szCs w:val="13"/>
                <w:color w:val="auto"/>
              </w:rPr>
            </w:pPr>
          </w:p>
        </w:tc>
        <w:tc>
          <w:tcPr>
            <w:tcW w:w="8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1120" w:type="dxa"/>
            <w:vAlign w:val="bottom"/>
            <w:gridSpan w:val="2"/>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680" w:type="dxa"/>
            <w:vAlign w:val="bottom"/>
            <w:gridSpan w:val="6"/>
          </w:tcPr>
          <w:p>
            <w:pPr>
              <w:spacing w:after="0" w:line="20" w:lineRule="exact"/>
              <w:rPr>
                <w:sz w:val="1"/>
                <w:szCs w:val="1"/>
                <w:color w:val="auto"/>
              </w:rPr>
            </w:pPr>
          </w:p>
        </w:tc>
        <w:tc>
          <w:tcPr>
            <w:tcW w:w="460" w:type="dxa"/>
            <w:vAlign w:val="bottom"/>
            <w:gridSpan w:val="7"/>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1"/>
        </w:trPr>
        <w:tc>
          <w:tcPr>
            <w:tcW w:w="1120" w:type="dxa"/>
            <w:vAlign w:val="bottom"/>
          </w:tcPr>
          <w:p>
            <w:pPr>
              <w:spacing w:after="0"/>
              <w:rPr>
                <w:sz w:val="20"/>
                <w:szCs w:val="20"/>
                <w:color w:val="auto"/>
              </w:rPr>
            </w:pPr>
            <w:r>
              <w:rPr>
                <w:rFonts w:ascii="Arial" w:cs="Arial" w:eastAsia="Arial" w:hAnsi="Arial"/>
                <w:sz w:val="18"/>
                <w:szCs w:val="18"/>
                <w:color w:val="auto"/>
              </w:rPr>
              <w:t>31.1</w:t>
            </w:r>
          </w:p>
        </w:tc>
        <w:tc>
          <w:tcPr>
            <w:tcW w:w="4500" w:type="dxa"/>
            <w:vAlign w:val="bottom"/>
            <w:gridSpan w:val="18"/>
          </w:tcPr>
          <w:p>
            <w:pPr>
              <w:spacing w:after="0"/>
              <w:rPr>
                <w:rFonts w:ascii="Arial" w:cs="Arial" w:eastAsia="Arial" w:hAnsi="Arial"/>
                <w:sz w:val="18"/>
                <w:szCs w:val="18"/>
                <w:color w:val="0000FF"/>
              </w:rPr>
            </w:pPr>
            <w:hyperlink w:anchor="page120">
              <w:r>
                <w:rPr>
                  <w:rFonts w:ascii="Arial" w:cs="Arial" w:eastAsia="Arial" w:hAnsi="Arial"/>
                  <w:sz w:val="18"/>
                  <w:szCs w:val="18"/>
                  <w:color w:val="0000FF"/>
                </w:rPr>
                <w:t>Rule 13a-14(a)/15d-14(a) Certification of the Principal</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3960" w:type="dxa"/>
            <w:vAlign w:val="bottom"/>
            <w:tcBorders>
              <w:top w:val="single" w:sz="8" w:color="0000FF"/>
            </w:tcBorders>
            <w:gridSpan w:val="9"/>
          </w:tcPr>
          <w:p>
            <w:pPr>
              <w:spacing w:after="0" w:line="156" w:lineRule="exact"/>
              <w:rPr>
                <w:rFonts w:ascii="Arial" w:cs="Arial" w:eastAsia="Arial" w:hAnsi="Arial"/>
                <w:sz w:val="18"/>
                <w:szCs w:val="18"/>
                <w:color w:val="0000FF"/>
              </w:rPr>
            </w:pPr>
            <w:hyperlink w:anchor="page120">
              <w:r>
                <w:rPr>
                  <w:rFonts w:ascii="Arial" w:cs="Arial" w:eastAsia="Arial" w:hAnsi="Arial"/>
                  <w:sz w:val="18"/>
                  <w:szCs w:val="18"/>
                  <w:color w:val="0000FF"/>
                </w:rPr>
                <w:t>Executive Officer</w:t>
              </w:r>
            </w:hyperlink>
          </w:p>
        </w:tc>
        <w:tc>
          <w:tcPr>
            <w:tcW w:w="460" w:type="dxa"/>
            <w:vAlign w:val="bottom"/>
            <w:gridSpan w:val="7"/>
          </w:tcPr>
          <w:p>
            <w:pPr>
              <w:spacing w:after="0"/>
              <w:rPr>
                <w:sz w:val="13"/>
                <w:szCs w:val="13"/>
                <w:color w:val="auto"/>
              </w:rPr>
            </w:pPr>
          </w:p>
        </w:tc>
        <w:tc>
          <w:tcPr>
            <w:tcW w:w="8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1280" w:type="dxa"/>
            <w:vAlign w:val="bottom"/>
            <w:tcBorders>
              <w:right w:val="single" w:sz="8" w:color="0000FF"/>
            </w:tcBorders>
            <w:gridSpan w:val="3"/>
            <w:shd w:val="clear" w:color="auto" w:fill="0000FF"/>
          </w:tcPr>
          <w:p>
            <w:pPr>
              <w:spacing w:after="0" w:line="20" w:lineRule="exact"/>
              <w:rPr>
                <w:sz w:val="1"/>
                <w:szCs w:val="1"/>
                <w:color w:val="auto"/>
              </w:rPr>
            </w:pPr>
          </w:p>
        </w:tc>
        <w:tc>
          <w:tcPr>
            <w:tcW w:w="3140" w:type="dxa"/>
            <w:vAlign w:val="bottom"/>
            <w:gridSpan w:val="1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1"/>
        </w:trPr>
        <w:tc>
          <w:tcPr>
            <w:tcW w:w="1120" w:type="dxa"/>
            <w:vAlign w:val="bottom"/>
          </w:tcPr>
          <w:p>
            <w:pPr>
              <w:spacing w:after="0"/>
              <w:rPr>
                <w:sz w:val="20"/>
                <w:szCs w:val="20"/>
                <w:color w:val="auto"/>
              </w:rPr>
            </w:pPr>
            <w:r>
              <w:rPr>
                <w:rFonts w:ascii="Arial" w:cs="Arial" w:eastAsia="Arial" w:hAnsi="Arial"/>
                <w:sz w:val="18"/>
                <w:szCs w:val="18"/>
                <w:color w:val="auto"/>
              </w:rPr>
              <w:t>31.2</w:t>
            </w:r>
          </w:p>
        </w:tc>
        <w:tc>
          <w:tcPr>
            <w:tcW w:w="3960" w:type="dxa"/>
            <w:vAlign w:val="bottom"/>
            <w:tcBorders>
              <w:bottom w:val="single" w:sz="8" w:color="0000FF"/>
            </w:tcBorders>
            <w:gridSpan w:val="9"/>
          </w:tcPr>
          <w:p>
            <w:pPr>
              <w:spacing w:after="0"/>
              <w:rPr>
                <w:rFonts w:ascii="Arial" w:cs="Arial" w:eastAsia="Arial" w:hAnsi="Arial"/>
                <w:sz w:val="18"/>
                <w:szCs w:val="18"/>
                <w:color w:val="0000FF"/>
                <w:w w:val="92"/>
              </w:rPr>
            </w:pPr>
            <w:hyperlink w:anchor="page122">
              <w:r>
                <w:rPr>
                  <w:rFonts w:ascii="Arial" w:cs="Arial" w:eastAsia="Arial" w:hAnsi="Arial"/>
                  <w:sz w:val="18"/>
                  <w:szCs w:val="18"/>
                  <w:color w:val="0000FF"/>
                  <w:w w:val="92"/>
                </w:rPr>
                <w:t>Rule 13a-14(a)/15d-14(a) Certification of the Principal</w:t>
              </w:r>
            </w:hyperlink>
          </w:p>
        </w:tc>
        <w:tc>
          <w:tcPr>
            <w:tcW w:w="460" w:type="dxa"/>
            <w:vAlign w:val="bottom"/>
            <w:gridSpan w:val="7"/>
          </w:tcPr>
          <w:p>
            <w:pPr>
              <w:spacing w:after="0"/>
              <w:rPr>
                <w:sz w:val="24"/>
                <w:szCs w:val="24"/>
                <w:color w:val="auto"/>
              </w:rPr>
            </w:pPr>
          </w:p>
        </w:tc>
        <w:tc>
          <w:tcPr>
            <w:tcW w:w="80" w:type="dxa"/>
            <w:vAlign w:val="bottom"/>
            <w:gridSpan w:val="2"/>
          </w:tcPr>
          <w:p>
            <w:pPr>
              <w:spacing w:after="0"/>
              <w:rPr>
                <w:sz w:val="24"/>
                <w:szCs w:val="24"/>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280" w:type="dxa"/>
            <w:vAlign w:val="bottom"/>
            <w:tcBorders>
              <w:bottom w:val="single" w:sz="8" w:color="0000FF"/>
            </w:tcBorders>
            <w:gridSpan w:val="3"/>
          </w:tcPr>
          <w:p>
            <w:pPr>
              <w:spacing w:after="0" w:line="156" w:lineRule="exact"/>
              <w:rPr>
                <w:rFonts w:ascii="Arial" w:cs="Arial" w:eastAsia="Arial" w:hAnsi="Arial"/>
                <w:sz w:val="18"/>
                <w:szCs w:val="18"/>
                <w:color w:val="0000FF"/>
                <w:w w:val="95"/>
              </w:rPr>
            </w:pPr>
            <w:hyperlink w:anchor="page122">
              <w:r>
                <w:rPr>
                  <w:rFonts w:ascii="Arial" w:cs="Arial" w:eastAsia="Arial" w:hAnsi="Arial"/>
                  <w:sz w:val="18"/>
                  <w:szCs w:val="18"/>
                  <w:color w:val="0000FF"/>
                  <w:w w:val="95"/>
                </w:rPr>
                <w:t>Financial Officer</w:t>
              </w:r>
            </w:hyperlink>
          </w:p>
        </w:tc>
        <w:tc>
          <w:tcPr>
            <w:tcW w:w="2680" w:type="dxa"/>
            <w:vAlign w:val="bottom"/>
            <w:gridSpan w:val="6"/>
          </w:tcPr>
          <w:p>
            <w:pPr>
              <w:spacing w:after="0"/>
              <w:rPr>
                <w:sz w:val="13"/>
                <w:szCs w:val="13"/>
                <w:color w:val="auto"/>
              </w:rPr>
            </w:pPr>
          </w:p>
        </w:tc>
        <w:tc>
          <w:tcPr>
            <w:tcW w:w="460" w:type="dxa"/>
            <w:vAlign w:val="bottom"/>
            <w:gridSpan w:val="7"/>
          </w:tcPr>
          <w:p>
            <w:pPr>
              <w:spacing w:after="0"/>
              <w:rPr>
                <w:sz w:val="13"/>
                <w:szCs w:val="13"/>
                <w:color w:val="auto"/>
              </w:rPr>
            </w:pPr>
          </w:p>
        </w:tc>
        <w:tc>
          <w:tcPr>
            <w:tcW w:w="8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371"/>
        </w:trPr>
        <w:tc>
          <w:tcPr>
            <w:tcW w:w="1120" w:type="dxa"/>
            <w:vAlign w:val="bottom"/>
          </w:tcPr>
          <w:p>
            <w:pPr>
              <w:spacing w:after="0"/>
              <w:rPr>
                <w:sz w:val="20"/>
                <w:szCs w:val="20"/>
                <w:color w:val="auto"/>
              </w:rPr>
            </w:pPr>
            <w:r>
              <w:rPr>
                <w:rFonts w:ascii="Arial" w:cs="Arial" w:eastAsia="Arial" w:hAnsi="Arial"/>
                <w:sz w:val="18"/>
                <w:szCs w:val="18"/>
                <w:color w:val="auto"/>
              </w:rPr>
              <w:t>32.1*</w:t>
            </w:r>
          </w:p>
        </w:tc>
        <w:tc>
          <w:tcPr>
            <w:tcW w:w="4500" w:type="dxa"/>
            <w:vAlign w:val="bottom"/>
            <w:gridSpan w:val="18"/>
          </w:tcPr>
          <w:p>
            <w:pPr>
              <w:spacing w:after="0"/>
              <w:rPr>
                <w:rFonts w:ascii="Arial" w:cs="Arial" w:eastAsia="Arial" w:hAnsi="Arial"/>
                <w:sz w:val="18"/>
                <w:szCs w:val="18"/>
                <w:color w:val="0000FF"/>
                <w:w w:val="92"/>
              </w:rPr>
            </w:pPr>
            <w:hyperlink w:anchor="page124">
              <w:r>
                <w:rPr>
                  <w:rFonts w:ascii="Arial" w:cs="Arial" w:eastAsia="Arial" w:hAnsi="Arial"/>
                  <w:sz w:val="18"/>
                  <w:szCs w:val="18"/>
                  <w:color w:val="0000FF"/>
                  <w:w w:val="92"/>
                </w:rPr>
                <w:t>Certification Pursuant to 18 U.S.C. Section 1350, as Adopted</w:t>
              </w:r>
            </w:hyperlink>
          </w:p>
        </w:tc>
        <w:tc>
          <w:tcPr>
            <w:tcW w:w="0" w:type="dxa"/>
            <w:vAlign w:val="bottom"/>
          </w:tcPr>
          <w:p>
            <w:pPr>
              <w:spacing w:after="0"/>
              <w:rPr>
                <w:sz w:val="1"/>
                <w:szCs w:val="1"/>
                <w:color w:val="auto"/>
              </w:rPr>
            </w:pPr>
          </w:p>
        </w:tc>
      </w:tr>
      <w:tr>
        <w:trPr>
          <w:trHeight w:val="157"/>
        </w:trPr>
        <w:tc>
          <w:tcPr>
            <w:tcW w:w="1120" w:type="dxa"/>
            <w:vAlign w:val="bottom"/>
          </w:tcPr>
          <w:p>
            <w:pPr>
              <w:spacing w:after="0"/>
              <w:rPr>
                <w:sz w:val="13"/>
                <w:szCs w:val="13"/>
                <w:color w:val="auto"/>
              </w:rPr>
            </w:pPr>
          </w:p>
        </w:tc>
        <w:tc>
          <w:tcPr>
            <w:tcW w:w="4420" w:type="dxa"/>
            <w:vAlign w:val="bottom"/>
            <w:tcBorders>
              <w:top w:val="single" w:sz="8" w:color="0000FF"/>
            </w:tcBorders>
            <w:gridSpan w:val="16"/>
          </w:tcPr>
          <w:p>
            <w:pPr>
              <w:spacing w:after="0" w:line="157" w:lineRule="exact"/>
              <w:rPr>
                <w:rFonts w:ascii="Arial" w:cs="Arial" w:eastAsia="Arial" w:hAnsi="Arial"/>
                <w:sz w:val="18"/>
                <w:szCs w:val="18"/>
                <w:u w:val="single" w:color="auto"/>
                <w:color w:val="0000FF"/>
                <w:w w:val="93"/>
              </w:rPr>
            </w:pPr>
            <w:hyperlink w:anchor="page124">
              <w:r>
                <w:rPr>
                  <w:rFonts w:ascii="Arial" w:cs="Arial" w:eastAsia="Arial" w:hAnsi="Arial"/>
                  <w:sz w:val="18"/>
                  <w:szCs w:val="18"/>
                  <w:u w:val="single" w:color="auto"/>
                  <w:color w:val="0000FF"/>
                  <w:w w:val="93"/>
                </w:rPr>
                <w:t>Pursuant to Section 906 of the Sarbanes-Oxley Act of 2002</w:t>
              </w:r>
            </w:hyperlink>
          </w:p>
        </w:tc>
        <w:tc>
          <w:tcPr>
            <w:tcW w:w="8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bl>
    <w:p>
      <w:pPr>
        <w:ind w:left="1240"/>
        <w:spacing w:after="0"/>
        <w:rPr>
          <w:rFonts w:ascii="Arial" w:cs="Arial" w:eastAsia="Arial" w:hAnsi="Arial"/>
          <w:sz w:val="18"/>
          <w:szCs w:val="18"/>
          <w:u w:val="single" w:color="auto"/>
          <w:color w:val="0000FF"/>
        </w:rPr>
      </w:pPr>
      <w:hyperlink w:anchor="page124">
        <w:r>
          <w:rPr>
            <w:rFonts w:ascii="Arial" w:cs="Arial" w:eastAsia="Arial" w:hAnsi="Arial"/>
            <w:sz w:val="18"/>
            <w:szCs w:val="18"/>
            <w:u w:val="single" w:color="auto"/>
            <w:color w:val="0000FF"/>
          </w:rPr>
          <w:t>for Principal Executive Officer</w:t>
        </w:r>
      </w:hyperlink>
    </w:p>
    <w:p>
      <w:pPr>
        <w:spacing w:after="0" w:line="20" w:lineRule="exact"/>
        <w:rPr>
          <w:sz w:val="20"/>
          <w:szCs w:val="20"/>
          <w:color w:val="auto"/>
        </w:rPr>
      </w:pPr>
      <w:r>
        <w:rPr>
          <w:sz w:val="20"/>
          <w:szCs w:val="20"/>
          <w:color w:val="auto"/>
        </w:rPr>
        <w:br w:type="column"/>
      </w:r>
    </w:p>
    <w:p>
      <w:pPr>
        <w:spacing w:after="0" w:line="31"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0"/>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10.6</w:t>
            </w:r>
          </w:p>
        </w:tc>
        <w:tc>
          <w:tcPr>
            <w:tcW w:w="1400" w:type="dxa"/>
            <w:vAlign w:val="bottom"/>
          </w:tcPr>
          <w:p>
            <w:pPr>
              <w:jc w:val="right"/>
              <w:spacing w:after="0"/>
              <w:rPr>
                <w:sz w:val="20"/>
                <w:szCs w:val="20"/>
                <w:color w:val="auto"/>
              </w:rPr>
            </w:pPr>
            <w:r>
              <w:rPr>
                <w:rFonts w:ascii="Arial" w:cs="Arial" w:eastAsia="Arial" w:hAnsi="Arial"/>
                <w:sz w:val="18"/>
                <w:szCs w:val="18"/>
                <w:color w:val="auto"/>
              </w:rPr>
              <w:t>12/04/2019</w:t>
            </w:r>
          </w:p>
        </w:tc>
      </w:tr>
      <w:tr>
        <w:trPr>
          <w:trHeight w:val="769"/>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10.7</w:t>
            </w:r>
          </w:p>
        </w:tc>
        <w:tc>
          <w:tcPr>
            <w:tcW w:w="1400" w:type="dxa"/>
            <w:vAlign w:val="bottom"/>
          </w:tcPr>
          <w:p>
            <w:pPr>
              <w:jc w:val="right"/>
              <w:spacing w:after="0"/>
              <w:rPr>
                <w:sz w:val="20"/>
                <w:szCs w:val="20"/>
                <w:color w:val="auto"/>
              </w:rPr>
            </w:pPr>
            <w:r>
              <w:rPr>
                <w:rFonts w:ascii="Arial" w:cs="Arial" w:eastAsia="Arial" w:hAnsi="Arial"/>
                <w:sz w:val="18"/>
                <w:szCs w:val="18"/>
                <w:color w:val="auto"/>
              </w:rPr>
              <w:t>12/04/2019</w:t>
            </w:r>
          </w:p>
        </w:tc>
      </w:tr>
      <w:tr>
        <w:trPr>
          <w:trHeight w:val="553"/>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10.8</w:t>
            </w:r>
          </w:p>
        </w:tc>
        <w:tc>
          <w:tcPr>
            <w:tcW w:w="1400" w:type="dxa"/>
            <w:vAlign w:val="bottom"/>
          </w:tcPr>
          <w:p>
            <w:pPr>
              <w:jc w:val="right"/>
              <w:spacing w:after="0"/>
              <w:rPr>
                <w:sz w:val="20"/>
                <w:szCs w:val="20"/>
                <w:color w:val="auto"/>
              </w:rPr>
            </w:pPr>
            <w:r>
              <w:rPr>
                <w:rFonts w:ascii="Arial" w:cs="Arial" w:eastAsia="Arial" w:hAnsi="Arial"/>
                <w:sz w:val="18"/>
                <w:szCs w:val="18"/>
                <w:color w:val="auto"/>
              </w:rPr>
              <w:t>12/04/2019</w:t>
            </w:r>
          </w:p>
        </w:tc>
      </w:tr>
      <w:tr>
        <w:trPr>
          <w:trHeight w:val="567"/>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10.9</w:t>
            </w:r>
          </w:p>
        </w:tc>
        <w:tc>
          <w:tcPr>
            <w:tcW w:w="1400" w:type="dxa"/>
            <w:vAlign w:val="bottom"/>
          </w:tcPr>
          <w:p>
            <w:pPr>
              <w:jc w:val="right"/>
              <w:spacing w:after="0"/>
              <w:rPr>
                <w:sz w:val="20"/>
                <w:szCs w:val="20"/>
                <w:color w:val="auto"/>
              </w:rPr>
            </w:pPr>
            <w:r>
              <w:rPr>
                <w:rFonts w:ascii="Arial" w:cs="Arial" w:eastAsia="Arial" w:hAnsi="Arial"/>
                <w:sz w:val="18"/>
                <w:szCs w:val="18"/>
                <w:color w:val="auto"/>
              </w:rPr>
              <w:t>12/04/2019</w:t>
            </w:r>
          </w:p>
        </w:tc>
      </w:tr>
      <w:tr>
        <w:trPr>
          <w:trHeight w:val="378"/>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50"/>
              <w:spacing w:after="0"/>
              <w:rPr>
                <w:sz w:val="20"/>
                <w:szCs w:val="20"/>
                <w:color w:val="auto"/>
              </w:rPr>
            </w:pPr>
            <w:r>
              <w:rPr>
                <w:rFonts w:ascii="Arial" w:cs="Arial" w:eastAsia="Arial" w:hAnsi="Arial"/>
                <w:sz w:val="18"/>
                <w:szCs w:val="18"/>
                <w:color w:val="auto"/>
              </w:rPr>
              <w:t>003-30877</w:t>
            </w:r>
          </w:p>
        </w:tc>
        <w:tc>
          <w:tcPr>
            <w:tcW w:w="1320" w:type="dxa"/>
            <w:vAlign w:val="bottom"/>
          </w:tcPr>
          <w:p>
            <w:pPr>
              <w:ind w:left="320"/>
              <w:spacing w:after="0"/>
              <w:rPr>
                <w:sz w:val="20"/>
                <w:szCs w:val="20"/>
                <w:color w:val="auto"/>
              </w:rPr>
            </w:pPr>
            <w:r>
              <w:rPr>
                <w:rFonts w:ascii="Arial" w:cs="Arial" w:eastAsia="Arial" w:hAnsi="Arial"/>
                <w:sz w:val="18"/>
                <w:szCs w:val="18"/>
                <w:color w:val="auto"/>
              </w:rPr>
              <w:t>10.10</w:t>
            </w:r>
          </w:p>
        </w:tc>
        <w:tc>
          <w:tcPr>
            <w:tcW w:w="1400" w:type="dxa"/>
            <w:vAlign w:val="bottom"/>
          </w:tcPr>
          <w:p>
            <w:pPr>
              <w:jc w:val="right"/>
              <w:spacing w:after="0"/>
              <w:rPr>
                <w:sz w:val="20"/>
                <w:szCs w:val="20"/>
                <w:color w:val="auto"/>
              </w:rPr>
            </w:pPr>
            <w:r>
              <w:rPr>
                <w:rFonts w:ascii="Arial" w:cs="Arial" w:eastAsia="Arial" w:hAnsi="Arial"/>
                <w:sz w:val="18"/>
                <w:szCs w:val="18"/>
                <w:color w:val="auto"/>
              </w:rPr>
              <w:t>11/05/2019</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p>
      <w:pPr>
        <w:jc w:val="right"/>
        <w:ind w:right="280"/>
        <w:spacing w:after="0"/>
        <w:rPr>
          <w:sz w:val="20"/>
          <w:szCs w:val="20"/>
          <w:color w:val="auto"/>
        </w:rPr>
      </w:pPr>
      <w:r>
        <w:rPr>
          <w:rFonts w:ascii="Arial" w:cs="Arial" w:eastAsia="Arial" w:hAnsi="Arial"/>
          <w:sz w:val="18"/>
          <w:szCs w:val="18"/>
          <w:color w:val="auto"/>
        </w:rPr>
        <w:t>Filed herewith</w:t>
      </w:r>
    </w:p>
    <w:p>
      <w:pPr>
        <w:spacing w:after="0" w:line="225" w:lineRule="exact"/>
        <w:rPr>
          <w:sz w:val="20"/>
          <w:szCs w:val="20"/>
          <w:color w:val="auto"/>
        </w:rPr>
      </w:pPr>
    </w:p>
    <w:p>
      <w:pPr>
        <w:jc w:val="right"/>
        <w:ind w:right="280"/>
        <w:spacing w:after="0"/>
        <w:rPr>
          <w:sz w:val="20"/>
          <w:szCs w:val="20"/>
          <w:color w:val="auto"/>
        </w:rPr>
      </w:pPr>
      <w:r>
        <w:rPr>
          <w:rFonts w:ascii="Arial" w:cs="Arial" w:eastAsia="Arial" w:hAnsi="Arial"/>
          <w:sz w:val="18"/>
          <w:szCs w:val="18"/>
          <w:color w:val="auto"/>
        </w:rPr>
        <w:t>Filed herewith</w:t>
      </w:r>
    </w:p>
    <w:p>
      <w:pPr>
        <w:spacing w:after="0" w:line="360" w:lineRule="exact"/>
        <w:rPr>
          <w:sz w:val="20"/>
          <w:szCs w:val="20"/>
          <w:color w:val="auto"/>
        </w:rPr>
      </w:pPr>
    </w:p>
    <w:p>
      <w:pPr>
        <w:jc w:val="right"/>
        <w:ind w:right="280"/>
        <w:spacing w:after="0"/>
        <w:rPr>
          <w:sz w:val="20"/>
          <w:szCs w:val="20"/>
          <w:color w:val="auto"/>
        </w:rPr>
      </w:pPr>
      <w:r>
        <w:rPr>
          <w:rFonts w:ascii="Arial" w:cs="Arial" w:eastAsia="Arial" w:hAnsi="Arial"/>
          <w:sz w:val="18"/>
          <w:szCs w:val="18"/>
          <w:color w:val="auto"/>
        </w:rPr>
        <w:t>Filed herewith</w:t>
      </w:r>
    </w:p>
    <w:p>
      <w:pPr>
        <w:spacing w:after="0" w:line="360" w:lineRule="exact"/>
        <w:rPr>
          <w:sz w:val="20"/>
          <w:szCs w:val="20"/>
          <w:color w:val="auto"/>
        </w:rPr>
      </w:pPr>
    </w:p>
    <w:p>
      <w:pPr>
        <w:jc w:val="right"/>
        <w:ind w:right="280"/>
        <w:spacing w:after="0"/>
        <w:rPr>
          <w:sz w:val="20"/>
          <w:szCs w:val="20"/>
          <w:color w:val="auto"/>
        </w:rPr>
      </w:pPr>
      <w:r>
        <w:rPr>
          <w:rFonts w:ascii="Arial" w:cs="Arial" w:eastAsia="Arial" w:hAnsi="Arial"/>
          <w:sz w:val="18"/>
          <w:szCs w:val="18"/>
          <w:color w:val="auto"/>
        </w:rPr>
        <w:t>Filed herewith</w:t>
      </w:r>
    </w:p>
    <w:p>
      <w:pPr>
        <w:spacing w:after="0" w:line="360" w:lineRule="exact"/>
        <w:rPr>
          <w:sz w:val="20"/>
          <w:szCs w:val="20"/>
          <w:color w:val="auto"/>
        </w:rPr>
      </w:pPr>
    </w:p>
    <w:p>
      <w:pPr>
        <w:jc w:val="right"/>
        <w:ind w:right="280"/>
        <w:spacing w:after="0"/>
        <w:rPr>
          <w:sz w:val="20"/>
          <w:szCs w:val="20"/>
          <w:color w:val="auto"/>
        </w:rPr>
      </w:pPr>
      <w:r>
        <w:rPr>
          <w:rFonts w:ascii="Arial" w:cs="Arial" w:eastAsia="Arial" w:hAnsi="Arial"/>
          <w:sz w:val="18"/>
          <w:szCs w:val="18"/>
          <w:color w:val="auto"/>
        </w:rPr>
        <w:t>Filed herewith</w:t>
      </w:r>
    </w:p>
    <w:p>
      <w:pPr>
        <w:spacing w:after="0" w:line="360" w:lineRule="exact"/>
        <w:rPr>
          <w:sz w:val="20"/>
          <w:szCs w:val="20"/>
          <w:color w:val="auto"/>
        </w:rPr>
      </w:pPr>
    </w:p>
    <w:p>
      <w:pPr>
        <w:jc w:val="right"/>
        <w:ind w:right="280"/>
        <w:spacing w:after="0"/>
        <w:rPr>
          <w:sz w:val="20"/>
          <w:szCs w:val="20"/>
          <w:color w:val="auto"/>
        </w:rPr>
      </w:pPr>
      <w:r>
        <w:rPr>
          <w:rFonts w:ascii="Arial" w:cs="Arial" w:eastAsia="Arial" w:hAnsi="Arial"/>
          <w:sz w:val="18"/>
          <w:szCs w:val="18"/>
          <w:color w:val="auto"/>
        </w:rPr>
        <w:t>Filed herewith</w:t>
      </w:r>
    </w:p>
    <w:p>
      <w:pPr>
        <w:spacing w:after="0" w:line="484" w:lineRule="exact"/>
        <w:rPr>
          <w:sz w:val="20"/>
          <w:szCs w:val="20"/>
          <w:color w:val="auto"/>
        </w:rPr>
      </w:pPr>
    </w:p>
    <w:p>
      <w:pPr>
        <w:sectPr>
          <w:pgSz w:w="11900" w:h="16838" w:orient="portrait"/>
          <w:cols w:equalWidth="0" w:num="2">
            <w:col w:w="5740" w:space="220"/>
            <w:col w:w="5280"/>
          </w:cols>
          <w:pgMar w:left="320" w:top="1290" w:right="339" w:bottom="1440" w:gutter="0" w:footer="0" w:header="0"/>
        </w:sectPr>
      </w:pPr>
    </w:p>
    <w:tbl>
      <w:tblPr>
        <w:tblLayout w:type="fixed"/>
        <w:tblInd w:w="0" w:type="dxa"/>
        <w:tblCellMar>
          <w:top w:w="0" w:type="dxa"/>
          <w:left w:w="0" w:type="dxa"/>
          <w:bottom w:w="0" w:type="dxa"/>
          <w:right w:w="0" w:type="dxa"/>
        </w:tblCellMar>
      </w:tblPr>
      <w:tr>
        <w:trPr>
          <w:trHeight w:val="227"/>
        </w:trPr>
        <w:tc>
          <w:tcPr>
            <w:tcW w:w="1240" w:type="dxa"/>
            <w:vAlign w:val="bottom"/>
          </w:tcPr>
          <w:p>
            <w:pPr>
              <w:ind w:left="120"/>
              <w:spacing w:after="0"/>
              <w:rPr>
                <w:sz w:val="20"/>
                <w:szCs w:val="20"/>
                <w:color w:val="auto"/>
              </w:rPr>
            </w:pPr>
            <w:r>
              <w:rPr>
                <w:rFonts w:ascii="Arial" w:cs="Arial" w:eastAsia="Arial" w:hAnsi="Arial"/>
                <w:sz w:val="18"/>
                <w:szCs w:val="18"/>
                <w:color w:val="auto"/>
              </w:rPr>
              <w:t>32.2*</w:t>
            </w:r>
          </w:p>
        </w:tc>
        <w:tc>
          <w:tcPr>
            <w:tcW w:w="6600" w:type="dxa"/>
            <w:vAlign w:val="bottom"/>
            <w:gridSpan w:val="4"/>
          </w:tcPr>
          <w:p>
            <w:pPr>
              <w:spacing w:after="0"/>
              <w:rPr>
                <w:rFonts w:ascii="Arial" w:cs="Arial" w:eastAsia="Arial" w:hAnsi="Arial"/>
                <w:sz w:val="18"/>
                <w:szCs w:val="18"/>
                <w:color w:val="0000FF"/>
              </w:rPr>
            </w:pPr>
            <w:hyperlink w:anchor="page125">
              <w:r>
                <w:rPr>
                  <w:rFonts w:ascii="Arial" w:cs="Arial" w:eastAsia="Arial" w:hAnsi="Arial"/>
                  <w:sz w:val="18"/>
                  <w:szCs w:val="18"/>
                  <w:color w:val="0000FF"/>
                </w:rPr>
                <w:t>Certification Pursuant to 18 U.S.C. Section 1350, as Adopted</w:t>
              </w:r>
            </w:hyperlink>
          </w:p>
        </w:tc>
        <w:tc>
          <w:tcPr>
            <w:tcW w:w="3400" w:type="dxa"/>
            <w:vAlign w:val="bottom"/>
          </w:tcPr>
          <w:p>
            <w:pPr>
              <w:ind w:left="2060"/>
              <w:spacing w:after="0"/>
              <w:rPr>
                <w:sz w:val="20"/>
                <w:szCs w:val="20"/>
                <w:color w:val="auto"/>
              </w:rPr>
            </w:pPr>
            <w:r>
              <w:rPr>
                <w:rFonts w:ascii="Arial" w:cs="Arial" w:eastAsia="Arial" w:hAnsi="Arial"/>
                <w:sz w:val="18"/>
                <w:szCs w:val="18"/>
                <w:color w:val="auto"/>
              </w:rPr>
              <w:t>Filed herewith</w:t>
            </w:r>
          </w:p>
        </w:tc>
      </w:tr>
      <w:tr>
        <w:trPr>
          <w:trHeight w:val="155"/>
        </w:trPr>
        <w:tc>
          <w:tcPr>
            <w:tcW w:w="1240" w:type="dxa"/>
            <w:vAlign w:val="bottom"/>
          </w:tcPr>
          <w:p>
            <w:pPr>
              <w:spacing w:after="0"/>
              <w:rPr>
                <w:sz w:val="13"/>
                <w:szCs w:val="13"/>
                <w:color w:val="auto"/>
              </w:rPr>
            </w:pPr>
          </w:p>
        </w:tc>
        <w:tc>
          <w:tcPr>
            <w:tcW w:w="4420" w:type="dxa"/>
            <w:vAlign w:val="bottom"/>
            <w:tcBorders>
              <w:top w:val="single" w:sz="8" w:color="0000FF"/>
            </w:tcBorders>
            <w:gridSpan w:val="3"/>
          </w:tcPr>
          <w:p>
            <w:pPr>
              <w:spacing w:after="0" w:line="156" w:lineRule="exact"/>
              <w:rPr>
                <w:rFonts w:ascii="Arial" w:cs="Arial" w:eastAsia="Arial" w:hAnsi="Arial"/>
                <w:sz w:val="18"/>
                <w:szCs w:val="18"/>
                <w:color w:val="0000FF"/>
                <w:w w:val="93"/>
              </w:rPr>
            </w:pPr>
            <w:hyperlink w:anchor="page125">
              <w:r>
                <w:rPr>
                  <w:rFonts w:ascii="Arial" w:cs="Arial" w:eastAsia="Arial" w:hAnsi="Arial"/>
                  <w:sz w:val="18"/>
                  <w:szCs w:val="18"/>
                  <w:color w:val="0000FF"/>
                  <w:w w:val="93"/>
                </w:rPr>
                <w:t>Pursuant to Section 906 of the Sarbanes-Oxley Act of 2002</w:t>
              </w:r>
            </w:hyperlink>
          </w:p>
        </w:tc>
        <w:tc>
          <w:tcPr>
            <w:tcW w:w="2180" w:type="dxa"/>
            <w:vAlign w:val="bottom"/>
          </w:tcPr>
          <w:p>
            <w:pPr>
              <w:spacing w:after="0"/>
              <w:rPr>
                <w:sz w:val="13"/>
                <w:szCs w:val="13"/>
                <w:color w:val="auto"/>
              </w:rPr>
            </w:pPr>
          </w:p>
        </w:tc>
        <w:tc>
          <w:tcPr>
            <w:tcW w:w="3400" w:type="dxa"/>
            <w:vAlign w:val="bottom"/>
          </w:tcPr>
          <w:p>
            <w:pPr>
              <w:spacing w:after="0"/>
              <w:rPr>
                <w:sz w:val="13"/>
                <w:szCs w:val="13"/>
                <w:color w:val="auto"/>
              </w:rPr>
            </w:pPr>
          </w:p>
        </w:tc>
      </w:tr>
      <w:tr>
        <w:trPr>
          <w:trHeight w:val="156"/>
        </w:trPr>
        <w:tc>
          <w:tcPr>
            <w:tcW w:w="1240" w:type="dxa"/>
            <w:vAlign w:val="bottom"/>
          </w:tcPr>
          <w:p>
            <w:pPr>
              <w:spacing w:after="0"/>
              <w:rPr>
                <w:sz w:val="13"/>
                <w:szCs w:val="13"/>
                <w:color w:val="auto"/>
              </w:rPr>
            </w:pPr>
          </w:p>
        </w:tc>
        <w:tc>
          <w:tcPr>
            <w:tcW w:w="4280" w:type="dxa"/>
            <w:vAlign w:val="bottom"/>
            <w:tcBorders>
              <w:top w:val="single" w:sz="8" w:color="0000FF"/>
            </w:tcBorders>
            <w:gridSpan w:val="2"/>
          </w:tcPr>
          <w:p>
            <w:pPr>
              <w:spacing w:after="0" w:line="156" w:lineRule="exact"/>
              <w:rPr>
                <w:rFonts w:ascii="Arial" w:cs="Arial" w:eastAsia="Arial" w:hAnsi="Arial"/>
                <w:sz w:val="18"/>
                <w:szCs w:val="18"/>
                <w:color w:val="0000FF"/>
              </w:rPr>
            </w:pPr>
            <w:hyperlink w:anchor="page125">
              <w:r>
                <w:rPr>
                  <w:rFonts w:ascii="Arial" w:cs="Arial" w:eastAsia="Arial" w:hAnsi="Arial"/>
                  <w:sz w:val="18"/>
                  <w:szCs w:val="18"/>
                  <w:color w:val="0000FF"/>
                </w:rPr>
                <w:t>for Principal Financial Officer</w:t>
              </w:r>
            </w:hyperlink>
          </w:p>
        </w:tc>
        <w:tc>
          <w:tcPr>
            <w:tcW w:w="2320" w:type="dxa"/>
            <w:vAlign w:val="bottom"/>
            <w:gridSpan w:val="2"/>
          </w:tcPr>
          <w:p>
            <w:pPr>
              <w:spacing w:after="0"/>
              <w:rPr>
                <w:sz w:val="13"/>
                <w:szCs w:val="13"/>
                <w:color w:val="auto"/>
              </w:rPr>
            </w:pPr>
          </w:p>
        </w:tc>
        <w:tc>
          <w:tcPr>
            <w:tcW w:w="3400" w:type="dxa"/>
            <w:vAlign w:val="bottom"/>
          </w:tcPr>
          <w:p>
            <w:pPr>
              <w:spacing w:after="0"/>
              <w:rPr>
                <w:sz w:val="13"/>
                <w:szCs w:val="13"/>
                <w:color w:val="auto"/>
              </w:rPr>
            </w:pPr>
          </w:p>
        </w:tc>
      </w:tr>
      <w:tr>
        <w:trPr>
          <w:trHeight w:val="588"/>
        </w:trPr>
        <w:tc>
          <w:tcPr>
            <w:tcW w:w="1240" w:type="dxa"/>
            <w:vAlign w:val="bottom"/>
          </w:tcPr>
          <w:p>
            <w:pPr>
              <w:ind w:left="20"/>
              <w:spacing w:after="0"/>
              <w:rPr>
                <w:sz w:val="20"/>
                <w:szCs w:val="20"/>
                <w:color w:val="auto"/>
              </w:rPr>
            </w:pPr>
            <w:r>
              <w:rPr>
                <w:rFonts w:ascii="Arial" w:cs="Arial" w:eastAsia="Arial" w:hAnsi="Arial"/>
                <w:sz w:val="18"/>
                <w:szCs w:val="18"/>
                <w:color w:val="auto"/>
              </w:rPr>
              <w:t>101.INS</w:t>
            </w:r>
          </w:p>
        </w:tc>
        <w:tc>
          <w:tcPr>
            <w:tcW w:w="2180" w:type="dxa"/>
            <w:vAlign w:val="bottom"/>
            <w:tcBorders>
              <w:top w:val="single" w:sz="8" w:color="0000FF"/>
            </w:tcBorders>
          </w:tcPr>
          <w:p>
            <w:pPr>
              <w:spacing w:after="0"/>
              <w:rPr>
                <w:sz w:val="20"/>
                <w:szCs w:val="20"/>
                <w:color w:val="auto"/>
              </w:rPr>
            </w:pPr>
            <w:r>
              <w:rPr>
                <w:rFonts w:ascii="Arial" w:cs="Arial" w:eastAsia="Arial" w:hAnsi="Arial"/>
                <w:sz w:val="18"/>
                <w:szCs w:val="18"/>
                <w:color w:val="auto"/>
              </w:rPr>
              <w:t>XBRL Instance Document</w:t>
            </w:r>
          </w:p>
        </w:tc>
        <w:tc>
          <w:tcPr>
            <w:tcW w:w="4420" w:type="dxa"/>
            <w:vAlign w:val="bottom"/>
            <w:gridSpan w:val="3"/>
          </w:tcPr>
          <w:p>
            <w:pPr>
              <w:spacing w:after="0"/>
              <w:rPr>
                <w:sz w:val="24"/>
                <w:szCs w:val="24"/>
                <w:color w:val="auto"/>
              </w:rPr>
            </w:pPr>
          </w:p>
        </w:tc>
        <w:tc>
          <w:tcPr>
            <w:tcW w:w="3400" w:type="dxa"/>
            <w:vAlign w:val="bottom"/>
          </w:tcPr>
          <w:p>
            <w:pPr>
              <w:spacing w:after="0"/>
              <w:rPr>
                <w:sz w:val="24"/>
                <w:szCs w:val="24"/>
                <w:color w:val="auto"/>
              </w:rPr>
            </w:pPr>
          </w:p>
        </w:tc>
      </w:tr>
      <w:tr>
        <w:trPr>
          <w:trHeight w:val="432"/>
        </w:trPr>
        <w:tc>
          <w:tcPr>
            <w:tcW w:w="1240" w:type="dxa"/>
            <w:vAlign w:val="bottom"/>
          </w:tcPr>
          <w:p>
            <w:pPr>
              <w:ind w:left="20"/>
              <w:spacing w:after="0"/>
              <w:rPr>
                <w:sz w:val="20"/>
                <w:szCs w:val="20"/>
                <w:color w:val="auto"/>
              </w:rPr>
            </w:pPr>
            <w:r>
              <w:rPr>
                <w:rFonts w:ascii="Arial" w:cs="Arial" w:eastAsia="Arial" w:hAnsi="Arial"/>
                <w:sz w:val="18"/>
                <w:szCs w:val="18"/>
                <w:color w:val="auto"/>
              </w:rPr>
              <w:t>101.SCH</w:t>
            </w:r>
          </w:p>
        </w:tc>
        <w:tc>
          <w:tcPr>
            <w:tcW w:w="6600" w:type="dxa"/>
            <w:vAlign w:val="bottom"/>
            <w:gridSpan w:val="4"/>
          </w:tcPr>
          <w:p>
            <w:pPr>
              <w:spacing w:after="0"/>
              <w:rPr>
                <w:sz w:val="20"/>
                <w:szCs w:val="20"/>
                <w:color w:val="auto"/>
              </w:rPr>
            </w:pPr>
            <w:r>
              <w:rPr>
                <w:rFonts w:ascii="Arial" w:cs="Arial" w:eastAsia="Arial" w:hAnsi="Arial"/>
                <w:sz w:val="18"/>
                <w:szCs w:val="18"/>
                <w:color w:val="auto"/>
              </w:rPr>
              <w:t>XBRL Taxonomy Extension Schema Document</w:t>
            </w:r>
          </w:p>
        </w:tc>
        <w:tc>
          <w:tcPr>
            <w:tcW w:w="3400" w:type="dxa"/>
            <w:vAlign w:val="bottom"/>
          </w:tcPr>
          <w:p>
            <w:pPr>
              <w:spacing w:after="0"/>
              <w:rPr>
                <w:sz w:val="24"/>
                <w:szCs w:val="24"/>
                <w:color w:val="auto"/>
              </w:rPr>
            </w:pPr>
          </w:p>
        </w:tc>
      </w:tr>
      <w:tr>
        <w:trPr>
          <w:trHeight w:val="432"/>
        </w:trPr>
        <w:tc>
          <w:tcPr>
            <w:tcW w:w="1240" w:type="dxa"/>
            <w:vAlign w:val="bottom"/>
          </w:tcPr>
          <w:p>
            <w:pPr>
              <w:ind w:left="20"/>
              <w:spacing w:after="0"/>
              <w:rPr>
                <w:sz w:val="20"/>
                <w:szCs w:val="20"/>
                <w:color w:val="auto"/>
              </w:rPr>
            </w:pPr>
            <w:r>
              <w:rPr>
                <w:rFonts w:ascii="Arial" w:cs="Arial" w:eastAsia="Arial" w:hAnsi="Arial"/>
                <w:sz w:val="18"/>
                <w:szCs w:val="18"/>
                <w:color w:val="auto"/>
              </w:rPr>
              <w:t>101.CAL</w:t>
            </w:r>
          </w:p>
        </w:tc>
        <w:tc>
          <w:tcPr>
            <w:tcW w:w="6600" w:type="dxa"/>
            <w:vAlign w:val="bottom"/>
            <w:gridSpan w:val="4"/>
          </w:tcPr>
          <w:p>
            <w:pPr>
              <w:spacing w:after="0"/>
              <w:rPr>
                <w:sz w:val="20"/>
                <w:szCs w:val="20"/>
                <w:color w:val="auto"/>
              </w:rPr>
            </w:pPr>
            <w:r>
              <w:rPr>
                <w:rFonts w:ascii="Arial" w:cs="Arial" w:eastAsia="Arial" w:hAnsi="Arial"/>
                <w:sz w:val="18"/>
                <w:szCs w:val="18"/>
                <w:color w:val="auto"/>
              </w:rPr>
              <w:t>XBRL Taxonomy Extension Calculation Linkbase Document</w:t>
            </w:r>
          </w:p>
        </w:tc>
        <w:tc>
          <w:tcPr>
            <w:tcW w:w="3400" w:type="dxa"/>
            <w:vAlign w:val="bottom"/>
          </w:tcPr>
          <w:p>
            <w:pPr>
              <w:spacing w:after="0"/>
              <w:rPr>
                <w:sz w:val="24"/>
                <w:szCs w:val="24"/>
                <w:color w:val="auto"/>
              </w:rPr>
            </w:pPr>
          </w:p>
        </w:tc>
      </w:tr>
      <w:tr>
        <w:trPr>
          <w:trHeight w:val="432"/>
        </w:trPr>
        <w:tc>
          <w:tcPr>
            <w:tcW w:w="1240" w:type="dxa"/>
            <w:vAlign w:val="bottom"/>
          </w:tcPr>
          <w:p>
            <w:pPr>
              <w:ind w:left="20"/>
              <w:spacing w:after="0"/>
              <w:rPr>
                <w:sz w:val="20"/>
                <w:szCs w:val="20"/>
                <w:color w:val="auto"/>
              </w:rPr>
            </w:pPr>
            <w:r>
              <w:rPr>
                <w:rFonts w:ascii="Arial" w:cs="Arial" w:eastAsia="Arial" w:hAnsi="Arial"/>
                <w:sz w:val="18"/>
                <w:szCs w:val="18"/>
                <w:color w:val="auto"/>
              </w:rPr>
              <w:t>101.DEF</w:t>
            </w:r>
          </w:p>
        </w:tc>
        <w:tc>
          <w:tcPr>
            <w:tcW w:w="6600" w:type="dxa"/>
            <w:vAlign w:val="bottom"/>
            <w:gridSpan w:val="4"/>
          </w:tcPr>
          <w:p>
            <w:pPr>
              <w:spacing w:after="0"/>
              <w:rPr>
                <w:sz w:val="20"/>
                <w:szCs w:val="20"/>
                <w:color w:val="auto"/>
              </w:rPr>
            </w:pPr>
            <w:r>
              <w:rPr>
                <w:rFonts w:ascii="Arial" w:cs="Arial" w:eastAsia="Arial" w:hAnsi="Arial"/>
                <w:sz w:val="18"/>
                <w:szCs w:val="18"/>
                <w:color w:val="auto"/>
              </w:rPr>
              <w:t>XBRL Taxonomy Extension Definition</w:t>
            </w:r>
          </w:p>
        </w:tc>
        <w:tc>
          <w:tcPr>
            <w:tcW w:w="3400" w:type="dxa"/>
            <w:vAlign w:val="bottom"/>
          </w:tcPr>
          <w:p>
            <w:pPr>
              <w:spacing w:after="0"/>
              <w:rPr>
                <w:sz w:val="24"/>
                <w:szCs w:val="24"/>
                <w:color w:val="auto"/>
              </w:rPr>
            </w:pPr>
          </w:p>
        </w:tc>
      </w:tr>
      <w:tr>
        <w:trPr>
          <w:trHeight w:val="432"/>
        </w:trPr>
        <w:tc>
          <w:tcPr>
            <w:tcW w:w="1240" w:type="dxa"/>
            <w:vAlign w:val="bottom"/>
          </w:tcPr>
          <w:p>
            <w:pPr>
              <w:ind w:left="20"/>
              <w:spacing w:after="0"/>
              <w:rPr>
                <w:sz w:val="20"/>
                <w:szCs w:val="20"/>
                <w:color w:val="auto"/>
              </w:rPr>
            </w:pPr>
            <w:r>
              <w:rPr>
                <w:rFonts w:ascii="Arial" w:cs="Arial" w:eastAsia="Arial" w:hAnsi="Arial"/>
                <w:sz w:val="18"/>
                <w:szCs w:val="18"/>
                <w:color w:val="auto"/>
              </w:rPr>
              <w:t>101.LAB</w:t>
            </w:r>
          </w:p>
        </w:tc>
        <w:tc>
          <w:tcPr>
            <w:tcW w:w="6600" w:type="dxa"/>
            <w:vAlign w:val="bottom"/>
            <w:gridSpan w:val="4"/>
          </w:tcPr>
          <w:p>
            <w:pPr>
              <w:spacing w:after="0"/>
              <w:rPr>
                <w:sz w:val="20"/>
                <w:szCs w:val="20"/>
                <w:color w:val="auto"/>
              </w:rPr>
            </w:pPr>
            <w:r>
              <w:rPr>
                <w:rFonts w:ascii="Arial" w:cs="Arial" w:eastAsia="Arial" w:hAnsi="Arial"/>
                <w:sz w:val="18"/>
                <w:szCs w:val="18"/>
                <w:color w:val="auto"/>
              </w:rPr>
              <w:t>XBRL Taxonomy Extension Label Linkbase Document</w:t>
            </w:r>
          </w:p>
        </w:tc>
        <w:tc>
          <w:tcPr>
            <w:tcW w:w="3400" w:type="dxa"/>
            <w:vAlign w:val="bottom"/>
          </w:tcPr>
          <w:p>
            <w:pPr>
              <w:spacing w:after="0"/>
              <w:rPr>
                <w:sz w:val="24"/>
                <w:szCs w:val="24"/>
                <w:color w:val="auto"/>
              </w:rPr>
            </w:pPr>
          </w:p>
        </w:tc>
      </w:tr>
      <w:tr>
        <w:trPr>
          <w:trHeight w:val="864"/>
        </w:trPr>
        <w:tc>
          <w:tcPr>
            <w:tcW w:w="1240" w:type="dxa"/>
            <w:vAlign w:val="bottom"/>
          </w:tcPr>
          <w:p>
            <w:pPr>
              <w:spacing w:after="0"/>
              <w:rPr>
                <w:sz w:val="24"/>
                <w:szCs w:val="24"/>
                <w:color w:val="auto"/>
              </w:rPr>
            </w:pPr>
          </w:p>
        </w:tc>
        <w:tc>
          <w:tcPr>
            <w:tcW w:w="6600" w:type="dxa"/>
            <w:vAlign w:val="bottom"/>
            <w:gridSpan w:val="4"/>
          </w:tcPr>
          <w:p>
            <w:pPr>
              <w:ind w:left="4240"/>
              <w:spacing w:after="0"/>
              <w:rPr>
                <w:sz w:val="20"/>
                <w:szCs w:val="20"/>
                <w:color w:val="auto"/>
              </w:rPr>
            </w:pPr>
            <w:r>
              <w:rPr>
                <w:rFonts w:ascii="Arial" w:cs="Arial" w:eastAsia="Arial" w:hAnsi="Arial"/>
                <w:sz w:val="18"/>
                <w:szCs w:val="18"/>
                <w:color w:val="auto"/>
              </w:rPr>
              <w:t>103</w:t>
            </w:r>
          </w:p>
        </w:tc>
        <w:tc>
          <w:tcPr>
            <w:tcW w:w="3400" w:type="dxa"/>
            <w:vAlign w:val="bottom"/>
          </w:tcPr>
          <w:p>
            <w:pPr>
              <w:spacing w:after="0"/>
              <w:rPr>
                <w:sz w:val="24"/>
                <w:szCs w:val="24"/>
                <w:color w:val="auto"/>
              </w:rPr>
            </w:pPr>
          </w:p>
        </w:tc>
      </w:tr>
      <w:tr>
        <w:trPr>
          <w:trHeight w:val="358"/>
        </w:trPr>
        <w:tc>
          <w:tcPr>
            <w:tcW w:w="1240" w:type="dxa"/>
            <w:vAlign w:val="bottom"/>
            <w:tcBorders>
              <w:bottom w:val="single" w:sz="8" w:color="9A9A9A"/>
            </w:tcBorders>
          </w:tcPr>
          <w:p>
            <w:pPr>
              <w:spacing w:after="0"/>
              <w:rPr>
                <w:sz w:val="24"/>
                <w:szCs w:val="24"/>
                <w:color w:val="auto"/>
              </w:rPr>
            </w:pPr>
          </w:p>
        </w:tc>
        <w:tc>
          <w:tcPr>
            <w:tcW w:w="2180" w:type="dxa"/>
            <w:vAlign w:val="bottom"/>
            <w:tcBorders>
              <w:bottom w:val="single" w:sz="8" w:color="9A9A9A"/>
            </w:tcBorders>
          </w:tcPr>
          <w:p>
            <w:pPr>
              <w:spacing w:after="0"/>
              <w:rPr>
                <w:sz w:val="24"/>
                <w:szCs w:val="24"/>
                <w:color w:val="auto"/>
              </w:rPr>
            </w:pPr>
          </w:p>
        </w:tc>
        <w:tc>
          <w:tcPr>
            <w:tcW w:w="2100" w:type="dxa"/>
            <w:vAlign w:val="bottom"/>
            <w:tcBorders>
              <w:bottom w:val="single" w:sz="8" w:color="9A9A9A"/>
            </w:tcBorders>
          </w:tcPr>
          <w:p>
            <w:pPr>
              <w:spacing w:after="0"/>
              <w:rPr>
                <w:sz w:val="24"/>
                <w:szCs w:val="24"/>
                <w:color w:val="auto"/>
              </w:rPr>
            </w:pPr>
          </w:p>
        </w:tc>
        <w:tc>
          <w:tcPr>
            <w:tcW w:w="140" w:type="dxa"/>
            <w:vAlign w:val="bottom"/>
            <w:tcBorders>
              <w:bottom w:val="single" w:sz="8" w:color="9A9A9A"/>
            </w:tcBorders>
          </w:tcPr>
          <w:p>
            <w:pPr>
              <w:spacing w:after="0"/>
              <w:rPr>
                <w:sz w:val="24"/>
                <w:szCs w:val="24"/>
                <w:color w:val="auto"/>
              </w:rPr>
            </w:pPr>
          </w:p>
        </w:tc>
        <w:tc>
          <w:tcPr>
            <w:tcW w:w="2180" w:type="dxa"/>
            <w:vAlign w:val="bottom"/>
            <w:tcBorders>
              <w:bottom w:val="single" w:sz="8" w:color="9A9A9A"/>
            </w:tcBorders>
          </w:tcPr>
          <w:p>
            <w:pPr>
              <w:spacing w:after="0"/>
              <w:rPr>
                <w:sz w:val="24"/>
                <w:szCs w:val="24"/>
                <w:color w:val="auto"/>
              </w:rPr>
            </w:pPr>
          </w:p>
        </w:tc>
        <w:tc>
          <w:tcPr>
            <w:tcW w:w="3400" w:type="dxa"/>
            <w:vAlign w:val="bottom"/>
            <w:tcBorders>
              <w:bottom w:val="single" w:sz="8" w:color="9A9A9A"/>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7128510</wp:posOffset>
            </wp:positionH>
            <wp:positionV relativeFrom="paragraph">
              <wp:posOffset>-7620</wp:posOffset>
            </wp:positionV>
            <wp:extent cx="8255" cy="825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70">
                      <a:extLst>
                        <a:ext uri="{28A0092B-C50C-407E-A947-70E740481C1C}"/>
                      </a:extLst>
                    </a:blip>
                    <a:srcRect/>
                    <a:stretch>
                      <a:fillRect/>
                    </a:stretch>
                  </pic:blipFill>
                  <pic:spPr bwMode="auto">
                    <a:xfrm>
                      <a:off x="0" y="0"/>
                      <a:ext cx="825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8890" cy="1714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71">
                      <a:extLst>
                        <a:ext uri="{28A0092B-C50C-407E-A947-70E740481C1C}"/>
                      </a:extLst>
                    </a:blip>
                    <a:srcRect/>
                    <a:stretch>
                      <a:fillRect/>
                    </a:stretch>
                  </pic:blipFill>
                  <pic:spPr bwMode="auto">
                    <a:xfrm>
                      <a:off x="0" y="0"/>
                      <a:ext cx="8890" cy="17145"/>
                    </a:xfrm>
                    <a:prstGeom prst="rect">
                      <a:avLst/>
                    </a:prstGeom>
                    <a:noFill/>
                  </pic:spPr>
                </pic:pic>
              </a:graphicData>
            </a:graphic>
          </wp:anchor>
        </w:drawing>
      </w:r>
    </w:p>
    <w:p>
      <w:pPr>
        <w:sectPr>
          <w:pgSz w:w="11900" w:h="16838" w:orient="portrait"/>
          <w:cols w:equalWidth="0" w:num="1">
            <w:col w:w="11240"/>
          </w:cols>
          <w:pgMar w:left="320" w:top="1290" w:right="339" w:bottom="1440" w:gutter="0" w:footer="0" w:header="0"/>
          <w:type w:val="continuous"/>
        </w:sectPr>
      </w:pPr>
    </w:p>
    <w:bookmarkStart w:id="106" w:name="page107"/>
    <w:bookmarkEnd w:id="106"/>
    <w:p>
      <w:pPr>
        <w:ind w:left="20"/>
        <w:spacing w:after="0"/>
        <w:tabs>
          <w:tab w:leader="none" w:pos="1220" w:val="left"/>
        </w:tabs>
        <w:rPr>
          <w:sz w:val="20"/>
          <w:szCs w:val="20"/>
          <w:color w:val="auto"/>
        </w:rPr>
      </w:pPr>
      <w:r>
        <w:rPr>
          <w:rFonts w:ascii="Arial" w:cs="Arial" w:eastAsia="Arial" w:hAnsi="Arial"/>
          <w:sz w:val="18"/>
          <w:szCs w:val="18"/>
          <w:color w:val="auto"/>
        </w:rPr>
        <w:t>101.PRE</w:t>
      </w:r>
      <w:r>
        <w:rPr>
          <w:sz w:val="20"/>
          <w:szCs w:val="20"/>
          <w:color w:val="auto"/>
        </w:rPr>
        <w:tab/>
      </w:r>
      <w:r>
        <w:rPr>
          <w:rFonts w:ascii="Arial" w:cs="Arial" w:eastAsia="Arial" w:hAnsi="Arial"/>
          <w:sz w:val="16"/>
          <w:szCs w:val="16"/>
          <w:color w:val="auto"/>
        </w:rPr>
        <w:t>XBRL Taxonomy Presentation Linkbase Document</w:t>
      </w:r>
    </w:p>
    <w:p>
      <w:pPr>
        <w:spacing w:after="0" w:line="387" w:lineRule="exact"/>
        <w:rPr>
          <w:sz w:val="20"/>
          <w:szCs w:val="20"/>
          <w:color w:val="auto"/>
        </w:rPr>
      </w:pPr>
    </w:p>
    <w:p>
      <w:pPr>
        <w:spacing w:after="0"/>
        <w:rPr>
          <w:sz w:val="20"/>
          <w:szCs w:val="20"/>
          <w:color w:val="auto"/>
        </w:rPr>
      </w:pPr>
      <w:r>
        <w:rPr>
          <w:rFonts w:ascii="Arial" w:cs="Arial" w:eastAsia="Arial" w:hAnsi="Arial"/>
          <w:sz w:val="18"/>
          <w:szCs w:val="18"/>
          <w:color w:val="auto"/>
        </w:rPr>
        <w:t># Management contracts or compensation plans or arrangements in which directors or executive officers are eligible to participate.</w:t>
      </w:r>
    </w:p>
    <w:p>
      <w:pPr>
        <w:spacing w:after="0" w:line="63" w:lineRule="exact"/>
        <w:rPr>
          <w:sz w:val="20"/>
          <w:szCs w:val="20"/>
          <w:color w:val="auto"/>
        </w:rPr>
      </w:pPr>
    </w:p>
    <w:p>
      <w:pPr>
        <w:ind w:left="660" w:hanging="652"/>
        <w:spacing w:after="0" w:line="275" w:lineRule="auto"/>
        <w:tabs>
          <w:tab w:leader="none" w:pos="147" w:val="left"/>
        </w:tabs>
        <w:numPr>
          <w:ilvl w:val="0"/>
          <w:numId w:val="43"/>
        </w:numPr>
        <w:rPr>
          <w:rFonts w:ascii="Arial" w:cs="Arial" w:eastAsia="Arial" w:hAnsi="Arial"/>
          <w:sz w:val="17"/>
          <w:szCs w:val="17"/>
          <w:color w:val="auto"/>
        </w:rPr>
      </w:pPr>
      <w:r>
        <w:rPr>
          <w:rFonts w:ascii="Arial" w:cs="Arial" w:eastAsia="Arial" w:hAnsi="Arial"/>
          <w:sz w:val="17"/>
          <w:szCs w:val="17"/>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Annual Report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16. </w:t>
      </w:r>
      <w:r>
        <w:rPr>
          <w:rFonts w:ascii="Arial" w:cs="Arial" w:eastAsia="Arial" w:hAnsi="Arial"/>
          <w:sz w:val="18"/>
          <w:szCs w:val="18"/>
          <w:b w:val="1"/>
          <w:bCs w:val="1"/>
          <w:i w:val="1"/>
          <w:iCs w:val="1"/>
          <w:color w:val="auto"/>
        </w:rPr>
        <w:t>Form 10-K Summary</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237490</wp:posOffset>
            </wp:positionV>
            <wp:extent cx="7132320" cy="1714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7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060"/>
          </w:cols>
          <w:pgMar w:left="320" w:top="1340" w:right="519" w:bottom="1440" w:gutter="0" w:footer="0" w:header="0"/>
        </w:sectPr>
      </w:pPr>
    </w:p>
    <w:bookmarkStart w:id="107" w:name="page108"/>
    <w:bookmarkEnd w:id="107"/>
    <w:p>
      <w:pPr>
        <w:jc w:val="center"/>
        <w:ind w:right="-59"/>
        <w:spacing w:after="0"/>
        <w:rPr>
          <w:sz w:val="20"/>
          <w:szCs w:val="20"/>
          <w:color w:val="auto"/>
        </w:rPr>
      </w:pPr>
      <w:r>
        <w:rPr>
          <w:rFonts w:ascii="Arial" w:cs="Arial" w:eastAsia="Arial" w:hAnsi="Arial"/>
          <w:sz w:val="18"/>
          <w:szCs w:val="18"/>
          <w:b w:val="1"/>
          <w:bCs w:val="1"/>
          <w:color w:val="auto"/>
        </w:rPr>
        <w:t>SIGNATURES</w:t>
      </w:r>
    </w:p>
    <w:p>
      <w:pPr>
        <w:spacing w:after="0" w:line="121" w:lineRule="exact"/>
        <w:rPr>
          <w:sz w:val="20"/>
          <w:szCs w:val="20"/>
          <w:color w:val="auto"/>
        </w:rPr>
      </w:pPr>
    </w:p>
    <w:p>
      <w:pPr>
        <w:ind w:right="60" w:firstLine="445"/>
        <w:spacing w:after="0" w:line="277"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373" w:lineRule="exact"/>
        <w:rPr>
          <w:sz w:val="20"/>
          <w:szCs w:val="20"/>
          <w:color w:val="auto"/>
        </w:rPr>
      </w:pPr>
    </w:p>
    <w:p>
      <w:pPr>
        <w:ind w:left="466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ARVELL</w:t>
      </w:r>
      <w:r>
        <w:rPr>
          <w:rFonts w:ascii="Arial" w:cs="Arial" w:eastAsia="Arial" w:hAnsi="Arial"/>
          <w:sz w:val="18"/>
          <w:szCs w:val="18"/>
          <w:color w:val="auto"/>
        </w:rPr>
        <w:t xml:space="preserve"> T</w:t>
      </w:r>
      <w:r>
        <w:rPr>
          <w:rFonts w:ascii="Arial" w:cs="Arial" w:eastAsia="Arial" w:hAnsi="Arial"/>
          <w:sz w:val="14"/>
          <w:szCs w:val="14"/>
          <w:color w:val="auto"/>
        </w:rPr>
        <w:t>ECHNOLOGY</w:t>
      </w:r>
      <w:r>
        <w:rPr>
          <w:rFonts w:ascii="Arial" w:cs="Arial" w:eastAsia="Arial" w:hAnsi="Arial"/>
          <w:sz w:val="18"/>
          <w:szCs w:val="18"/>
          <w:color w:val="auto"/>
        </w:rPr>
        <w:t xml:space="preserve"> G</w:t>
      </w:r>
      <w:r>
        <w:rPr>
          <w:rFonts w:ascii="Arial" w:cs="Arial" w:eastAsia="Arial" w:hAnsi="Arial"/>
          <w:sz w:val="14"/>
          <w:szCs w:val="14"/>
          <w:color w:val="auto"/>
        </w:rPr>
        <w:t>ROUP</w:t>
      </w:r>
      <w:r>
        <w:rPr>
          <w:rFonts w:ascii="Arial" w:cs="Arial" w:eastAsia="Arial" w:hAnsi="Arial"/>
          <w:sz w:val="18"/>
          <w:szCs w:val="18"/>
          <w:color w:val="auto"/>
        </w:rPr>
        <w:t xml:space="preserve"> L</w:t>
      </w:r>
      <w:r>
        <w:rPr>
          <w:rFonts w:ascii="Arial" w:cs="Arial" w:eastAsia="Arial" w:hAnsi="Arial"/>
          <w:sz w:val="14"/>
          <w:szCs w:val="14"/>
          <w:color w:val="auto"/>
        </w:rPr>
        <w:t>TD</w:t>
      </w:r>
      <w:r>
        <w:rPr>
          <w:rFonts w:ascii="Arial" w:cs="Arial" w:eastAsia="Arial" w:hAnsi="Arial"/>
          <w:sz w:val="18"/>
          <w:szCs w:val="18"/>
          <w:color w:val="auto"/>
        </w:rPr>
        <w:t>.</w:t>
      </w:r>
    </w:p>
    <w:p>
      <w:pPr>
        <w:spacing w:after="0" w:line="177" w:lineRule="exact"/>
        <w:rPr>
          <w:sz w:val="20"/>
          <w:szCs w:val="20"/>
          <w:color w:val="auto"/>
        </w:rPr>
      </w:pPr>
    </w:p>
    <w:p>
      <w:pPr>
        <w:ind w:left="20"/>
        <w:spacing w:after="0"/>
        <w:tabs>
          <w:tab w:leader="none" w:pos="4640" w:val="left"/>
          <w:tab w:leader="none" w:pos="8200" w:val="left"/>
          <w:tab w:leader="none" w:pos="8560" w:val="left"/>
        </w:tabs>
        <w:rPr>
          <w:sz w:val="20"/>
          <w:szCs w:val="20"/>
          <w:color w:val="auto"/>
        </w:rPr>
      </w:pPr>
      <w:r>
        <w:rPr>
          <w:rFonts w:ascii="Arial" w:cs="Arial" w:eastAsia="Arial" w:hAnsi="Arial"/>
          <w:sz w:val="18"/>
          <w:szCs w:val="18"/>
          <w:color w:val="auto"/>
        </w:rPr>
        <w:t>Dated: March 23,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28"/>
          <w:szCs w:val="28"/>
          <w:color w:val="auto"/>
          <w:vertAlign w:val="subscript"/>
        </w:rPr>
        <w:t>S</w:t>
      </w:r>
      <w:r>
        <w:rPr>
          <w:rFonts w:ascii="Arial" w:cs="Arial" w:eastAsia="Arial" w:hAnsi="Arial"/>
          <w:sz w:val="18"/>
          <w:szCs w:val="18"/>
          <w:color w:val="auto"/>
        </w:rPr>
        <w:t>/</w:t>
      </w:r>
      <w:r>
        <w:rPr>
          <w:sz w:val="20"/>
          <w:szCs w:val="20"/>
          <w:color w:val="auto"/>
        </w:rPr>
        <w:tab/>
      </w:r>
      <w:r>
        <w:rPr>
          <w:rFonts w:ascii="Arial" w:cs="Arial" w:eastAsia="Arial" w:hAnsi="Arial"/>
          <w:sz w:val="17"/>
          <w:szCs w:val="17"/>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3322320</wp:posOffset>
            </wp:positionH>
            <wp:positionV relativeFrom="paragraph">
              <wp:posOffset>41275</wp:posOffset>
            </wp:positionV>
            <wp:extent cx="3797300" cy="825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73">
                      <a:extLst>
                        <a:ext uri="{28A0092B-C50C-407E-A947-70E740481C1C}"/>
                      </a:extLst>
                    </a:blip>
                    <a:srcRect/>
                    <a:stretch>
                      <a:fillRect/>
                    </a:stretch>
                  </pic:blipFill>
                  <pic:spPr bwMode="auto">
                    <a:xfrm>
                      <a:off x="0" y="0"/>
                      <a:ext cx="3797300" cy="8255"/>
                    </a:xfrm>
                    <a:prstGeom prst="rect">
                      <a:avLst/>
                    </a:prstGeom>
                    <a:noFill/>
                  </pic:spPr>
                </pic:pic>
              </a:graphicData>
            </a:graphic>
          </wp:anchor>
        </w:drawing>
      </w:r>
    </w:p>
    <w:p>
      <w:pPr>
        <w:spacing w:after="0" w:line="39" w:lineRule="exact"/>
        <w:rPr>
          <w:sz w:val="20"/>
          <w:szCs w:val="20"/>
          <w:color w:val="auto"/>
        </w:rPr>
      </w:pPr>
    </w:p>
    <w:p>
      <w:pPr>
        <w:jc w:val="center"/>
        <w:ind w:left="6640"/>
        <w:spacing w:after="0"/>
        <w:rPr>
          <w:sz w:val="20"/>
          <w:szCs w:val="20"/>
          <w:color w:val="auto"/>
        </w:rPr>
      </w:pPr>
      <w:r>
        <w:rPr>
          <w:rFonts w:ascii="Arial" w:cs="Arial" w:eastAsia="Arial" w:hAnsi="Arial"/>
          <w:sz w:val="14"/>
          <w:szCs w:val="14"/>
          <w:b w:val="1"/>
          <w:bCs w:val="1"/>
          <w:color w:val="auto"/>
        </w:rPr>
        <w:t>Jean Hu</w:t>
      </w:r>
    </w:p>
    <w:p>
      <w:pPr>
        <w:jc w:val="center"/>
        <w:ind w:left="6640"/>
        <w:spacing w:after="0" w:line="201" w:lineRule="auto"/>
        <w:rPr>
          <w:sz w:val="20"/>
          <w:szCs w:val="20"/>
          <w:color w:val="auto"/>
        </w:rPr>
      </w:pPr>
      <w:r>
        <w:rPr>
          <w:rFonts w:ascii="Arial" w:cs="Arial" w:eastAsia="Arial" w:hAnsi="Arial"/>
          <w:sz w:val="14"/>
          <w:szCs w:val="14"/>
          <w:b w:val="1"/>
          <w:bCs w:val="1"/>
          <w:i w:val="1"/>
          <w:iCs w:val="1"/>
          <w:color w:val="auto"/>
        </w:rPr>
        <w:t>Chief Financial Officer</w:t>
      </w:r>
    </w:p>
    <w:p>
      <w:pPr>
        <w:jc w:val="center"/>
        <w:ind w:left="6640"/>
        <w:spacing w:after="0"/>
        <w:rPr>
          <w:sz w:val="20"/>
          <w:szCs w:val="20"/>
          <w:color w:val="auto"/>
        </w:rPr>
      </w:pPr>
      <w:r>
        <w:rPr>
          <w:rFonts w:ascii="Arial" w:cs="Arial" w:eastAsia="Arial" w:hAnsi="Arial"/>
          <w:sz w:val="14"/>
          <w:szCs w:val="14"/>
          <w:b w:val="1"/>
          <w:bCs w:val="1"/>
          <w:color w:val="auto"/>
        </w:rPr>
        <w:t>(Principal Financial Officer)</w:t>
      </w:r>
    </w:p>
    <w:p>
      <w:pPr>
        <w:spacing w:after="0" w:line="11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POWER OF ATTORNEY</w:t>
      </w:r>
    </w:p>
    <w:p>
      <w:pPr>
        <w:spacing w:after="0" w:line="121" w:lineRule="exact"/>
        <w:rPr>
          <w:sz w:val="20"/>
          <w:szCs w:val="20"/>
          <w:color w:val="auto"/>
        </w:rPr>
      </w:pPr>
    </w:p>
    <w:p>
      <w:pPr>
        <w:ind w:firstLine="648"/>
        <w:spacing w:after="0" w:line="273" w:lineRule="auto"/>
        <w:rPr>
          <w:sz w:val="20"/>
          <w:szCs w:val="20"/>
          <w:color w:val="auto"/>
        </w:rPr>
      </w:pPr>
      <w:r>
        <w:rPr>
          <w:rFonts w:ascii="Arial" w:cs="Arial" w:eastAsia="Arial" w:hAnsi="Arial"/>
          <w:sz w:val="17"/>
          <w:szCs w:val="17"/>
          <w:color w:val="auto"/>
        </w:rPr>
        <w:t>KNOW ALL PERSONS BY THESE PRESENTS, that each person whose signature appears below constitutes and appoints Matthew J. Murphy and Jean Hu, and each of them individually, as his or her attorney-in-fact, each with full power of substitution, for him or her in any and all capacities, to sign any and all amendments to this Annual Report on Form 10-K, and to file the same, with exhibits thereto and all other documents in connection therewith, with the Securities and Exchange Commission, hereby ratifying and confirming all that said attorney-in-fact, or his substitute or substitutes, may do or cause to be done by virtue hereof. Pursuant to the requirements of the Securities Exchange Act of 1934, this report has been signed by the following persons on behalf of the registrant in the capacities and on the dates indicated.</w:t>
      </w:r>
    </w:p>
    <w:p>
      <w:pPr>
        <w:sectPr>
          <w:pgSz w:w="11900" w:h="16838" w:orient="portrait"/>
          <w:cols w:equalWidth="0" w:num="1">
            <w:col w:w="11200"/>
          </w:cols>
          <w:pgMar w:left="320" w:top="1390" w:right="379" w:bottom="1440" w:gutter="0" w:footer="0" w:header="0"/>
        </w:sectPr>
      </w:pPr>
    </w:p>
    <w:p>
      <w:pPr>
        <w:spacing w:after="0" w:line="278" w:lineRule="exact"/>
        <w:rPr>
          <w:sz w:val="20"/>
          <w:szCs w:val="20"/>
          <w:color w:val="auto"/>
        </w:rPr>
      </w:pPr>
    </w:p>
    <w:p>
      <w:pPr>
        <w:ind w:left="1420"/>
        <w:spacing w:after="0"/>
        <w:rPr>
          <w:sz w:val="20"/>
          <w:szCs w:val="20"/>
          <w:color w:val="auto"/>
        </w:rPr>
      </w:pPr>
      <w:r>
        <w:rPr>
          <w:rFonts w:ascii="Arial" w:cs="Arial" w:eastAsia="Arial" w:hAnsi="Arial"/>
          <w:sz w:val="14"/>
          <w:szCs w:val="14"/>
          <w:b w:val="1"/>
          <w:bCs w:val="1"/>
          <w:color w:val="auto"/>
        </w:rPr>
        <w:t>Name and Signature</w:t>
      </w:r>
    </w:p>
    <w:p>
      <w:pPr>
        <w:spacing w:after="0" w:line="347" w:lineRule="exact"/>
        <w:rPr>
          <w:sz w:val="20"/>
          <w:szCs w:val="20"/>
          <w:color w:val="auto"/>
        </w:rPr>
      </w:pPr>
    </w:p>
    <w:p>
      <w:pPr>
        <w:jc w:val="center"/>
        <w:ind w:left="320"/>
        <w:spacing w:after="0"/>
        <w:tabs>
          <w:tab w:leader="none" w:pos="12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22225</wp:posOffset>
            </wp:positionV>
            <wp:extent cx="2588895" cy="825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74">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33" w:lineRule="exact"/>
        <w:rPr>
          <w:sz w:val="20"/>
          <w:szCs w:val="20"/>
          <w:color w:val="auto"/>
        </w:rPr>
      </w:pPr>
    </w:p>
    <w:p>
      <w:pPr>
        <w:ind w:left="1420"/>
        <w:spacing w:after="0"/>
        <w:rPr>
          <w:sz w:val="20"/>
          <w:szCs w:val="20"/>
          <w:color w:val="auto"/>
        </w:rPr>
      </w:pPr>
      <w:r>
        <w:rPr>
          <w:rFonts w:ascii="Arial" w:cs="Arial" w:eastAsia="Arial" w:hAnsi="Arial"/>
          <w:sz w:val="14"/>
          <w:szCs w:val="14"/>
          <w:b w:val="1"/>
          <w:bCs w:val="1"/>
          <w:color w:val="auto"/>
        </w:rPr>
        <w:t>Matthew J. Murphy</w:t>
      </w:r>
    </w:p>
    <w:p>
      <w:pPr>
        <w:spacing w:after="0" w:line="347" w:lineRule="exact"/>
        <w:rPr>
          <w:sz w:val="20"/>
          <w:szCs w:val="20"/>
          <w:color w:val="auto"/>
        </w:rPr>
      </w:pPr>
    </w:p>
    <w:p>
      <w:pPr>
        <w:jc w:val="center"/>
        <w:ind w:left="88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8"/>
          <w:szCs w:val="18"/>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588895" cy="825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75">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21" w:lineRule="exact"/>
        <w:rPr>
          <w:sz w:val="20"/>
          <w:szCs w:val="20"/>
          <w:color w:val="auto"/>
        </w:rPr>
      </w:pPr>
    </w:p>
    <w:p>
      <w:pPr>
        <w:ind w:left="1780"/>
        <w:spacing w:after="0"/>
        <w:rPr>
          <w:sz w:val="20"/>
          <w:szCs w:val="20"/>
          <w:color w:val="auto"/>
        </w:rPr>
      </w:pPr>
      <w:r>
        <w:rPr>
          <w:rFonts w:ascii="Arial" w:cs="Arial" w:eastAsia="Arial" w:hAnsi="Arial"/>
          <w:sz w:val="14"/>
          <w:szCs w:val="14"/>
          <w:b w:val="1"/>
          <w:bCs w:val="1"/>
          <w:color w:val="auto"/>
        </w:rPr>
        <w:t>Jean Hu</w:t>
      </w:r>
    </w:p>
    <w:p>
      <w:pPr>
        <w:spacing w:after="0" w:line="347" w:lineRule="exact"/>
        <w:rPr>
          <w:sz w:val="20"/>
          <w:szCs w:val="20"/>
          <w:color w:val="auto"/>
        </w:rPr>
      </w:pPr>
    </w:p>
    <w:p>
      <w:pPr>
        <w:jc w:val="center"/>
        <w:ind w:left="30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WILLEM MEINTJES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22225</wp:posOffset>
            </wp:positionV>
            <wp:extent cx="2588895" cy="825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76">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33" w:lineRule="exact"/>
        <w:rPr>
          <w:sz w:val="20"/>
          <w:szCs w:val="20"/>
          <w:color w:val="auto"/>
        </w:rPr>
      </w:pPr>
    </w:p>
    <w:p>
      <w:pPr>
        <w:ind w:left="1540"/>
        <w:spacing w:after="0"/>
        <w:rPr>
          <w:sz w:val="20"/>
          <w:szCs w:val="20"/>
          <w:color w:val="auto"/>
        </w:rPr>
      </w:pPr>
      <w:r>
        <w:rPr>
          <w:rFonts w:ascii="Arial" w:cs="Arial" w:eastAsia="Arial" w:hAnsi="Arial"/>
          <w:sz w:val="14"/>
          <w:szCs w:val="14"/>
          <w:b w:val="1"/>
          <w:bCs w:val="1"/>
          <w:color w:val="auto"/>
        </w:rPr>
        <w:t>Willem Meintjes</w:t>
      </w:r>
    </w:p>
    <w:p>
      <w:pPr>
        <w:spacing w:after="0" w:line="347" w:lineRule="exact"/>
        <w:rPr>
          <w:sz w:val="20"/>
          <w:szCs w:val="20"/>
          <w:color w:val="auto"/>
        </w:rPr>
      </w:pPr>
    </w:p>
    <w:p>
      <w:pPr>
        <w:jc w:val="center"/>
        <w:ind w:left="58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8"/>
          <w:szCs w:val="18"/>
          <w:color w:val="auto"/>
        </w:rPr>
        <w:t>TUDOR BROWN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588895" cy="88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77">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21" w:lineRule="exact"/>
        <w:rPr>
          <w:sz w:val="20"/>
          <w:szCs w:val="20"/>
          <w:color w:val="auto"/>
        </w:rPr>
      </w:pPr>
    </w:p>
    <w:p>
      <w:pPr>
        <w:ind w:left="1640"/>
        <w:spacing w:after="0"/>
        <w:rPr>
          <w:sz w:val="20"/>
          <w:szCs w:val="20"/>
          <w:color w:val="auto"/>
        </w:rPr>
      </w:pPr>
      <w:r>
        <w:rPr>
          <w:rFonts w:ascii="Arial" w:cs="Arial" w:eastAsia="Arial" w:hAnsi="Arial"/>
          <w:sz w:val="14"/>
          <w:szCs w:val="14"/>
          <w:b w:val="1"/>
          <w:bCs w:val="1"/>
          <w:color w:val="auto"/>
        </w:rPr>
        <w:t>Tudor Brown</w:t>
      </w:r>
    </w:p>
    <w:p>
      <w:pPr>
        <w:spacing w:after="0" w:line="347" w:lineRule="exact"/>
        <w:rPr>
          <w:sz w:val="20"/>
          <w:szCs w:val="20"/>
          <w:color w:val="auto"/>
        </w:rPr>
      </w:pPr>
    </w:p>
    <w:p>
      <w:pPr>
        <w:jc w:val="center"/>
        <w:ind w:left="320"/>
        <w:spacing w:after="0"/>
        <w:tabs>
          <w:tab w:leader="none" w:pos="12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BRAD BUSS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22225</wp:posOffset>
            </wp:positionV>
            <wp:extent cx="2588895" cy="825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78">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33" w:lineRule="exact"/>
        <w:rPr>
          <w:sz w:val="20"/>
          <w:szCs w:val="20"/>
          <w:color w:val="auto"/>
        </w:rPr>
      </w:pPr>
    </w:p>
    <w:p>
      <w:pPr>
        <w:ind w:left="1720"/>
        <w:spacing w:after="0"/>
        <w:rPr>
          <w:sz w:val="20"/>
          <w:szCs w:val="20"/>
          <w:color w:val="auto"/>
        </w:rPr>
      </w:pPr>
      <w:r>
        <w:rPr>
          <w:rFonts w:ascii="Arial" w:cs="Arial" w:eastAsia="Arial" w:hAnsi="Arial"/>
          <w:sz w:val="14"/>
          <w:szCs w:val="14"/>
          <w:b w:val="1"/>
          <w:bCs w:val="1"/>
          <w:color w:val="auto"/>
        </w:rPr>
        <w:t>Brad Buss</w:t>
      </w:r>
    </w:p>
    <w:p>
      <w:pPr>
        <w:spacing w:after="0" w:line="347" w:lineRule="exact"/>
        <w:rPr>
          <w:sz w:val="20"/>
          <w:szCs w:val="20"/>
          <w:color w:val="auto"/>
        </w:rPr>
      </w:pPr>
    </w:p>
    <w:p>
      <w:pPr>
        <w:jc w:val="center"/>
        <w:ind w:left="54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8"/>
          <w:szCs w:val="18"/>
          <w:color w:val="auto"/>
        </w:rPr>
        <w:t>EDWARD FRANK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588895" cy="825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79">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21" w:lineRule="exact"/>
        <w:rPr>
          <w:sz w:val="20"/>
          <w:szCs w:val="20"/>
          <w:color w:val="auto"/>
        </w:rPr>
      </w:pPr>
    </w:p>
    <w:p>
      <w:pPr>
        <w:ind w:left="1480"/>
        <w:spacing w:after="0"/>
        <w:rPr>
          <w:sz w:val="20"/>
          <w:szCs w:val="20"/>
          <w:color w:val="auto"/>
        </w:rPr>
      </w:pPr>
      <w:r>
        <w:rPr>
          <w:rFonts w:ascii="Arial" w:cs="Arial" w:eastAsia="Arial" w:hAnsi="Arial"/>
          <w:sz w:val="14"/>
          <w:szCs w:val="14"/>
          <w:b w:val="1"/>
          <w:bCs w:val="1"/>
          <w:color w:val="auto"/>
        </w:rPr>
        <w:t>Dr. Edward Frank</w:t>
      </w:r>
    </w:p>
    <w:p>
      <w:pPr>
        <w:spacing w:after="0" w:line="347" w:lineRule="exact"/>
        <w:rPr>
          <w:sz w:val="20"/>
          <w:szCs w:val="20"/>
          <w:color w:val="auto"/>
        </w:rPr>
      </w:pPr>
    </w:p>
    <w:p>
      <w:pPr>
        <w:jc w:val="center"/>
        <w:ind w:left="30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22225</wp:posOffset>
            </wp:positionV>
            <wp:extent cx="2588895" cy="825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80">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33" w:lineRule="exact"/>
        <w:rPr>
          <w:sz w:val="20"/>
          <w:szCs w:val="20"/>
          <w:color w:val="auto"/>
        </w:rPr>
      </w:pPr>
    </w:p>
    <w:p>
      <w:pPr>
        <w:ind w:left="1580"/>
        <w:spacing w:after="0"/>
        <w:rPr>
          <w:sz w:val="20"/>
          <w:szCs w:val="20"/>
          <w:color w:val="auto"/>
        </w:rPr>
      </w:pPr>
      <w:r>
        <w:rPr>
          <w:rFonts w:ascii="Arial" w:cs="Arial" w:eastAsia="Arial" w:hAnsi="Arial"/>
          <w:sz w:val="14"/>
          <w:szCs w:val="14"/>
          <w:b w:val="1"/>
          <w:bCs w:val="1"/>
          <w:color w:val="auto"/>
        </w:rPr>
        <w:t>Richard S. Hill</w:t>
      </w:r>
    </w:p>
    <w:p>
      <w:pPr>
        <w:spacing w:after="0" w:line="347" w:lineRule="exact"/>
        <w:rPr>
          <w:sz w:val="20"/>
          <w:szCs w:val="20"/>
          <w:color w:val="auto"/>
        </w:rPr>
      </w:pPr>
    </w:p>
    <w:p>
      <w:pPr>
        <w:jc w:val="center"/>
        <w:ind w:left="320"/>
        <w:spacing w:after="0"/>
        <w:tabs>
          <w:tab w:leader="none" w:pos="12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8"/>
          <w:szCs w:val="18"/>
          <w:color w:val="auto"/>
        </w:rPr>
        <w:t>OLEG KHAYKIN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588895" cy="825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81">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21" w:lineRule="exact"/>
        <w:rPr>
          <w:sz w:val="20"/>
          <w:szCs w:val="20"/>
          <w:color w:val="auto"/>
        </w:rPr>
      </w:pPr>
    </w:p>
    <w:p>
      <w:pPr>
        <w:ind w:left="1620"/>
        <w:spacing w:after="0"/>
        <w:rPr>
          <w:sz w:val="20"/>
          <w:szCs w:val="20"/>
          <w:color w:val="auto"/>
        </w:rPr>
      </w:pPr>
      <w:r>
        <w:rPr>
          <w:rFonts w:ascii="Arial" w:cs="Arial" w:eastAsia="Arial" w:hAnsi="Arial"/>
          <w:sz w:val="14"/>
          <w:szCs w:val="14"/>
          <w:b w:val="1"/>
          <w:bCs w:val="1"/>
          <w:color w:val="auto"/>
        </w:rPr>
        <w:t>Oleg Khaykin</w:t>
      </w:r>
    </w:p>
    <w:p>
      <w:pPr>
        <w:spacing w:after="0" w:line="20" w:lineRule="exact"/>
        <w:rPr>
          <w:sz w:val="20"/>
          <w:szCs w:val="20"/>
          <w:color w:val="auto"/>
        </w:rPr>
      </w:pPr>
      <w:r>
        <w:rPr>
          <w:sz w:val="20"/>
          <w:szCs w:val="20"/>
          <w:color w:val="auto"/>
        </w:rPr>
        <w:br w:type="column"/>
      </w:r>
    </w:p>
    <w:p>
      <w:pPr>
        <w:spacing w:after="0" w:line="258"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6"/>
        </w:trPr>
        <w:tc>
          <w:tcPr>
            <w:tcW w:w="4200" w:type="dxa"/>
            <w:vAlign w:val="bottom"/>
          </w:tcPr>
          <w:p>
            <w:pPr>
              <w:jc w:val="center"/>
              <w:ind w:right="352"/>
              <w:spacing w:after="0"/>
              <w:rPr>
                <w:sz w:val="20"/>
                <w:szCs w:val="20"/>
                <w:color w:val="auto"/>
              </w:rPr>
            </w:pPr>
            <w:r>
              <w:rPr>
                <w:rFonts w:ascii="Arial" w:cs="Arial" w:eastAsia="Arial" w:hAnsi="Arial"/>
                <w:sz w:val="14"/>
                <w:szCs w:val="14"/>
                <w:b w:val="1"/>
                <w:bCs w:val="1"/>
                <w:color w:val="auto"/>
                <w:w w:val="97"/>
              </w:rPr>
              <w:t>Title</w:t>
            </w:r>
          </w:p>
        </w:tc>
        <w:tc>
          <w:tcPr>
            <w:tcW w:w="1580" w:type="dxa"/>
            <w:vAlign w:val="bottom"/>
          </w:tcPr>
          <w:p>
            <w:pPr>
              <w:jc w:val="center"/>
              <w:ind w:left="372"/>
              <w:spacing w:after="0"/>
              <w:rPr>
                <w:sz w:val="20"/>
                <w:szCs w:val="20"/>
                <w:color w:val="auto"/>
              </w:rPr>
            </w:pPr>
            <w:r>
              <w:rPr>
                <w:rFonts w:ascii="Arial" w:cs="Arial" w:eastAsia="Arial" w:hAnsi="Arial"/>
                <w:sz w:val="14"/>
                <w:szCs w:val="14"/>
                <w:b w:val="1"/>
                <w:bCs w:val="1"/>
                <w:color w:val="auto"/>
                <w:w w:val="92"/>
              </w:rPr>
              <w:t>Date</w:t>
            </w:r>
          </w:p>
        </w:tc>
      </w:tr>
      <w:tr>
        <w:trPr>
          <w:trHeight w:val="511"/>
        </w:trPr>
        <w:tc>
          <w:tcPr>
            <w:tcW w:w="4200" w:type="dxa"/>
            <w:vAlign w:val="bottom"/>
          </w:tcPr>
          <w:p>
            <w:pPr>
              <w:jc w:val="center"/>
              <w:ind w:right="332"/>
              <w:spacing w:after="0"/>
              <w:rPr>
                <w:sz w:val="20"/>
                <w:szCs w:val="20"/>
                <w:color w:val="auto"/>
              </w:rPr>
            </w:pPr>
            <w:r>
              <w:rPr>
                <w:rFonts w:ascii="Arial" w:cs="Arial" w:eastAsia="Arial" w:hAnsi="Arial"/>
                <w:sz w:val="18"/>
                <w:szCs w:val="18"/>
                <w:color w:val="auto"/>
                <w:w w:val="92"/>
              </w:rPr>
              <w:t>President and Chief Executive Officer (Principal</w:t>
            </w:r>
          </w:p>
        </w:tc>
        <w:tc>
          <w:tcPr>
            <w:tcW w:w="1580" w:type="dxa"/>
            <w:vAlign w:val="bottom"/>
          </w:tcPr>
          <w:p>
            <w:pPr>
              <w:jc w:val="center"/>
              <w:ind w:left="352"/>
              <w:spacing w:after="0"/>
              <w:rPr>
                <w:sz w:val="20"/>
                <w:szCs w:val="20"/>
                <w:color w:val="auto"/>
              </w:rPr>
            </w:pPr>
            <w:r>
              <w:rPr>
                <w:rFonts w:ascii="Arial" w:cs="Arial" w:eastAsia="Arial" w:hAnsi="Arial"/>
                <w:sz w:val="18"/>
                <w:szCs w:val="18"/>
                <w:color w:val="auto"/>
                <w:w w:val="91"/>
              </w:rPr>
              <w:t>March 23, 2020</w:t>
            </w:r>
          </w:p>
        </w:tc>
      </w:tr>
      <w:tr>
        <w:trPr>
          <w:trHeight w:val="230"/>
        </w:trPr>
        <w:tc>
          <w:tcPr>
            <w:tcW w:w="4200" w:type="dxa"/>
            <w:vAlign w:val="bottom"/>
          </w:tcPr>
          <w:p>
            <w:pPr>
              <w:jc w:val="center"/>
              <w:ind w:right="332"/>
              <w:spacing w:after="0"/>
              <w:rPr>
                <w:sz w:val="20"/>
                <w:szCs w:val="20"/>
                <w:color w:val="auto"/>
              </w:rPr>
            </w:pPr>
            <w:r>
              <w:rPr>
                <w:rFonts w:ascii="Arial" w:cs="Arial" w:eastAsia="Arial" w:hAnsi="Arial"/>
                <w:sz w:val="18"/>
                <w:szCs w:val="18"/>
                <w:color w:val="auto"/>
                <w:w w:val="93"/>
              </w:rPr>
              <w:t>Executive Officer), Director</w:t>
            </w:r>
          </w:p>
        </w:tc>
        <w:tc>
          <w:tcPr>
            <w:tcW w:w="1580" w:type="dxa"/>
            <w:vAlign w:val="bottom"/>
          </w:tcPr>
          <w:p>
            <w:pPr>
              <w:spacing w:after="0"/>
              <w:rPr>
                <w:sz w:val="20"/>
                <w:szCs w:val="20"/>
                <w:color w:val="auto"/>
              </w:rPr>
            </w:pPr>
          </w:p>
        </w:tc>
      </w:tr>
      <w:tr>
        <w:trPr>
          <w:trHeight w:val="540"/>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4"/>
              </w:rPr>
              <w:t>Chief Financial Officer (Principal Financial Officer)</w:t>
            </w:r>
          </w:p>
        </w:tc>
        <w:tc>
          <w:tcPr>
            <w:tcW w:w="1580" w:type="dxa"/>
            <w:vAlign w:val="bottom"/>
          </w:tcPr>
          <w:p>
            <w:pPr>
              <w:jc w:val="center"/>
              <w:ind w:left="352"/>
              <w:spacing w:after="0"/>
              <w:rPr>
                <w:sz w:val="20"/>
                <w:szCs w:val="20"/>
                <w:color w:val="auto"/>
              </w:rPr>
            </w:pPr>
            <w:r>
              <w:rPr>
                <w:rFonts w:ascii="Arial" w:cs="Arial" w:eastAsia="Arial" w:hAnsi="Arial"/>
                <w:sz w:val="18"/>
                <w:szCs w:val="18"/>
                <w:color w:val="auto"/>
                <w:w w:val="91"/>
              </w:rPr>
              <w:t>March 23, 2020</w:t>
            </w:r>
          </w:p>
        </w:tc>
      </w:tr>
      <w:tr>
        <w:trPr>
          <w:trHeight w:val="742"/>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4"/>
              </w:rPr>
              <w:t>Chief Accounting Officer (Principal Accounting</w:t>
            </w:r>
          </w:p>
        </w:tc>
        <w:tc>
          <w:tcPr>
            <w:tcW w:w="1580" w:type="dxa"/>
            <w:vAlign w:val="bottom"/>
          </w:tcPr>
          <w:p>
            <w:pPr>
              <w:jc w:val="center"/>
              <w:ind w:left="352"/>
              <w:spacing w:after="0"/>
              <w:rPr>
                <w:sz w:val="20"/>
                <w:szCs w:val="20"/>
                <w:color w:val="auto"/>
              </w:rPr>
            </w:pPr>
            <w:r>
              <w:rPr>
                <w:rFonts w:ascii="Arial" w:cs="Arial" w:eastAsia="Arial" w:hAnsi="Arial"/>
                <w:sz w:val="18"/>
                <w:szCs w:val="18"/>
                <w:color w:val="auto"/>
                <w:w w:val="91"/>
              </w:rPr>
              <w:t>March 23, 2020</w:t>
            </w:r>
          </w:p>
        </w:tc>
      </w:tr>
      <w:tr>
        <w:trPr>
          <w:trHeight w:val="230"/>
        </w:trPr>
        <w:tc>
          <w:tcPr>
            <w:tcW w:w="4200" w:type="dxa"/>
            <w:vAlign w:val="bottom"/>
          </w:tcPr>
          <w:p>
            <w:pPr>
              <w:jc w:val="center"/>
              <w:ind w:right="332"/>
              <w:spacing w:after="0"/>
              <w:rPr>
                <w:sz w:val="20"/>
                <w:szCs w:val="20"/>
                <w:color w:val="auto"/>
              </w:rPr>
            </w:pPr>
            <w:r>
              <w:rPr>
                <w:rFonts w:ascii="Arial" w:cs="Arial" w:eastAsia="Arial" w:hAnsi="Arial"/>
                <w:sz w:val="18"/>
                <w:szCs w:val="18"/>
                <w:color w:val="auto"/>
                <w:w w:val="98"/>
              </w:rPr>
              <w:t>Officer)</w:t>
            </w:r>
          </w:p>
        </w:tc>
        <w:tc>
          <w:tcPr>
            <w:tcW w:w="1580" w:type="dxa"/>
            <w:vAlign w:val="bottom"/>
          </w:tcPr>
          <w:p>
            <w:pPr>
              <w:spacing w:after="0"/>
              <w:rPr>
                <w:sz w:val="20"/>
                <w:szCs w:val="20"/>
                <w:color w:val="auto"/>
              </w:rPr>
            </w:pPr>
          </w:p>
        </w:tc>
      </w:tr>
      <w:tr>
        <w:trPr>
          <w:trHeight w:val="540"/>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5"/>
              </w:rPr>
              <w:t>Director</w:t>
            </w:r>
          </w:p>
        </w:tc>
        <w:tc>
          <w:tcPr>
            <w:tcW w:w="1580" w:type="dxa"/>
            <w:vAlign w:val="bottom"/>
          </w:tcPr>
          <w:p>
            <w:pPr>
              <w:jc w:val="center"/>
              <w:ind w:left="352"/>
              <w:spacing w:after="0"/>
              <w:rPr>
                <w:sz w:val="20"/>
                <w:szCs w:val="20"/>
                <w:color w:val="auto"/>
              </w:rPr>
            </w:pPr>
            <w:r>
              <w:rPr>
                <w:rFonts w:ascii="Arial" w:cs="Arial" w:eastAsia="Arial" w:hAnsi="Arial"/>
                <w:sz w:val="18"/>
                <w:szCs w:val="18"/>
                <w:color w:val="auto"/>
                <w:w w:val="91"/>
              </w:rPr>
              <w:t>March 23, 2020</w:t>
            </w:r>
          </w:p>
        </w:tc>
      </w:tr>
      <w:tr>
        <w:trPr>
          <w:trHeight w:val="756"/>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5"/>
              </w:rPr>
              <w:t>Director</w:t>
            </w:r>
          </w:p>
        </w:tc>
        <w:tc>
          <w:tcPr>
            <w:tcW w:w="1580" w:type="dxa"/>
            <w:vAlign w:val="bottom"/>
          </w:tcPr>
          <w:p>
            <w:pPr>
              <w:jc w:val="center"/>
              <w:ind w:left="352"/>
              <w:spacing w:after="0"/>
              <w:rPr>
                <w:sz w:val="20"/>
                <w:szCs w:val="20"/>
                <w:color w:val="auto"/>
              </w:rPr>
            </w:pPr>
            <w:r>
              <w:rPr>
                <w:rFonts w:ascii="Arial" w:cs="Arial" w:eastAsia="Arial" w:hAnsi="Arial"/>
                <w:sz w:val="18"/>
                <w:szCs w:val="18"/>
                <w:color w:val="auto"/>
                <w:w w:val="91"/>
              </w:rPr>
              <w:t>March 23, 2020</w:t>
            </w:r>
          </w:p>
        </w:tc>
      </w:tr>
      <w:tr>
        <w:trPr>
          <w:trHeight w:val="756"/>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5"/>
              </w:rPr>
              <w:t>Director</w:t>
            </w:r>
          </w:p>
        </w:tc>
        <w:tc>
          <w:tcPr>
            <w:tcW w:w="1580" w:type="dxa"/>
            <w:vAlign w:val="bottom"/>
          </w:tcPr>
          <w:p>
            <w:pPr>
              <w:jc w:val="center"/>
              <w:ind w:left="352"/>
              <w:spacing w:after="0"/>
              <w:rPr>
                <w:sz w:val="20"/>
                <w:szCs w:val="20"/>
                <w:color w:val="auto"/>
              </w:rPr>
            </w:pPr>
            <w:r>
              <w:rPr>
                <w:rFonts w:ascii="Arial" w:cs="Arial" w:eastAsia="Arial" w:hAnsi="Arial"/>
                <w:sz w:val="18"/>
                <w:szCs w:val="18"/>
                <w:color w:val="auto"/>
                <w:w w:val="91"/>
              </w:rPr>
              <w:t>March 23, 2020</w:t>
            </w:r>
          </w:p>
        </w:tc>
      </w:tr>
      <w:tr>
        <w:trPr>
          <w:trHeight w:val="756"/>
        </w:trPr>
        <w:tc>
          <w:tcPr>
            <w:tcW w:w="4200" w:type="dxa"/>
            <w:vAlign w:val="bottom"/>
          </w:tcPr>
          <w:p>
            <w:pPr>
              <w:jc w:val="center"/>
              <w:ind w:right="332"/>
              <w:spacing w:after="0"/>
              <w:rPr>
                <w:sz w:val="20"/>
                <w:szCs w:val="20"/>
                <w:color w:val="auto"/>
              </w:rPr>
            </w:pPr>
            <w:r>
              <w:rPr>
                <w:rFonts w:ascii="Arial" w:cs="Arial" w:eastAsia="Arial" w:hAnsi="Arial"/>
                <w:sz w:val="18"/>
                <w:szCs w:val="18"/>
                <w:color w:val="auto"/>
                <w:w w:val="91"/>
              </w:rPr>
              <w:t>Chairman of the Board</w:t>
            </w:r>
          </w:p>
        </w:tc>
        <w:tc>
          <w:tcPr>
            <w:tcW w:w="1580" w:type="dxa"/>
            <w:vAlign w:val="bottom"/>
          </w:tcPr>
          <w:p>
            <w:pPr>
              <w:jc w:val="center"/>
              <w:ind w:left="352"/>
              <w:spacing w:after="0"/>
              <w:rPr>
                <w:sz w:val="20"/>
                <w:szCs w:val="20"/>
                <w:color w:val="auto"/>
              </w:rPr>
            </w:pPr>
            <w:r>
              <w:rPr>
                <w:rFonts w:ascii="Arial" w:cs="Arial" w:eastAsia="Arial" w:hAnsi="Arial"/>
                <w:sz w:val="18"/>
                <w:szCs w:val="18"/>
                <w:color w:val="auto"/>
                <w:w w:val="91"/>
              </w:rPr>
              <w:t>March 23, 2020</w:t>
            </w:r>
          </w:p>
        </w:tc>
      </w:tr>
      <w:tr>
        <w:trPr>
          <w:trHeight w:val="756"/>
        </w:trPr>
        <w:tc>
          <w:tcPr>
            <w:tcW w:w="4200" w:type="dxa"/>
            <w:vAlign w:val="bottom"/>
          </w:tcPr>
          <w:p>
            <w:pPr>
              <w:jc w:val="center"/>
              <w:ind w:right="352"/>
              <w:spacing w:after="0"/>
              <w:rPr>
                <w:sz w:val="20"/>
                <w:szCs w:val="20"/>
                <w:color w:val="auto"/>
              </w:rPr>
            </w:pPr>
            <w:r>
              <w:rPr>
                <w:rFonts w:ascii="Arial" w:cs="Arial" w:eastAsia="Arial" w:hAnsi="Arial"/>
                <w:sz w:val="18"/>
                <w:szCs w:val="18"/>
                <w:color w:val="auto"/>
                <w:w w:val="95"/>
              </w:rPr>
              <w:t>Director</w:t>
            </w:r>
          </w:p>
        </w:tc>
        <w:tc>
          <w:tcPr>
            <w:tcW w:w="1580" w:type="dxa"/>
            <w:vAlign w:val="bottom"/>
          </w:tcPr>
          <w:p>
            <w:pPr>
              <w:jc w:val="center"/>
              <w:ind w:left="352"/>
              <w:spacing w:after="0"/>
              <w:rPr>
                <w:sz w:val="20"/>
                <w:szCs w:val="20"/>
                <w:color w:val="auto"/>
              </w:rPr>
            </w:pPr>
            <w:r>
              <w:rPr>
                <w:rFonts w:ascii="Arial" w:cs="Arial" w:eastAsia="Arial" w:hAnsi="Arial"/>
                <w:sz w:val="18"/>
                <w:szCs w:val="18"/>
                <w:color w:val="auto"/>
                <w:w w:val="91"/>
              </w:rPr>
              <w:t>March 23, 2020</w:t>
            </w:r>
          </w:p>
        </w:tc>
      </w:tr>
    </w:tbl>
    <w:p>
      <w:pPr>
        <w:spacing w:after="0" w:line="405" w:lineRule="exact"/>
        <w:rPr>
          <w:sz w:val="20"/>
          <w:szCs w:val="20"/>
          <w:color w:val="auto"/>
        </w:rPr>
      </w:pPr>
    </w:p>
    <w:p>
      <w:pPr>
        <w:sectPr>
          <w:pgSz w:w="11900" w:h="16838" w:orient="portrait"/>
          <w:cols w:equalWidth="0" w:num="2">
            <w:col w:w="3780" w:space="720"/>
            <w:col w:w="6700"/>
          </w:cols>
          <w:pgMar w:left="320" w:top="1390" w:right="379" w:bottom="1440" w:gutter="0" w:footer="0" w:header="0"/>
          <w:type w:val="continuous"/>
        </w:sectPr>
      </w:pPr>
    </w:p>
    <w:p>
      <w:pPr>
        <w:spacing w:after="0" w:line="200" w:lineRule="exact"/>
        <w:rPr>
          <w:sz w:val="20"/>
          <w:szCs w:val="20"/>
          <w:color w:val="auto"/>
        </w:rPr>
      </w:pPr>
    </w:p>
    <w:p>
      <w:pPr>
        <w:spacing w:after="0" w:line="325"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252095</wp:posOffset>
            </wp:positionV>
            <wp:extent cx="7132320" cy="1714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8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90" w:right="379" w:bottom="1440" w:gutter="0" w:footer="0" w:header="0"/>
          <w:type w:val="continuous"/>
        </w:sectPr>
      </w:pPr>
    </w:p>
    <w:bookmarkStart w:id="108" w:name="page109"/>
    <w:bookmarkEnd w:id="108"/>
    <w:p>
      <w:pPr>
        <w:ind w:left="440"/>
        <w:spacing w:after="0"/>
        <w:rPr>
          <w:sz w:val="20"/>
          <w:szCs w:val="20"/>
          <w:color w:val="auto"/>
        </w:rPr>
      </w:pPr>
      <w:r>
        <w:rPr>
          <w:rFonts w:ascii="Arial" w:cs="Arial" w:eastAsia="Arial" w:hAnsi="Arial"/>
          <w:sz w:val="14"/>
          <w:szCs w:val="14"/>
          <w:b w:val="1"/>
          <w:bCs w:val="1"/>
          <w:color w:val="auto"/>
        </w:rPr>
        <w:t>Name and Signature</w:t>
      </w:r>
    </w:p>
    <w:p>
      <w:pPr>
        <w:spacing w:after="0" w:line="347" w:lineRule="exact"/>
        <w:rPr>
          <w:sz w:val="20"/>
          <w:szCs w:val="20"/>
          <w:color w:val="auto"/>
        </w:rPr>
      </w:pPr>
    </w:p>
    <w:p>
      <w:pPr>
        <w:jc w:val="center"/>
        <w:ind w:right="150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8"/>
          <w:szCs w:val="18"/>
          <w:color w:val="auto"/>
        </w:rPr>
        <w:t>BETHANY MAYER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-616585</wp:posOffset>
            </wp:positionH>
            <wp:positionV relativeFrom="paragraph">
              <wp:posOffset>14605</wp:posOffset>
            </wp:positionV>
            <wp:extent cx="2588895" cy="825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83">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21" w:lineRule="exact"/>
        <w:rPr>
          <w:sz w:val="20"/>
          <w:szCs w:val="20"/>
          <w:color w:val="auto"/>
        </w:rPr>
      </w:pPr>
    </w:p>
    <w:p>
      <w:pPr>
        <w:ind w:left="580"/>
        <w:spacing w:after="0"/>
        <w:rPr>
          <w:sz w:val="20"/>
          <w:szCs w:val="20"/>
          <w:color w:val="auto"/>
        </w:rPr>
      </w:pPr>
      <w:r>
        <w:rPr>
          <w:rFonts w:ascii="Arial" w:cs="Arial" w:eastAsia="Arial" w:hAnsi="Arial"/>
          <w:sz w:val="14"/>
          <w:szCs w:val="14"/>
          <w:b w:val="1"/>
          <w:bCs w:val="1"/>
          <w:color w:val="auto"/>
        </w:rPr>
        <w:t>Bethany Mayer</w:t>
      </w:r>
    </w:p>
    <w:p>
      <w:pPr>
        <w:spacing w:after="0" w:line="347" w:lineRule="exact"/>
        <w:rPr>
          <w:sz w:val="20"/>
          <w:szCs w:val="20"/>
          <w:color w:val="auto"/>
        </w:rPr>
      </w:pPr>
    </w:p>
    <w:p>
      <w:pPr>
        <w:jc w:val="center"/>
        <w:ind w:right="142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8"/>
          <w:szCs w:val="18"/>
          <w:color w:val="auto"/>
        </w:rPr>
        <w:t>DONNA MORRIS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-616585</wp:posOffset>
            </wp:positionH>
            <wp:positionV relativeFrom="paragraph">
              <wp:posOffset>14605</wp:posOffset>
            </wp:positionV>
            <wp:extent cx="2588895" cy="825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84">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21" w:lineRule="exact"/>
        <w:rPr>
          <w:sz w:val="20"/>
          <w:szCs w:val="20"/>
          <w:color w:val="auto"/>
        </w:rPr>
      </w:pPr>
    </w:p>
    <w:p>
      <w:pPr>
        <w:ind w:left="620"/>
        <w:spacing w:after="0"/>
        <w:rPr>
          <w:sz w:val="20"/>
          <w:szCs w:val="20"/>
          <w:color w:val="auto"/>
        </w:rPr>
      </w:pPr>
      <w:r>
        <w:rPr>
          <w:rFonts w:ascii="Arial" w:cs="Arial" w:eastAsia="Arial" w:hAnsi="Arial"/>
          <w:sz w:val="14"/>
          <w:szCs w:val="14"/>
          <w:b w:val="1"/>
          <w:bCs w:val="1"/>
          <w:color w:val="auto"/>
        </w:rPr>
        <w:t>Donna Morris</w:t>
      </w:r>
    </w:p>
    <w:p>
      <w:pPr>
        <w:spacing w:after="0" w:line="347" w:lineRule="exact"/>
        <w:rPr>
          <w:sz w:val="20"/>
          <w:szCs w:val="20"/>
          <w:color w:val="auto"/>
        </w:rPr>
      </w:pPr>
    </w:p>
    <w:p>
      <w:pPr>
        <w:jc w:val="center"/>
        <w:ind w:right="1640"/>
        <w:spacing w:after="0"/>
        <w:tabs>
          <w:tab w:leader="none" w:pos="12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MICHAEL STRACHAN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-616585</wp:posOffset>
            </wp:positionH>
            <wp:positionV relativeFrom="paragraph">
              <wp:posOffset>22225</wp:posOffset>
            </wp:positionV>
            <wp:extent cx="2588895" cy="825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85">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33" w:lineRule="exact"/>
        <w:rPr>
          <w:sz w:val="20"/>
          <w:szCs w:val="20"/>
          <w:color w:val="auto"/>
        </w:rPr>
      </w:pPr>
    </w:p>
    <w:p>
      <w:pPr>
        <w:ind w:left="520"/>
        <w:spacing w:after="0"/>
        <w:rPr>
          <w:sz w:val="20"/>
          <w:szCs w:val="20"/>
          <w:color w:val="auto"/>
        </w:rPr>
      </w:pPr>
      <w:r>
        <w:rPr>
          <w:rFonts w:ascii="Arial" w:cs="Arial" w:eastAsia="Arial" w:hAnsi="Arial"/>
          <w:sz w:val="14"/>
          <w:szCs w:val="14"/>
          <w:b w:val="1"/>
          <w:bCs w:val="1"/>
          <w:color w:val="auto"/>
        </w:rPr>
        <w:t>Michael Strachan</w:t>
      </w:r>
    </w:p>
    <w:p>
      <w:pPr>
        <w:spacing w:after="0" w:line="347" w:lineRule="exact"/>
        <w:rPr>
          <w:sz w:val="20"/>
          <w:szCs w:val="20"/>
          <w:color w:val="auto"/>
        </w:rPr>
      </w:pPr>
    </w:p>
    <w:p>
      <w:pPr>
        <w:jc w:val="center"/>
        <w:ind w:right="166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6"/>
          <w:szCs w:val="16"/>
          <w:color w:val="auto"/>
        </w:rPr>
        <w:t>ROBERT E. SWITZ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-616585</wp:posOffset>
            </wp:positionH>
            <wp:positionV relativeFrom="paragraph">
              <wp:posOffset>29210</wp:posOffset>
            </wp:positionV>
            <wp:extent cx="2588895" cy="8255"/>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86">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44" w:lineRule="exact"/>
        <w:rPr>
          <w:sz w:val="20"/>
          <w:szCs w:val="20"/>
          <w:color w:val="auto"/>
        </w:rPr>
      </w:pPr>
    </w:p>
    <w:p>
      <w:pPr>
        <w:ind w:left="580"/>
        <w:spacing w:after="0"/>
        <w:rPr>
          <w:sz w:val="20"/>
          <w:szCs w:val="20"/>
          <w:color w:val="auto"/>
        </w:rPr>
      </w:pPr>
      <w:r>
        <w:rPr>
          <w:rFonts w:ascii="Arial" w:cs="Arial" w:eastAsia="Arial" w:hAnsi="Arial"/>
          <w:sz w:val="14"/>
          <w:szCs w:val="14"/>
          <w:b w:val="1"/>
          <w:bCs w:val="1"/>
          <w:color w:val="auto"/>
        </w:rPr>
        <w:t>Robert E. Switz</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600" w:type="dxa"/>
        <w:tblCellMar>
          <w:top w:w="0" w:type="dxa"/>
          <w:left w:w="0" w:type="dxa"/>
          <w:bottom w:w="0" w:type="dxa"/>
          <w:right w:w="0" w:type="dxa"/>
        </w:tblCellMar>
      </w:tblPr>
      <w:tr>
        <w:trPr>
          <w:trHeight w:val="186"/>
        </w:trPr>
        <w:tc>
          <w:tcPr>
            <w:tcW w:w="1840" w:type="dxa"/>
            <w:vAlign w:val="bottom"/>
          </w:tcPr>
          <w:p>
            <w:pPr>
              <w:jc w:val="center"/>
              <w:ind w:right="1154"/>
              <w:spacing w:after="0"/>
              <w:rPr>
                <w:sz w:val="20"/>
                <w:szCs w:val="20"/>
                <w:color w:val="auto"/>
              </w:rPr>
            </w:pPr>
            <w:r>
              <w:rPr>
                <w:rFonts w:ascii="Arial" w:cs="Arial" w:eastAsia="Arial" w:hAnsi="Arial"/>
                <w:sz w:val="14"/>
                <w:szCs w:val="14"/>
                <w:b w:val="1"/>
                <w:bCs w:val="1"/>
                <w:color w:val="auto"/>
                <w:w w:val="97"/>
              </w:rPr>
              <w:t>Title</w:t>
            </w:r>
          </w:p>
        </w:tc>
        <w:tc>
          <w:tcPr>
            <w:tcW w:w="2360" w:type="dxa"/>
            <w:vAlign w:val="bottom"/>
          </w:tcPr>
          <w:p>
            <w:pPr>
              <w:jc w:val="center"/>
              <w:ind w:left="1154"/>
              <w:spacing w:after="0"/>
              <w:rPr>
                <w:sz w:val="20"/>
                <w:szCs w:val="20"/>
                <w:color w:val="auto"/>
              </w:rPr>
            </w:pPr>
            <w:r>
              <w:rPr>
                <w:rFonts w:ascii="Arial" w:cs="Arial" w:eastAsia="Arial" w:hAnsi="Arial"/>
                <w:sz w:val="14"/>
                <w:szCs w:val="14"/>
                <w:b w:val="1"/>
                <w:bCs w:val="1"/>
                <w:color w:val="auto"/>
                <w:w w:val="92"/>
              </w:rPr>
              <w:t>Date</w:t>
            </w:r>
          </w:p>
        </w:tc>
      </w:tr>
      <w:tr>
        <w:trPr>
          <w:trHeight w:val="525"/>
        </w:trPr>
        <w:tc>
          <w:tcPr>
            <w:tcW w:w="1840" w:type="dxa"/>
            <w:vAlign w:val="bottom"/>
          </w:tcPr>
          <w:p>
            <w:pPr>
              <w:jc w:val="center"/>
              <w:ind w:right="1154"/>
              <w:spacing w:after="0"/>
              <w:rPr>
                <w:sz w:val="20"/>
                <w:szCs w:val="20"/>
                <w:color w:val="auto"/>
              </w:rPr>
            </w:pPr>
            <w:r>
              <w:rPr>
                <w:rFonts w:ascii="Arial" w:cs="Arial" w:eastAsia="Arial" w:hAnsi="Arial"/>
                <w:sz w:val="18"/>
                <w:szCs w:val="18"/>
                <w:color w:val="auto"/>
                <w:w w:val="95"/>
              </w:rPr>
              <w:t>Director</w:t>
            </w:r>
          </w:p>
        </w:tc>
        <w:tc>
          <w:tcPr>
            <w:tcW w:w="2360" w:type="dxa"/>
            <w:vAlign w:val="bottom"/>
          </w:tcPr>
          <w:p>
            <w:pPr>
              <w:jc w:val="center"/>
              <w:ind w:left="1134"/>
              <w:spacing w:after="0"/>
              <w:rPr>
                <w:sz w:val="20"/>
                <w:szCs w:val="20"/>
                <w:color w:val="auto"/>
              </w:rPr>
            </w:pPr>
            <w:r>
              <w:rPr>
                <w:rFonts w:ascii="Arial" w:cs="Arial" w:eastAsia="Arial" w:hAnsi="Arial"/>
                <w:sz w:val="18"/>
                <w:szCs w:val="18"/>
                <w:color w:val="auto"/>
                <w:w w:val="91"/>
              </w:rPr>
              <w:t>March 23, 2020</w:t>
            </w:r>
          </w:p>
        </w:tc>
      </w:tr>
      <w:tr>
        <w:trPr>
          <w:trHeight w:val="756"/>
        </w:trPr>
        <w:tc>
          <w:tcPr>
            <w:tcW w:w="1840" w:type="dxa"/>
            <w:vAlign w:val="bottom"/>
          </w:tcPr>
          <w:p>
            <w:pPr>
              <w:jc w:val="center"/>
              <w:ind w:right="1154"/>
              <w:spacing w:after="0"/>
              <w:rPr>
                <w:sz w:val="20"/>
                <w:szCs w:val="20"/>
                <w:color w:val="auto"/>
              </w:rPr>
            </w:pPr>
            <w:r>
              <w:rPr>
                <w:rFonts w:ascii="Arial" w:cs="Arial" w:eastAsia="Arial" w:hAnsi="Arial"/>
                <w:sz w:val="18"/>
                <w:szCs w:val="18"/>
                <w:color w:val="auto"/>
                <w:w w:val="95"/>
              </w:rPr>
              <w:t>Director</w:t>
            </w:r>
          </w:p>
        </w:tc>
        <w:tc>
          <w:tcPr>
            <w:tcW w:w="2360" w:type="dxa"/>
            <w:vAlign w:val="bottom"/>
          </w:tcPr>
          <w:p>
            <w:pPr>
              <w:jc w:val="center"/>
              <w:ind w:left="1134"/>
              <w:spacing w:after="0"/>
              <w:rPr>
                <w:sz w:val="20"/>
                <w:szCs w:val="20"/>
                <w:color w:val="auto"/>
              </w:rPr>
            </w:pPr>
            <w:r>
              <w:rPr>
                <w:rFonts w:ascii="Arial" w:cs="Arial" w:eastAsia="Arial" w:hAnsi="Arial"/>
                <w:sz w:val="18"/>
                <w:szCs w:val="18"/>
                <w:color w:val="auto"/>
                <w:w w:val="91"/>
              </w:rPr>
              <w:t>March 23, 2020</w:t>
            </w:r>
          </w:p>
        </w:tc>
      </w:tr>
      <w:tr>
        <w:trPr>
          <w:trHeight w:val="756"/>
        </w:trPr>
        <w:tc>
          <w:tcPr>
            <w:tcW w:w="1840" w:type="dxa"/>
            <w:vAlign w:val="bottom"/>
          </w:tcPr>
          <w:p>
            <w:pPr>
              <w:jc w:val="center"/>
              <w:ind w:right="1154"/>
              <w:spacing w:after="0"/>
              <w:rPr>
                <w:sz w:val="20"/>
                <w:szCs w:val="20"/>
                <w:color w:val="auto"/>
              </w:rPr>
            </w:pPr>
            <w:r>
              <w:rPr>
                <w:rFonts w:ascii="Arial" w:cs="Arial" w:eastAsia="Arial" w:hAnsi="Arial"/>
                <w:sz w:val="18"/>
                <w:szCs w:val="18"/>
                <w:color w:val="auto"/>
                <w:w w:val="95"/>
              </w:rPr>
              <w:t>Director</w:t>
            </w:r>
          </w:p>
        </w:tc>
        <w:tc>
          <w:tcPr>
            <w:tcW w:w="2360" w:type="dxa"/>
            <w:vAlign w:val="bottom"/>
          </w:tcPr>
          <w:p>
            <w:pPr>
              <w:jc w:val="center"/>
              <w:ind w:left="1134"/>
              <w:spacing w:after="0"/>
              <w:rPr>
                <w:sz w:val="20"/>
                <w:szCs w:val="20"/>
                <w:color w:val="auto"/>
              </w:rPr>
            </w:pPr>
            <w:r>
              <w:rPr>
                <w:rFonts w:ascii="Arial" w:cs="Arial" w:eastAsia="Arial" w:hAnsi="Arial"/>
                <w:sz w:val="18"/>
                <w:szCs w:val="18"/>
                <w:color w:val="auto"/>
                <w:w w:val="91"/>
              </w:rPr>
              <w:t>March 23, 2020</w:t>
            </w:r>
          </w:p>
        </w:tc>
      </w:tr>
      <w:tr>
        <w:trPr>
          <w:trHeight w:val="756"/>
        </w:trPr>
        <w:tc>
          <w:tcPr>
            <w:tcW w:w="1840" w:type="dxa"/>
            <w:vAlign w:val="bottom"/>
          </w:tcPr>
          <w:p>
            <w:pPr>
              <w:jc w:val="center"/>
              <w:ind w:right="1154"/>
              <w:spacing w:after="0"/>
              <w:rPr>
                <w:sz w:val="20"/>
                <w:szCs w:val="20"/>
                <w:color w:val="auto"/>
              </w:rPr>
            </w:pPr>
            <w:r>
              <w:rPr>
                <w:rFonts w:ascii="Arial" w:cs="Arial" w:eastAsia="Arial" w:hAnsi="Arial"/>
                <w:sz w:val="18"/>
                <w:szCs w:val="18"/>
                <w:color w:val="auto"/>
                <w:w w:val="95"/>
              </w:rPr>
              <w:t>Director</w:t>
            </w:r>
          </w:p>
        </w:tc>
        <w:tc>
          <w:tcPr>
            <w:tcW w:w="2360" w:type="dxa"/>
            <w:vAlign w:val="bottom"/>
          </w:tcPr>
          <w:p>
            <w:pPr>
              <w:jc w:val="center"/>
              <w:ind w:left="1134"/>
              <w:spacing w:after="0"/>
              <w:rPr>
                <w:sz w:val="20"/>
                <w:szCs w:val="20"/>
                <w:color w:val="auto"/>
              </w:rPr>
            </w:pPr>
            <w:r>
              <w:rPr>
                <w:rFonts w:ascii="Arial" w:cs="Arial" w:eastAsia="Arial" w:hAnsi="Arial"/>
                <w:sz w:val="18"/>
                <w:szCs w:val="18"/>
                <w:color w:val="auto"/>
                <w:w w:val="91"/>
              </w:rPr>
              <w:t>March 23, 2020</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color w:val="auto"/>
        </w:rPr>
        <w:t>106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-3474085</wp:posOffset>
            </wp:positionH>
            <wp:positionV relativeFrom="paragraph">
              <wp:posOffset>237490</wp:posOffset>
            </wp:positionV>
            <wp:extent cx="7132320" cy="1714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8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2">
            <w:col w:w="3780" w:space="720"/>
            <w:col w:w="4800"/>
          </w:cols>
          <w:pgMar w:left="1300" w:top="1440" w:right="1299" w:bottom="1440" w:gutter="0" w:footer="0" w:header="0"/>
        </w:sectPr>
      </w:pPr>
    </w:p>
    <w:bookmarkStart w:id="109" w:name="page110"/>
    <w:bookmarkEnd w:id="109"/>
    <w:p>
      <w:pPr>
        <w:jc w:val="center"/>
        <w:spacing w:after="0"/>
        <w:rPr>
          <w:sz w:val="20"/>
          <w:szCs w:val="20"/>
          <w:color w:val="auto"/>
        </w:rPr>
      </w:pPr>
      <w:r>
        <w:rPr>
          <w:rFonts w:ascii="Arial" w:cs="Arial" w:eastAsia="Arial" w:hAnsi="Arial"/>
          <w:sz w:val="18"/>
          <w:szCs w:val="18"/>
          <w:b w:val="1"/>
          <w:bCs w:val="1"/>
          <w:color w:val="auto"/>
        </w:rPr>
        <w:t>SCHEDULE II</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VALUATION AND QUALIFYING ACCOUNTS</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5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1"/>
              </w:rPr>
              <w:t>Balance at</w:t>
            </w:r>
          </w:p>
        </w:tc>
        <w:tc>
          <w:tcPr>
            <w:tcW w:w="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180" w:type="dxa"/>
            <w:vAlign w:val="bottom"/>
          </w:tcPr>
          <w:p>
            <w:pPr>
              <w:jc w:val="center"/>
              <w:ind w:right="176"/>
              <w:spacing w:after="0"/>
              <w:rPr>
                <w:sz w:val="20"/>
                <w:szCs w:val="20"/>
                <w:color w:val="auto"/>
              </w:rPr>
            </w:pPr>
            <w:r>
              <w:rPr>
                <w:rFonts w:ascii="Arial" w:cs="Arial" w:eastAsia="Arial" w:hAnsi="Arial"/>
                <w:sz w:val="14"/>
                <w:szCs w:val="14"/>
                <w:b w:val="1"/>
                <w:bCs w:val="1"/>
                <w:color w:val="auto"/>
                <w:w w:val="91"/>
              </w:rPr>
              <w:t>Balance at</w:t>
            </w:r>
          </w:p>
        </w:tc>
        <w:tc>
          <w:tcPr>
            <w:tcW w:w="0" w:type="dxa"/>
            <w:vAlign w:val="bottom"/>
          </w:tcPr>
          <w:p>
            <w:pPr>
              <w:spacing w:after="0"/>
              <w:rPr>
                <w:sz w:val="1"/>
                <w:szCs w:val="1"/>
                <w:color w:val="auto"/>
              </w:rPr>
            </w:pPr>
          </w:p>
        </w:tc>
      </w:tr>
      <w:tr>
        <w:trPr>
          <w:trHeight w:val="149"/>
        </w:trPr>
        <w:tc>
          <w:tcPr>
            <w:tcW w:w="52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3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Beginning</w:t>
            </w:r>
          </w:p>
        </w:tc>
        <w:tc>
          <w:tcPr>
            <w:tcW w:w="260" w:type="dxa"/>
            <w:vAlign w:val="bottom"/>
          </w:tcPr>
          <w:p>
            <w:pPr>
              <w:spacing w:after="0"/>
              <w:rPr>
                <w:sz w:val="12"/>
                <w:szCs w:val="12"/>
                <w:color w:val="auto"/>
              </w:rPr>
            </w:pPr>
          </w:p>
        </w:tc>
        <w:tc>
          <w:tcPr>
            <w:tcW w:w="12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Additions</w:t>
            </w:r>
          </w:p>
        </w:tc>
        <w:tc>
          <w:tcPr>
            <w:tcW w:w="240" w:type="dxa"/>
            <w:vAlign w:val="bottom"/>
          </w:tcPr>
          <w:p>
            <w:pPr>
              <w:spacing w:after="0"/>
              <w:rPr>
                <w:sz w:val="12"/>
                <w:szCs w:val="12"/>
                <w:color w:val="auto"/>
              </w:rPr>
            </w:pPr>
          </w:p>
        </w:tc>
        <w:tc>
          <w:tcPr>
            <w:tcW w:w="130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Deductions</w:t>
            </w:r>
          </w:p>
        </w:tc>
        <w:tc>
          <w:tcPr>
            <w:tcW w:w="260" w:type="dxa"/>
            <w:vAlign w:val="bottom"/>
          </w:tcPr>
          <w:p>
            <w:pPr>
              <w:spacing w:after="0"/>
              <w:rPr>
                <w:sz w:val="12"/>
                <w:szCs w:val="12"/>
                <w:color w:val="auto"/>
              </w:rPr>
            </w:pPr>
          </w:p>
        </w:tc>
        <w:tc>
          <w:tcPr>
            <w:tcW w:w="1180" w:type="dxa"/>
            <w:vAlign w:val="bottom"/>
          </w:tcPr>
          <w:p>
            <w:pPr>
              <w:jc w:val="center"/>
              <w:ind w:right="156"/>
              <w:spacing w:after="0" w:line="149" w:lineRule="exact"/>
              <w:rPr>
                <w:sz w:val="20"/>
                <w:szCs w:val="20"/>
                <w:color w:val="auto"/>
              </w:rPr>
            </w:pPr>
            <w:r>
              <w:rPr>
                <w:rFonts w:ascii="Arial" w:cs="Arial" w:eastAsia="Arial" w:hAnsi="Arial"/>
                <w:sz w:val="14"/>
                <w:szCs w:val="14"/>
                <w:b w:val="1"/>
                <w:bCs w:val="1"/>
                <w:color w:val="auto"/>
                <w:w w:val="96"/>
              </w:rPr>
              <w:t>End of</w:t>
            </w:r>
          </w:p>
        </w:tc>
        <w:tc>
          <w:tcPr>
            <w:tcW w:w="0" w:type="dxa"/>
            <w:vAlign w:val="bottom"/>
          </w:tcPr>
          <w:p>
            <w:pPr>
              <w:spacing w:after="0"/>
              <w:rPr>
                <w:sz w:val="1"/>
                <w:szCs w:val="1"/>
                <w:color w:val="auto"/>
              </w:rPr>
            </w:pPr>
          </w:p>
        </w:tc>
      </w:tr>
      <w:tr>
        <w:trPr>
          <w:trHeight w:val="192"/>
        </w:trPr>
        <w:tc>
          <w:tcPr>
            <w:tcW w:w="5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30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2"/>
              </w:rPr>
              <w:t>of Year</w:t>
            </w:r>
          </w:p>
        </w:tc>
        <w:tc>
          <w:tcPr>
            <w:tcW w:w="260" w:type="dxa"/>
            <w:vAlign w:val="bottom"/>
          </w:tcPr>
          <w:p>
            <w:pPr>
              <w:spacing w:after="0"/>
              <w:rPr>
                <w:sz w:val="16"/>
                <w:szCs w:val="16"/>
                <w:color w:val="auto"/>
              </w:rPr>
            </w:pPr>
          </w:p>
        </w:tc>
        <w:tc>
          <w:tcPr>
            <w:tcW w:w="1260" w:type="dxa"/>
            <w:vAlign w:val="bottom"/>
            <w:gridSpan w:val="2"/>
            <w:vMerge w:val="continue"/>
          </w:tcPr>
          <w:p>
            <w:pPr>
              <w:spacing w:after="0"/>
              <w:rPr>
                <w:sz w:val="16"/>
                <w:szCs w:val="16"/>
                <w:color w:val="auto"/>
              </w:rPr>
            </w:pPr>
          </w:p>
        </w:tc>
        <w:tc>
          <w:tcPr>
            <w:tcW w:w="240" w:type="dxa"/>
            <w:vAlign w:val="bottom"/>
          </w:tcPr>
          <w:p>
            <w:pPr>
              <w:spacing w:after="0"/>
              <w:rPr>
                <w:sz w:val="16"/>
                <w:szCs w:val="16"/>
                <w:color w:val="auto"/>
              </w:rPr>
            </w:pPr>
          </w:p>
        </w:tc>
        <w:tc>
          <w:tcPr>
            <w:tcW w:w="1300" w:type="dxa"/>
            <w:vAlign w:val="bottom"/>
            <w:gridSpan w:val="2"/>
            <w:vMerge w:val="continue"/>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center"/>
              <w:ind w:right="176"/>
              <w:spacing w:after="0"/>
              <w:rPr>
                <w:sz w:val="20"/>
                <w:szCs w:val="20"/>
                <w:color w:val="auto"/>
              </w:rPr>
            </w:pPr>
            <w:r>
              <w:rPr>
                <w:rFonts w:ascii="Arial" w:cs="Arial" w:eastAsia="Arial" w:hAnsi="Arial"/>
                <w:sz w:val="14"/>
                <w:szCs w:val="14"/>
                <w:b w:val="1"/>
                <w:bCs w:val="1"/>
                <w:color w:val="auto"/>
                <w:w w:val="92"/>
              </w:rPr>
              <w:t>Year</w:t>
            </w:r>
          </w:p>
        </w:tc>
        <w:tc>
          <w:tcPr>
            <w:tcW w:w="0" w:type="dxa"/>
            <w:vAlign w:val="bottom"/>
          </w:tcPr>
          <w:p>
            <w:pPr>
              <w:spacing w:after="0"/>
              <w:rPr>
                <w:sz w:val="1"/>
                <w:szCs w:val="1"/>
                <w:color w:val="auto"/>
              </w:rPr>
            </w:pPr>
          </w:p>
        </w:tc>
      </w:tr>
      <w:tr>
        <w:trPr>
          <w:trHeight w:val="236"/>
        </w:trPr>
        <w:tc>
          <w:tcPr>
            <w:tcW w:w="52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Fiscal year ended February 1, 2020</w:t>
            </w:r>
          </w:p>
        </w:tc>
        <w:tc>
          <w:tcPr>
            <w:tcW w:w="240" w:type="dxa"/>
            <w:vAlign w:val="bottom"/>
            <w:tcBorders>
              <w:top w:val="single" w:sz="8" w:color="auto"/>
              <w:bottom w:val="single" w:sz="8" w:color="CCEEFF"/>
            </w:tcBorders>
            <w:shd w:val="clear" w:color="auto" w:fill="CCEEFF"/>
          </w:tcPr>
          <w:p>
            <w:pPr>
              <w:spacing w:after="0"/>
              <w:rPr>
                <w:sz w:val="20"/>
                <w:szCs w:val="20"/>
                <w:color w:val="auto"/>
              </w:rPr>
            </w:pPr>
          </w:p>
        </w:tc>
        <w:tc>
          <w:tcPr>
            <w:tcW w:w="1180" w:type="dxa"/>
            <w:vAlign w:val="bottom"/>
            <w:tcBorders>
              <w:top w:val="single" w:sz="8" w:color="auto"/>
              <w:bottom w:val="single" w:sz="8" w:color="CCEEFF"/>
            </w:tcBorders>
            <w:shd w:val="clear" w:color="auto" w:fill="CCEEFF"/>
          </w:tcPr>
          <w:p>
            <w:pPr>
              <w:spacing w:after="0"/>
              <w:rPr>
                <w:sz w:val="20"/>
                <w:szCs w:val="20"/>
                <w:color w:val="auto"/>
              </w:rPr>
            </w:pP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260" w:type="dxa"/>
            <w:vAlign w:val="bottom"/>
            <w:tcBorders>
              <w:top w:val="single" w:sz="8" w:color="auto"/>
              <w:bottom w:val="single" w:sz="8" w:color="CCEEFF"/>
            </w:tcBorders>
            <w:shd w:val="clear" w:color="auto" w:fill="CCEEFF"/>
          </w:tcPr>
          <w:p>
            <w:pPr>
              <w:spacing w:after="0"/>
              <w:rPr>
                <w:sz w:val="20"/>
                <w:szCs w:val="20"/>
                <w:color w:val="auto"/>
              </w:rPr>
            </w:pPr>
          </w:p>
        </w:tc>
        <w:tc>
          <w:tcPr>
            <w:tcW w:w="116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240" w:type="dxa"/>
            <w:vAlign w:val="bottom"/>
            <w:tcBorders>
              <w:top w:val="single" w:sz="8" w:color="auto"/>
              <w:bottom w:val="single" w:sz="8" w:color="CCEEFF"/>
            </w:tcBorders>
            <w:shd w:val="clear" w:color="auto" w:fill="CCEEFF"/>
          </w:tcPr>
          <w:p>
            <w:pPr>
              <w:spacing w:after="0"/>
              <w:rPr>
                <w:sz w:val="20"/>
                <w:szCs w:val="20"/>
                <w:color w:val="auto"/>
              </w:rPr>
            </w:pPr>
          </w:p>
        </w:tc>
        <w:tc>
          <w:tcPr>
            <w:tcW w:w="1200" w:type="dxa"/>
            <w:vAlign w:val="bottom"/>
            <w:tcBorders>
              <w:top w:val="single" w:sz="8" w:color="auto"/>
              <w:bottom w:val="single" w:sz="8" w:color="CCEEFF"/>
            </w:tcBorders>
            <w:shd w:val="clear" w:color="auto" w:fill="CCEEFF"/>
          </w:tcPr>
          <w:p>
            <w:pPr>
              <w:spacing w:after="0"/>
              <w:rPr>
                <w:sz w:val="20"/>
                <w:szCs w:val="20"/>
                <w:color w:val="auto"/>
              </w:rPr>
            </w:pP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260" w:type="dxa"/>
            <w:vAlign w:val="bottom"/>
            <w:tcBorders>
              <w:top w:val="single" w:sz="8" w:color="auto"/>
              <w:bottom w:val="single" w:sz="8" w:color="CCEEFF"/>
            </w:tcBorders>
            <w:shd w:val="clear" w:color="auto" w:fill="CCEEFF"/>
          </w:tcPr>
          <w:p>
            <w:pPr>
              <w:spacing w:after="0"/>
              <w:rPr>
                <w:sz w:val="20"/>
                <w:szCs w:val="20"/>
                <w:color w:val="auto"/>
              </w:rPr>
            </w:pPr>
          </w:p>
        </w:tc>
        <w:tc>
          <w:tcPr>
            <w:tcW w:w="1180" w:type="dxa"/>
            <w:vAlign w:val="bottom"/>
            <w:tcBorders>
              <w:top w:val="single" w:sz="8" w:color="auto"/>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5200" w:type="dxa"/>
            <w:vAlign w:val="bottom"/>
          </w:tcPr>
          <w:p>
            <w:pPr>
              <w:ind w:left="120"/>
              <w:spacing w:after="0"/>
              <w:rPr>
                <w:sz w:val="20"/>
                <w:szCs w:val="20"/>
                <w:color w:val="auto"/>
              </w:rPr>
            </w:pPr>
            <w:r>
              <w:rPr>
                <w:rFonts w:ascii="Arial" w:cs="Arial" w:eastAsia="Arial" w:hAnsi="Arial"/>
                <w:sz w:val="18"/>
                <w:szCs w:val="18"/>
                <w:color w:val="auto"/>
              </w:rPr>
              <w:t>Allowance for doubtful accounts (1)</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ind w:right="56"/>
              <w:spacing w:after="0"/>
              <w:rPr>
                <w:sz w:val="20"/>
                <w:szCs w:val="20"/>
                <w:color w:val="auto"/>
              </w:rPr>
            </w:pPr>
            <w:r>
              <w:rPr>
                <w:rFonts w:ascii="Arial" w:cs="Arial" w:eastAsia="Arial" w:hAnsi="Arial"/>
                <w:sz w:val="18"/>
                <w:szCs w:val="18"/>
                <w:color w:val="auto"/>
              </w:rPr>
              <w:t>2,637</w:t>
            </w:r>
          </w:p>
        </w:tc>
        <w:tc>
          <w:tcPr>
            <w:tcW w:w="120" w:type="dxa"/>
            <w:vAlign w:val="bottom"/>
          </w:tcPr>
          <w:p>
            <w:pPr>
              <w:spacing w:after="0"/>
              <w:rPr>
                <w:sz w:val="21"/>
                <w:szCs w:val="21"/>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3,448</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(3,959)</w:t>
            </w:r>
          </w:p>
        </w:tc>
        <w:tc>
          <w:tcPr>
            <w:tcW w:w="100" w:type="dxa"/>
            <w:vAlign w:val="bottom"/>
          </w:tcPr>
          <w:p>
            <w:pPr>
              <w:spacing w:after="0"/>
              <w:rPr>
                <w:sz w:val="21"/>
                <w:szCs w:val="21"/>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76"/>
              <w:spacing w:after="0"/>
              <w:rPr>
                <w:sz w:val="20"/>
                <w:szCs w:val="20"/>
                <w:color w:val="auto"/>
              </w:rPr>
            </w:pPr>
            <w:r>
              <w:rPr>
                <w:rFonts w:ascii="Arial" w:cs="Arial" w:eastAsia="Arial" w:hAnsi="Arial"/>
                <w:sz w:val="18"/>
                <w:szCs w:val="18"/>
                <w:color w:val="auto"/>
              </w:rPr>
              <w:t>2,126</w:t>
            </w:r>
          </w:p>
        </w:tc>
        <w:tc>
          <w:tcPr>
            <w:tcW w:w="0" w:type="dxa"/>
            <w:vAlign w:val="bottom"/>
          </w:tcPr>
          <w:p>
            <w:pPr>
              <w:spacing w:after="0"/>
              <w:rPr>
                <w:sz w:val="1"/>
                <w:szCs w:val="1"/>
                <w:color w:val="auto"/>
              </w:rPr>
            </w:pPr>
          </w:p>
        </w:tc>
      </w:tr>
      <w:tr>
        <w:trPr>
          <w:trHeight w:val="27"/>
        </w:trPr>
        <w:tc>
          <w:tcPr>
            <w:tcW w:w="52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20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Deferred tax asset valuation allowance</w:t>
            </w: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597,829</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78,951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676,780</w:t>
            </w:r>
          </w:p>
        </w:tc>
        <w:tc>
          <w:tcPr>
            <w:tcW w:w="0" w:type="dxa"/>
            <w:vAlign w:val="bottom"/>
          </w:tcPr>
          <w:p>
            <w:pPr>
              <w:spacing w:after="0"/>
              <w:rPr>
                <w:sz w:val="1"/>
                <w:szCs w:val="1"/>
                <w:color w:val="auto"/>
              </w:rPr>
            </w:pPr>
          </w:p>
        </w:tc>
      </w:tr>
      <w:tr>
        <w:trPr>
          <w:trHeight w:val="243"/>
        </w:trPr>
        <w:tc>
          <w:tcPr>
            <w:tcW w:w="5200" w:type="dxa"/>
            <w:vAlign w:val="bottom"/>
          </w:tcPr>
          <w:p>
            <w:pPr>
              <w:ind w:left="20"/>
              <w:spacing w:after="0"/>
              <w:rPr>
                <w:sz w:val="20"/>
                <w:szCs w:val="20"/>
                <w:color w:val="auto"/>
              </w:rPr>
            </w:pPr>
            <w:r>
              <w:rPr>
                <w:rFonts w:ascii="Arial" w:cs="Arial" w:eastAsia="Arial" w:hAnsi="Arial"/>
                <w:sz w:val="18"/>
                <w:szCs w:val="18"/>
                <w:color w:val="auto"/>
              </w:rPr>
              <w:t>Fiscal year ended February 2, 2019</w:t>
            </w:r>
          </w:p>
        </w:tc>
        <w:tc>
          <w:tcPr>
            <w:tcW w:w="24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2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200" w:type="dxa"/>
            <w:vAlign w:val="bottom"/>
            <w:tcBorders>
              <w:bottom w:val="single" w:sz="8" w:color="CCEEFF"/>
            </w:tcBorders>
            <w:shd w:val="clear" w:color="auto" w:fill="CCEEFF"/>
          </w:tcPr>
          <w:p>
            <w:pPr>
              <w:ind w:left="120"/>
              <w:spacing w:after="0"/>
              <w:rPr>
                <w:sz w:val="20"/>
                <w:szCs w:val="20"/>
                <w:color w:val="auto"/>
              </w:rPr>
            </w:pPr>
            <w:r>
              <w:rPr>
                <w:rFonts w:ascii="Arial" w:cs="Arial" w:eastAsia="Arial" w:hAnsi="Arial"/>
                <w:sz w:val="18"/>
                <w:szCs w:val="18"/>
                <w:color w:val="auto"/>
              </w:rPr>
              <w:t>Allowance for doubtful accounts (1)</w:t>
            </w: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984</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1,653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2,637</w:t>
            </w:r>
          </w:p>
        </w:tc>
        <w:tc>
          <w:tcPr>
            <w:tcW w:w="0" w:type="dxa"/>
            <w:vAlign w:val="bottom"/>
          </w:tcPr>
          <w:p>
            <w:pPr>
              <w:spacing w:after="0"/>
              <w:rPr>
                <w:sz w:val="1"/>
                <w:szCs w:val="1"/>
                <w:color w:val="auto"/>
              </w:rPr>
            </w:pPr>
          </w:p>
        </w:tc>
      </w:tr>
      <w:tr>
        <w:trPr>
          <w:trHeight w:val="243"/>
        </w:trPr>
        <w:tc>
          <w:tcPr>
            <w:tcW w:w="5200" w:type="dxa"/>
            <w:vAlign w:val="bottom"/>
          </w:tcPr>
          <w:p>
            <w:pPr>
              <w:ind w:left="120"/>
              <w:spacing w:after="0"/>
              <w:rPr>
                <w:sz w:val="20"/>
                <w:szCs w:val="20"/>
                <w:color w:val="auto"/>
              </w:rPr>
            </w:pPr>
            <w:r>
              <w:rPr>
                <w:rFonts w:ascii="Arial" w:cs="Arial" w:eastAsia="Arial" w:hAnsi="Arial"/>
                <w:sz w:val="18"/>
                <w:szCs w:val="18"/>
                <w:color w:val="auto"/>
              </w:rPr>
              <w:t>Deferred tax asset valuation allowance</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ind w:right="56"/>
              <w:spacing w:after="0"/>
              <w:rPr>
                <w:sz w:val="20"/>
                <w:szCs w:val="20"/>
                <w:color w:val="auto"/>
              </w:rPr>
            </w:pPr>
            <w:r>
              <w:rPr>
                <w:rFonts w:ascii="Arial" w:cs="Arial" w:eastAsia="Arial" w:hAnsi="Arial"/>
                <w:sz w:val="18"/>
                <w:szCs w:val="18"/>
                <w:color w:val="auto"/>
              </w:rPr>
              <w:t>618,353</w:t>
            </w:r>
          </w:p>
        </w:tc>
        <w:tc>
          <w:tcPr>
            <w:tcW w:w="120" w:type="dxa"/>
            <w:vAlign w:val="bottom"/>
          </w:tcPr>
          <w:p>
            <w:pPr>
              <w:spacing w:after="0"/>
              <w:rPr>
                <w:sz w:val="21"/>
                <w:szCs w:val="21"/>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2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(20,524)</w:t>
            </w:r>
          </w:p>
        </w:tc>
        <w:tc>
          <w:tcPr>
            <w:tcW w:w="100" w:type="dxa"/>
            <w:vAlign w:val="bottom"/>
          </w:tcPr>
          <w:p>
            <w:pPr>
              <w:spacing w:after="0"/>
              <w:rPr>
                <w:sz w:val="21"/>
                <w:szCs w:val="21"/>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76"/>
              <w:spacing w:after="0"/>
              <w:rPr>
                <w:sz w:val="20"/>
                <w:szCs w:val="20"/>
                <w:color w:val="auto"/>
              </w:rPr>
            </w:pPr>
            <w:r>
              <w:rPr>
                <w:rFonts w:ascii="Arial" w:cs="Arial" w:eastAsia="Arial" w:hAnsi="Arial"/>
                <w:sz w:val="18"/>
                <w:szCs w:val="18"/>
                <w:color w:val="auto"/>
              </w:rPr>
              <w:t>597,829</w:t>
            </w:r>
          </w:p>
        </w:tc>
        <w:tc>
          <w:tcPr>
            <w:tcW w:w="0" w:type="dxa"/>
            <w:vAlign w:val="bottom"/>
          </w:tcPr>
          <w:p>
            <w:pPr>
              <w:spacing w:after="0"/>
              <w:rPr>
                <w:sz w:val="1"/>
                <w:szCs w:val="1"/>
                <w:color w:val="auto"/>
              </w:rPr>
            </w:pPr>
          </w:p>
        </w:tc>
      </w:tr>
      <w:tr>
        <w:trPr>
          <w:trHeight w:val="27"/>
        </w:trPr>
        <w:tc>
          <w:tcPr>
            <w:tcW w:w="52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Fiscal year ended February 3, 2018</w:t>
            </w:r>
          </w:p>
        </w:tc>
        <w:tc>
          <w:tcPr>
            <w:tcW w:w="24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200" w:type="dxa"/>
            <w:vAlign w:val="bottom"/>
          </w:tcPr>
          <w:p>
            <w:pPr>
              <w:ind w:left="120"/>
              <w:spacing w:after="0"/>
              <w:rPr>
                <w:sz w:val="20"/>
                <w:szCs w:val="20"/>
                <w:color w:val="auto"/>
              </w:rPr>
            </w:pPr>
            <w:r>
              <w:rPr>
                <w:rFonts w:ascii="Arial" w:cs="Arial" w:eastAsia="Arial" w:hAnsi="Arial"/>
                <w:sz w:val="18"/>
                <w:szCs w:val="18"/>
                <w:color w:val="auto"/>
              </w:rPr>
              <w:t>Allowance for doubtful accounts and sales return reserve</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ind w:right="56"/>
              <w:spacing w:after="0"/>
              <w:rPr>
                <w:sz w:val="20"/>
                <w:szCs w:val="20"/>
                <w:color w:val="auto"/>
              </w:rPr>
            </w:pPr>
            <w:r>
              <w:rPr>
                <w:rFonts w:ascii="Arial" w:cs="Arial" w:eastAsia="Arial" w:hAnsi="Arial"/>
                <w:sz w:val="18"/>
                <w:szCs w:val="18"/>
                <w:color w:val="auto"/>
              </w:rPr>
              <w:t>1,384</w:t>
            </w:r>
          </w:p>
        </w:tc>
        <w:tc>
          <w:tcPr>
            <w:tcW w:w="120" w:type="dxa"/>
            <w:vAlign w:val="bottom"/>
          </w:tcPr>
          <w:p>
            <w:pPr>
              <w:spacing w:after="0"/>
              <w:rPr>
                <w:sz w:val="21"/>
                <w:szCs w:val="21"/>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73"/>
              <w:spacing w:after="0"/>
              <w:rPr>
                <w:sz w:val="20"/>
                <w:szCs w:val="20"/>
                <w:color w:val="auto"/>
              </w:rPr>
            </w:pPr>
            <w:r>
              <w:rPr>
                <w:rFonts w:ascii="Arial" w:cs="Arial" w:eastAsia="Arial" w:hAnsi="Arial"/>
                <w:sz w:val="18"/>
                <w:szCs w:val="18"/>
                <w:color w:val="auto"/>
              </w:rPr>
              <w:t>2,352</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(1,236)</w:t>
            </w:r>
          </w:p>
        </w:tc>
        <w:tc>
          <w:tcPr>
            <w:tcW w:w="100" w:type="dxa"/>
            <w:vAlign w:val="bottom"/>
          </w:tcPr>
          <w:p>
            <w:pPr>
              <w:spacing w:after="0"/>
              <w:rPr>
                <w:sz w:val="21"/>
                <w:szCs w:val="21"/>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76"/>
              <w:spacing w:after="0"/>
              <w:rPr>
                <w:sz w:val="20"/>
                <w:szCs w:val="20"/>
                <w:color w:val="auto"/>
              </w:rPr>
            </w:pPr>
            <w:r>
              <w:rPr>
                <w:rFonts w:ascii="Arial" w:cs="Arial" w:eastAsia="Arial" w:hAnsi="Arial"/>
                <w:sz w:val="18"/>
                <w:szCs w:val="18"/>
                <w:color w:val="auto"/>
              </w:rPr>
              <w:t>2,500</w:t>
            </w:r>
          </w:p>
        </w:tc>
        <w:tc>
          <w:tcPr>
            <w:tcW w:w="0" w:type="dxa"/>
            <w:vAlign w:val="bottom"/>
          </w:tcPr>
          <w:p>
            <w:pPr>
              <w:spacing w:after="0"/>
              <w:rPr>
                <w:sz w:val="1"/>
                <w:szCs w:val="1"/>
                <w:color w:val="auto"/>
              </w:rPr>
            </w:pPr>
          </w:p>
        </w:tc>
      </w:tr>
      <w:tr>
        <w:trPr>
          <w:trHeight w:val="27"/>
        </w:trPr>
        <w:tc>
          <w:tcPr>
            <w:tcW w:w="52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3"/>
        </w:trPr>
        <w:tc>
          <w:tcPr>
            <w:tcW w:w="5200" w:type="dxa"/>
            <w:vAlign w:val="bottom"/>
            <w:shd w:val="clear" w:color="auto" w:fill="CCEEFF"/>
          </w:tcPr>
          <w:p>
            <w:pPr>
              <w:ind w:left="120"/>
              <w:spacing w:after="0"/>
              <w:rPr>
                <w:sz w:val="20"/>
                <w:szCs w:val="20"/>
                <w:color w:val="auto"/>
              </w:rPr>
            </w:pPr>
            <w:r>
              <w:rPr>
                <w:rFonts w:ascii="Arial" w:cs="Arial" w:eastAsia="Arial" w:hAnsi="Arial"/>
                <w:sz w:val="18"/>
                <w:szCs w:val="18"/>
                <w:color w:val="auto"/>
              </w:rPr>
              <w:t>Deferred tax asset valuation allowance</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56"/>
              <w:spacing w:after="0"/>
              <w:rPr>
                <w:sz w:val="20"/>
                <w:szCs w:val="20"/>
                <w:color w:val="auto"/>
              </w:rPr>
            </w:pPr>
            <w:r>
              <w:rPr>
                <w:rFonts w:ascii="Arial" w:cs="Arial" w:eastAsia="Arial" w:hAnsi="Arial"/>
                <w:sz w:val="18"/>
                <w:szCs w:val="18"/>
                <w:color w:val="auto"/>
              </w:rPr>
              <w:t>456,541</w:t>
            </w:r>
          </w:p>
        </w:tc>
        <w:tc>
          <w:tcPr>
            <w:tcW w:w="120" w:type="dxa"/>
            <w:vAlign w:val="bottom"/>
            <w:shd w:val="clear" w:color="auto" w:fill="CCEEFF"/>
          </w:tcPr>
          <w:p>
            <w:pPr>
              <w:spacing w:after="0"/>
              <w:rPr>
                <w:sz w:val="21"/>
                <w:szCs w:val="21"/>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161,812</w:t>
            </w:r>
          </w:p>
        </w:tc>
        <w:tc>
          <w:tcPr>
            <w:tcW w:w="100" w:type="dxa"/>
            <w:vAlign w:val="bottom"/>
            <w:shd w:val="clear" w:color="auto" w:fill="CCEEFF"/>
          </w:tcPr>
          <w:p>
            <w:pPr>
              <w:spacing w:after="0"/>
              <w:rPr>
                <w:sz w:val="21"/>
                <w:szCs w:val="21"/>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76"/>
              <w:spacing w:after="0"/>
              <w:rPr>
                <w:sz w:val="20"/>
                <w:szCs w:val="20"/>
                <w:color w:val="auto"/>
              </w:rPr>
            </w:pPr>
            <w:r>
              <w:rPr>
                <w:rFonts w:ascii="Arial" w:cs="Arial" w:eastAsia="Arial" w:hAnsi="Arial"/>
                <w:sz w:val="18"/>
                <w:szCs w:val="18"/>
                <w:color w:val="auto"/>
              </w:rPr>
              <w:t>618,353</w:t>
            </w:r>
          </w:p>
        </w:tc>
        <w:tc>
          <w:tcPr>
            <w:tcW w:w="0" w:type="dxa"/>
            <w:vAlign w:val="bottom"/>
          </w:tcPr>
          <w:p>
            <w:pPr>
              <w:spacing w:after="0"/>
              <w:rPr>
                <w:sz w:val="1"/>
                <w:szCs w:val="1"/>
                <w:color w:val="auto"/>
              </w:rPr>
            </w:pPr>
          </w:p>
        </w:tc>
      </w:tr>
      <w:tr>
        <w:trPr>
          <w:trHeight w:val="27"/>
        </w:trPr>
        <w:tc>
          <w:tcPr>
            <w:tcW w:w="520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18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16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20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18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right="140" w:firstLine="8"/>
        <w:spacing w:after="0" w:line="263" w:lineRule="auto"/>
        <w:tabs>
          <w:tab w:leader="none" w:pos="255" w:val="left"/>
        </w:tabs>
        <w:numPr>
          <w:ilvl w:val="0"/>
          <w:numId w:val="44"/>
        </w:numPr>
        <w:rPr>
          <w:rFonts w:ascii="Arial" w:cs="Arial" w:eastAsia="Arial" w:hAnsi="Arial"/>
          <w:sz w:val="18"/>
          <w:szCs w:val="18"/>
          <w:color w:val="auto"/>
        </w:rPr>
      </w:pPr>
      <w:r>
        <w:rPr>
          <w:rFonts w:ascii="Arial" w:cs="Arial" w:eastAsia="Arial" w:hAnsi="Arial"/>
          <w:sz w:val="18"/>
          <w:szCs w:val="18"/>
          <w:color w:val="auto"/>
        </w:rPr>
        <w:t>Beginning in fiscal 2019 upon the adoption of the new revenue recognition standard, the sales return reserve is included as a component of contract liabilities within accrued liabilities in the accompanying consolidated balance sheet. The additions and deductions to contract liabilities during fiscal 2020 is disclosed in “Note 8 - Revenue” in the accompanying notes to the consolidated financial statements.</w:t>
      </w:r>
    </w:p>
    <w:p>
      <w:pPr>
        <w:spacing w:after="0" w:line="3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107</w:t>
      </w:r>
    </w:p>
    <w:p>
      <w:pPr>
        <w:sectPr>
          <w:pgSz w:w="11900" w:h="16838" w:orient="portrait"/>
          <w:cols w:equalWidth="0" w:num="1">
            <w:col w:w="11240"/>
          </w:cols>
          <w:pgMar w:left="320" w:top="1390" w:right="339" w:bottom="1440" w:gutter="0" w:footer="0" w:header="0"/>
        </w:sectPr>
      </w:pPr>
    </w:p>
    <w:bookmarkStart w:id="110" w:name="page111"/>
    <w:bookmarkEnd w:id="110"/>
    <w:p>
      <w:pPr>
        <w:jc w:val="right"/>
        <w:spacing w:after="0"/>
        <w:rPr>
          <w:sz w:val="20"/>
          <w:szCs w:val="20"/>
          <w:color w:val="auto"/>
        </w:rPr>
      </w:pPr>
      <w:r>
        <w:rPr>
          <w:rFonts w:ascii="Arial" w:cs="Arial" w:eastAsia="Arial" w:hAnsi="Arial"/>
          <w:sz w:val="20"/>
          <w:szCs w:val="20"/>
          <w:b w:val="1"/>
          <w:bCs w:val="1"/>
          <w:color w:val="auto"/>
        </w:rPr>
        <w:t>Exhibit 4.6</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DESCRIPTION OF THE REGISTRANT’S SECURITIES</w:t>
      </w:r>
    </w:p>
    <w:p>
      <w:pPr>
        <w:jc w:val="center"/>
        <w:spacing w:after="0" w:line="217" w:lineRule="auto"/>
        <w:rPr>
          <w:sz w:val="20"/>
          <w:szCs w:val="20"/>
          <w:color w:val="auto"/>
        </w:rPr>
      </w:pPr>
      <w:r>
        <w:rPr>
          <w:rFonts w:ascii="Arial" w:cs="Arial" w:eastAsia="Arial" w:hAnsi="Arial"/>
          <w:sz w:val="22"/>
          <w:szCs w:val="22"/>
          <w:b w:val="1"/>
          <w:bCs w:val="1"/>
          <w:color w:val="auto"/>
        </w:rPr>
        <w:t>REGISTERED PURSUANT TO SECTION 12 OF THE</w:t>
      </w:r>
    </w:p>
    <w:p>
      <w:pPr>
        <w:spacing w:after="0" w:line="1"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SECURITIES EXCHANGE ACT OF 1934</w:t>
      </w:r>
    </w:p>
    <w:p>
      <w:pPr>
        <w:spacing w:after="0" w:line="202" w:lineRule="exact"/>
        <w:rPr>
          <w:sz w:val="20"/>
          <w:szCs w:val="20"/>
          <w:color w:val="auto"/>
        </w:rPr>
      </w:pPr>
    </w:p>
    <w:p>
      <w:pPr>
        <w:ind w:right="20"/>
        <w:spacing w:after="0" w:line="239" w:lineRule="auto"/>
        <w:rPr>
          <w:sz w:val="20"/>
          <w:szCs w:val="20"/>
          <w:color w:val="auto"/>
        </w:rPr>
      </w:pPr>
      <w:r>
        <w:rPr>
          <w:rFonts w:ascii="Arial" w:cs="Arial" w:eastAsia="Arial" w:hAnsi="Arial"/>
          <w:sz w:val="22"/>
          <w:szCs w:val="22"/>
          <w:color w:val="auto"/>
        </w:rPr>
        <w:t>Marvell Technology Group Ltd. has one class of securities registered under Section 12 of the Securities Exchange Act of 1934, as amended: our common shares.</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DESCRIPTION OF COMMON SHARES</w:t>
      </w:r>
    </w:p>
    <w:p>
      <w:pPr>
        <w:spacing w:after="0" w:line="266" w:lineRule="exact"/>
        <w:rPr>
          <w:sz w:val="20"/>
          <w:szCs w:val="20"/>
          <w:color w:val="auto"/>
        </w:rPr>
      </w:pPr>
    </w:p>
    <w:p>
      <w:pPr>
        <w:ind w:right="140" w:firstLine="416"/>
        <w:spacing w:after="0" w:line="276" w:lineRule="auto"/>
        <w:rPr>
          <w:sz w:val="20"/>
          <w:szCs w:val="20"/>
          <w:color w:val="auto"/>
        </w:rPr>
      </w:pPr>
      <w:r>
        <w:rPr>
          <w:rFonts w:ascii="Arial" w:cs="Arial" w:eastAsia="Arial" w:hAnsi="Arial"/>
          <w:sz w:val="22"/>
          <w:szCs w:val="22"/>
          <w:color w:val="auto"/>
        </w:rPr>
        <w:t>Our authorized share capital consists of $2,000,000, divided into 1,000,000,000 common shares, $0.002 par value per share (“common shares”), and no preferred shares are currently issued.</w:t>
      </w:r>
    </w:p>
    <w:p>
      <w:pPr>
        <w:spacing w:after="0" w:line="188" w:lineRule="exact"/>
        <w:rPr>
          <w:sz w:val="20"/>
          <w:szCs w:val="20"/>
          <w:color w:val="auto"/>
        </w:rPr>
      </w:pPr>
    </w:p>
    <w:p>
      <w:pPr>
        <w:ind w:right="560" w:firstLine="416"/>
        <w:spacing w:after="0" w:line="358" w:lineRule="auto"/>
        <w:rPr>
          <w:sz w:val="20"/>
          <w:szCs w:val="20"/>
          <w:color w:val="auto"/>
        </w:rPr>
      </w:pPr>
      <w:r>
        <w:rPr>
          <w:rFonts w:ascii="Arial" w:cs="Arial" w:eastAsia="Arial" w:hAnsi="Arial"/>
          <w:sz w:val="19"/>
          <w:szCs w:val="19"/>
          <w:color w:val="auto"/>
        </w:rPr>
        <w:t>Pursuant to our bye-laws (“Bye-laws”), our board of directors is authorized to issue any of our authorized but unissued shares. There are no limitations on the right of non-Bermudians or non-residents of Bermuda to hold our common shares.</w:t>
      </w:r>
    </w:p>
    <w:p>
      <w:pPr>
        <w:spacing w:after="0" w:line="131" w:lineRule="exact"/>
        <w:rPr>
          <w:sz w:val="20"/>
          <w:szCs w:val="20"/>
          <w:color w:val="auto"/>
        </w:rPr>
      </w:pPr>
    </w:p>
    <w:p>
      <w:pPr>
        <w:jc w:val="both"/>
        <w:ind w:right="200" w:firstLine="416"/>
        <w:spacing w:after="0" w:line="266" w:lineRule="auto"/>
        <w:rPr>
          <w:sz w:val="20"/>
          <w:szCs w:val="20"/>
          <w:color w:val="auto"/>
        </w:rPr>
      </w:pPr>
      <w:r>
        <w:rPr>
          <w:rFonts w:ascii="Arial" w:cs="Arial" w:eastAsia="Arial" w:hAnsi="Arial"/>
          <w:sz w:val="22"/>
          <w:szCs w:val="22"/>
          <w:color w:val="auto"/>
        </w:rPr>
        <w:t>In the event of our liquidation, dissolution or winding up, holders of common shares would be entitled to receive all of our assets, pro rata, after payment in full of all our debts and liabilities, and any liquidation payment that we may be required to pay to our preferred shareholders on the date of liquidation.</w:t>
      </w:r>
    </w:p>
    <w:p>
      <w:pPr>
        <w:spacing w:after="0" w:line="198" w:lineRule="exact"/>
        <w:rPr>
          <w:sz w:val="20"/>
          <w:szCs w:val="20"/>
          <w:color w:val="auto"/>
        </w:rPr>
      </w:pPr>
    </w:p>
    <w:p>
      <w:pPr>
        <w:jc w:val="both"/>
        <w:ind w:right="100" w:firstLine="416"/>
        <w:spacing w:after="0" w:line="284" w:lineRule="auto"/>
        <w:rPr>
          <w:sz w:val="20"/>
          <w:szCs w:val="20"/>
          <w:color w:val="auto"/>
        </w:rPr>
      </w:pPr>
      <w:r>
        <w:rPr>
          <w:rFonts w:ascii="Arial" w:cs="Arial" w:eastAsia="Arial" w:hAnsi="Arial"/>
          <w:sz w:val="21"/>
          <w:szCs w:val="21"/>
          <w:color w:val="auto"/>
        </w:rPr>
        <w:t>The common shares do not have preemptive or conversion rights or other subscription rights and there are no redemption or sinking fund provisions. The outstanding common shares are, and the common shares offered hereby, when issued and upon our receipt of the full purchase price therefore, will be, fully paid and nonassessable.</w:t>
      </w:r>
    </w:p>
    <w:p>
      <w:pPr>
        <w:spacing w:after="0" w:line="311"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Bermuda Law</w:t>
      </w:r>
    </w:p>
    <w:p>
      <w:pPr>
        <w:spacing w:after="0" w:line="158" w:lineRule="exact"/>
        <w:rPr>
          <w:sz w:val="20"/>
          <w:szCs w:val="20"/>
          <w:color w:val="auto"/>
        </w:rPr>
      </w:pPr>
    </w:p>
    <w:p>
      <w:pPr>
        <w:ind w:right="140" w:firstLine="416"/>
        <w:spacing w:after="0" w:line="266" w:lineRule="auto"/>
        <w:rPr>
          <w:sz w:val="20"/>
          <w:szCs w:val="20"/>
          <w:color w:val="auto"/>
        </w:rPr>
      </w:pPr>
      <w:r>
        <w:rPr>
          <w:rFonts w:ascii="Arial" w:cs="Arial" w:eastAsia="Arial" w:hAnsi="Arial"/>
          <w:sz w:val="22"/>
          <w:szCs w:val="22"/>
          <w:color w:val="auto"/>
        </w:rPr>
        <w:t>We were incorporated as an exempted Bermuda company under The Companies Act 1981, as amended, of Bermuda (“Companies Act”). This means that we are exempted from the provisions of Bermuda law which currently stipulate that at least 60% of our equity must be beneficially owned by Bermudians.</w:t>
      </w:r>
    </w:p>
    <w:p>
      <w:pPr>
        <w:spacing w:after="0" w:line="212" w:lineRule="exact"/>
        <w:rPr>
          <w:sz w:val="20"/>
          <w:szCs w:val="20"/>
          <w:color w:val="auto"/>
        </w:rPr>
      </w:pPr>
    </w:p>
    <w:p>
      <w:pPr>
        <w:ind w:right="60" w:firstLine="416"/>
        <w:spacing w:after="0" w:line="266" w:lineRule="auto"/>
        <w:rPr>
          <w:sz w:val="20"/>
          <w:szCs w:val="20"/>
          <w:color w:val="auto"/>
        </w:rPr>
      </w:pPr>
      <w:r>
        <w:rPr>
          <w:rFonts w:ascii="Arial" w:cs="Arial" w:eastAsia="Arial" w:hAnsi="Arial"/>
          <w:sz w:val="22"/>
          <w:szCs w:val="22"/>
          <w:color w:val="auto"/>
        </w:rPr>
        <w:t>The rights of our shareholders, including those persons who will become our shareholders in connection with this offering, are governed by Bermuda law, our Memorandum of Association and Bye-laws. The following is a summary of certain provisions of Bermuda law and our organizational documents.</w:t>
      </w:r>
    </w:p>
    <w:p>
      <w:pPr>
        <w:spacing w:after="0" w:line="212" w:lineRule="exact"/>
        <w:rPr>
          <w:sz w:val="20"/>
          <w:szCs w:val="20"/>
          <w:color w:val="auto"/>
        </w:rPr>
      </w:pPr>
    </w:p>
    <w:p>
      <w:pPr>
        <w:ind w:right="180" w:firstLine="416"/>
        <w:spacing w:after="0" w:line="276" w:lineRule="auto"/>
        <w:rPr>
          <w:sz w:val="20"/>
          <w:szCs w:val="20"/>
          <w:color w:val="auto"/>
        </w:rPr>
      </w:pPr>
      <w:r>
        <w:rPr>
          <w:rFonts w:ascii="Arial" w:cs="Arial" w:eastAsia="Arial" w:hAnsi="Arial"/>
          <w:sz w:val="22"/>
          <w:szCs w:val="22"/>
          <w:color w:val="auto"/>
        </w:rPr>
        <w:t>Because this summary does not contain all of the information set forth in the Bermuda law provisions or our organizational documents, we encourage you to read those documents.</w:t>
      </w:r>
    </w:p>
    <w:p>
      <w:pPr>
        <w:spacing w:after="0" w:line="93" w:lineRule="exact"/>
        <w:rPr>
          <w:sz w:val="20"/>
          <w:szCs w:val="20"/>
          <w:color w:val="auto"/>
        </w:rPr>
      </w:pPr>
    </w:p>
    <w:p>
      <w:pPr>
        <w:ind w:right="700" w:firstLine="416"/>
        <w:spacing w:after="0" w:line="276" w:lineRule="auto"/>
        <w:rPr>
          <w:sz w:val="20"/>
          <w:szCs w:val="20"/>
          <w:color w:val="auto"/>
        </w:rPr>
      </w:pPr>
      <w:r>
        <w:rPr>
          <w:rFonts w:ascii="Arial" w:cs="Arial" w:eastAsia="Arial" w:hAnsi="Arial"/>
          <w:sz w:val="22"/>
          <w:szCs w:val="22"/>
          <w:b w:val="1"/>
          <w:bCs w:val="1"/>
          <w:i w:val="1"/>
          <w:iCs w:val="1"/>
          <w:color w:val="auto"/>
        </w:rPr>
        <w:t>Dividends</w:t>
      </w:r>
      <w:r>
        <w:rPr>
          <w:rFonts w:ascii="Arial" w:cs="Arial" w:eastAsia="Arial" w:hAnsi="Arial"/>
          <w:sz w:val="22"/>
          <w:szCs w:val="22"/>
          <w:color w:val="auto"/>
        </w:rPr>
        <w:t>. Bermuda law authorizes a company to declare or pay a dividend or make a distribution out of contributed</w:t>
      </w:r>
      <w:r>
        <w:rPr>
          <w:rFonts w:ascii="Arial" w:cs="Arial" w:eastAsia="Arial" w:hAnsi="Arial"/>
          <w:sz w:val="22"/>
          <w:szCs w:val="22"/>
          <w:b w:val="1"/>
          <w:bCs w:val="1"/>
          <w:i w:val="1"/>
          <w:iCs w:val="1"/>
          <w:color w:val="auto"/>
        </w:rPr>
        <w:t xml:space="preserve"> </w:t>
      </w:r>
      <w:r>
        <w:rPr>
          <w:rFonts w:ascii="Arial" w:cs="Arial" w:eastAsia="Arial" w:hAnsi="Arial"/>
          <w:sz w:val="22"/>
          <w:szCs w:val="22"/>
          <w:color w:val="auto"/>
        </w:rPr>
        <w:t>surplus, unless there are reasonable grounds for believing that,</w:t>
      </w:r>
    </w:p>
    <w:p>
      <w:pPr>
        <w:sectPr>
          <w:pgSz w:w="11900" w:h="16838" w:orient="portrait"/>
          <w:cols w:equalWidth="0" w:num="1">
            <w:col w:w="11240"/>
          </w:cols>
          <w:pgMar w:left="320" w:top="1440" w:right="339" w:bottom="1440" w:gutter="0" w:footer="0" w:header="0"/>
        </w:sectPr>
      </w:pPr>
    </w:p>
    <w:bookmarkStart w:id="111" w:name="page112"/>
    <w:bookmarkEnd w:id="111"/>
    <w:p>
      <w:pPr>
        <w:ind w:left="740" w:hanging="316"/>
        <w:spacing w:after="0"/>
        <w:tabs>
          <w:tab w:leader="none" w:pos="740" w:val="left"/>
        </w:tabs>
        <w:numPr>
          <w:ilvl w:val="0"/>
          <w:numId w:val="45"/>
        </w:numPr>
        <w:rPr>
          <w:rFonts w:ascii="Arial" w:cs="Arial" w:eastAsia="Arial" w:hAnsi="Arial"/>
          <w:sz w:val="22"/>
          <w:szCs w:val="22"/>
          <w:color w:val="auto"/>
        </w:rPr>
      </w:pPr>
      <w:r>
        <w:rPr>
          <w:rFonts w:ascii="Arial" w:cs="Arial" w:eastAsia="Arial" w:hAnsi="Arial"/>
          <w:sz w:val="22"/>
          <w:szCs w:val="22"/>
          <w:color w:val="auto"/>
        </w:rPr>
        <w:t>the company would not be able to pay its debts as they become due; or</w:t>
      </w:r>
    </w:p>
    <w:p>
      <w:pPr>
        <w:spacing w:after="0" w:line="21" w:lineRule="exact"/>
        <w:rPr>
          <w:rFonts w:ascii="Arial" w:cs="Arial" w:eastAsia="Arial" w:hAnsi="Arial"/>
          <w:sz w:val="22"/>
          <w:szCs w:val="22"/>
          <w:color w:val="auto"/>
        </w:rPr>
      </w:pPr>
    </w:p>
    <w:p>
      <w:pPr>
        <w:ind w:left="740" w:hanging="316"/>
        <w:spacing w:after="0"/>
        <w:tabs>
          <w:tab w:leader="none" w:pos="740" w:val="left"/>
        </w:tabs>
        <w:numPr>
          <w:ilvl w:val="0"/>
          <w:numId w:val="45"/>
        </w:numPr>
        <w:rPr>
          <w:rFonts w:ascii="Arial" w:cs="Arial" w:eastAsia="Arial" w:hAnsi="Arial"/>
          <w:sz w:val="22"/>
          <w:szCs w:val="22"/>
          <w:color w:val="auto"/>
        </w:rPr>
      </w:pPr>
      <w:r>
        <w:rPr>
          <w:rFonts w:ascii="Arial" w:cs="Arial" w:eastAsia="Arial" w:hAnsi="Arial"/>
          <w:sz w:val="22"/>
          <w:szCs w:val="22"/>
          <w:color w:val="auto"/>
        </w:rPr>
        <w:t>the realizable value of the company’s assets would thereby be less than its liabilities.</w:t>
      </w:r>
    </w:p>
    <w:p>
      <w:pPr>
        <w:spacing w:after="0" w:line="229" w:lineRule="exact"/>
        <w:rPr>
          <w:sz w:val="20"/>
          <w:szCs w:val="20"/>
          <w:color w:val="auto"/>
        </w:rPr>
      </w:pPr>
    </w:p>
    <w:p>
      <w:pPr>
        <w:ind w:right="420" w:firstLine="416"/>
        <w:spacing w:after="0" w:line="266" w:lineRule="auto"/>
        <w:rPr>
          <w:sz w:val="20"/>
          <w:szCs w:val="20"/>
          <w:color w:val="auto"/>
        </w:rPr>
      </w:pPr>
      <w:r>
        <w:rPr>
          <w:rFonts w:ascii="Arial" w:cs="Arial" w:eastAsia="Arial" w:hAnsi="Arial"/>
          <w:sz w:val="22"/>
          <w:szCs w:val="22"/>
          <w:color w:val="auto"/>
        </w:rPr>
        <w:t>Our Bye-laws provide our board of directors may from time to time declare dividends or distributions out of contributed surplus to be paid to the shareholders according to their rights and interests, such dividend may be paid in cash or wholly or partly in specie.</w:t>
      </w:r>
    </w:p>
    <w:p>
      <w:pPr>
        <w:spacing w:after="0" w:line="198" w:lineRule="exact"/>
        <w:rPr>
          <w:sz w:val="20"/>
          <w:szCs w:val="20"/>
          <w:color w:val="auto"/>
        </w:rPr>
      </w:pPr>
    </w:p>
    <w:p>
      <w:pPr>
        <w:ind w:right="280" w:firstLine="416"/>
        <w:spacing w:after="0" w:line="317" w:lineRule="auto"/>
        <w:rPr>
          <w:sz w:val="20"/>
          <w:szCs w:val="20"/>
          <w:color w:val="auto"/>
        </w:rPr>
      </w:pPr>
      <w:r>
        <w:rPr>
          <w:rFonts w:ascii="Arial" w:cs="Arial" w:eastAsia="Arial" w:hAnsi="Arial"/>
          <w:sz w:val="19"/>
          <w:szCs w:val="19"/>
          <w:b w:val="1"/>
          <w:bCs w:val="1"/>
          <w:i w:val="1"/>
          <w:iCs w:val="1"/>
          <w:color w:val="auto"/>
        </w:rPr>
        <w:t>Voting Rights</w:t>
      </w:r>
      <w:r>
        <w:rPr>
          <w:rFonts w:ascii="Arial" w:cs="Arial" w:eastAsia="Arial" w:hAnsi="Arial"/>
          <w:sz w:val="19"/>
          <w:szCs w:val="19"/>
          <w:color w:val="auto"/>
        </w:rPr>
        <w:t>. Unless otherwise provided by the Companies Act or a company’s bye-laws, under Bermuda law, questions</w:t>
      </w:r>
      <w:r>
        <w:rPr>
          <w:rFonts w:ascii="Arial" w:cs="Arial" w:eastAsia="Arial" w:hAnsi="Arial"/>
          <w:sz w:val="19"/>
          <w:szCs w:val="19"/>
          <w:b w:val="1"/>
          <w:bCs w:val="1"/>
          <w:i w:val="1"/>
          <w:iCs w:val="1"/>
          <w:color w:val="auto"/>
        </w:rPr>
        <w:t xml:space="preserve"> </w:t>
      </w:r>
      <w:r>
        <w:rPr>
          <w:rFonts w:ascii="Arial" w:cs="Arial" w:eastAsia="Arial" w:hAnsi="Arial"/>
          <w:sz w:val="19"/>
          <w:szCs w:val="19"/>
          <w:color w:val="auto"/>
        </w:rPr>
        <w:t>brought before a general meeting of shareholders are decided by a simple majority vote of shareholders present at the meeting. Each shareholder has one vote, regardless of the number of shares held, unless a poll is requested. If a poll is requested, each shareholder present in person or by proxy has one vote for each share held. A poll may be requested by:</w:t>
      </w:r>
    </w:p>
    <w:p>
      <w:pPr>
        <w:spacing w:after="0" w:line="74" w:lineRule="exact"/>
        <w:rPr>
          <w:sz w:val="20"/>
          <w:szCs w:val="20"/>
          <w:color w:val="auto"/>
        </w:rPr>
      </w:pPr>
    </w:p>
    <w:p>
      <w:pPr>
        <w:ind w:left="800" w:hanging="376"/>
        <w:spacing w:after="0"/>
        <w:tabs>
          <w:tab w:leader="none" w:pos="800" w:val="left"/>
        </w:tabs>
        <w:numPr>
          <w:ilvl w:val="0"/>
          <w:numId w:val="46"/>
        </w:numPr>
        <w:rPr>
          <w:rFonts w:ascii="Arial" w:cs="Arial" w:eastAsia="Arial" w:hAnsi="Arial"/>
          <w:sz w:val="22"/>
          <w:szCs w:val="22"/>
          <w:color w:val="auto"/>
        </w:rPr>
      </w:pPr>
      <w:r>
        <w:rPr>
          <w:rFonts w:ascii="Arial" w:cs="Arial" w:eastAsia="Arial" w:hAnsi="Arial"/>
          <w:sz w:val="22"/>
          <w:szCs w:val="22"/>
          <w:color w:val="auto"/>
        </w:rPr>
        <w:t>the chairman of the meeting;</w:t>
      </w:r>
    </w:p>
    <w:p>
      <w:pPr>
        <w:spacing w:after="0" w:line="21" w:lineRule="exact"/>
        <w:rPr>
          <w:rFonts w:ascii="Arial" w:cs="Arial" w:eastAsia="Arial" w:hAnsi="Arial"/>
          <w:sz w:val="22"/>
          <w:szCs w:val="22"/>
          <w:color w:val="auto"/>
        </w:rPr>
      </w:pPr>
    </w:p>
    <w:p>
      <w:pPr>
        <w:ind w:left="740" w:hanging="316"/>
        <w:spacing w:after="0"/>
        <w:tabs>
          <w:tab w:leader="none" w:pos="740" w:val="left"/>
        </w:tabs>
        <w:numPr>
          <w:ilvl w:val="0"/>
          <w:numId w:val="46"/>
        </w:numPr>
        <w:rPr>
          <w:rFonts w:ascii="Arial" w:cs="Arial" w:eastAsia="Arial" w:hAnsi="Arial"/>
          <w:sz w:val="22"/>
          <w:szCs w:val="22"/>
          <w:color w:val="auto"/>
        </w:rPr>
      </w:pPr>
      <w:r>
        <w:rPr>
          <w:rFonts w:ascii="Arial" w:cs="Arial" w:eastAsia="Arial" w:hAnsi="Arial"/>
          <w:sz w:val="22"/>
          <w:szCs w:val="22"/>
          <w:color w:val="auto"/>
        </w:rPr>
        <w:t>at least three shareholders present in person or represented by proxy;</w:t>
      </w:r>
    </w:p>
    <w:p>
      <w:pPr>
        <w:spacing w:after="0" w:line="3" w:lineRule="exact"/>
        <w:rPr>
          <w:rFonts w:ascii="Arial" w:cs="Arial" w:eastAsia="Arial" w:hAnsi="Arial"/>
          <w:sz w:val="22"/>
          <w:szCs w:val="22"/>
          <w:color w:val="auto"/>
        </w:rPr>
      </w:pPr>
    </w:p>
    <w:p>
      <w:pPr>
        <w:ind w:left="740" w:right="200" w:hanging="316"/>
        <w:spacing w:after="0" w:line="243" w:lineRule="auto"/>
        <w:tabs>
          <w:tab w:leader="none" w:pos="734" w:val="left"/>
        </w:tabs>
        <w:numPr>
          <w:ilvl w:val="0"/>
          <w:numId w:val="46"/>
        </w:numPr>
        <w:rPr>
          <w:rFonts w:ascii="Arial" w:cs="Arial" w:eastAsia="Arial" w:hAnsi="Arial"/>
          <w:sz w:val="22"/>
          <w:szCs w:val="22"/>
          <w:color w:val="auto"/>
        </w:rPr>
      </w:pPr>
      <w:r>
        <w:rPr>
          <w:rFonts w:ascii="Arial" w:cs="Arial" w:eastAsia="Arial" w:hAnsi="Arial"/>
          <w:sz w:val="22"/>
          <w:szCs w:val="22"/>
          <w:color w:val="auto"/>
        </w:rPr>
        <w:t>any shareholder or shareholders present in person or represented by proxy and holding between them not less than one-tenth of the total voting rights of all the shareholders having the right to vote; or</w:t>
      </w:r>
    </w:p>
    <w:p>
      <w:pPr>
        <w:ind w:left="740" w:right="80" w:hanging="316"/>
        <w:spacing w:after="0" w:line="245" w:lineRule="auto"/>
        <w:tabs>
          <w:tab w:leader="none" w:pos="734" w:val="left"/>
        </w:tabs>
        <w:numPr>
          <w:ilvl w:val="0"/>
          <w:numId w:val="46"/>
        </w:numPr>
        <w:rPr>
          <w:rFonts w:ascii="Arial" w:cs="Arial" w:eastAsia="Arial" w:hAnsi="Arial"/>
          <w:sz w:val="22"/>
          <w:szCs w:val="22"/>
          <w:color w:val="auto"/>
        </w:rPr>
      </w:pPr>
      <w:r>
        <w:rPr>
          <w:rFonts w:ascii="Arial" w:cs="Arial" w:eastAsia="Arial" w:hAnsi="Arial"/>
          <w:sz w:val="22"/>
          <w:szCs w:val="22"/>
          <w:color w:val="auto"/>
        </w:rPr>
        <w:t>any shareholder or shareholders present in person or represented by proxy holding shares conferring the right to vote at the meeting, and the total paid up on those shares has been paid up equal to at least one-tenth of the total sum paid up on all shares conferring the right vote at the meeting.</w:t>
      </w:r>
    </w:p>
    <w:p>
      <w:pPr>
        <w:spacing w:after="0" w:line="206" w:lineRule="exact"/>
        <w:rPr>
          <w:sz w:val="20"/>
          <w:szCs w:val="20"/>
          <w:color w:val="auto"/>
        </w:rPr>
      </w:pPr>
    </w:p>
    <w:p>
      <w:pPr>
        <w:ind w:right="160" w:firstLine="416"/>
        <w:spacing w:after="0" w:line="279" w:lineRule="auto"/>
        <w:rPr>
          <w:sz w:val="20"/>
          <w:szCs w:val="20"/>
          <w:color w:val="auto"/>
        </w:rPr>
      </w:pPr>
      <w:r>
        <w:rPr>
          <w:rFonts w:ascii="Arial" w:cs="Arial" w:eastAsia="Arial" w:hAnsi="Arial"/>
          <w:sz w:val="21"/>
          <w:szCs w:val="21"/>
          <w:color w:val="auto"/>
        </w:rPr>
        <w:t>Our Bye-laws provide that, subject to the provisions of the Companies Act, any questions sent to a shareholder vote will be decided by the affirmative votes of a majority of the votes cast. In case of an equality of votes, the resolution shall fail. No shareholder shall (unless otherwise entitled under the Companies Act) be entitled to vote at any general meeting unless such shareholder has paid all the calls on all shares held by such shareholder.</w:t>
      </w:r>
    </w:p>
    <w:p>
      <w:pPr>
        <w:spacing w:after="0" w:line="200" w:lineRule="exact"/>
        <w:rPr>
          <w:sz w:val="20"/>
          <w:szCs w:val="20"/>
          <w:color w:val="auto"/>
        </w:rPr>
      </w:pPr>
    </w:p>
    <w:p>
      <w:pPr>
        <w:ind w:right="220" w:firstLine="416"/>
        <w:spacing w:after="0" w:line="327" w:lineRule="auto"/>
        <w:rPr>
          <w:sz w:val="20"/>
          <w:szCs w:val="20"/>
          <w:color w:val="auto"/>
        </w:rPr>
      </w:pPr>
      <w:r>
        <w:rPr>
          <w:rFonts w:ascii="Arial" w:cs="Arial" w:eastAsia="Arial" w:hAnsi="Arial"/>
          <w:sz w:val="19"/>
          <w:szCs w:val="19"/>
          <w:b w:val="1"/>
          <w:bCs w:val="1"/>
          <w:i w:val="1"/>
          <w:iCs w:val="1"/>
          <w:color w:val="auto"/>
        </w:rPr>
        <w:t xml:space="preserve">Rights in Litigation. </w:t>
      </w:r>
      <w:r>
        <w:rPr>
          <w:rFonts w:ascii="Arial" w:cs="Arial" w:eastAsia="Arial" w:hAnsi="Arial"/>
          <w:sz w:val="19"/>
          <w:szCs w:val="19"/>
          <w:color w:val="auto"/>
        </w:rPr>
        <w:t>Under Bermuda law, in the event of a winding up of a company, the proceeds of such company being</w:t>
      </w:r>
      <w:r>
        <w:rPr>
          <w:rFonts w:ascii="Arial" w:cs="Arial" w:eastAsia="Arial" w:hAnsi="Arial"/>
          <w:sz w:val="19"/>
          <w:szCs w:val="19"/>
          <w:b w:val="1"/>
          <w:bCs w:val="1"/>
          <w:i w:val="1"/>
          <w:iCs w:val="1"/>
          <w:color w:val="auto"/>
        </w:rPr>
        <w:t xml:space="preserve"> </w:t>
      </w:r>
      <w:r>
        <w:rPr>
          <w:rFonts w:ascii="Arial" w:cs="Arial" w:eastAsia="Arial" w:hAnsi="Arial"/>
          <w:sz w:val="19"/>
          <w:szCs w:val="19"/>
          <w:color w:val="auto"/>
        </w:rPr>
        <w:t>wound up are distributed on a pro rata basis among the holders of common shares, after satisfaction in full of all claims of creditors and subject to the preferential rights accorded to any series of preferred stock or preferential creditors.</w:t>
      </w:r>
    </w:p>
    <w:p>
      <w:pPr>
        <w:spacing w:after="0" w:line="160" w:lineRule="exact"/>
        <w:rPr>
          <w:sz w:val="20"/>
          <w:szCs w:val="20"/>
          <w:color w:val="auto"/>
        </w:rPr>
      </w:pPr>
    </w:p>
    <w:p>
      <w:pPr>
        <w:ind w:right="140" w:firstLine="416"/>
        <w:spacing w:after="0" w:line="327" w:lineRule="auto"/>
        <w:rPr>
          <w:sz w:val="20"/>
          <w:szCs w:val="20"/>
          <w:color w:val="auto"/>
        </w:rPr>
      </w:pPr>
      <w:r>
        <w:rPr>
          <w:rFonts w:ascii="Arial" w:cs="Arial" w:eastAsia="Arial" w:hAnsi="Arial"/>
          <w:sz w:val="19"/>
          <w:szCs w:val="19"/>
          <w:b w:val="1"/>
          <w:bCs w:val="1"/>
          <w:i w:val="1"/>
          <w:iCs w:val="1"/>
          <w:color w:val="auto"/>
        </w:rPr>
        <w:t>Repurchase of Shares</w:t>
      </w:r>
      <w:r>
        <w:rPr>
          <w:rFonts w:ascii="Arial" w:cs="Arial" w:eastAsia="Arial" w:hAnsi="Arial"/>
          <w:sz w:val="19"/>
          <w:szCs w:val="19"/>
          <w:color w:val="auto"/>
        </w:rPr>
        <w:t>. At its discretion and without the sanction of a resolution, our board of directors may authorize the</w:t>
      </w:r>
      <w:r>
        <w:rPr>
          <w:rFonts w:ascii="Arial" w:cs="Arial" w:eastAsia="Arial" w:hAnsi="Arial"/>
          <w:sz w:val="19"/>
          <w:szCs w:val="19"/>
          <w:b w:val="1"/>
          <w:bCs w:val="1"/>
          <w:i w:val="1"/>
          <w:iCs w:val="1"/>
          <w:color w:val="auto"/>
        </w:rPr>
        <w:t xml:space="preserve"> </w:t>
      </w:r>
      <w:r>
        <w:rPr>
          <w:rFonts w:ascii="Arial" w:cs="Arial" w:eastAsia="Arial" w:hAnsi="Arial"/>
          <w:sz w:val="19"/>
          <w:szCs w:val="19"/>
          <w:color w:val="auto"/>
        </w:rPr>
        <w:t>purchase by our company of our own shares, of any class, at any price. To the extent permitted by Bermuda law, the shares to be purchased may be selected in any manner whatsoever, upon such terms as our board of directors may determine in its discretion.</w:t>
      </w:r>
    </w:p>
    <w:p>
      <w:pPr>
        <w:spacing w:after="0" w:line="146" w:lineRule="exact"/>
        <w:rPr>
          <w:sz w:val="20"/>
          <w:szCs w:val="20"/>
          <w:color w:val="auto"/>
        </w:rPr>
      </w:pPr>
    </w:p>
    <w:p>
      <w:pPr>
        <w:ind w:firstLine="416"/>
        <w:spacing w:after="0" w:line="266" w:lineRule="auto"/>
        <w:rPr>
          <w:sz w:val="20"/>
          <w:szCs w:val="20"/>
          <w:color w:val="auto"/>
        </w:rPr>
      </w:pPr>
      <w:r>
        <w:rPr>
          <w:rFonts w:ascii="Arial" w:cs="Arial" w:eastAsia="Arial" w:hAnsi="Arial"/>
          <w:sz w:val="22"/>
          <w:szCs w:val="22"/>
          <w:b w:val="1"/>
          <w:bCs w:val="1"/>
          <w:i w:val="1"/>
          <w:iCs w:val="1"/>
          <w:color w:val="auto"/>
        </w:rPr>
        <w:t>Meetings of Shareholders</w:t>
      </w:r>
      <w:r>
        <w:rPr>
          <w:rFonts w:ascii="Arial" w:cs="Arial" w:eastAsia="Arial" w:hAnsi="Arial"/>
          <w:sz w:val="22"/>
          <w:szCs w:val="22"/>
          <w:color w:val="auto"/>
        </w:rPr>
        <w:t>. Under Bermuda law, a company is required to convene at least one general shareholders’</w:t>
      </w:r>
      <w:r>
        <w:rPr>
          <w:rFonts w:ascii="Arial" w:cs="Arial" w:eastAsia="Arial" w:hAnsi="Arial"/>
          <w:sz w:val="22"/>
          <w:szCs w:val="22"/>
          <w:b w:val="1"/>
          <w:bCs w:val="1"/>
          <w:i w:val="1"/>
          <w:iCs w:val="1"/>
          <w:color w:val="auto"/>
        </w:rPr>
        <w:t xml:space="preserve"> </w:t>
      </w:r>
      <w:r>
        <w:rPr>
          <w:rFonts w:ascii="Arial" w:cs="Arial" w:eastAsia="Arial" w:hAnsi="Arial"/>
          <w:sz w:val="22"/>
          <w:szCs w:val="22"/>
          <w:color w:val="auto"/>
        </w:rPr>
        <w:t>meeting per calendar year unless waived by the shareholders. Bermuda law provides that a special general meeting must be called by our board of directors and must be</w:t>
      </w:r>
    </w:p>
    <w:p>
      <w:pPr>
        <w:sectPr>
          <w:pgSz w:w="11900" w:h="16838" w:orient="portrait"/>
          <w:cols w:equalWidth="0" w:num="1">
            <w:col w:w="11240"/>
          </w:cols>
          <w:pgMar w:left="320" w:top="1428" w:right="339" w:bottom="1440" w:gutter="0" w:footer="0" w:header="0"/>
        </w:sectPr>
      </w:pPr>
    </w:p>
    <w:bookmarkStart w:id="112" w:name="page113"/>
    <w:bookmarkEnd w:id="112"/>
    <w:p>
      <w:pPr>
        <w:spacing w:after="0" w:line="231" w:lineRule="exact"/>
        <w:rPr>
          <w:sz w:val="20"/>
          <w:szCs w:val="20"/>
          <w:color w:val="auto"/>
        </w:rPr>
      </w:pPr>
    </w:p>
    <w:p>
      <w:pPr>
        <w:ind w:right="160"/>
        <w:spacing w:after="0" w:line="276" w:lineRule="auto"/>
        <w:rPr>
          <w:sz w:val="20"/>
          <w:szCs w:val="20"/>
          <w:color w:val="auto"/>
        </w:rPr>
      </w:pPr>
      <w:r>
        <w:rPr>
          <w:rFonts w:ascii="Arial" w:cs="Arial" w:eastAsia="Arial" w:hAnsi="Arial"/>
          <w:sz w:val="22"/>
          <w:szCs w:val="22"/>
          <w:color w:val="auto"/>
        </w:rPr>
        <w:t>called upon the request of shareholders holding not less than 10% of such of the paid-up capital of the company having the right to vote.</w:t>
      </w:r>
    </w:p>
    <w:p>
      <w:pPr>
        <w:spacing w:after="0" w:line="188" w:lineRule="exact"/>
        <w:rPr>
          <w:sz w:val="20"/>
          <w:szCs w:val="20"/>
          <w:color w:val="auto"/>
        </w:rPr>
      </w:pPr>
    </w:p>
    <w:p>
      <w:pPr>
        <w:ind w:right="340" w:firstLine="416"/>
        <w:spacing w:after="0" w:line="327" w:lineRule="auto"/>
        <w:rPr>
          <w:sz w:val="20"/>
          <w:szCs w:val="20"/>
          <w:color w:val="auto"/>
        </w:rPr>
      </w:pPr>
      <w:r>
        <w:rPr>
          <w:rFonts w:ascii="Arial" w:cs="Arial" w:eastAsia="Arial" w:hAnsi="Arial"/>
          <w:sz w:val="19"/>
          <w:szCs w:val="19"/>
          <w:color w:val="auto"/>
        </w:rPr>
        <w:t>Bermuda law also requires that shareholders be given at least five days’ advance notice of a general meeting, but the accidental omission of notice to any person does not invalidate the proceedings at such meeting. Our Bye-laws require at least five days’ notice be given to each shareholder of the annual general meeting and of any special general meeting.</w:t>
      </w:r>
    </w:p>
    <w:p>
      <w:pPr>
        <w:spacing w:after="0" w:line="160" w:lineRule="exact"/>
        <w:rPr>
          <w:sz w:val="20"/>
          <w:szCs w:val="20"/>
          <w:color w:val="auto"/>
        </w:rPr>
      </w:pPr>
    </w:p>
    <w:p>
      <w:pPr>
        <w:jc w:val="both"/>
        <w:ind w:right="40" w:firstLine="416"/>
        <w:spacing w:after="0" w:line="284" w:lineRule="auto"/>
        <w:rPr>
          <w:sz w:val="20"/>
          <w:szCs w:val="20"/>
          <w:color w:val="auto"/>
        </w:rPr>
      </w:pPr>
      <w:r>
        <w:rPr>
          <w:rFonts w:ascii="Arial" w:cs="Arial" w:eastAsia="Arial" w:hAnsi="Arial"/>
          <w:sz w:val="21"/>
          <w:szCs w:val="21"/>
          <w:color w:val="auto"/>
        </w:rPr>
        <w:t>Under Bermuda law, the number of shareholders constituting a quorum at any general meeting of shareholders is determined by the bye-laws of the company. Our Bye-laws provide that two persons present in person and representing in person or by proxy at least 50% of the total issued voting shares throughout the meeting constitutes a quorum.</w:t>
      </w:r>
    </w:p>
    <w:p>
      <w:pPr>
        <w:spacing w:after="0" w:line="182" w:lineRule="exact"/>
        <w:rPr>
          <w:sz w:val="20"/>
          <w:szCs w:val="20"/>
          <w:color w:val="auto"/>
        </w:rPr>
      </w:pPr>
    </w:p>
    <w:p>
      <w:pPr>
        <w:ind w:firstLine="416"/>
        <w:spacing w:after="0" w:line="262" w:lineRule="auto"/>
        <w:rPr>
          <w:sz w:val="20"/>
          <w:szCs w:val="20"/>
          <w:color w:val="auto"/>
        </w:rPr>
      </w:pPr>
      <w:r>
        <w:rPr>
          <w:rFonts w:ascii="Arial" w:cs="Arial" w:eastAsia="Arial" w:hAnsi="Arial"/>
          <w:sz w:val="22"/>
          <w:szCs w:val="22"/>
          <w:b w:val="1"/>
          <w:bCs w:val="1"/>
          <w:i w:val="1"/>
          <w:iCs w:val="1"/>
          <w:color w:val="auto"/>
        </w:rPr>
        <w:t>Shareholder Written Resolutions</w:t>
      </w:r>
      <w:r>
        <w:rPr>
          <w:rFonts w:ascii="Arial" w:cs="Arial" w:eastAsia="Arial" w:hAnsi="Arial"/>
          <w:sz w:val="22"/>
          <w:szCs w:val="22"/>
          <w:color w:val="auto"/>
        </w:rPr>
        <w:t>. Subject to certain exceptions in our Bye-laws and provisions of the Companies Act,</w:t>
      </w:r>
      <w:r>
        <w:rPr>
          <w:rFonts w:ascii="Arial" w:cs="Arial" w:eastAsia="Arial" w:hAnsi="Arial"/>
          <w:sz w:val="22"/>
          <w:szCs w:val="22"/>
          <w:b w:val="1"/>
          <w:bCs w:val="1"/>
          <w:i w:val="1"/>
          <w:iCs w:val="1"/>
          <w:color w:val="auto"/>
        </w:rPr>
        <w:t xml:space="preserve"> </w:t>
      </w:r>
      <w:r>
        <w:rPr>
          <w:rFonts w:ascii="Arial" w:cs="Arial" w:eastAsia="Arial" w:hAnsi="Arial"/>
          <w:sz w:val="22"/>
          <w:szCs w:val="22"/>
          <w:color w:val="auto"/>
        </w:rPr>
        <w:t>anything which may be done by resolution of us in general meeting may without a meeting and without any previous notice being required, be done by resolution in writing signed by all the shareholders who at the date of the resolution would be entitled to attend the meeting and vote on the resolution.</w:t>
      </w:r>
    </w:p>
    <w:p>
      <w:pPr>
        <w:spacing w:after="0" w:line="218" w:lineRule="exact"/>
        <w:rPr>
          <w:sz w:val="20"/>
          <w:szCs w:val="20"/>
          <w:color w:val="auto"/>
        </w:rPr>
      </w:pPr>
    </w:p>
    <w:p>
      <w:pPr>
        <w:ind w:right="520" w:firstLine="416"/>
        <w:spacing w:after="0" w:line="358" w:lineRule="auto"/>
        <w:rPr>
          <w:sz w:val="20"/>
          <w:szCs w:val="20"/>
          <w:color w:val="auto"/>
        </w:rPr>
      </w:pPr>
      <w:r>
        <w:rPr>
          <w:rFonts w:ascii="Arial" w:cs="Arial" w:eastAsia="Arial" w:hAnsi="Arial"/>
          <w:sz w:val="19"/>
          <w:szCs w:val="19"/>
          <w:color w:val="auto"/>
        </w:rPr>
        <w:t>Such exceptions in our Bye-laws include resolutions passed for the purpose of (a) appointing and removing its auditors before the expiration of its term of office; or (b) removing a director before the expiration of his term of office.</w:t>
      </w:r>
    </w:p>
    <w:p>
      <w:pPr>
        <w:spacing w:after="0" w:line="131" w:lineRule="exact"/>
        <w:rPr>
          <w:sz w:val="20"/>
          <w:szCs w:val="20"/>
          <w:color w:val="auto"/>
        </w:rPr>
      </w:pPr>
    </w:p>
    <w:p>
      <w:pPr>
        <w:ind w:right="160" w:firstLine="416"/>
        <w:spacing w:after="0" w:line="358" w:lineRule="auto"/>
        <w:rPr>
          <w:sz w:val="20"/>
          <w:szCs w:val="20"/>
          <w:color w:val="auto"/>
        </w:rPr>
      </w:pPr>
      <w:r>
        <w:rPr>
          <w:rFonts w:ascii="Arial" w:cs="Arial" w:eastAsia="Arial" w:hAnsi="Arial"/>
          <w:sz w:val="19"/>
          <w:szCs w:val="19"/>
          <w:b w:val="1"/>
          <w:bCs w:val="1"/>
          <w:i w:val="1"/>
          <w:iCs w:val="1"/>
          <w:color w:val="auto"/>
        </w:rPr>
        <w:t>Access to Books and Records and Dissemination of Information</w:t>
      </w:r>
      <w:r>
        <w:rPr>
          <w:rFonts w:ascii="Arial" w:cs="Arial" w:eastAsia="Arial" w:hAnsi="Arial"/>
          <w:sz w:val="19"/>
          <w:szCs w:val="19"/>
          <w:color w:val="auto"/>
        </w:rPr>
        <w:t>. Members of the general public have the right to inspect</w:t>
      </w:r>
      <w:r>
        <w:rPr>
          <w:rFonts w:ascii="Arial" w:cs="Arial" w:eastAsia="Arial" w:hAnsi="Arial"/>
          <w:sz w:val="19"/>
          <w:szCs w:val="19"/>
          <w:b w:val="1"/>
          <w:bCs w:val="1"/>
          <w:i w:val="1"/>
          <w:iCs w:val="1"/>
          <w:color w:val="auto"/>
        </w:rPr>
        <w:t xml:space="preserve"> </w:t>
      </w:r>
      <w:r>
        <w:rPr>
          <w:rFonts w:ascii="Arial" w:cs="Arial" w:eastAsia="Arial" w:hAnsi="Arial"/>
          <w:sz w:val="19"/>
          <w:szCs w:val="19"/>
          <w:color w:val="auto"/>
        </w:rPr>
        <w:t>the public documents of a company available at the office of the Registrar of Companies in Bermuda. These documents include:</w:t>
      </w:r>
    </w:p>
    <w:p>
      <w:pPr>
        <w:spacing w:after="0" w:line="23" w:lineRule="exact"/>
        <w:rPr>
          <w:sz w:val="20"/>
          <w:szCs w:val="20"/>
          <w:color w:val="auto"/>
        </w:rPr>
      </w:pPr>
    </w:p>
    <w:p>
      <w:pPr>
        <w:ind w:left="740" w:hanging="316"/>
        <w:spacing w:after="0"/>
        <w:tabs>
          <w:tab w:leader="none" w:pos="740" w:val="left"/>
        </w:tabs>
        <w:numPr>
          <w:ilvl w:val="0"/>
          <w:numId w:val="47"/>
        </w:numPr>
        <w:rPr>
          <w:rFonts w:ascii="Arial" w:cs="Arial" w:eastAsia="Arial" w:hAnsi="Arial"/>
          <w:sz w:val="22"/>
          <w:szCs w:val="22"/>
          <w:color w:val="auto"/>
        </w:rPr>
      </w:pPr>
      <w:r>
        <w:rPr>
          <w:rFonts w:ascii="Arial" w:cs="Arial" w:eastAsia="Arial" w:hAnsi="Arial"/>
          <w:sz w:val="22"/>
          <w:szCs w:val="22"/>
          <w:color w:val="auto"/>
        </w:rPr>
        <w:t>our Memorandum of Association (including its objects and powers); and</w:t>
      </w:r>
    </w:p>
    <w:p>
      <w:pPr>
        <w:spacing w:after="0" w:line="21" w:lineRule="exact"/>
        <w:rPr>
          <w:rFonts w:ascii="Arial" w:cs="Arial" w:eastAsia="Arial" w:hAnsi="Arial"/>
          <w:sz w:val="22"/>
          <w:szCs w:val="22"/>
          <w:color w:val="auto"/>
        </w:rPr>
      </w:pPr>
    </w:p>
    <w:p>
      <w:pPr>
        <w:ind w:left="740" w:hanging="316"/>
        <w:spacing w:after="0"/>
        <w:tabs>
          <w:tab w:leader="none" w:pos="740" w:val="left"/>
        </w:tabs>
        <w:numPr>
          <w:ilvl w:val="0"/>
          <w:numId w:val="47"/>
        </w:numPr>
        <w:rPr>
          <w:rFonts w:ascii="Arial" w:cs="Arial" w:eastAsia="Arial" w:hAnsi="Arial"/>
          <w:sz w:val="22"/>
          <w:szCs w:val="22"/>
          <w:color w:val="auto"/>
        </w:rPr>
      </w:pPr>
      <w:r>
        <w:rPr>
          <w:rFonts w:ascii="Arial" w:cs="Arial" w:eastAsia="Arial" w:hAnsi="Arial"/>
          <w:sz w:val="22"/>
          <w:szCs w:val="22"/>
          <w:color w:val="auto"/>
        </w:rPr>
        <w:t>any amendment of our Memorandum of Association.</w:t>
      </w:r>
    </w:p>
    <w:p>
      <w:pPr>
        <w:spacing w:after="0" w:line="229" w:lineRule="exact"/>
        <w:rPr>
          <w:sz w:val="20"/>
          <w:szCs w:val="20"/>
          <w:color w:val="auto"/>
        </w:rPr>
      </w:pPr>
    </w:p>
    <w:p>
      <w:pPr>
        <w:ind w:left="420"/>
        <w:spacing w:after="0"/>
        <w:rPr>
          <w:sz w:val="20"/>
          <w:szCs w:val="20"/>
          <w:color w:val="auto"/>
        </w:rPr>
      </w:pPr>
      <w:r>
        <w:rPr>
          <w:rFonts w:ascii="Arial" w:cs="Arial" w:eastAsia="Arial" w:hAnsi="Arial"/>
          <w:sz w:val="22"/>
          <w:szCs w:val="22"/>
          <w:color w:val="auto"/>
        </w:rPr>
        <w:t>In addition, our shareholders have the right to inspect:</w:t>
      </w:r>
    </w:p>
    <w:p>
      <w:pPr>
        <w:spacing w:after="0" w:line="152" w:lineRule="exact"/>
        <w:rPr>
          <w:sz w:val="20"/>
          <w:szCs w:val="20"/>
          <w:color w:val="auto"/>
        </w:rPr>
      </w:pPr>
    </w:p>
    <w:p>
      <w:pPr>
        <w:ind w:left="740" w:hanging="316"/>
        <w:spacing w:after="0"/>
        <w:tabs>
          <w:tab w:leader="none" w:pos="740" w:val="left"/>
        </w:tabs>
        <w:numPr>
          <w:ilvl w:val="0"/>
          <w:numId w:val="48"/>
        </w:numPr>
        <w:rPr>
          <w:rFonts w:ascii="Arial" w:cs="Arial" w:eastAsia="Arial" w:hAnsi="Arial"/>
          <w:sz w:val="22"/>
          <w:szCs w:val="22"/>
          <w:color w:val="auto"/>
        </w:rPr>
      </w:pPr>
      <w:r>
        <w:rPr>
          <w:rFonts w:ascii="Arial" w:cs="Arial" w:eastAsia="Arial" w:hAnsi="Arial"/>
          <w:sz w:val="22"/>
          <w:szCs w:val="22"/>
          <w:color w:val="auto"/>
        </w:rPr>
        <w:t>our Bye-laws;</w:t>
      </w:r>
    </w:p>
    <w:p>
      <w:pPr>
        <w:spacing w:after="0" w:line="21" w:lineRule="exact"/>
        <w:rPr>
          <w:rFonts w:ascii="Arial" w:cs="Arial" w:eastAsia="Arial" w:hAnsi="Arial"/>
          <w:sz w:val="22"/>
          <w:szCs w:val="22"/>
          <w:color w:val="auto"/>
        </w:rPr>
      </w:pPr>
    </w:p>
    <w:p>
      <w:pPr>
        <w:ind w:left="740" w:hanging="316"/>
        <w:spacing w:after="0"/>
        <w:tabs>
          <w:tab w:leader="none" w:pos="740" w:val="left"/>
        </w:tabs>
        <w:numPr>
          <w:ilvl w:val="0"/>
          <w:numId w:val="48"/>
        </w:numPr>
        <w:rPr>
          <w:rFonts w:ascii="Arial" w:cs="Arial" w:eastAsia="Arial" w:hAnsi="Arial"/>
          <w:sz w:val="22"/>
          <w:szCs w:val="22"/>
          <w:color w:val="auto"/>
        </w:rPr>
      </w:pPr>
      <w:r>
        <w:rPr>
          <w:rFonts w:ascii="Arial" w:cs="Arial" w:eastAsia="Arial" w:hAnsi="Arial"/>
          <w:sz w:val="22"/>
          <w:szCs w:val="22"/>
          <w:color w:val="auto"/>
        </w:rPr>
        <w:t>our minutes of general meetings; and</w:t>
      </w:r>
    </w:p>
    <w:p>
      <w:pPr>
        <w:spacing w:after="0" w:line="3" w:lineRule="exact"/>
        <w:rPr>
          <w:rFonts w:ascii="Arial" w:cs="Arial" w:eastAsia="Arial" w:hAnsi="Arial"/>
          <w:sz w:val="22"/>
          <w:szCs w:val="22"/>
          <w:color w:val="auto"/>
        </w:rPr>
      </w:pPr>
    </w:p>
    <w:p>
      <w:pPr>
        <w:ind w:left="740" w:hanging="316"/>
        <w:spacing w:after="0"/>
        <w:tabs>
          <w:tab w:leader="none" w:pos="740" w:val="left"/>
        </w:tabs>
        <w:numPr>
          <w:ilvl w:val="0"/>
          <w:numId w:val="48"/>
        </w:numPr>
        <w:rPr>
          <w:rFonts w:ascii="Arial" w:cs="Arial" w:eastAsia="Arial" w:hAnsi="Arial"/>
          <w:sz w:val="22"/>
          <w:szCs w:val="22"/>
          <w:color w:val="auto"/>
        </w:rPr>
      </w:pPr>
      <w:r>
        <w:rPr>
          <w:rFonts w:ascii="Arial" w:cs="Arial" w:eastAsia="Arial" w:hAnsi="Arial"/>
          <w:sz w:val="22"/>
          <w:szCs w:val="22"/>
          <w:color w:val="auto"/>
        </w:rPr>
        <w:t>our audited financial statements, which must be presented at the annual general meeting.</w:t>
      </w:r>
    </w:p>
    <w:p>
      <w:pPr>
        <w:spacing w:after="0" w:line="229" w:lineRule="exact"/>
        <w:rPr>
          <w:sz w:val="20"/>
          <w:szCs w:val="20"/>
          <w:color w:val="auto"/>
        </w:rPr>
      </w:pPr>
    </w:p>
    <w:p>
      <w:pPr>
        <w:ind w:right="420" w:firstLine="416"/>
        <w:spacing w:after="0" w:line="276" w:lineRule="auto"/>
        <w:rPr>
          <w:sz w:val="20"/>
          <w:szCs w:val="20"/>
          <w:color w:val="auto"/>
        </w:rPr>
      </w:pPr>
      <w:r>
        <w:rPr>
          <w:rFonts w:ascii="Arial" w:cs="Arial" w:eastAsia="Arial" w:hAnsi="Arial"/>
          <w:sz w:val="22"/>
          <w:szCs w:val="22"/>
          <w:color w:val="auto"/>
        </w:rPr>
        <w:t>Our register of shareholders is also open to inspection by our shareholders and to members of the general public without charge.</w:t>
      </w:r>
    </w:p>
    <w:p>
      <w:pPr>
        <w:spacing w:after="0" w:line="201" w:lineRule="exact"/>
        <w:rPr>
          <w:sz w:val="20"/>
          <w:szCs w:val="20"/>
          <w:color w:val="auto"/>
        </w:rPr>
      </w:pPr>
    </w:p>
    <w:p>
      <w:pPr>
        <w:ind w:firstLine="416"/>
        <w:spacing w:after="0" w:line="317" w:lineRule="auto"/>
        <w:rPr>
          <w:sz w:val="20"/>
          <w:szCs w:val="20"/>
          <w:color w:val="auto"/>
        </w:rPr>
      </w:pPr>
      <w:r>
        <w:rPr>
          <w:rFonts w:ascii="Arial" w:cs="Arial" w:eastAsia="Arial" w:hAnsi="Arial"/>
          <w:sz w:val="19"/>
          <w:szCs w:val="19"/>
          <w:color w:val="auto"/>
        </w:rPr>
        <w:t>We are required to maintain our share register in Bermuda but may, subject to the provisions of the Companies Act, establish a branch register outside Bermuda. We are required to keep at our registered office a register of our directors and officers which is open for inspection for not less than two hours each day by members of the public without charge. However, Bermuda law does not provide a general right for shareholders to inspect or obtain copies of any other corporate records.</w:t>
      </w:r>
    </w:p>
    <w:p>
      <w:pPr>
        <w:sectPr>
          <w:pgSz w:w="11900" w:h="16838" w:orient="portrait"/>
          <w:cols w:equalWidth="0" w:num="1">
            <w:col w:w="11240"/>
          </w:cols>
          <w:pgMar w:left="320" w:top="1440" w:right="339" w:bottom="1440" w:gutter="0" w:footer="0" w:header="0"/>
        </w:sectPr>
      </w:pPr>
    </w:p>
    <w:bookmarkStart w:id="113" w:name="page114"/>
    <w:bookmarkEnd w:id="113"/>
    <w:p>
      <w:pPr>
        <w:spacing w:after="0" w:line="231" w:lineRule="exact"/>
        <w:rPr>
          <w:sz w:val="20"/>
          <w:szCs w:val="20"/>
          <w:color w:val="auto"/>
        </w:rPr>
      </w:pPr>
    </w:p>
    <w:p>
      <w:pPr>
        <w:ind w:right="200" w:firstLine="416"/>
        <w:spacing w:after="0" w:line="262" w:lineRule="auto"/>
        <w:rPr>
          <w:sz w:val="20"/>
          <w:szCs w:val="20"/>
          <w:color w:val="auto"/>
        </w:rPr>
      </w:pPr>
      <w:r>
        <w:rPr>
          <w:rFonts w:ascii="Arial" w:cs="Arial" w:eastAsia="Arial" w:hAnsi="Arial"/>
          <w:sz w:val="22"/>
          <w:szCs w:val="22"/>
          <w:b w:val="1"/>
          <w:bCs w:val="1"/>
          <w:i w:val="1"/>
          <w:iCs w:val="1"/>
          <w:color w:val="auto"/>
        </w:rPr>
        <w:t>Election or Removal of Directors</w:t>
      </w:r>
      <w:r>
        <w:rPr>
          <w:rFonts w:ascii="Arial" w:cs="Arial" w:eastAsia="Arial" w:hAnsi="Arial"/>
          <w:sz w:val="22"/>
          <w:szCs w:val="22"/>
          <w:color w:val="auto"/>
        </w:rPr>
        <w:t>. Under Bermuda law and our Bye-laws, directors are elected at the annual general</w:t>
      </w:r>
      <w:r>
        <w:rPr>
          <w:rFonts w:ascii="Arial" w:cs="Arial" w:eastAsia="Arial" w:hAnsi="Arial"/>
          <w:sz w:val="22"/>
          <w:szCs w:val="22"/>
          <w:b w:val="1"/>
          <w:bCs w:val="1"/>
          <w:i w:val="1"/>
          <w:iCs w:val="1"/>
          <w:color w:val="auto"/>
        </w:rPr>
        <w:t xml:space="preserve"> </w:t>
      </w:r>
      <w:r>
        <w:rPr>
          <w:rFonts w:ascii="Arial" w:cs="Arial" w:eastAsia="Arial" w:hAnsi="Arial"/>
          <w:sz w:val="22"/>
          <w:szCs w:val="22"/>
          <w:color w:val="auto"/>
        </w:rPr>
        <w:t>meeting for a term of one year or until their successors are elected or appointed, unless they resign or are earlier removed. Pursuant to our Bye-laws, our board of directors shall consist of not less than two directors or such number in excess thereof as our board of directors may from time to time determine.</w:t>
      </w:r>
    </w:p>
    <w:p>
      <w:pPr>
        <w:spacing w:after="0" w:line="205" w:lineRule="exact"/>
        <w:rPr>
          <w:sz w:val="20"/>
          <w:szCs w:val="20"/>
          <w:color w:val="auto"/>
        </w:rPr>
      </w:pPr>
    </w:p>
    <w:p>
      <w:pPr>
        <w:ind w:firstLine="416"/>
        <w:spacing w:after="0" w:line="261" w:lineRule="auto"/>
        <w:rPr>
          <w:sz w:val="20"/>
          <w:szCs w:val="20"/>
          <w:color w:val="auto"/>
        </w:rPr>
      </w:pPr>
      <w:r>
        <w:rPr>
          <w:rFonts w:ascii="Arial" w:cs="Arial" w:eastAsia="Arial" w:hAnsi="Arial"/>
          <w:sz w:val="22"/>
          <w:szCs w:val="22"/>
          <w:color w:val="auto"/>
        </w:rPr>
        <w:t>Under Bermuda law, unless otherwise provided in a company’s bye-laws, a director may be removed at a special general meeting of shareholders specifically called for that purpose, provided that the director was served with at least 14 days’ notice of the meeting. The director has a right to be heard at such meeting. Any vacancy created by the removal of a director at a special general meeting may be filled at such meeting by the election of another director in his or her place or, in the absence of any such election, by our board of directors.</w:t>
      </w:r>
    </w:p>
    <w:p>
      <w:pPr>
        <w:spacing w:after="0" w:line="217" w:lineRule="exact"/>
        <w:rPr>
          <w:sz w:val="20"/>
          <w:szCs w:val="20"/>
          <w:color w:val="auto"/>
        </w:rPr>
      </w:pPr>
    </w:p>
    <w:p>
      <w:pPr>
        <w:ind w:right="60" w:firstLine="416"/>
        <w:spacing w:after="0" w:line="273" w:lineRule="auto"/>
        <w:rPr>
          <w:sz w:val="20"/>
          <w:szCs w:val="20"/>
          <w:color w:val="auto"/>
        </w:rPr>
      </w:pPr>
      <w:r>
        <w:rPr>
          <w:rFonts w:ascii="Arial" w:cs="Arial" w:eastAsia="Arial" w:hAnsi="Arial"/>
          <w:sz w:val="21"/>
          <w:szCs w:val="21"/>
          <w:b w:val="1"/>
          <w:bCs w:val="1"/>
          <w:i w:val="1"/>
          <w:iCs w:val="1"/>
          <w:color w:val="auto"/>
        </w:rPr>
        <w:t>Amendment of Memorandum of Association and Bye-laws</w:t>
      </w:r>
      <w:r>
        <w:rPr>
          <w:rFonts w:ascii="Arial" w:cs="Arial" w:eastAsia="Arial" w:hAnsi="Arial"/>
          <w:sz w:val="21"/>
          <w:szCs w:val="21"/>
          <w:color w:val="auto"/>
        </w:rPr>
        <w:t>. Bermuda law provides that the memorandum of association of</w:t>
      </w:r>
      <w:r>
        <w:rPr>
          <w:rFonts w:ascii="Arial" w:cs="Arial" w:eastAsia="Arial" w:hAnsi="Arial"/>
          <w:sz w:val="21"/>
          <w:szCs w:val="21"/>
          <w:b w:val="1"/>
          <w:bCs w:val="1"/>
          <w:i w:val="1"/>
          <w:iCs w:val="1"/>
          <w:color w:val="auto"/>
        </w:rPr>
        <w:t xml:space="preserve"> </w:t>
      </w:r>
      <w:r>
        <w:rPr>
          <w:rFonts w:ascii="Arial" w:cs="Arial" w:eastAsia="Arial" w:hAnsi="Arial"/>
          <w:sz w:val="21"/>
          <w:szCs w:val="21"/>
          <w:color w:val="auto"/>
        </w:rPr>
        <w:t>a company may be amended by a resolution passed at a general meeting of shareholders after due notice has been given. An amendment to the memorandum of association, other than an amendment which alters or reduces a company’s share capital, also requires the approval of the Registrar of Companies, who may grant or withhold approval at his or her discretion. The directors may amend the bye-laws, but the amendment must be approved by the shareholders at a general meeting and approved by the affirmative votes of a majority of the votes cast in accordance with the provisions of the bye-laws and in case of an equality of votes the resolutions shall fail.</w:t>
      </w:r>
    </w:p>
    <w:p>
      <w:pPr>
        <w:spacing w:after="0" w:line="102" w:lineRule="exact"/>
        <w:rPr>
          <w:sz w:val="20"/>
          <w:szCs w:val="20"/>
          <w:color w:val="auto"/>
        </w:rPr>
      </w:pPr>
    </w:p>
    <w:p>
      <w:pPr>
        <w:ind w:firstLine="459"/>
        <w:spacing w:after="0" w:line="305" w:lineRule="auto"/>
        <w:rPr>
          <w:sz w:val="20"/>
          <w:szCs w:val="20"/>
          <w:color w:val="auto"/>
        </w:rPr>
      </w:pPr>
      <w:r>
        <w:rPr>
          <w:rFonts w:ascii="Arial" w:cs="Arial" w:eastAsia="Arial" w:hAnsi="Arial"/>
          <w:sz w:val="19"/>
          <w:szCs w:val="19"/>
          <w:color w:val="auto"/>
        </w:rPr>
        <w:t>Under Bermuda law,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which alters or reduces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of their number as they may appoint in writing for that purpose. No such application may be made by persons voting in favor of the amendment.</w:t>
      </w:r>
    </w:p>
    <w:p>
      <w:pPr>
        <w:spacing w:after="0" w:line="182" w:lineRule="exact"/>
        <w:rPr>
          <w:sz w:val="20"/>
          <w:szCs w:val="20"/>
          <w:color w:val="auto"/>
        </w:rPr>
      </w:pPr>
    </w:p>
    <w:p>
      <w:pPr>
        <w:ind w:right="120" w:firstLine="416"/>
        <w:spacing w:after="0" w:line="260" w:lineRule="auto"/>
        <w:rPr>
          <w:sz w:val="20"/>
          <w:szCs w:val="20"/>
          <w:color w:val="auto"/>
        </w:rPr>
      </w:pPr>
      <w:r>
        <w:rPr>
          <w:rFonts w:ascii="Arial" w:cs="Arial" w:eastAsia="Arial" w:hAnsi="Arial"/>
          <w:sz w:val="22"/>
          <w:szCs w:val="22"/>
          <w:b w:val="1"/>
          <w:bCs w:val="1"/>
          <w:i w:val="1"/>
          <w:iCs w:val="1"/>
          <w:color w:val="auto"/>
        </w:rPr>
        <w:t>Appraisal Rights and Shareholder Suits</w:t>
      </w:r>
      <w:r>
        <w:rPr>
          <w:rFonts w:ascii="Arial" w:cs="Arial" w:eastAsia="Arial" w:hAnsi="Arial"/>
          <w:sz w:val="22"/>
          <w:szCs w:val="22"/>
          <w:color w:val="auto"/>
        </w:rPr>
        <w:t>. Under Bermuda law, in the event of a merger or amalgamation of a Bermuda</w:t>
      </w:r>
      <w:r>
        <w:rPr>
          <w:rFonts w:ascii="Arial" w:cs="Arial" w:eastAsia="Arial" w:hAnsi="Arial"/>
          <w:sz w:val="22"/>
          <w:szCs w:val="22"/>
          <w:b w:val="1"/>
          <w:bCs w:val="1"/>
          <w:i w:val="1"/>
          <w:iCs w:val="1"/>
          <w:color w:val="auto"/>
        </w:rPr>
        <w:t xml:space="preserve"> </w:t>
      </w:r>
      <w:r>
        <w:rPr>
          <w:rFonts w:ascii="Arial" w:cs="Arial" w:eastAsia="Arial" w:hAnsi="Arial"/>
          <w:sz w:val="22"/>
          <w:szCs w:val="22"/>
          <w:color w:val="auto"/>
        </w:rPr>
        <w:t>company with another company, a shareholder of the Bermuda company who is not satisfied that fair value has been offered for his or her shares may within one month of giving of the notice of the shareholder meeting apply to the Bermuda courts to appraise the fair value of his or her shares. The merger or amalgamation of a company with another company requires the approval of the merger or amalgamation agreement by our board of directors and by the shareholders, and of the holders of each class of such shares.</w:t>
      </w:r>
    </w:p>
    <w:p>
      <w:pPr>
        <w:sectPr>
          <w:pgSz w:w="11900" w:h="16838" w:orient="portrait"/>
          <w:cols w:equalWidth="0" w:num="1">
            <w:col w:w="11200"/>
          </w:cols>
          <w:pgMar w:left="320" w:top="1440" w:right="379" w:bottom="1440" w:gutter="0" w:footer="0" w:header="0"/>
        </w:sectPr>
      </w:pPr>
    </w:p>
    <w:bookmarkStart w:id="114" w:name="page115"/>
    <w:bookmarkEnd w:id="114"/>
    <w:p>
      <w:pPr>
        <w:spacing w:after="0" w:line="231" w:lineRule="exact"/>
        <w:rPr>
          <w:sz w:val="20"/>
          <w:szCs w:val="20"/>
          <w:color w:val="auto"/>
        </w:rPr>
      </w:pPr>
    </w:p>
    <w:p>
      <w:pPr>
        <w:ind w:right="160" w:firstLine="416"/>
        <w:spacing w:after="0" w:line="327" w:lineRule="auto"/>
        <w:rPr>
          <w:sz w:val="20"/>
          <w:szCs w:val="20"/>
          <w:color w:val="auto"/>
        </w:rPr>
      </w:pPr>
      <w:r>
        <w:rPr>
          <w:rFonts w:ascii="Arial" w:cs="Arial" w:eastAsia="Arial" w:hAnsi="Arial"/>
          <w:sz w:val="19"/>
          <w:szCs w:val="19"/>
          <w:color w:val="auto"/>
        </w:rPr>
        <w:t>Class actions and derivative actions are generally not available to shareholders under Bermuda law. However, the Bermuda courts would ordinarily be expected to follow English case law precedent, which would permit a shareholder to commence an action in the name of a company to remedy a wrong done to the company where the act complained of is alleged:</w:t>
      </w:r>
    </w:p>
    <w:p>
      <w:pPr>
        <w:spacing w:after="0" w:line="52" w:lineRule="exact"/>
        <w:rPr>
          <w:sz w:val="20"/>
          <w:szCs w:val="20"/>
          <w:color w:val="auto"/>
        </w:rPr>
      </w:pPr>
    </w:p>
    <w:p>
      <w:pPr>
        <w:ind w:left="800" w:hanging="376"/>
        <w:spacing w:after="0"/>
        <w:tabs>
          <w:tab w:leader="none" w:pos="800" w:val="left"/>
        </w:tabs>
        <w:numPr>
          <w:ilvl w:val="0"/>
          <w:numId w:val="49"/>
        </w:numPr>
        <w:rPr>
          <w:rFonts w:ascii="Arial" w:cs="Arial" w:eastAsia="Arial" w:hAnsi="Arial"/>
          <w:sz w:val="22"/>
          <w:szCs w:val="22"/>
          <w:color w:val="auto"/>
        </w:rPr>
      </w:pPr>
      <w:r>
        <w:rPr>
          <w:rFonts w:ascii="Arial" w:cs="Arial" w:eastAsia="Arial" w:hAnsi="Arial"/>
          <w:sz w:val="22"/>
          <w:szCs w:val="22"/>
          <w:color w:val="auto"/>
        </w:rPr>
        <w:t>to be beyond the corporate power of the company;</w:t>
      </w:r>
    </w:p>
    <w:p>
      <w:pPr>
        <w:spacing w:after="0" w:line="21" w:lineRule="exact"/>
        <w:rPr>
          <w:rFonts w:ascii="Arial" w:cs="Arial" w:eastAsia="Arial" w:hAnsi="Arial"/>
          <w:sz w:val="22"/>
          <w:szCs w:val="22"/>
          <w:color w:val="auto"/>
        </w:rPr>
      </w:pPr>
    </w:p>
    <w:p>
      <w:pPr>
        <w:ind w:left="740" w:hanging="316"/>
        <w:spacing w:after="0"/>
        <w:tabs>
          <w:tab w:leader="none" w:pos="740" w:val="left"/>
        </w:tabs>
        <w:numPr>
          <w:ilvl w:val="0"/>
          <w:numId w:val="49"/>
        </w:numPr>
        <w:rPr>
          <w:rFonts w:ascii="Arial" w:cs="Arial" w:eastAsia="Arial" w:hAnsi="Arial"/>
          <w:sz w:val="22"/>
          <w:szCs w:val="22"/>
          <w:color w:val="auto"/>
        </w:rPr>
      </w:pPr>
      <w:r>
        <w:rPr>
          <w:rFonts w:ascii="Arial" w:cs="Arial" w:eastAsia="Arial" w:hAnsi="Arial"/>
          <w:sz w:val="22"/>
          <w:szCs w:val="22"/>
          <w:color w:val="auto"/>
        </w:rPr>
        <w:t>to be illegal; or</w:t>
      </w:r>
    </w:p>
    <w:p>
      <w:pPr>
        <w:spacing w:after="0" w:line="3" w:lineRule="exact"/>
        <w:rPr>
          <w:rFonts w:ascii="Arial" w:cs="Arial" w:eastAsia="Arial" w:hAnsi="Arial"/>
          <w:sz w:val="22"/>
          <w:szCs w:val="22"/>
          <w:color w:val="auto"/>
        </w:rPr>
      </w:pPr>
    </w:p>
    <w:p>
      <w:pPr>
        <w:ind w:left="740" w:hanging="316"/>
        <w:spacing w:after="0"/>
        <w:tabs>
          <w:tab w:leader="none" w:pos="740" w:val="left"/>
        </w:tabs>
        <w:numPr>
          <w:ilvl w:val="0"/>
          <w:numId w:val="49"/>
        </w:numPr>
        <w:rPr>
          <w:rFonts w:ascii="Arial" w:cs="Arial" w:eastAsia="Arial" w:hAnsi="Arial"/>
          <w:sz w:val="22"/>
          <w:szCs w:val="22"/>
          <w:color w:val="auto"/>
        </w:rPr>
      </w:pPr>
      <w:r>
        <w:rPr>
          <w:rFonts w:ascii="Arial" w:cs="Arial" w:eastAsia="Arial" w:hAnsi="Arial"/>
          <w:sz w:val="22"/>
          <w:szCs w:val="22"/>
          <w:color w:val="auto"/>
        </w:rPr>
        <w:t>to violate the company’s memorandum of association or bye-laws.</w:t>
      </w:r>
    </w:p>
    <w:p>
      <w:pPr>
        <w:spacing w:after="0" w:line="229" w:lineRule="exact"/>
        <w:rPr>
          <w:sz w:val="20"/>
          <w:szCs w:val="20"/>
          <w:color w:val="auto"/>
        </w:rPr>
      </w:pPr>
    </w:p>
    <w:p>
      <w:pPr>
        <w:jc w:val="both"/>
        <w:ind w:right="240" w:firstLine="416"/>
        <w:spacing w:after="0" w:line="266" w:lineRule="auto"/>
        <w:rPr>
          <w:sz w:val="20"/>
          <w:szCs w:val="20"/>
          <w:color w:val="auto"/>
        </w:rPr>
      </w:pPr>
      <w:r>
        <w:rPr>
          <w:rFonts w:ascii="Arial" w:cs="Arial" w:eastAsia="Arial" w:hAnsi="Arial"/>
          <w:sz w:val="22"/>
          <w:szCs w:val="22"/>
          <w:color w:val="auto"/>
        </w:rPr>
        <w:t>Furthermore, consideration would be given by the Bermuda courts to acts that are alleged to constitute a fraud against the minority shareholders or, for instance where an act requires the approval of a greater percentage of the company’s shareholders than those who actually approve it.</w:t>
      </w:r>
    </w:p>
    <w:p>
      <w:pPr>
        <w:spacing w:after="0" w:line="198" w:lineRule="exact"/>
        <w:rPr>
          <w:sz w:val="20"/>
          <w:szCs w:val="20"/>
          <w:color w:val="auto"/>
        </w:rPr>
      </w:pPr>
    </w:p>
    <w:p>
      <w:pPr>
        <w:ind w:right="40" w:firstLine="416"/>
        <w:spacing w:after="0" w:line="327" w:lineRule="auto"/>
        <w:rPr>
          <w:sz w:val="20"/>
          <w:szCs w:val="20"/>
          <w:color w:val="auto"/>
        </w:rPr>
      </w:pPr>
      <w:r>
        <w:rPr>
          <w:rFonts w:ascii="Arial" w:cs="Arial" w:eastAsia="Arial" w:hAnsi="Arial"/>
          <w:sz w:val="19"/>
          <w:szCs w:val="19"/>
          <w:color w:val="auto"/>
        </w:rPr>
        <w:t>When the affairs of a company are being conducted in a manner oppressive or unfairly prejudicial to the interests of some of the shareholders, one or more shareholders may apply to the Bermuda courts for an order to regulate the company’s conduct of affairs in the future or for an order for the purchase of the shares by any shareholder, by other shareholders or by the company.</w:t>
      </w:r>
    </w:p>
    <w:p>
      <w:pPr>
        <w:spacing w:after="0" w:line="160" w:lineRule="exact"/>
        <w:rPr>
          <w:sz w:val="20"/>
          <w:szCs w:val="20"/>
          <w:color w:val="auto"/>
        </w:rPr>
      </w:pPr>
    </w:p>
    <w:p>
      <w:pPr>
        <w:ind w:right="160" w:firstLine="416"/>
        <w:spacing w:after="0" w:line="262" w:lineRule="auto"/>
        <w:rPr>
          <w:sz w:val="20"/>
          <w:szCs w:val="20"/>
          <w:color w:val="auto"/>
        </w:rPr>
      </w:pPr>
      <w:r>
        <w:rPr>
          <w:rFonts w:ascii="Arial" w:cs="Arial" w:eastAsia="Arial" w:hAnsi="Arial"/>
          <w:sz w:val="22"/>
          <w:szCs w:val="22"/>
          <w:b w:val="1"/>
          <w:bCs w:val="1"/>
          <w:i w:val="1"/>
          <w:iCs w:val="1"/>
          <w:color w:val="auto"/>
        </w:rPr>
        <w:t>Board Actions</w:t>
      </w:r>
      <w:r>
        <w:rPr>
          <w:rFonts w:ascii="Arial" w:cs="Arial" w:eastAsia="Arial" w:hAnsi="Arial"/>
          <w:sz w:val="22"/>
          <w:szCs w:val="22"/>
          <w:color w:val="auto"/>
        </w:rPr>
        <w:t>. Under Bermuda law, the directors of a Bermuda company owe their fiduciary duties to the company, rather</w:t>
      </w:r>
      <w:r>
        <w:rPr>
          <w:rFonts w:ascii="Arial" w:cs="Arial" w:eastAsia="Arial" w:hAnsi="Arial"/>
          <w:sz w:val="22"/>
          <w:szCs w:val="22"/>
          <w:b w:val="1"/>
          <w:bCs w:val="1"/>
          <w:i w:val="1"/>
          <w:iCs w:val="1"/>
          <w:color w:val="auto"/>
        </w:rPr>
        <w:t xml:space="preserve"> </w:t>
      </w:r>
      <w:r>
        <w:rPr>
          <w:rFonts w:ascii="Arial" w:cs="Arial" w:eastAsia="Arial" w:hAnsi="Arial"/>
          <w:sz w:val="22"/>
          <w:szCs w:val="22"/>
          <w:color w:val="auto"/>
        </w:rPr>
        <w:t>than to individual shareholders. Our Bye-laws provide that some actions are required to be approved by our board of directors. Actions must be approved by a majority of the votes present and entitled to be cast at a properly convened meeting of our board of directors.</w:t>
      </w:r>
    </w:p>
    <w:p>
      <w:pPr>
        <w:spacing w:after="0" w:line="218" w:lineRule="exact"/>
        <w:rPr>
          <w:sz w:val="20"/>
          <w:szCs w:val="20"/>
          <w:color w:val="auto"/>
        </w:rPr>
      </w:pPr>
    </w:p>
    <w:p>
      <w:pPr>
        <w:ind w:firstLine="416"/>
        <w:spacing w:after="0" w:line="274" w:lineRule="auto"/>
        <w:rPr>
          <w:sz w:val="20"/>
          <w:szCs w:val="20"/>
          <w:color w:val="auto"/>
        </w:rPr>
      </w:pPr>
      <w:r>
        <w:rPr>
          <w:rFonts w:ascii="Arial" w:cs="Arial" w:eastAsia="Arial" w:hAnsi="Arial"/>
          <w:sz w:val="21"/>
          <w:szCs w:val="21"/>
          <w:color w:val="auto"/>
        </w:rPr>
        <w:t>Our Bye-laws contain a provision by virtue of which our shareholders waive any claim or right of action that they have, both individually and on our behalf, against any director or officer in relation to any action or failure to take action by such director or officer, except in respect of any fraud or dishonesty of such director or officer. Our Bye-laws also indemnify our directors and officers in respect of their actions and omissions, except in respect of their fraud or dishonesty. The indemnification provided in our Bye-laws is not exclusive of other indemnification rights to which a director or officer may be entitled, provided these rights do not extend to his or her fraud or dishonesty.</w:t>
      </w:r>
    </w:p>
    <w:p>
      <w:pPr>
        <w:spacing w:after="0" w:line="195" w:lineRule="exact"/>
        <w:rPr>
          <w:sz w:val="20"/>
          <w:szCs w:val="20"/>
          <w:color w:val="auto"/>
        </w:rPr>
      </w:pPr>
    </w:p>
    <w:p>
      <w:pPr>
        <w:jc w:val="both"/>
        <w:ind w:right="220" w:firstLine="416"/>
        <w:spacing w:after="0" w:line="327" w:lineRule="auto"/>
        <w:rPr>
          <w:sz w:val="20"/>
          <w:szCs w:val="20"/>
          <w:color w:val="auto"/>
        </w:rPr>
      </w:pPr>
      <w:r>
        <w:rPr>
          <w:rFonts w:ascii="Arial" w:cs="Arial" w:eastAsia="Arial" w:hAnsi="Arial"/>
          <w:sz w:val="19"/>
          <w:szCs w:val="19"/>
          <w:color w:val="auto"/>
        </w:rPr>
        <w:t>Our Bye-laws provide that our business is to be managed and conducted by our board of directors. Bermuda law does not require that our directors be individuals, and there is no requirement in our Bye-laws or Bermuda law that directors hold any of our shares. There is also no requirement in our Bye-laws or Bermuda law that our directors must retire at a certain age.</w:t>
      </w:r>
    </w:p>
    <w:p>
      <w:pPr>
        <w:spacing w:after="0" w:line="65" w:lineRule="exact"/>
        <w:rPr>
          <w:sz w:val="20"/>
          <w:szCs w:val="20"/>
          <w:color w:val="auto"/>
        </w:rPr>
      </w:pPr>
    </w:p>
    <w:p>
      <w:pPr>
        <w:ind w:right="120" w:firstLine="459"/>
        <w:spacing w:after="0" w:line="262" w:lineRule="auto"/>
        <w:rPr>
          <w:sz w:val="20"/>
          <w:szCs w:val="20"/>
          <w:color w:val="auto"/>
        </w:rPr>
      </w:pPr>
      <w:r>
        <w:rPr>
          <w:rFonts w:ascii="Arial" w:cs="Arial" w:eastAsia="Arial" w:hAnsi="Arial"/>
          <w:sz w:val="22"/>
          <w:szCs w:val="22"/>
          <w:b w:val="1"/>
          <w:bCs w:val="1"/>
          <w:i w:val="1"/>
          <w:iCs w:val="1"/>
          <w:color w:val="auto"/>
        </w:rPr>
        <w:t>Related Party Transactions and Loans</w:t>
      </w:r>
      <w:r>
        <w:rPr>
          <w:rFonts w:ascii="Arial" w:cs="Arial" w:eastAsia="Arial" w:hAnsi="Arial"/>
          <w:sz w:val="22"/>
          <w:szCs w:val="22"/>
          <w:color w:val="auto"/>
        </w:rPr>
        <w:t>. Pursuant to our Bye-laws, provided a director discloses a direct or indirect interest</w:t>
      </w:r>
      <w:r>
        <w:rPr>
          <w:rFonts w:ascii="Arial" w:cs="Arial" w:eastAsia="Arial" w:hAnsi="Arial"/>
          <w:sz w:val="22"/>
          <w:szCs w:val="22"/>
          <w:b w:val="1"/>
          <w:bCs w:val="1"/>
          <w:i w:val="1"/>
          <w:iCs w:val="1"/>
          <w:color w:val="auto"/>
        </w:rPr>
        <w:t xml:space="preserve"> </w:t>
      </w:r>
      <w:r>
        <w:rPr>
          <w:rFonts w:ascii="Arial" w:cs="Arial" w:eastAsia="Arial" w:hAnsi="Arial"/>
          <w:sz w:val="22"/>
          <w:szCs w:val="22"/>
          <w:color w:val="auto"/>
        </w:rPr>
        <w:t>in any contract or arrangement with us as required by Bermuda law, such director is may be counted in the quorum and vote in respect of any such contract or arrangement in which he or she is interested unless he or she is disqualified from voting by the chairman of the relevant board meeting.</w:t>
      </w:r>
    </w:p>
    <w:p>
      <w:pPr>
        <w:sectPr>
          <w:pgSz w:w="11900" w:h="16838" w:orient="portrait"/>
          <w:cols w:equalWidth="0" w:num="1">
            <w:col w:w="11220"/>
          </w:cols>
          <w:pgMar w:left="320" w:top="1440" w:right="359" w:bottom="1440" w:gutter="0" w:footer="0" w:header="0"/>
        </w:sectPr>
      </w:pPr>
    </w:p>
    <w:bookmarkStart w:id="115" w:name="page116"/>
    <w:bookmarkEnd w:id="115"/>
    <w:p>
      <w:pPr>
        <w:spacing w:after="0" w:line="231" w:lineRule="exact"/>
        <w:rPr>
          <w:sz w:val="20"/>
          <w:szCs w:val="20"/>
          <w:color w:val="auto"/>
        </w:rPr>
      </w:pPr>
    </w:p>
    <w:p>
      <w:pPr>
        <w:ind w:right="80" w:firstLine="416"/>
        <w:spacing w:after="0" w:line="284" w:lineRule="auto"/>
        <w:rPr>
          <w:sz w:val="20"/>
          <w:szCs w:val="20"/>
          <w:color w:val="auto"/>
        </w:rPr>
      </w:pPr>
      <w:r>
        <w:rPr>
          <w:rFonts w:ascii="Arial" w:cs="Arial" w:eastAsia="Arial" w:hAnsi="Arial"/>
          <w:sz w:val="21"/>
          <w:szCs w:val="21"/>
          <w:b w:val="1"/>
          <w:bCs w:val="1"/>
          <w:i w:val="1"/>
          <w:iCs w:val="1"/>
          <w:color w:val="auto"/>
        </w:rPr>
        <w:t>Discontinuance/Continuation</w:t>
      </w:r>
      <w:r>
        <w:rPr>
          <w:rFonts w:ascii="Arial" w:cs="Arial" w:eastAsia="Arial" w:hAnsi="Arial"/>
          <w:sz w:val="21"/>
          <w:szCs w:val="21"/>
          <w:color w:val="auto"/>
        </w:rPr>
        <w:t>. Under Bermuda law, an exempted company may be discontinued in Bermuda and continued</w:t>
      </w:r>
      <w:r>
        <w:rPr>
          <w:rFonts w:ascii="Arial" w:cs="Arial" w:eastAsia="Arial" w:hAnsi="Arial"/>
          <w:sz w:val="21"/>
          <w:szCs w:val="21"/>
          <w:b w:val="1"/>
          <w:bCs w:val="1"/>
          <w:i w:val="1"/>
          <w:iCs w:val="1"/>
          <w:color w:val="auto"/>
        </w:rPr>
        <w:t xml:space="preserve"> </w:t>
      </w:r>
      <w:r>
        <w:rPr>
          <w:rFonts w:ascii="Arial" w:cs="Arial" w:eastAsia="Arial" w:hAnsi="Arial"/>
          <w:sz w:val="21"/>
          <w:szCs w:val="21"/>
          <w:color w:val="auto"/>
        </w:rPr>
        <w:t>in a jurisdiction outside Bermuda as if it had been incorporated under the laws of that other jurisdiction. Our Bye-laws provide that our board of directors may exercise all our power to discontinue to another jurisdiction.</w:t>
      </w:r>
    </w:p>
    <w:p>
      <w:pPr>
        <w:spacing w:after="0" w:line="182" w:lineRule="exact"/>
        <w:rPr>
          <w:sz w:val="20"/>
          <w:szCs w:val="20"/>
          <w:color w:val="auto"/>
        </w:rPr>
      </w:pPr>
    </w:p>
    <w:p>
      <w:pPr>
        <w:ind w:right="20" w:firstLine="416"/>
        <w:spacing w:after="0" w:line="262" w:lineRule="auto"/>
        <w:rPr>
          <w:sz w:val="20"/>
          <w:szCs w:val="20"/>
          <w:color w:val="auto"/>
        </w:rPr>
      </w:pPr>
      <w:r>
        <w:rPr>
          <w:rFonts w:ascii="Arial" w:cs="Arial" w:eastAsia="Arial" w:hAnsi="Arial"/>
          <w:sz w:val="22"/>
          <w:szCs w:val="22"/>
          <w:b w:val="1"/>
          <w:bCs w:val="1"/>
          <w:i w:val="1"/>
          <w:iCs w:val="1"/>
          <w:color w:val="auto"/>
        </w:rPr>
        <w:t>Foreign Exchange Controls</w:t>
      </w:r>
      <w:r>
        <w:rPr>
          <w:rFonts w:ascii="Arial" w:cs="Arial" w:eastAsia="Arial" w:hAnsi="Arial"/>
          <w:sz w:val="22"/>
          <w:szCs w:val="22"/>
          <w:color w:val="auto"/>
        </w:rPr>
        <w:t>. We have been designated as a “non-resident” of Bermuda by the Bermuda Monetary Authority</w:t>
      </w:r>
      <w:r>
        <w:rPr>
          <w:rFonts w:ascii="Arial" w:cs="Arial" w:eastAsia="Arial" w:hAnsi="Arial"/>
          <w:sz w:val="22"/>
          <w:szCs w:val="22"/>
          <w:b w:val="1"/>
          <w:bCs w:val="1"/>
          <w:i w:val="1"/>
          <w:iCs w:val="1"/>
          <w:color w:val="auto"/>
        </w:rPr>
        <w:t xml:space="preserve"> </w:t>
      </w:r>
      <w:r>
        <w:rPr>
          <w:rFonts w:ascii="Arial" w:cs="Arial" w:eastAsia="Arial" w:hAnsi="Arial"/>
          <w:sz w:val="22"/>
          <w:szCs w:val="22"/>
          <w:color w:val="auto"/>
        </w:rPr>
        <w:t>for the purposes of the Exchange Control Act, 1972 and regulations made under it and there is no restriction or requirement of Bermuda binding on us which limits the availability or transfer of foreign exchange (i.e. monies denominated in currencies other than Bermuda dollars).</w:t>
      </w:r>
    </w:p>
    <w:p>
      <w:pPr>
        <w:spacing w:after="0" w:line="218" w:lineRule="exact"/>
        <w:rPr>
          <w:sz w:val="20"/>
          <w:szCs w:val="20"/>
          <w:color w:val="auto"/>
        </w:rPr>
      </w:pPr>
    </w:p>
    <w:p>
      <w:pPr>
        <w:ind w:right="60" w:firstLine="416"/>
        <w:spacing w:after="0" w:line="273" w:lineRule="auto"/>
        <w:rPr>
          <w:sz w:val="20"/>
          <w:szCs w:val="20"/>
          <w:color w:val="auto"/>
        </w:rPr>
      </w:pPr>
      <w:r>
        <w:rPr>
          <w:rFonts w:ascii="Arial" w:cs="Arial" w:eastAsia="Arial" w:hAnsi="Arial"/>
          <w:sz w:val="21"/>
          <w:szCs w:val="21"/>
          <w:b w:val="1"/>
          <w:bCs w:val="1"/>
          <w:i w:val="1"/>
          <w:iCs w:val="1"/>
          <w:color w:val="auto"/>
        </w:rPr>
        <w:t>Transfer of Common Shares to Non-Residents of Bermuda</w:t>
      </w:r>
      <w:r>
        <w:rPr>
          <w:rFonts w:ascii="Arial" w:cs="Arial" w:eastAsia="Arial" w:hAnsi="Arial"/>
          <w:sz w:val="21"/>
          <w:szCs w:val="21"/>
          <w:color w:val="auto"/>
        </w:rPr>
        <w:t>. The Bermuda Monetary Authority has given its general</w:t>
      </w:r>
      <w:r>
        <w:rPr>
          <w:rFonts w:ascii="Arial" w:cs="Arial" w:eastAsia="Arial" w:hAnsi="Arial"/>
          <w:sz w:val="21"/>
          <w:szCs w:val="21"/>
          <w:b w:val="1"/>
          <w:bCs w:val="1"/>
          <w:i w:val="1"/>
          <w:iCs w:val="1"/>
          <w:color w:val="auto"/>
        </w:rPr>
        <w:t xml:space="preserve"> </w:t>
      </w:r>
      <w:r>
        <w:rPr>
          <w:rFonts w:ascii="Arial" w:cs="Arial" w:eastAsia="Arial" w:hAnsi="Arial"/>
          <w:sz w:val="21"/>
          <w:szCs w:val="21"/>
          <w:color w:val="auto"/>
        </w:rPr>
        <w:t>permission for the issue and free transferability of securities of Bermuda companies, which would include the common shares that are the subject of this offering, to and between non-residents of Bermuda for exchange control purposes, provided that our common shares remain listed on an appointed stock exchange, which includes NASDAQ. Approvals or permissions given by the Bermuda Monetary Authority do not constitute a guarantee by the Bermuda Monetary Authority as to our performance or our creditworthiness. Accordingly, in giving such consent or permissions, the Bermuda Monetary Authority shall not be liable for the financial soundness, performance or default of our business or for the correctness of any opinions or statements expressed in this prospectus.</w:t>
      </w:r>
    </w:p>
    <w:p>
      <w:pPr>
        <w:spacing w:after="0" w:line="192" w:lineRule="exact"/>
        <w:rPr>
          <w:sz w:val="20"/>
          <w:szCs w:val="20"/>
          <w:color w:val="auto"/>
        </w:rPr>
      </w:pPr>
    </w:p>
    <w:p>
      <w:pPr>
        <w:ind w:firstLine="416"/>
        <w:spacing w:after="0" w:line="276" w:lineRule="auto"/>
        <w:rPr>
          <w:sz w:val="20"/>
          <w:szCs w:val="20"/>
          <w:color w:val="auto"/>
        </w:rPr>
      </w:pPr>
      <w:r>
        <w:rPr>
          <w:rFonts w:ascii="Arial" w:cs="Arial" w:eastAsia="Arial" w:hAnsi="Arial"/>
          <w:sz w:val="21"/>
          <w:szCs w:val="21"/>
          <w:color w:val="auto"/>
        </w:rPr>
        <w:t>In accordance with Bermuda law, share certificates are only issued in the names of companies, partnerships or individuals. In the case of a shareholder acting in a special capacity (for example as a trustee), certificates may, at the request of the shareholder, record the capacity in which the shareholder is acting. Notwithstanding such recording of any special capacity, we are not bound to investigate or see to the execution of any such trust. We will take no notice of any trust applicable to any of our common shares, whether or not we have been notified of such trust.</w:t>
      </w:r>
    </w:p>
    <w:p>
      <w:pPr>
        <w:sectPr>
          <w:pgSz w:w="11900" w:h="16838" w:orient="portrait"/>
          <w:cols w:equalWidth="0" w:num="1">
            <w:col w:w="11240"/>
          </w:cols>
          <w:pgMar w:left="320" w:top="1440" w:right="339" w:bottom="1440" w:gutter="0" w:footer="0" w:header="0"/>
        </w:sectPr>
      </w:pPr>
    </w:p>
    <w:bookmarkStart w:id="116" w:name="page117"/>
    <w:bookmarkEnd w:id="116"/>
    <w:p>
      <w:pPr>
        <w:jc w:val="right"/>
        <w:spacing w:after="0"/>
        <w:rPr>
          <w:sz w:val="20"/>
          <w:szCs w:val="20"/>
          <w:color w:val="auto"/>
        </w:rPr>
      </w:pPr>
      <w:r>
        <w:rPr>
          <w:rFonts w:ascii="Arial" w:cs="Arial" w:eastAsia="Arial" w:hAnsi="Arial"/>
          <w:sz w:val="18"/>
          <w:szCs w:val="18"/>
          <w:b w:val="1"/>
          <w:bCs w:val="1"/>
          <w:color w:val="auto"/>
        </w:rPr>
        <w:t>Exhibit 21.1</w:t>
      </w:r>
    </w:p>
    <w:p>
      <w:pPr>
        <w:spacing w:after="0" w:line="27"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000" w:type="dxa"/>
            <w:vAlign w:val="bottom"/>
          </w:tcPr>
          <w:p>
            <w:pPr>
              <w:spacing w:after="0"/>
              <w:rPr>
                <w:sz w:val="20"/>
                <w:szCs w:val="20"/>
                <w:color w:val="auto"/>
              </w:rPr>
            </w:pPr>
          </w:p>
        </w:tc>
        <w:tc>
          <w:tcPr>
            <w:tcW w:w="7340" w:type="dxa"/>
            <w:vAlign w:val="bottom"/>
            <w:gridSpan w:val="4"/>
          </w:tcPr>
          <w:p>
            <w:pPr>
              <w:ind w:left="3340"/>
              <w:spacing w:after="0"/>
              <w:rPr>
                <w:sz w:val="20"/>
                <w:szCs w:val="20"/>
                <w:color w:val="auto"/>
              </w:rPr>
            </w:pPr>
            <w:r>
              <w:rPr>
                <w:rFonts w:ascii="Arial" w:cs="Arial" w:eastAsia="Arial" w:hAnsi="Arial"/>
                <w:sz w:val="18"/>
                <w:szCs w:val="18"/>
                <w:b w:val="1"/>
                <w:bCs w:val="1"/>
                <w:color w:val="auto"/>
              </w:rPr>
              <w:t>SUBSIDIARIES OF MARVELL</w:t>
            </w:r>
          </w:p>
        </w:tc>
      </w:tr>
      <w:tr>
        <w:trPr>
          <w:trHeight w:val="481"/>
        </w:trPr>
        <w:tc>
          <w:tcPr>
            <w:tcW w:w="5540" w:type="dxa"/>
            <w:vAlign w:val="bottom"/>
            <w:gridSpan w:val="2"/>
          </w:tcPr>
          <w:p>
            <w:pPr>
              <w:spacing w:after="0"/>
              <w:rPr>
                <w:sz w:val="20"/>
                <w:szCs w:val="20"/>
                <w:color w:val="auto"/>
              </w:rPr>
            </w:pPr>
            <w:r>
              <w:rPr>
                <w:rFonts w:ascii="Arial" w:cs="Arial" w:eastAsia="Arial" w:hAnsi="Arial"/>
                <w:sz w:val="22"/>
                <w:szCs w:val="22"/>
                <w:b w:val="1"/>
                <w:bCs w:val="1"/>
                <w:color w:val="auto"/>
              </w:rPr>
              <w:t>Subsidiary</w:t>
            </w:r>
          </w:p>
        </w:tc>
        <w:tc>
          <w:tcPr>
            <w:tcW w:w="2800" w:type="dxa"/>
            <w:vAlign w:val="bottom"/>
            <w:gridSpan w:val="3"/>
          </w:tcPr>
          <w:p>
            <w:pPr>
              <w:ind w:left="660"/>
              <w:spacing w:after="0"/>
              <w:rPr>
                <w:sz w:val="20"/>
                <w:szCs w:val="20"/>
                <w:color w:val="auto"/>
              </w:rPr>
            </w:pPr>
            <w:r>
              <w:rPr>
                <w:rFonts w:ascii="Arial" w:cs="Arial" w:eastAsia="Arial" w:hAnsi="Arial"/>
                <w:sz w:val="22"/>
                <w:szCs w:val="22"/>
                <w:b w:val="1"/>
                <w:bCs w:val="1"/>
                <w:color w:val="auto"/>
              </w:rPr>
              <w:t>Jurisdiction</w:t>
            </w:r>
          </w:p>
        </w:tc>
      </w:tr>
      <w:tr>
        <w:trPr>
          <w:trHeight w:val="20"/>
        </w:trPr>
        <w:tc>
          <w:tcPr>
            <w:tcW w:w="1000" w:type="dxa"/>
            <w:vAlign w:val="bottom"/>
            <w:shd w:val="clear" w:color="auto" w:fill="000000"/>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r>
      <w:tr>
        <w:trPr>
          <w:trHeight w:val="328"/>
        </w:trPr>
        <w:tc>
          <w:tcPr>
            <w:tcW w:w="5540" w:type="dxa"/>
            <w:vAlign w:val="bottom"/>
            <w:gridSpan w:val="2"/>
          </w:tcPr>
          <w:p>
            <w:pPr>
              <w:spacing w:after="0"/>
              <w:rPr>
                <w:sz w:val="20"/>
                <w:szCs w:val="20"/>
                <w:color w:val="auto"/>
              </w:rPr>
            </w:pPr>
            <w:r>
              <w:rPr>
                <w:rFonts w:ascii="Arial" w:cs="Arial" w:eastAsia="Arial" w:hAnsi="Arial"/>
                <w:sz w:val="22"/>
                <w:szCs w:val="22"/>
                <w:color w:val="auto"/>
              </w:rPr>
              <w:t>Cavium India Holdings, LLC</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w w:val="89"/>
              </w:rPr>
              <w:t>Delaware, United States</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Cavium International</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Cayman Islands</w:t>
            </w:r>
          </w:p>
        </w:tc>
      </w:tr>
      <w:tr>
        <w:trPr>
          <w:trHeight w:val="567"/>
        </w:trPr>
        <w:tc>
          <w:tcPr>
            <w:tcW w:w="5540" w:type="dxa"/>
            <w:vAlign w:val="bottom"/>
            <w:gridSpan w:val="2"/>
          </w:tcPr>
          <w:p>
            <w:pPr>
              <w:spacing w:after="0"/>
              <w:rPr>
                <w:sz w:val="20"/>
                <w:szCs w:val="20"/>
                <w:color w:val="auto"/>
              </w:rPr>
            </w:pPr>
            <w:r>
              <w:rPr>
                <w:rFonts w:ascii="Arial" w:cs="Arial" w:eastAsia="Arial" w:hAnsi="Arial"/>
                <w:sz w:val="22"/>
                <w:szCs w:val="22"/>
                <w:color w:val="auto"/>
              </w:rPr>
              <w:t>Cavium Networks (India) Private Limited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India</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Cavium Networks Asia</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Cayman Islands</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Cavium Networks International</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Cayman Islands</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Cavium Networks International, Inc.</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w w:val="89"/>
              </w:rPr>
              <w:t>Delaware, United States</w:t>
            </w:r>
          </w:p>
        </w:tc>
      </w:tr>
      <w:tr>
        <w:trPr>
          <w:trHeight w:val="567"/>
        </w:trPr>
        <w:tc>
          <w:tcPr>
            <w:tcW w:w="5540" w:type="dxa"/>
            <w:vAlign w:val="bottom"/>
            <w:gridSpan w:val="2"/>
          </w:tcPr>
          <w:p>
            <w:pPr>
              <w:spacing w:after="0"/>
              <w:rPr>
                <w:sz w:val="20"/>
                <w:szCs w:val="20"/>
                <w:color w:val="auto"/>
              </w:rPr>
            </w:pPr>
            <w:r>
              <w:rPr>
                <w:rFonts w:ascii="Arial" w:cs="Arial" w:eastAsia="Arial" w:hAnsi="Arial"/>
                <w:sz w:val="22"/>
                <w:szCs w:val="22"/>
                <w:color w:val="auto"/>
              </w:rPr>
              <w:t>Cavium Networks LLC</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w w:val="89"/>
              </w:rPr>
              <w:t>Delaware, United States</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Cavium Networks Singapore Pte. Ltd.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Singapore</w:t>
            </w:r>
          </w:p>
        </w:tc>
      </w:tr>
      <w:tr>
        <w:trPr>
          <w:trHeight w:val="567"/>
        </w:trPr>
        <w:tc>
          <w:tcPr>
            <w:tcW w:w="5540" w:type="dxa"/>
            <w:vAlign w:val="bottom"/>
            <w:gridSpan w:val="2"/>
          </w:tcPr>
          <w:p>
            <w:pPr>
              <w:spacing w:after="0"/>
              <w:rPr>
                <w:sz w:val="20"/>
                <w:szCs w:val="20"/>
                <w:color w:val="auto"/>
              </w:rPr>
            </w:pPr>
            <w:r>
              <w:rPr>
                <w:rFonts w:ascii="Arial" w:cs="Arial" w:eastAsia="Arial" w:hAnsi="Arial"/>
                <w:sz w:val="22"/>
                <w:szCs w:val="22"/>
                <w:color w:val="auto"/>
              </w:rPr>
              <w:t>Cavium Semiconductor Technology (Shanghai) Co. Ltd.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China</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Cavium Taiwan Ltd.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Taiwan</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Cavium UK Ltd.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United Kingdom</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Cavium, LLC</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w w:val="89"/>
              </w:rPr>
              <w:t>Delaware, United States</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Kinoma, Inc.</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w w:val="89"/>
              </w:rPr>
              <w:t>California, United States</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Asia Pte Ltd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Singapore</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Hong Kong Limited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Hong Kong</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India Private Limited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India</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International Ltd.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Bermuda</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International Technology Ltd.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Bermuda</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Israel (M.I.S.L) Ltd.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Israel</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Italia S.r.l.</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Italy</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Japan K.K.</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Japan</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Netherlands B.V.</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Netherlands</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Semiconductor Germany GmbH</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Germany</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Semiconductor Korea, Ltd.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Korea</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Semiconductor Sdn. Bhd.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Malaysia</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Semiconductor Technology S.a.r.l.</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Switzerland</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Semiconductor, Ltd.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w w:val="89"/>
              </w:rPr>
              <w:t>Delaware, United States</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Semiconductor, Inc.</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w w:val="89"/>
              </w:rPr>
              <w:t>California, United States</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Switzerland S.a.r.l.</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Switzerland</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Taiwan Ltd.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Taiwan</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Technology (Beijing), Ltd.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China</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Technology (Chengdu), Ltd.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China</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Technology (Nanjing), Ltd.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China</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Technology (Shanghai), Ltd.</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China</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Semiconductor Canada Inc.</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Canada</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Technology Denmark ApS</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Denmark</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Technology Japan Y.K.</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Japan</w:t>
            </w:r>
          </w:p>
        </w:tc>
      </w:tr>
      <w:tr>
        <w:trPr>
          <w:trHeight w:val="297"/>
        </w:trPr>
        <w:tc>
          <w:tcPr>
            <w:tcW w:w="5540" w:type="dxa"/>
            <w:vAlign w:val="bottom"/>
            <w:gridSpan w:val="2"/>
          </w:tcPr>
          <w:p>
            <w:pPr>
              <w:spacing w:after="0"/>
              <w:rPr>
                <w:sz w:val="20"/>
                <w:szCs w:val="20"/>
                <w:color w:val="auto"/>
              </w:rPr>
            </w:pPr>
            <w:r>
              <w:rPr>
                <w:rFonts w:ascii="Arial" w:cs="Arial" w:eastAsia="Arial" w:hAnsi="Arial"/>
                <w:sz w:val="22"/>
                <w:szCs w:val="22"/>
                <w:color w:val="auto"/>
              </w:rPr>
              <w:t>Marvell Technology Sweden AB</w:t>
            </w:r>
          </w:p>
        </w:tc>
        <w:tc>
          <w:tcPr>
            <w:tcW w:w="2800" w:type="dxa"/>
            <w:vAlign w:val="bottom"/>
            <w:gridSpan w:val="3"/>
          </w:tcPr>
          <w:p>
            <w:pPr>
              <w:ind w:left="660"/>
              <w:spacing w:after="0"/>
              <w:rPr>
                <w:sz w:val="20"/>
                <w:szCs w:val="20"/>
                <w:color w:val="auto"/>
              </w:rPr>
            </w:pPr>
            <w:r>
              <w:rPr>
                <w:rFonts w:ascii="Arial" w:cs="Arial" w:eastAsia="Arial" w:hAnsi="Arial"/>
                <w:sz w:val="22"/>
                <w:szCs w:val="22"/>
                <w:color w:val="auto"/>
              </w:rPr>
              <w:t>Sweden</w:t>
            </w:r>
          </w:p>
        </w:tc>
      </w:tr>
    </w:tbl>
    <w:p>
      <w:pPr>
        <w:sectPr>
          <w:pgSz w:w="11900" w:h="16838" w:orient="portrait"/>
          <w:cols w:equalWidth="0" w:num="1">
            <w:col w:w="11220"/>
          </w:cols>
          <w:pgMar w:left="340" w:top="891" w:right="339" w:bottom="1440" w:gutter="0" w:footer="0" w:header="0"/>
        </w:sectPr>
      </w:pPr>
    </w:p>
    <w:bookmarkStart w:id="117" w:name="page118"/>
    <w:bookmarkEnd w:id="117"/>
    <w:p>
      <w:pPr>
        <w:spacing w:after="0" w:line="1" w:lineRule="exact"/>
        <w:rPr>
          <w:sz w:val="20"/>
          <w:szCs w:val="20"/>
          <w:color w:val="auto"/>
        </w:rPr>
      </w:pPr>
    </w:p>
    <w:tbl>
      <w:tblPr>
        <w:tblLayout w:type="fixed"/>
        <w:tblInd w:w="20" w:type="dxa"/>
        <w:tblCellMar>
          <w:top w:w="0" w:type="dxa"/>
          <w:left w:w="0" w:type="dxa"/>
          <w:bottom w:w="0" w:type="dxa"/>
          <w:right w:w="0" w:type="dxa"/>
        </w:tblCellMar>
      </w:tblPr>
      <w:tr>
        <w:trPr>
          <w:trHeight w:val="274"/>
        </w:trPr>
        <w:tc>
          <w:tcPr>
            <w:tcW w:w="5620" w:type="dxa"/>
            <w:vAlign w:val="bottom"/>
          </w:tcPr>
          <w:p>
            <w:pPr>
              <w:spacing w:after="0"/>
              <w:rPr>
                <w:sz w:val="20"/>
                <w:szCs w:val="20"/>
                <w:color w:val="auto"/>
              </w:rPr>
            </w:pPr>
            <w:r>
              <w:rPr>
                <w:rFonts w:ascii="Arial" w:cs="Arial" w:eastAsia="Arial" w:hAnsi="Arial"/>
                <w:sz w:val="22"/>
                <w:szCs w:val="22"/>
                <w:color w:val="auto"/>
              </w:rPr>
              <w:t>Marvell Technology Vietnam LLC</w:t>
            </w:r>
          </w:p>
        </w:tc>
        <w:tc>
          <w:tcPr>
            <w:tcW w:w="2760" w:type="dxa"/>
            <w:vAlign w:val="bottom"/>
          </w:tcPr>
          <w:p>
            <w:pPr>
              <w:ind w:left="580"/>
              <w:spacing w:after="0"/>
              <w:rPr>
                <w:sz w:val="20"/>
                <w:szCs w:val="20"/>
                <w:color w:val="auto"/>
              </w:rPr>
            </w:pPr>
            <w:r>
              <w:rPr>
                <w:rFonts w:ascii="Arial" w:cs="Arial" w:eastAsia="Arial" w:hAnsi="Arial"/>
                <w:sz w:val="22"/>
                <w:szCs w:val="22"/>
                <w:color w:val="auto"/>
              </w:rPr>
              <w:t>Vietnam</w:t>
            </w:r>
          </w:p>
        </w:tc>
        <w:tc>
          <w:tcPr>
            <w:tcW w:w="0" w:type="dxa"/>
            <w:vAlign w:val="bottom"/>
          </w:tcPr>
          <w:p>
            <w:pPr>
              <w:spacing w:after="0"/>
              <w:rPr>
                <w:sz w:val="1"/>
                <w:szCs w:val="1"/>
                <w:color w:val="auto"/>
              </w:rPr>
            </w:pPr>
          </w:p>
        </w:tc>
      </w:tr>
      <w:tr>
        <w:trPr>
          <w:trHeight w:val="297"/>
        </w:trPr>
        <w:tc>
          <w:tcPr>
            <w:tcW w:w="5620" w:type="dxa"/>
            <w:vAlign w:val="bottom"/>
          </w:tcPr>
          <w:p>
            <w:pPr>
              <w:spacing w:after="0"/>
              <w:rPr>
                <w:sz w:val="20"/>
                <w:szCs w:val="20"/>
                <w:color w:val="auto"/>
              </w:rPr>
            </w:pPr>
            <w:r>
              <w:rPr>
                <w:rFonts w:ascii="Arial" w:cs="Arial" w:eastAsia="Arial" w:hAnsi="Arial"/>
                <w:sz w:val="22"/>
                <w:szCs w:val="22"/>
                <w:color w:val="auto"/>
              </w:rPr>
              <w:t>Marvell Technology, Inc.</w:t>
            </w:r>
          </w:p>
        </w:tc>
        <w:tc>
          <w:tcPr>
            <w:tcW w:w="2760" w:type="dxa"/>
            <w:vAlign w:val="bottom"/>
          </w:tcPr>
          <w:p>
            <w:pPr>
              <w:ind w:left="580"/>
              <w:spacing w:after="0"/>
              <w:rPr>
                <w:sz w:val="20"/>
                <w:szCs w:val="20"/>
                <w:color w:val="auto"/>
              </w:rPr>
            </w:pPr>
            <w:r>
              <w:rPr>
                <w:rFonts w:ascii="Arial" w:cs="Arial" w:eastAsia="Arial" w:hAnsi="Arial"/>
                <w:sz w:val="22"/>
                <w:szCs w:val="22"/>
                <w:color w:val="auto"/>
                <w:w w:val="91"/>
              </w:rPr>
              <w:t>Delaware, United States</w:t>
            </w:r>
          </w:p>
        </w:tc>
        <w:tc>
          <w:tcPr>
            <w:tcW w:w="0" w:type="dxa"/>
            <w:vAlign w:val="bottom"/>
          </w:tcPr>
          <w:p>
            <w:pPr>
              <w:spacing w:after="0"/>
              <w:rPr>
                <w:sz w:val="1"/>
                <w:szCs w:val="1"/>
                <w:color w:val="auto"/>
              </w:rPr>
            </w:pPr>
          </w:p>
        </w:tc>
      </w:tr>
      <w:tr>
        <w:trPr>
          <w:trHeight w:val="297"/>
        </w:trPr>
        <w:tc>
          <w:tcPr>
            <w:tcW w:w="5620" w:type="dxa"/>
            <w:vAlign w:val="bottom"/>
          </w:tcPr>
          <w:p>
            <w:pPr>
              <w:spacing w:after="0"/>
              <w:rPr>
                <w:sz w:val="20"/>
                <w:szCs w:val="20"/>
                <w:color w:val="auto"/>
              </w:rPr>
            </w:pPr>
            <w:r>
              <w:rPr>
                <w:rFonts w:ascii="Arial" w:cs="Arial" w:eastAsia="Arial" w:hAnsi="Arial"/>
                <w:sz w:val="22"/>
                <w:szCs w:val="22"/>
                <w:color w:val="auto"/>
              </w:rPr>
              <w:t>Marvell UK Limited</w:t>
            </w:r>
          </w:p>
        </w:tc>
        <w:tc>
          <w:tcPr>
            <w:tcW w:w="2760" w:type="dxa"/>
            <w:vAlign w:val="bottom"/>
          </w:tcPr>
          <w:p>
            <w:pPr>
              <w:ind w:left="580"/>
              <w:spacing w:after="0"/>
              <w:rPr>
                <w:sz w:val="20"/>
                <w:szCs w:val="20"/>
                <w:color w:val="auto"/>
              </w:rPr>
            </w:pPr>
            <w:r>
              <w:rPr>
                <w:rFonts w:ascii="Arial" w:cs="Arial" w:eastAsia="Arial" w:hAnsi="Arial"/>
                <w:sz w:val="22"/>
                <w:szCs w:val="22"/>
                <w:color w:val="auto"/>
              </w:rPr>
              <w:t>United Kingdom</w:t>
            </w:r>
          </w:p>
        </w:tc>
        <w:tc>
          <w:tcPr>
            <w:tcW w:w="0" w:type="dxa"/>
            <w:vAlign w:val="bottom"/>
          </w:tcPr>
          <w:p>
            <w:pPr>
              <w:spacing w:after="0"/>
              <w:rPr>
                <w:sz w:val="1"/>
                <w:szCs w:val="1"/>
                <w:color w:val="auto"/>
              </w:rPr>
            </w:pPr>
          </w:p>
        </w:tc>
      </w:tr>
      <w:tr>
        <w:trPr>
          <w:trHeight w:val="297"/>
        </w:trPr>
        <w:tc>
          <w:tcPr>
            <w:tcW w:w="5620" w:type="dxa"/>
            <w:vAlign w:val="bottom"/>
          </w:tcPr>
          <w:p>
            <w:pPr>
              <w:spacing w:after="0"/>
              <w:rPr>
                <w:sz w:val="20"/>
                <w:szCs w:val="20"/>
                <w:color w:val="auto"/>
              </w:rPr>
            </w:pPr>
            <w:r>
              <w:rPr>
                <w:rFonts w:ascii="Arial" w:cs="Arial" w:eastAsia="Arial" w:hAnsi="Arial"/>
                <w:sz w:val="22"/>
                <w:szCs w:val="22"/>
                <w:color w:val="auto"/>
              </w:rPr>
              <w:t>Marvell World Trade Ltd.</w:t>
            </w:r>
          </w:p>
        </w:tc>
        <w:tc>
          <w:tcPr>
            <w:tcW w:w="2760" w:type="dxa"/>
            <w:vAlign w:val="bottom"/>
          </w:tcPr>
          <w:p>
            <w:pPr>
              <w:ind w:left="580"/>
              <w:spacing w:after="0"/>
              <w:rPr>
                <w:sz w:val="20"/>
                <w:szCs w:val="20"/>
                <w:color w:val="auto"/>
              </w:rPr>
            </w:pPr>
            <w:r>
              <w:rPr>
                <w:rFonts w:ascii="Arial" w:cs="Arial" w:eastAsia="Arial" w:hAnsi="Arial"/>
                <w:sz w:val="22"/>
                <w:szCs w:val="22"/>
                <w:color w:val="auto"/>
              </w:rPr>
              <w:t>Barbados</w:t>
            </w:r>
          </w:p>
        </w:tc>
        <w:tc>
          <w:tcPr>
            <w:tcW w:w="0" w:type="dxa"/>
            <w:vAlign w:val="bottom"/>
          </w:tcPr>
          <w:p>
            <w:pPr>
              <w:spacing w:after="0"/>
              <w:rPr>
                <w:sz w:val="1"/>
                <w:szCs w:val="1"/>
                <w:color w:val="auto"/>
              </w:rPr>
            </w:pPr>
          </w:p>
        </w:tc>
      </w:tr>
      <w:tr>
        <w:trPr>
          <w:trHeight w:val="567"/>
        </w:trPr>
        <w:tc>
          <w:tcPr>
            <w:tcW w:w="5620" w:type="dxa"/>
            <w:vAlign w:val="bottom"/>
          </w:tcPr>
          <w:p>
            <w:pPr>
              <w:spacing w:after="0"/>
              <w:rPr>
                <w:sz w:val="20"/>
                <w:szCs w:val="20"/>
                <w:color w:val="auto"/>
              </w:rPr>
            </w:pPr>
            <w:r>
              <w:rPr>
                <w:rFonts w:ascii="Arial" w:cs="Arial" w:eastAsia="Arial" w:hAnsi="Arial"/>
                <w:sz w:val="22"/>
                <w:szCs w:val="22"/>
                <w:color w:val="auto"/>
              </w:rPr>
              <w:t>NetXen, Inc.</w:t>
            </w:r>
          </w:p>
        </w:tc>
        <w:tc>
          <w:tcPr>
            <w:tcW w:w="2760" w:type="dxa"/>
            <w:vAlign w:val="bottom"/>
          </w:tcPr>
          <w:p>
            <w:pPr>
              <w:ind w:left="580"/>
              <w:spacing w:after="0"/>
              <w:rPr>
                <w:sz w:val="20"/>
                <w:szCs w:val="20"/>
                <w:color w:val="auto"/>
              </w:rPr>
            </w:pPr>
            <w:r>
              <w:rPr>
                <w:rFonts w:ascii="Arial" w:cs="Arial" w:eastAsia="Arial" w:hAnsi="Arial"/>
                <w:sz w:val="22"/>
                <w:szCs w:val="22"/>
                <w:color w:val="auto"/>
                <w:w w:val="91"/>
              </w:rPr>
              <w:t>Delaware, United States</w:t>
            </w:r>
          </w:p>
        </w:tc>
        <w:tc>
          <w:tcPr>
            <w:tcW w:w="0" w:type="dxa"/>
            <w:vAlign w:val="bottom"/>
          </w:tcPr>
          <w:p>
            <w:pPr>
              <w:spacing w:after="0"/>
              <w:rPr>
                <w:sz w:val="1"/>
                <w:szCs w:val="1"/>
                <w:color w:val="auto"/>
              </w:rPr>
            </w:pPr>
          </w:p>
        </w:tc>
      </w:tr>
      <w:tr>
        <w:trPr>
          <w:trHeight w:val="567"/>
        </w:trPr>
        <w:tc>
          <w:tcPr>
            <w:tcW w:w="5620" w:type="dxa"/>
            <w:vAlign w:val="bottom"/>
          </w:tcPr>
          <w:p>
            <w:pPr>
              <w:spacing w:after="0"/>
              <w:rPr>
                <w:sz w:val="20"/>
                <w:szCs w:val="20"/>
                <w:color w:val="auto"/>
              </w:rPr>
            </w:pPr>
            <w:r>
              <w:rPr>
                <w:rFonts w:ascii="Arial" w:cs="Arial" w:eastAsia="Arial" w:hAnsi="Arial"/>
                <w:sz w:val="22"/>
                <w:szCs w:val="22"/>
                <w:color w:val="auto"/>
              </w:rPr>
              <w:t>PT. Marvell Technology Indonesia</w:t>
            </w:r>
          </w:p>
        </w:tc>
        <w:tc>
          <w:tcPr>
            <w:tcW w:w="2760" w:type="dxa"/>
            <w:vAlign w:val="bottom"/>
          </w:tcPr>
          <w:p>
            <w:pPr>
              <w:ind w:left="580"/>
              <w:spacing w:after="0"/>
              <w:rPr>
                <w:sz w:val="20"/>
                <w:szCs w:val="20"/>
                <w:color w:val="auto"/>
              </w:rPr>
            </w:pPr>
            <w:r>
              <w:rPr>
                <w:rFonts w:ascii="Arial" w:cs="Arial" w:eastAsia="Arial" w:hAnsi="Arial"/>
                <w:sz w:val="22"/>
                <w:szCs w:val="22"/>
                <w:color w:val="auto"/>
              </w:rPr>
              <w:t>Indonesia</w:t>
            </w:r>
          </w:p>
        </w:tc>
        <w:tc>
          <w:tcPr>
            <w:tcW w:w="0" w:type="dxa"/>
            <w:vAlign w:val="bottom"/>
          </w:tcPr>
          <w:p>
            <w:pPr>
              <w:spacing w:after="0"/>
              <w:rPr>
                <w:sz w:val="1"/>
                <w:szCs w:val="1"/>
                <w:color w:val="auto"/>
              </w:rPr>
            </w:pPr>
          </w:p>
        </w:tc>
      </w:tr>
      <w:tr>
        <w:trPr>
          <w:trHeight w:val="297"/>
        </w:trPr>
        <w:tc>
          <w:tcPr>
            <w:tcW w:w="5620" w:type="dxa"/>
            <w:vAlign w:val="bottom"/>
          </w:tcPr>
          <w:p>
            <w:pPr>
              <w:spacing w:after="0"/>
              <w:rPr>
                <w:sz w:val="20"/>
                <w:szCs w:val="20"/>
                <w:color w:val="auto"/>
              </w:rPr>
            </w:pPr>
            <w:r>
              <w:rPr>
                <w:rFonts w:ascii="Arial" w:cs="Arial" w:eastAsia="Arial" w:hAnsi="Arial"/>
                <w:sz w:val="22"/>
                <w:szCs w:val="22"/>
                <w:color w:val="auto"/>
              </w:rPr>
              <w:t>QLGC Limited (Ireland)</w:t>
            </w:r>
          </w:p>
        </w:tc>
        <w:tc>
          <w:tcPr>
            <w:tcW w:w="2760" w:type="dxa"/>
            <w:vAlign w:val="bottom"/>
          </w:tcPr>
          <w:p>
            <w:pPr>
              <w:ind w:left="580"/>
              <w:spacing w:after="0"/>
              <w:rPr>
                <w:sz w:val="20"/>
                <w:szCs w:val="20"/>
                <w:color w:val="auto"/>
              </w:rPr>
            </w:pPr>
            <w:r>
              <w:rPr>
                <w:rFonts w:ascii="Arial" w:cs="Arial" w:eastAsia="Arial" w:hAnsi="Arial"/>
                <w:sz w:val="22"/>
                <w:szCs w:val="22"/>
                <w:color w:val="auto"/>
              </w:rPr>
              <w:t>Ireland</w:t>
            </w:r>
          </w:p>
        </w:tc>
        <w:tc>
          <w:tcPr>
            <w:tcW w:w="0" w:type="dxa"/>
            <w:vAlign w:val="bottom"/>
          </w:tcPr>
          <w:p>
            <w:pPr>
              <w:spacing w:after="0"/>
              <w:rPr>
                <w:sz w:val="1"/>
                <w:szCs w:val="1"/>
                <w:color w:val="auto"/>
              </w:rPr>
            </w:pPr>
          </w:p>
        </w:tc>
      </w:tr>
      <w:tr>
        <w:trPr>
          <w:trHeight w:val="297"/>
        </w:trPr>
        <w:tc>
          <w:tcPr>
            <w:tcW w:w="5620" w:type="dxa"/>
            <w:vAlign w:val="bottom"/>
          </w:tcPr>
          <w:p>
            <w:pPr>
              <w:spacing w:after="0"/>
              <w:rPr>
                <w:sz w:val="20"/>
                <w:szCs w:val="20"/>
                <w:color w:val="auto"/>
              </w:rPr>
            </w:pPr>
            <w:r>
              <w:rPr>
                <w:rFonts w:ascii="Arial" w:cs="Arial" w:eastAsia="Arial" w:hAnsi="Arial"/>
                <w:sz w:val="22"/>
                <w:szCs w:val="22"/>
                <w:color w:val="auto"/>
              </w:rPr>
              <w:t>QLogic Hong Kong Ltd.</w:t>
            </w:r>
          </w:p>
        </w:tc>
        <w:tc>
          <w:tcPr>
            <w:tcW w:w="2760" w:type="dxa"/>
            <w:vAlign w:val="bottom"/>
          </w:tcPr>
          <w:p>
            <w:pPr>
              <w:ind w:left="580"/>
              <w:spacing w:after="0"/>
              <w:rPr>
                <w:sz w:val="20"/>
                <w:szCs w:val="20"/>
                <w:color w:val="auto"/>
              </w:rPr>
            </w:pPr>
            <w:r>
              <w:rPr>
                <w:rFonts w:ascii="Arial" w:cs="Arial" w:eastAsia="Arial" w:hAnsi="Arial"/>
                <w:sz w:val="22"/>
                <w:szCs w:val="22"/>
                <w:color w:val="auto"/>
              </w:rPr>
              <w:t>Hong Kong</w:t>
            </w:r>
          </w:p>
        </w:tc>
        <w:tc>
          <w:tcPr>
            <w:tcW w:w="0" w:type="dxa"/>
            <w:vAlign w:val="bottom"/>
          </w:tcPr>
          <w:p>
            <w:pPr>
              <w:spacing w:after="0"/>
              <w:rPr>
                <w:sz w:val="1"/>
                <w:szCs w:val="1"/>
                <w:color w:val="auto"/>
              </w:rPr>
            </w:pPr>
          </w:p>
        </w:tc>
      </w:tr>
      <w:tr>
        <w:trPr>
          <w:trHeight w:val="297"/>
        </w:trPr>
        <w:tc>
          <w:tcPr>
            <w:tcW w:w="5620" w:type="dxa"/>
            <w:vAlign w:val="bottom"/>
          </w:tcPr>
          <w:p>
            <w:pPr>
              <w:spacing w:after="0"/>
              <w:rPr>
                <w:sz w:val="20"/>
                <w:szCs w:val="20"/>
                <w:color w:val="auto"/>
              </w:rPr>
            </w:pPr>
            <w:r>
              <w:rPr>
                <w:rFonts w:ascii="Arial" w:cs="Arial" w:eastAsia="Arial" w:hAnsi="Arial"/>
                <w:sz w:val="22"/>
                <w:szCs w:val="22"/>
                <w:color w:val="auto"/>
              </w:rPr>
              <w:t>QLogic India Pvt. Ltd.</w:t>
            </w:r>
          </w:p>
        </w:tc>
        <w:tc>
          <w:tcPr>
            <w:tcW w:w="2760" w:type="dxa"/>
            <w:vAlign w:val="bottom"/>
          </w:tcPr>
          <w:p>
            <w:pPr>
              <w:ind w:left="580"/>
              <w:spacing w:after="0"/>
              <w:rPr>
                <w:sz w:val="20"/>
                <w:szCs w:val="20"/>
                <w:color w:val="auto"/>
              </w:rPr>
            </w:pPr>
            <w:r>
              <w:rPr>
                <w:rFonts w:ascii="Arial" w:cs="Arial" w:eastAsia="Arial" w:hAnsi="Arial"/>
                <w:sz w:val="22"/>
                <w:szCs w:val="22"/>
                <w:color w:val="auto"/>
              </w:rPr>
              <w:t>India</w:t>
            </w:r>
          </w:p>
        </w:tc>
        <w:tc>
          <w:tcPr>
            <w:tcW w:w="0" w:type="dxa"/>
            <w:vAlign w:val="bottom"/>
          </w:tcPr>
          <w:p>
            <w:pPr>
              <w:spacing w:after="0"/>
              <w:rPr>
                <w:sz w:val="1"/>
                <w:szCs w:val="1"/>
                <w:color w:val="auto"/>
              </w:rPr>
            </w:pPr>
          </w:p>
        </w:tc>
      </w:tr>
      <w:tr>
        <w:trPr>
          <w:trHeight w:val="297"/>
        </w:trPr>
        <w:tc>
          <w:tcPr>
            <w:tcW w:w="5620" w:type="dxa"/>
            <w:vAlign w:val="bottom"/>
          </w:tcPr>
          <w:p>
            <w:pPr>
              <w:spacing w:after="0"/>
              <w:rPr>
                <w:sz w:val="20"/>
                <w:szCs w:val="20"/>
                <w:color w:val="auto"/>
              </w:rPr>
            </w:pPr>
            <w:r>
              <w:rPr>
                <w:rFonts w:ascii="Arial" w:cs="Arial" w:eastAsia="Arial" w:hAnsi="Arial"/>
                <w:sz w:val="22"/>
                <w:szCs w:val="22"/>
                <w:color w:val="auto"/>
              </w:rPr>
              <w:t>QLogic International Holdings, Inc.</w:t>
            </w:r>
          </w:p>
        </w:tc>
        <w:tc>
          <w:tcPr>
            <w:tcW w:w="2760" w:type="dxa"/>
            <w:vAlign w:val="bottom"/>
          </w:tcPr>
          <w:p>
            <w:pPr>
              <w:ind w:left="580"/>
              <w:spacing w:after="0"/>
              <w:rPr>
                <w:sz w:val="20"/>
                <w:szCs w:val="20"/>
                <w:color w:val="auto"/>
              </w:rPr>
            </w:pPr>
            <w:r>
              <w:rPr>
                <w:rFonts w:ascii="Arial" w:cs="Arial" w:eastAsia="Arial" w:hAnsi="Arial"/>
                <w:sz w:val="22"/>
                <w:szCs w:val="22"/>
                <w:color w:val="auto"/>
                <w:w w:val="91"/>
              </w:rPr>
              <w:t>Delaware, United States</w:t>
            </w:r>
          </w:p>
        </w:tc>
        <w:tc>
          <w:tcPr>
            <w:tcW w:w="0" w:type="dxa"/>
            <w:vAlign w:val="bottom"/>
          </w:tcPr>
          <w:p>
            <w:pPr>
              <w:spacing w:after="0"/>
              <w:rPr>
                <w:sz w:val="1"/>
                <w:szCs w:val="1"/>
                <w:color w:val="auto"/>
              </w:rPr>
            </w:pPr>
          </w:p>
        </w:tc>
      </w:tr>
      <w:tr>
        <w:trPr>
          <w:trHeight w:val="297"/>
        </w:trPr>
        <w:tc>
          <w:tcPr>
            <w:tcW w:w="5620" w:type="dxa"/>
            <w:vAlign w:val="bottom"/>
          </w:tcPr>
          <w:p>
            <w:pPr>
              <w:spacing w:after="0"/>
              <w:rPr>
                <w:sz w:val="20"/>
                <w:szCs w:val="20"/>
                <w:color w:val="auto"/>
              </w:rPr>
            </w:pPr>
            <w:r>
              <w:rPr>
                <w:rFonts w:ascii="Arial" w:cs="Arial" w:eastAsia="Arial" w:hAnsi="Arial"/>
                <w:sz w:val="22"/>
                <w:szCs w:val="22"/>
                <w:color w:val="auto"/>
              </w:rPr>
              <w:t>QLogic International Ltd.</w:t>
            </w:r>
          </w:p>
        </w:tc>
        <w:tc>
          <w:tcPr>
            <w:tcW w:w="2760" w:type="dxa"/>
            <w:vAlign w:val="bottom"/>
          </w:tcPr>
          <w:p>
            <w:pPr>
              <w:ind w:left="580"/>
              <w:spacing w:after="0"/>
              <w:rPr>
                <w:sz w:val="20"/>
                <w:szCs w:val="20"/>
                <w:color w:val="auto"/>
              </w:rPr>
            </w:pPr>
            <w:r>
              <w:rPr>
                <w:rFonts w:ascii="Arial" w:cs="Arial" w:eastAsia="Arial" w:hAnsi="Arial"/>
                <w:sz w:val="22"/>
                <w:szCs w:val="22"/>
                <w:color w:val="auto"/>
              </w:rPr>
              <w:t>Bermuda</w:t>
            </w:r>
          </w:p>
        </w:tc>
        <w:tc>
          <w:tcPr>
            <w:tcW w:w="0" w:type="dxa"/>
            <w:vAlign w:val="bottom"/>
          </w:tcPr>
          <w:p>
            <w:pPr>
              <w:spacing w:after="0"/>
              <w:rPr>
                <w:sz w:val="1"/>
                <w:szCs w:val="1"/>
                <w:color w:val="auto"/>
              </w:rPr>
            </w:pPr>
          </w:p>
        </w:tc>
      </w:tr>
      <w:tr>
        <w:trPr>
          <w:trHeight w:val="567"/>
        </w:trPr>
        <w:tc>
          <w:tcPr>
            <w:tcW w:w="5620" w:type="dxa"/>
            <w:vAlign w:val="bottom"/>
          </w:tcPr>
          <w:p>
            <w:pPr>
              <w:spacing w:after="0"/>
              <w:rPr>
                <w:sz w:val="20"/>
                <w:szCs w:val="20"/>
                <w:color w:val="auto"/>
              </w:rPr>
            </w:pPr>
            <w:r>
              <w:rPr>
                <w:rFonts w:ascii="Arial" w:cs="Arial" w:eastAsia="Arial" w:hAnsi="Arial"/>
                <w:sz w:val="22"/>
                <w:szCs w:val="22"/>
                <w:color w:val="auto"/>
              </w:rPr>
              <w:t>QLogic LLC</w:t>
            </w:r>
          </w:p>
        </w:tc>
        <w:tc>
          <w:tcPr>
            <w:tcW w:w="2760" w:type="dxa"/>
            <w:vAlign w:val="bottom"/>
          </w:tcPr>
          <w:p>
            <w:pPr>
              <w:ind w:left="580"/>
              <w:spacing w:after="0"/>
              <w:rPr>
                <w:sz w:val="20"/>
                <w:szCs w:val="20"/>
                <w:color w:val="auto"/>
              </w:rPr>
            </w:pPr>
            <w:r>
              <w:rPr>
                <w:rFonts w:ascii="Arial" w:cs="Arial" w:eastAsia="Arial" w:hAnsi="Arial"/>
                <w:sz w:val="22"/>
                <w:szCs w:val="22"/>
                <w:color w:val="auto"/>
                <w:w w:val="91"/>
              </w:rPr>
              <w:t>Delaware, United States</w:t>
            </w:r>
          </w:p>
        </w:tc>
        <w:tc>
          <w:tcPr>
            <w:tcW w:w="0" w:type="dxa"/>
            <w:vAlign w:val="bottom"/>
          </w:tcPr>
          <w:p>
            <w:pPr>
              <w:spacing w:after="0"/>
              <w:rPr>
                <w:sz w:val="1"/>
                <w:szCs w:val="1"/>
                <w:color w:val="auto"/>
              </w:rPr>
            </w:pPr>
          </w:p>
        </w:tc>
      </w:tr>
      <w:tr>
        <w:trPr>
          <w:trHeight w:val="297"/>
        </w:trPr>
        <w:tc>
          <w:tcPr>
            <w:tcW w:w="5620" w:type="dxa"/>
            <w:vAlign w:val="bottom"/>
          </w:tcPr>
          <w:p>
            <w:pPr>
              <w:spacing w:after="0"/>
              <w:rPr>
                <w:sz w:val="20"/>
                <w:szCs w:val="20"/>
                <w:color w:val="auto"/>
              </w:rPr>
            </w:pPr>
            <w:r>
              <w:rPr>
                <w:rFonts w:ascii="Arial" w:cs="Arial" w:eastAsia="Arial" w:hAnsi="Arial"/>
                <w:sz w:val="22"/>
                <w:szCs w:val="22"/>
                <w:color w:val="auto"/>
              </w:rPr>
              <w:t>QLogic Storage Network Infrastructure (Beijing) Co. Ltd.</w:t>
            </w:r>
          </w:p>
        </w:tc>
        <w:tc>
          <w:tcPr>
            <w:tcW w:w="2760" w:type="dxa"/>
            <w:vAlign w:val="bottom"/>
          </w:tcPr>
          <w:p>
            <w:pPr>
              <w:ind w:left="580"/>
              <w:spacing w:after="0"/>
              <w:rPr>
                <w:sz w:val="20"/>
                <w:szCs w:val="20"/>
                <w:color w:val="auto"/>
              </w:rPr>
            </w:pPr>
            <w:r>
              <w:rPr>
                <w:rFonts w:ascii="Arial" w:cs="Arial" w:eastAsia="Arial" w:hAnsi="Arial"/>
                <w:sz w:val="22"/>
                <w:szCs w:val="22"/>
                <w:color w:val="auto"/>
              </w:rPr>
              <w:t>China</w:t>
            </w:r>
          </w:p>
        </w:tc>
        <w:tc>
          <w:tcPr>
            <w:tcW w:w="0" w:type="dxa"/>
            <w:vAlign w:val="bottom"/>
          </w:tcPr>
          <w:p>
            <w:pPr>
              <w:spacing w:after="0"/>
              <w:rPr>
                <w:sz w:val="1"/>
                <w:szCs w:val="1"/>
                <w:color w:val="auto"/>
              </w:rPr>
            </w:pPr>
          </w:p>
        </w:tc>
      </w:tr>
      <w:tr>
        <w:trPr>
          <w:trHeight w:val="297"/>
        </w:trPr>
        <w:tc>
          <w:tcPr>
            <w:tcW w:w="5620" w:type="dxa"/>
            <w:vAlign w:val="bottom"/>
          </w:tcPr>
          <w:p>
            <w:pPr>
              <w:spacing w:after="0"/>
              <w:rPr>
                <w:sz w:val="20"/>
                <w:szCs w:val="20"/>
                <w:color w:val="auto"/>
              </w:rPr>
            </w:pPr>
            <w:r>
              <w:rPr>
                <w:rFonts w:ascii="Arial" w:cs="Arial" w:eastAsia="Arial" w:hAnsi="Arial"/>
                <w:sz w:val="22"/>
                <w:szCs w:val="22"/>
                <w:color w:val="auto"/>
              </w:rPr>
              <w:t>QLogic Switch Products, LLC</w:t>
            </w:r>
          </w:p>
        </w:tc>
        <w:tc>
          <w:tcPr>
            <w:tcW w:w="2760" w:type="dxa"/>
            <w:vAlign w:val="bottom"/>
          </w:tcPr>
          <w:p>
            <w:pPr>
              <w:ind w:left="580"/>
              <w:spacing w:after="0"/>
              <w:rPr>
                <w:sz w:val="20"/>
                <w:szCs w:val="20"/>
                <w:color w:val="auto"/>
              </w:rPr>
            </w:pPr>
            <w:r>
              <w:rPr>
                <w:rFonts w:ascii="Arial" w:cs="Arial" w:eastAsia="Arial" w:hAnsi="Arial"/>
                <w:sz w:val="22"/>
                <w:szCs w:val="22"/>
                <w:color w:val="auto"/>
                <w:w w:val="87"/>
              </w:rPr>
              <w:t>Minnesota, United States</w:t>
            </w:r>
          </w:p>
        </w:tc>
        <w:tc>
          <w:tcPr>
            <w:tcW w:w="0" w:type="dxa"/>
            <w:vAlign w:val="bottom"/>
          </w:tcPr>
          <w:p>
            <w:pPr>
              <w:spacing w:after="0"/>
              <w:rPr>
                <w:sz w:val="1"/>
                <w:szCs w:val="1"/>
                <w:color w:val="auto"/>
              </w:rPr>
            </w:pPr>
          </w:p>
        </w:tc>
      </w:tr>
      <w:tr>
        <w:trPr>
          <w:trHeight w:val="297"/>
        </w:trPr>
        <w:tc>
          <w:tcPr>
            <w:tcW w:w="5620" w:type="dxa"/>
            <w:vAlign w:val="bottom"/>
          </w:tcPr>
          <w:p>
            <w:pPr>
              <w:spacing w:after="0"/>
              <w:rPr>
                <w:sz w:val="20"/>
                <w:szCs w:val="20"/>
                <w:color w:val="auto"/>
              </w:rPr>
            </w:pPr>
            <w:r>
              <w:rPr>
                <w:rFonts w:ascii="Arial" w:cs="Arial" w:eastAsia="Arial" w:hAnsi="Arial"/>
                <w:sz w:val="22"/>
                <w:szCs w:val="22"/>
                <w:color w:val="auto"/>
              </w:rPr>
              <w:t>Utopia Capital Holdings, Ltd.</w:t>
            </w:r>
          </w:p>
        </w:tc>
        <w:tc>
          <w:tcPr>
            <w:tcW w:w="2760" w:type="dxa"/>
            <w:vAlign w:val="bottom"/>
          </w:tcPr>
          <w:p>
            <w:pPr>
              <w:ind w:left="580"/>
              <w:spacing w:after="0"/>
              <w:rPr>
                <w:sz w:val="20"/>
                <w:szCs w:val="20"/>
                <w:color w:val="auto"/>
              </w:rPr>
            </w:pPr>
            <w:r>
              <w:rPr>
                <w:rFonts w:ascii="Arial" w:cs="Arial" w:eastAsia="Arial" w:hAnsi="Arial"/>
                <w:sz w:val="22"/>
                <w:szCs w:val="22"/>
                <w:color w:val="auto"/>
              </w:rPr>
              <w:t>Bermuda</w:t>
            </w:r>
          </w:p>
        </w:tc>
        <w:tc>
          <w:tcPr>
            <w:tcW w:w="0" w:type="dxa"/>
            <w:vAlign w:val="bottom"/>
          </w:tcPr>
          <w:p>
            <w:pPr>
              <w:spacing w:after="0"/>
              <w:rPr>
                <w:sz w:val="1"/>
                <w:szCs w:val="1"/>
                <w:color w:val="auto"/>
              </w:rPr>
            </w:pPr>
          </w:p>
        </w:tc>
      </w:tr>
      <w:tr>
        <w:trPr>
          <w:trHeight w:val="310"/>
        </w:trPr>
        <w:tc>
          <w:tcPr>
            <w:tcW w:w="5620" w:type="dxa"/>
            <w:vAlign w:val="bottom"/>
          </w:tcPr>
          <w:p>
            <w:pPr>
              <w:spacing w:after="0"/>
              <w:rPr>
                <w:sz w:val="20"/>
                <w:szCs w:val="20"/>
                <w:color w:val="auto"/>
              </w:rPr>
            </w:pPr>
            <w:r>
              <w:rPr>
                <w:rFonts w:ascii="Arial" w:cs="Arial" w:eastAsia="Arial" w:hAnsi="Arial"/>
                <w:sz w:val="22"/>
                <w:szCs w:val="22"/>
                <w:color w:val="auto"/>
              </w:rPr>
              <w:t>Aquantia Corp.</w:t>
            </w:r>
          </w:p>
        </w:tc>
        <w:tc>
          <w:tcPr>
            <w:tcW w:w="2760" w:type="dxa"/>
            <w:vAlign w:val="bottom"/>
          </w:tcPr>
          <w:p>
            <w:pPr>
              <w:ind w:left="580"/>
              <w:spacing w:after="0"/>
              <w:rPr>
                <w:sz w:val="20"/>
                <w:szCs w:val="20"/>
                <w:color w:val="auto"/>
              </w:rPr>
            </w:pPr>
            <w:r>
              <w:rPr>
                <w:rFonts w:ascii="Arial" w:cs="Arial" w:eastAsia="Arial" w:hAnsi="Arial"/>
                <w:sz w:val="22"/>
                <w:szCs w:val="22"/>
                <w:color w:val="auto"/>
                <w:w w:val="91"/>
              </w:rPr>
              <w:t>Delaware, United States</w:t>
            </w:r>
          </w:p>
        </w:tc>
        <w:tc>
          <w:tcPr>
            <w:tcW w:w="0" w:type="dxa"/>
            <w:vAlign w:val="bottom"/>
          </w:tcPr>
          <w:p>
            <w:pPr>
              <w:spacing w:after="0"/>
              <w:rPr>
                <w:sz w:val="1"/>
                <w:szCs w:val="1"/>
                <w:color w:val="auto"/>
              </w:rPr>
            </w:pPr>
          </w:p>
        </w:tc>
      </w:tr>
      <w:tr>
        <w:trPr>
          <w:trHeight w:val="311"/>
        </w:trPr>
        <w:tc>
          <w:tcPr>
            <w:tcW w:w="5620" w:type="dxa"/>
            <w:vAlign w:val="bottom"/>
          </w:tcPr>
          <w:p>
            <w:pPr>
              <w:spacing w:after="0"/>
              <w:rPr>
                <w:sz w:val="20"/>
                <w:szCs w:val="20"/>
                <w:color w:val="auto"/>
              </w:rPr>
            </w:pPr>
            <w:r>
              <w:rPr>
                <w:rFonts w:ascii="Arial" w:cs="Arial" w:eastAsia="Arial" w:hAnsi="Arial"/>
                <w:sz w:val="22"/>
                <w:szCs w:val="22"/>
                <w:color w:val="auto"/>
              </w:rPr>
              <w:t>Aquantia LLC</w:t>
            </w:r>
          </w:p>
        </w:tc>
        <w:tc>
          <w:tcPr>
            <w:tcW w:w="2760" w:type="dxa"/>
            <w:vAlign w:val="bottom"/>
          </w:tcPr>
          <w:p>
            <w:pPr>
              <w:ind w:left="580"/>
              <w:spacing w:after="0"/>
              <w:rPr>
                <w:sz w:val="20"/>
                <w:szCs w:val="20"/>
                <w:color w:val="auto"/>
              </w:rPr>
            </w:pPr>
            <w:r>
              <w:rPr>
                <w:rFonts w:ascii="Arial" w:cs="Arial" w:eastAsia="Arial" w:hAnsi="Arial"/>
                <w:sz w:val="22"/>
                <w:szCs w:val="22"/>
                <w:color w:val="auto"/>
                <w:w w:val="91"/>
              </w:rPr>
              <w:t>Delaware, United States</w:t>
            </w:r>
          </w:p>
        </w:tc>
        <w:tc>
          <w:tcPr>
            <w:tcW w:w="0" w:type="dxa"/>
            <w:vAlign w:val="bottom"/>
          </w:tcPr>
          <w:p>
            <w:pPr>
              <w:spacing w:after="0"/>
              <w:rPr>
                <w:sz w:val="1"/>
                <w:szCs w:val="1"/>
                <w:color w:val="auto"/>
              </w:rPr>
            </w:pPr>
          </w:p>
        </w:tc>
      </w:tr>
      <w:tr>
        <w:trPr>
          <w:trHeight w:val="310"/>
        </w:trPr>
        <w:tc>
          <w:tcPr>
            <w:tcW w:w="5620" w:type="dxa"/>
            <w:vAlign w:val="bottom"/>
          </w:tcPr>
          <w:p>
            <w:pPr>
              <w:spacing w:after="0"/>
              <w:rPr>
                <w:sz w:val="20"/>
                <w:szCs w:val="20"/>
                <w:color w:val="auto"/>
              </w:rPr>
            </w:pPr>
            <w:r>
              <w:rPr>
                <w:rFonts w:ascii="Arial" w:cs="Arial" w:eastAsia="Arial" w:hAnsi="Arial"/>
                <w:sz w:val="22"/>
                <w:szCs w:val="22"/>
                <w:color w:val="auto"/>
              </w:rPr>
              <w:t>Aquantia Rus LLC [Marvell Rus LLC]1</w:t>
            </w:r>
          </w:p>
        </w:tc>
        <w:tc>
          <w:tcPr>
            <w:tcW w:w="2760" w:type="dxa"/>
            <w:vAlign w:val="bottom"/>
          </w:tcPr>
          <w:p>
            <w:pPr>
              <w:ind w:left="580"/>
              <w:spacing w:after="0"/>
              <w:rPr>
                <w:sz w:val="20"/>
                <w:szCs w:val="20"/>
                <w:color w:val="auto"/>
              </w:rPr>
            </w:pPr>
            <w:r>
              <w:rPr>
                <w:rFonts w:ascii="Arial" w:cs="Arial" w:eastAsia="Arial" w:hAnsi="Arial"/>
                <w:sz w:val="22"/>
                <w:szCs w:val="22"/>
                <w:color w:val="auto"/>
              </w:rPr>
              <w:t>Russia</w:t>
            </w:r>
          </w:p>
        </w:tc>
        <w:tc>
          <w:tcPr>
            <w:tcW w:w="0" w:type="dxa"/>
            <w:vAlign w:val="bottom"/>
          </w:tcPr>
          <w:p>
            <w:pPr>
              <w:spacing w:after="0"/>
              <w:rPr>
                <w:sz w:val="1"/>
                <w:szCs w:val="1"/>
                <w:color w:val="auto"/>
              </w:rPr>
            </w:pPr>
          </w:p>
        </w:tc>
      </w:tr>
      <w:tr>
        <w:trPr>
          <w:trHeight w:val="310"/>
        </w:trPr>
        <w:tc>
          <w:tcPr>
            <w:tcW w:w="5620" w:type="dxa"/>
            <w:vAlign w:val="bottom"/>
          </w:tcPr>
          <w:p>
            <w:pPr>
              <w:spacing w:after="0"/>
              <w:rPr>
                <w:sz w:val="20"/>
                <w:szCs w:val="20"/>
                <w:color w:val="auto"/>
              </w:rPr>
            </w:pPr>
            <w:r>
              <w:rPr>
                <w:rFonts w:ascii="Arial" w:cs="Arial" w:eastAsia="Arial" w:hAnsi="Arial"/>
                <w:sz w:val="22"/>
                <w:szCs w:val="22"/>
                <w:color w:val="auto"/>
              </w:rPr>
              <w:t>Aquantia Semiconductor India Pvt Ltd</w:t>
            </w:r>
          </w:p>
        </w:tc>
        <w:tc>
          <w:tcPr>
            <w:tcW w:w="2760" w:type="dxa"/>
            <w:vAlign w:val="bottom"/>
          </w:tcPr>
          <w:p>
            <w:pPr>
              <w:ind w:left="580"/>
              <w:spacing w:after="0"/>
              <w:rPr>
                <w:sz w:val="20"/>
                <w:szCs w:val="20"/>
                <w:color w:val="auto"/>
              </w:rPr>
            </w:pPr>
            <w:r>
              <w:rPr>
                <w:rFonts w:ascii="Arial" w:cs="Arial" w:eastAsia="Arial" w:hAnsi="Arial"/>
                <w:sz w:val="22"/>
                <w:szCs w:val="22"/>
                <w:color w:val="auto"/>
              </w:rPr>
              <w:t>India</w:t>
            </w:r>
          </w:p>
        </w:tc>
        <w:tc>
          <w:tcPr>
            <w:tcW w:w="0" w:type="dxa"/>
            <w:vAlign w:val="bottom"/>
          </w:tcPr>
          <w:p>
            <w:pPr>
              <w:spacing w:after="0"/>
              <w:rPr>
                <w:sz w:val="1"/>
                <w:szCs w:val="1"/>
                <w:color w:val="auto"/>
              </w:rPr>
            </w:pPr>
          </w:p>
        </w:tc>
      </w:tr>
      <w:tr>
        <w:trPr>
          <w:trHeight w:val="310"/>
        </w:trPr>
        <w:tc>
          <w:tcPr>
            <w:tcW w:w="5620" w:type="dxa"/>
            <w:vAlign w:val="bottom"/>
          </w:tcPr>
          <w:p>
            <w:pPr>
              <w:spacing w:after="0"/>
              <w:rPr>
                <w:sz w:val="20"/>
                <w:szCs w:val="20"/>
                <w:color w:val="auto"/>
              </w:rPr>
            </w:pPr>
            <w:r>
              <w:rPr>
                <w:rFonts w:ascii="Arial" w:cs="Arial" w:eastAsia="Arial" w:hAnsi="Arial"/>
                <w:sz w:val="22"/>
                <w:szCs w:val="22"/>
                <w:color w:val="auto"/>
              </w:rPr>
              <w:t>Aquantia C.V.</w:t>
            </w:r>
          </w:p>
        </w:tc>
        <w:tc>
          <w:tcPr>
            <w:tcW w:w="2760" w:type="dxa"/>
            <w:vAlign w:val="bottom"/>
          </w:tcPr>
          <w:p>
            <w:pPr>
              <w:ind w:left="580"/>
              <w:spacing w:after="0"/>
              <w:rPr>
                <w:sz w:val="20"/>
                <w:szCs w:val="20"/>
                <w:color w:val="auto"/>
              </w:rPr>
            </w:pPr>
            <w:r>
              <w:rPr>
                <w:rFonts w:ascii="Arial" w:cs="Arial" w:eastAsia="Arial" w:hAnsi="Arial"/>
                <w:sz w:val="22"/>
                <w:szCs w:val="22"/>
                <w:color w:val="auto"/>
              </w:rPr>
              <w:t>Netherlands</w:t>
            </w:r>
          </w:p>
        </w:tc>
        <w:tc>
          <w:tcPr>
            <w:tcW w:w="0" w:type="dxa"/>
            <w:vAlign w:val="bottom"/>
          </w:tcPr>
          <w:p>
            <w:pPr>
              <w:spacing w:after="0"/>
              <w:rPr>
                <w:sz w:val="1"/>
                <w:szCs w:val="1"/>
                <w:color w:val="auto"/>
              </w:rPr>
            </w:pPr>
          </w:p>
        </w:tc>
      </w:tr>
      <w:tr>
        <w:trPr>
          <w:trHeight w:val="311"/>
        </w:trPr>
        <w:tc>
          <w:tcPr>
            <w:tcW w:w="5620" w:type="dxa"/>
            <w:vAlign w:val="bottom"/>
          </w:tcPr>
          <w:p>
            <w:pPr>
              <w:spacing w:after="0"/>
              <w:rPr>
                <w:sz w:val="20"/>
                <w:szCs w:val="20"/>
                <w:color w:val="auto"/>
              </w:rPr>
            </w:pPr>
            <w:r>
              <w:rPr>
                <w:rFonts w:ascii="Arial" w:cs="Arial" w:eastAsia="Arial" w:hAnsi="Arial"/>
                <w:sz w:val="22"/>
                <w:szCs w:val="22"/>
                <w:color w:val="auto"/>
              </w:rPr>
              <w:t>Aquantia (Cayman), Ltd.</w:t>
            </w:r>
          </w:p>
        </w:tc>
        <w:tc>
          <w:tcPr>
            <w:tcW w:w="2760" w:type="dxa"/>
            <w:vAlign w:val="bottom"/>
          </w:tcPr>
          <w:p>
            <w:pPr>
              <w:ind w:left="580"/>
              <w:spacing w:after="0"/>
              <w:rPr>
                <w:sz w:val="20"/>
                <w:szCs w:val="20"/>
                <w:color w:val="auto"/>
              </w:rPr>
            </w:pPr>
            <w:r>
              <w:rPr>
                <w:rFonts w:ascii="Arial" w:cs="Arial" w:eastAsia="Arial" w:hAnsi="Arial"/>
                <w:sz w:val="22"/>
                <w:szCs w:val="22"/>
                <w:color w:val="auto"/>
              </w:rPr>
              <w:t>Cayman Islands</w:t>
            </w:r>
          </w:p>
        </w:tc>
        <w:tc>
          <w:tcPr>
            <w:tcW w:w="0" w:type="dxa"/>
            <w:vAlign w:val="bottom"/>
          </w:tcPr>
          <w:p>
            <w:pPr>
              <w:spacing w:after="0"/>
              <w:rPr>
                <w:sz w:val="1"/>
                <w:szCs w:val="1"/>
                <w:color w:val="auto"/>
              </w:rPr>
            </w:pPr>
          </w:p>
        </w:tc>
      </w:tr>
      <w:tr>
        <w:trPr>
          <w:trHeight w:val="310"/>
        </w:trPr>
        <w:tc>
          <w:tcPr>
            <w:tcW w:w="5620" w:type="dxa"/>
            <w:vAlign w:val="bottom"/>
          </w:tcPr>
          <w:p>
            <w:pPr>
              <w:spacing w:after="0"/>
              <w:rPr>
                <w:sz w:val="20"/>
                <w:szCs w:val="20"/>
                <w:color w:val="auto"/>
              </w:rPr>
            </w:pPr>
            <w:r>
              <w:rPr>
                <w:rFonts w:ascii="Arial" w:cs="Arial" w:eastAsia="Arial" w:hAnsi="Arial"/>
                <w:sz w:val="22"/>
                <w:szCs w:val="22"/>
                <w:color w:val="auto"/>
              </w:rPr>
              <w:t>Aquantia B.V.</w:t>
            </w:r>
          </w:p>
        </w:tc>
        <w:tc>
          <w:tcPr>
            <w:tcW w:w="2760" w:type="dxa"/>
            <w:vAlign w:val="bottom"/>
          </w:tcPr>
          <w:p>
            <w:pPr>
              <w:ind w:left="580"/>
              <w:spacing w:after="0"/>
              <w:rPr>
                <w:sz w:val="20"/>
                <w:szCs w:val="20"/>
                <w:color w:val="auto"/>
              </w:rPr>
            </w:pPr>
            <w:r>
              <w:rPr>
                <w:rFonts w:ascii="Arial" w:cs="Arial" w:eastAsia="Arial" w:hAnsi="Arial"/>
                <w:sz w:val="22"/>
                <w:szCs w:val="22"/>
                <w:color w:val="auto"/>
              </w:rPr>
              <w:t>Netherlands</w:t>
            </w:r>
          </w:p>
        </w:tc>
        <w:tc>
          <w:tcPr>
            <w:tcW w:w="0" w:type="dxa"/>
            <w:vAlign w:val="bottom"/>
          </w:tcPr>
          <w:p>
            <w:pPr>
              <w:spacing w:after="0"/>
              <w:rPr>
                <w:sz w:val="1"/>
                <w:szCs w:val="1"/>
                <w:color w:val="auto"/>
              </w:rPr>
            </w:pPr>
          </w:p>
        </w:tc>
      </w:tr>
      <w:tr>
        <w:trPr>
          <w:trHeight w:val="310"/>
        </w:trPr>
        <w:tc>
          <w:tcPr>
            <w:tcW w:w="5620" w:type="dxa"/>
            <w:vAlign w:val="bottom"/>
          </w:tcPr>
          <w:p>
            <w:pPr>
              <w:spacing w:after="0"/>
              <w:rPr>
                <w:sz w:val="20"/>
                <w:szCs w:val="20"/>
                <w:color w:val="auto"/>
              </w:rPr>
            </w:pPr>
            <w:r>
              <w:rPr>
                <w:rFonts w:ascii="Arial" w:cs="Arial" w:eastAsia="Arial" w:hAnsi="Arial"/>
                <w:sz w:val="22"/>
                <w:szCs w:val="22"/>
                <w:color w:val="auto"/>
              </w:rPr>
              <w:t>Aquantia Technology B.V.</w:t>
            </w:r>
          </w:p>
        </w:tc>
        <w:tc>
          <w:tcPr>
            <w:tcW w:w="2760" w:type="dxa"/>
            <w:vAlign w:val="bottom"/>
          </w:tcPr>
          <w:p>
            <w:pPr>
              <w:ind w:left="580"/>
              <w:spacing w:after="0"/>
              <w:rPr>
                <w:sz w:val="20"/>
                <w:szCs w:val="20"/>
                <w:color w:val="auto"/>
              </w:rPr>
            </w:pPr>
            <w:r>
              <w:rPr>
                <w:rFonts w:ascii="Arial" w:cs="Arial" w:eastAsia="Arial" w:hAnsi="Arial"/>
                <w:sz w:val="22"/>
                <w:szCs w:val="22"/>
                <w:color w:val="auto"/>
              </w:rPr>
              <w:t>Netherlands</w:t>
            </w:r>
          </w:p>
        </w:tc>
        <w:tc>
          <w:tcPr>
            <w:tcW w:w="0" w:type="dxa"/>
            <w:vAlign w:val="bottom"/>
          </w:tcPr>
          <w:p>
            <w:pPr>
              <w:spacing w:after="0"/>
              <w:rPr>
                <w:sz w:val="1"/>
                <w:szCs w:val="1"/>
                <w:color w:val="auto"/>
              </w:rPr>
            </w:pPr>
          </w:p>
        </w:tc>
      </w:tr>
      <w:tr>
        <w:trPr>
          <w:trHeight w:val="310"/>
        </w:trPr>
        <w:tc>
          <w:tcPr>
            <w:tcW w:w="5620" w:type="dxa"/>
            <w:vAlign w:val="bottom"/>
          </w:tcPr>
          <w:p>
            <w:pPr>
              <w:spacing w:after="0"/>
              <w:rPr>
                <w:sz w:val="20"/>
                <w:szCs w:val="20"/>
                <w:color w:val="auto"/>
              </w:rPr>
            </w:pPr>
            <w:r>
              <w:rPr>
                <w:rFonts w:ascii="Arial" w:cs="Arial" w:eastAsia="Arial" w:hAnsi="Arial"/>
                <w:sz w:val="22"/>
                <w:szCs w:val="22"/>
                <w:color w:val="auto"/>
              </w:rPr>
              <w:t>Aquantia Japan G.K.</w:t>
            </w:r>
          </w:p>
        </w:tc>
        <w:tc>
          <w:tcPr>
            <w:tcW w:w="2760" w:type="dxa"/>
            <w:vAlign w:val="bottom"/>
          </w:tcPr>
          <w:p>
            <w:pPr>
              <w:ind w:left="580"/>
              <w:spacing w:after="0"/>
              <w:rPr>
                <w:sz w:val="20"/>
                <w:szCs w:val="20"/>
                <w:color w:val="auto"/>
              </w:rPr>
            </w:pPr>
            <w:r>
              <w:rPr>
                <w:rFonts w:ascii="Arial" w:cs="Arial" w:eastAsia="Arial" w:hAnsi="Arial"/>
                <w:sz w:val="22"/>
                <w:szCs w:val="22"/>
                <w:color w:val="auto"/>
              </w:rPr>
              <w:t>Japan</w:t>
            </w:r>
          </w:p>
        </w:tc>
        <w:tc>
          <w:tcPr>
            <w:tcW w:w="0" w:type="dxa"/>
            <w:vAlign w:val="bottom"/>
          </w:tcPr>
          <w:p>
            <w:pPr>
              <w:spacing w:after="0"/>
              <w:rPr>
                <w:sz w:val="1"/>
                <w:szCs w:val="1"/>
                <w:color w:val="auto"/>
              </w:rPr>
            </w:pPr>
          </w:p>
        </w:tc>
      </w:tr>
      <w:tr>
        <w:trPr>
          <w:trHeight w:val="310"/>
        </w:trPr>
        <w:tc>
          <w:tcPr>
            <w:tcW w:w="5620" w:type="dxa"/>
            <w:vAlign w:val="bottom"/>
          </w:tcPr>
          <w:p>
            <w:pPr>
              <w:spacing w:after="0"/>
              <w:rPr>
                <w:sz w:val="20"/>
                <w:szCs w:val="20"/>
                <w:color w:val="auto"/>
              </w:rPr>
            </w:pPr>
            <w:r>
              <w:rPr>
                <w:rFonts w:ascii="Arial" w:cs="Arial" w:eastAsia="Arial" w:hAnsi="Arial"/>
                <w:sz w:val="22"/>
                <w:szCs w:val="22"/>
                <w:color w:val="auto"/>
              </w:rPr>
              <w:t>Aquantia Czech s.r.o</w:t>
            </w:r>
          </w:p>
        </w:tc>
        <w:tc>
          <w:tcPr>
            <w:tcW w:w="2760" w:type="dxa"/>
            <w:vAlign w:val="bottom"/>
          </w:tcPr>
          <w:p>
            <w:pPr>
              <w:ind w:left="580"/>
              <w:spacing w:after="0"/>
              <w:rPr>
                <w:sz w:val="20"/>
                <w:szCs w:val="20"/>
                <w:color w:val="auto"/>
              </w:rPr>
            </w:pPr>
            <w:r>
              <w:rPr>
                <w:rFonts w:ascii="Arial" w:cs="Arial" w:eastAsia="Arial" w:hAnsi="Arial"/>
                <w:sz w:val="22"/>
                <w:szCs w:val="22"/>
                <w:color w:val="auto"/>
              </w:rPr>
              <w:t>Czech Republic</w:t>
            </w:r>
          </w:p>
        </w:tc>
        <w:tc>
          <w:tcPr>
            <w:tcW w:w="0" w:type="dxa"/>
            <w:vAlign w:val="bottom"/>
          </w:tcPr>
          <w:p>
            <w:pPr>
              <w:spacing w:after="0"/>
              <w:rPr>
                <w:sz w:val="1"/>
                <w:szCs w:val="1"/>
                <w:color w:val="auto"/>
              </w:rPr>
            </w:pPr>
          </w:p>
        </w:tc>
      </w:tr>
      <w:tr>
        <w:trPr>
          <w:trHeight w:val="285"/>
        </w:trPr>
        <w:tc>
          <w:tcPr>
            <w:tcW w:w="5620" w:type="dxa"/>
            <w:vAlign w:val="bottom"/>
          </w:tcPr>
          <w:p>
            <w:pPr>
              <w:spacing w:after="0"/>
              <w:rPr>
                <w:sz w:val="20"/>
                <w:szCs w:val="20"/>
                <w:color w:val="auto"/>
              </w:rPr>
            </w:pPr>
            <w:r>
              <w:rPr>
                <w:rFonts w:ascii="Arial" w:cs="Arial" w:eastAsia="Arial" w:hAnsi="Arial"/>
                <w:sz w:val="22"/>
                <w:szCs w:val="22"/>
                <w:color w:val="auto"/>
              </w:rPr>
              <w:t>Avera Semiconductor LLC [Marvell Government</w:t>
            </w:r>
          </w:p>
        </w:tc>
        <w:tc>
          <w:tcPr>
            <w:tcW w:w="2760" w:type="dxa"/>
            <w:vAlign w:val="bottom"/>
            <w:vMerge w:val="restart"/>
          </w:tcPr>
          <w:p>
            <w:pPr>
              <w:ind w:left="580"/>
              <w:spacing w:after="0"/>
              <w:rPr>
                <w:sz w:val="20"/>
                <w:szCs w:val="20"/>
                <w:color w:val="auto"/>
              </w:rPr>
            </w:pPr>
            <w:r>
              <w:rPr>
                <w:rFonts w:ascii="Arial" w:cs="Arial" w:eastAsia="Arial" w:hAnsi="Arial"/>
                <w:sz w:val="22"/>
                <w:szCs w:val="22"/>
                <w:color w:val="auto"/>
                <w:w w:val="91"/>
              </w:rPr>
              <w:t>Delaware, United States</w:t>
            </w:r>
          </w:p>
        </w:tc>
        <w:tc>
          <w:tcPr>
            <w:tcW w:w="0" w:type="dxa"/>
            <w:vAlign w:val="bottom"/>
          </w:tcPr>
          <w:p>
            <w:pPr>
              <w:spacing w:after="0"/>
              <w:rPr>
                <w:sz w:val="1"/>
                <w:szCs w:val="1"/>
                <w:color w:val="auto"/>
              </w:rPr>
            </w:pPr>
          </w:p>
        </w:tc>
      </w:tr>
      <w:tr>
        <w:trPr>
          <w:trHeight w:val="147"/>
        </w:trPr>
        <w:tc>
          <w:tcPr>
            <w:tcW w:w="5620" w:type="dxa"/>
            <w:vAlign w:val="bottom"/>
            <w:vMerge w:val="restart"/>
          </w:tcPr>
          <w:p>
            <w:pPr>
              <w:spacing w:after="0"/>
              <w:rPr>
                <w:sz w:val="20"/>
                <w:szCs w:val="20"/>
                <w:color w:val="auto"/>
              </w:rPr>
            </w:pPr>
            <w:r>
              <w:rPr>
                <w:rFonts w:ascii="Arial" w:cs="Arial" w:eastAsia="Arial" w:hAnsi="Arial"/>
                <w:sz w:val="22"/>
                <w:szCs w:val="22"/>
                <w:color w:val="auto"/>
              </w:rPr>
              <w:t>Solutions, LLC]</w:t>
            </w:r>
            <w:r>
              <w:rPr>
                <w:rFonts w:ascii="Arial" w:cs="Arial" w:eastAsia="Arial" w:hAnsi="Arial"/>
                <w:sz w:val="28"/>
                <w:szCs w:val="28"/>
                <w:color w:val="auto"/>
                <w:vertAlign w:val="superscript"/>
              </w:rPr>
              <w:t>2</w:t>
            </w:r>
          </w:p>
        </w:tc>
        <w:tc>
          <w:tcPr>
            <w:tcW w:w="2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20"/>
        </w:trPr>
        <w:tc>
          <w:tcPr>
            <w:tcW w:w="5620" w:type="dxa"/>
            <w:vAlign w:val="bottom"/>
            <w:vMerge w:val="continue"/>
          </w:tcPr>
          <w:p>
            <w:pPr>
              <w:spacing w:after="0"/>
              <w:rPr>
                <w:sz w:val="19"/>
                <w:szCs w:val="19"/>
                <w:color w:val="auto"/>
              </w:rPr>
            </w:pPr>
          </w:p>
        </w:tc>
        <w:tc>
          <w:tcPr>
            <w:tcW w:w="27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p>
      <w:pPr>
        <w:ind w:left="140" w:hanging="132"/>
        <w:spacing w:after="0"/>
        <w:tabs>
          <w:tab w:leader="none" w:pos="140" w:val="left"/>
        </w:tabs>
        <w:numPr>
          <w:ilvl w:val="0"/>
          <w:numId w:val="50"/>
        </w:numPr>
        <w:rPr>
          <w:rFonts w:ascii="Arial" w:cs="Arial" w:eastAsia="Arial" w:hAnsi="Arial"/>
          <w:sz w:val="28"/>
          <w:szCs w:val="28"/>
          <w:color w:val="auto"/>
          <w:vertAlign w:val="superscript"/>
        </w:rPr>
      </w:pPr>
      <w:r>
        <w:rPr>
          <w:rFonts w:ascii="Arial" w:cs="Arial" w:eastAsia="Arial" w:hAnsi="Arial"/>
          <w:sz w:val="22"/>
          <w:szCs w:val="22"/>
          <w:color w:val="auto"/>
        </w:rPr>
        <w:t>Name change effective as of February 14, 2020</w:t>
      </w:r>
    </w:p>
    <w:p>
      <w:pPr>
        <w:spacing w:after="0"/>
        <w:rPr>
          <w:rFonts w:ascii="Arial" w:cs="Arial" w:eastAsia="Arial" w:hAnsi="Arial"/>
          <w:sz w:val="28"/>
          <w:szCs w:val="28"/>
          <w:color w:val="auto"/>
          <w:vertAlign w:val="superscript"/>
        </w:rPr>
      </w:pPr>
      <w:r>
        <w:rPr>
          <w:rFonts w:ascii="Arial" w:cs="Arial" w:eastAsia="Arial" w:hAnsi="Arial"/>
          <w:sz w:val="28"/>
          <w:szCs w:val="28"/>
          <w:color w:val="auto"/>
          <w:vertAlign w:val="superscript"/>
        </w:rPr>
        <w:t>2</w:t>
      </w:r>
      <w:r>
        <w:rPr>
          <w:rFonts w:ascii="Arial" w:cs="Arial" w:eastAsia="Arial" w:hAnsi="Arial"/>
          <w:sz w:val="22"/>
          <w:szCs w:val="22"/>
          <w:color w:val="auto"/>
        </w:rPr>
        <w:t xml:space="preserve"> Name change effective as of February 24, 2020</w:t>
      </w:r>
    </w:p>
    <w:p>
      <w:pPr>
        <w:sectPr>
          <w:pgSz w:w="11900" w:h="16838" w:orient="portrait"/>
          <w:cols w:equalWidth="0" w:num="1">
            <w:col w:w="10139"/>
          </w:cols>
          <w:pgMar w:left="320" w:top="942" w:right="1440" w:bottom="1440" w:gutter="0" w:footer="0" w:header="0"/>
        </w:sectPr>
      </w:pPr>
    </w:p>
    <w:bookmarkStart w:id="118" w:name="page119"/>
    <w:bookmarkEnd w:id="118"/>
    <w:p>
      <w:pPr>
        <w:spacing w:after="0" w:line="324" w:lineRule="exact"/>
        <w:rPr>
          <w:sz w:val="20"/>
          <w:szCs w:val="20"/>
          <w:color w:val="auto"/>
        </w:rPr>
      </w:pPr>
    </w:p>
    <w:p>
      <w:pPr>
        <w:jc w:val="right"/>
        <w:spacing w:after="0"/>
        <w:rPr>
          <w:sz w:val="20"/>
          <w:szCs w:val="20"/>
          <w:color w:val="auto"/>
        </w:rPr>
      </w:pPr>
      <w:r>
        <w:rPr>
          <w:rFonts w:ascii="Arial" w:cs="Arial" w:eastAsia="Arial" w:hAnsi="Arial"/>
          <w:sz w:val="20"/>
          <w:szCs w:val="20"/>
          <w:b w:val="1"/>
          <w:bCs w:val="1"/>
          <w:color w:val="auto"/>
        </w:rPr>
        <w:t>Exhibit 23.1</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center"/>
        <w:spacing w:after="0"/>
        <w:rPr>
          <w:sz w:val="20"/>
          <w:szCs w:val="20"/>
          <w:color w:val="auto"/>
        </w:rPr>
      </w:pPr>
      <w:r>
        <w:rPr>
          <w:rFonts w:ascii="Arial" w:cs="Arial" w:eastAsia="Arial" w:hAnsi="Arial"/>
          <w:sz w:val="20"/>
          <w:szCs w:val="20"/>
          <w:b w:val="1"/>
          <w:bCs w:val="1"/>
          <w:color w:val="auto"/>
        </w:rPr>
        <w:t>CONSENT OF INDEPENDENT REGISTERED PUBLIC ACCOUNTING FIRM</w:t>
      </w:r>
    </w:p>
    <w:p>
      <w:pPr>
        <w:spacing w:after="0" w:line="289" w:lineRule="exact"/>
        <w:rPr>
          <w:sz w:val="20"/>
          <w:szCs w:val="20"/>
          <w:color w:val="auto"/>
        </w:rPr>
      </w:pPr>
    </w:p>
    <w:p>
      <w:pPr>
        <w:ind w:right="140"/>
        <w:spacing w:after="0" w:line="321" w:lineRule="auto"/>
        <w:rPr>
          <w:sz w:val="20"/>
          <w:szCs w:val="20"/>
          <w:color w:val="auto"/>
        </w:rPr>
      </w:pPr>
      <w:r>
        <w:rPr>
          <w:rFonts w:ascii="Arial" w:cs="Arial" w:eastAsia="Arial" w:hAnsi="Arial"/>
          <w:sz w:val="18"/>
          <w:szCs w:val="18"/>
          <w:color w:val="auto"/>
        </w:rPr>
        <w:t>We consent to the incorporation by reference in Registration Statements on Form S-3 (No. 333-225591) , Form S-4 (No. 333-222235) and Form S-8 (Nos. 333-40152, 333-40154, 333-54188, 333-55974, 333-56322, 333-87322, 333-91124, 333-104925, 333-106683, 333-108334, 333-111133, 333-114434, 333-124072, 333-133281, 33-148621, 333-151816, 333-163644, 333-180412, 333-187641, 333-194865, 333-204730, 333-213059, 333-217004, 333-224015, 333-226085, 333-230616 and 333-233851) of our reports dated March 23, 2020, relating to the consolidated financial statements and financial statement schedule of Marvell Technology Group Ltd. and subsidiaries, and the effectiveness of Marvell Technology Group Ltd. and subsidiaries’ internal control over financial reporting, appearing in this Annual Report on Form 10-K of Marvell Technology Group Ltd. and subsidiaries for the year ended February 1, 2020.</w:t>
      </w:r>
    </w:p>
    <w:p>
      <w:pPr>
        <w:spacing w:after="0" w:line="114" w:lineRule="exact"/>
        <w:rPr>
          <w:sz w:val="20"/>
          <w:szCs w:val="20"/>
          <w:color w:val="auto"/>
        </w:rPr>
      </w:pPr>
    </w:p>
    <w:p>
      <w:pPr>
        <w:spacing w:after="0"/>
        <w:rPr>
          <w:sz w:val="20"/>
          <w:szCs w:val="20"/>
          <w:color w:val="auto"/>
        </w:rPr>
      </w:pPr>
      <w:r>
        <w:rPr>
          <w:rFonts w:ascii="Arial" w:cs="Arial" w:eastAsia="Arial" w:hAnsi="Arial"/>
          <w:sz w:val="20"/>
          <w:szCs w:val="20"/>
          <w:color w:val="auto"/>
        </w:rPr>
        <w:t>/s/ Deloitte &amp; Touche LLP</w:t>
      </w:r>
    </w:p>
    <w:p>
      <w:pPr>
        <w:spacing w:after="0" w:line="200" w:lineRule="exact"/>
        <w:rPr>
          <w:sz w:val="20"/>
          <w:szCs w:val="20"/>
          <w:color w:val="auto"/>
        </w:rPr>
      </w:pPr>
    </w:p>
    <w:p>
      <w:pPr>
        <w:spacing w:after="0" w:line="245" w:lineRule="exact"/>
        <w:rPr>
          <w:sz w:val="20"/>
          <w:szCs w:val="20"/>
          <w:color w:val="auto"/>
        </w:rPr>
      </w:pPr>
    </w:p>
    <w:p>
      <w:pPr>
        <w:spacing w:after="0"/>
        <w:rPr>
          <w:sz w:val="20"/>
          <w:szCs w:val="20"/>
          <w:color w:val="auto"/>
        </w:rPr>
      </w:pPr>
      <w:r>
        <w:rPr>
          <w:rFonts w:ascii="Arial" w:cs="Arial" w:eastAsia="Arial" w:hAnsi="Arial"/>
          <w:sz w:val="20"/>
          <w:szCs w:val="20"/>
          <w:color w:val="auto"/>
        </w:rPr>
        <w:t>San Jose, California</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March 23, 2020</w:t>
      </w:r>
    </w:p>
    <w:p>
      <w:pPr>
        <w:sectPr>
          <w:pgSz w:w="11900" w:h="16838" w:orient="portrait"/>
          <w:cols w:equalWidth="0" w:num="1">
            <w:col w:w="11240"/>
          </w:cols>
          <w:pgMar w:left="320" w:top="1440" w:right="339" w:bottom="1440" w:gutter="0" w:footer="0" w:header="0"/>
        </w:sectPr>
      </w:pPr>
    </w:p>
    <w:bookmarkStart w:id="119" w:name="page120"/>
    <w:bookmarkEnd w:id="119"/>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52" w:lineRule="exact"/>
        <w:rPr>
          <w:sz w:val="20"/>
          <w:szCs w:val="20"/>
          <w:color w:val="auto"/>
        </w:rPr>
      </w:pPr>
    </w:p>
    <w:p>
      <w:pPr>
        <w:ind w:left="340" w:hanging="332"/>
        <w:spacing w:after="0"/>
        <w:tabs>
          <w:tab w:leader="none" w:pos="340" w:val="left"/>
        </w:tabs>
        <w:numPr>
          <w:ilvl w:val="0"/>
          <w:numId w:val="51"/>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252" w:lineRule="exact"/>
        <w:rPr>
          <w:rFonts w:ascii="Arial" w:cs="Arial" w:eastAsia="Arial" w:hAnsi="Arial"/>
          <w:sz w:val="18"/>
          <w:szCs w:val="18"/>
          <w:color w:val="auto"/>
        </w:rPr>
      </w:pPr>
    </w:p>
    <w:p>
      <w:pPr>
        <w:jc w:val="both"/>
        <w:ind w:left="340" w:right="440" w:hanging="332"/>
        <w:spacing w:after="0" w:line="295" w:lineRule="auto"/>
        <w:tabs>
          <w:tab w:leader="none" w:pos="340" w:val="left"/>
        </w:tabs>
        <w:numPr>
          <w:ilvl w:val="0"/>
          <w:numId w:val="51"/>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340" w:right="400" w:hanging="332"/>
        <w:spacing w:after="0" w:line="341" w:lineRule="auto"/>
        <w:tabs>
          <w:tab w:leader="none" w:pos="340" w:val="left"/>
        </w:tabs>
        <w:numPr>
          <w:ilvl w:val="0"/>
          <w:numId w:val="51"/>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20" w:hanging="332"/>
        <w:spacing w:after="0" w:line="295" w:lineRule="auto"/>
        <w:tabs>
          <w:tab w:leader="none" w:pos="34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60" w:hanging="324"/>
        <w:spacing w:after="0" w:line="295" w:lineRule="auto"/>
        <w:tabs>
          <w:tab w:leader="none" w:pos="971" w:val="left"/>
        </w:tabs>
        <w:numPr>
          <w:ilvl w:val="1"/>
          <w:numId w:val="51"/>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360" w:hanging="324"/>
        <w:spacing w:after="0" w:line="295" w:lineRule="auto"/>
        <w:tabs>
          <w:tab w:leader="none" w:pos="968" w:val="left"/>
        </w:tabs>
        <w:numPr>
          <w:ilvl w:val="1"/>
          <w:numId w:val="51"/>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540" w:hanging="324"/>
        <w:spacing w:after="0" w:line="377" w:lineRule="auto"/>
        <w:tabs>
          <w:tab w:leader="none" w:pos="971" w:val="left"/>
        </w:tabs>
        <w:numPr>
          <w:ilvl w:val="1"/>
          <w:numId w:val="51"/>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60" w:hanging="324"/>
        <w:spacing w:after="0" w:line="295" w:lineRule="auto"/>
        <w:tabs>
          <w:tab w:leader="none" w:pos="968" w:val="left"/>
        </w:tabs>
        <w:numPr>
          <w:ilvl w:val="1"/>
          <w:numId w:val="51"/>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320" w:hanging="332"/>
        <w:spacing w:after="0" w:line="341" w:lineRule="auto"/>
        <w:tabs>
          <w:tab w:leader="none" w:pos="340" w:val="left"/>
        </w:tabs>
        <w:numPr>
          <w:ilvl w:val="0"/>
          <w:numId w:val="51"/>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780" w:hanging="324"/>
        <w:spacing w:after="0" w:line="377" w:lineRule="auto"/>
        <w:tabs>
          <w:tab w:leader="none" w:pos="971" w:val="left"/>
        </w:tabs>
        <w:numPr>
          <w:ilvl w:val="1"/>
          <w:numId w:val="51"/>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980" w:right="480" w:hanging="324"/>
        <w:spacing w:after="0" w:line="308" w:lineRule="auto"/>
        <w:tabs>
          <w:tab w:leader="none" w:pos="968" w:val="left"/>
        </w:tabs>
        <w:numPr>
          <w:ilvl w:val="1"/>
          <w:numId w:val="51"/>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ectPr>
          <w:pgSz w:w="11900" w:h="16838" w:orient="portrait"/>
          <w:cols w:equalWidth="0" w:num="1">
            <w:col w:w="11240"/>
          </w:cols>
          <w:pgMar w:left="320" w:top="904" w:right="339" w:bottom="1440" w:gutter="0" w:footer="0" w:header="0"/>
        </w:sectPr>
      </w:pPr>
    </w:p>
    <w:bookmarkStart w:id="120" w:name="page121"/>
    <w:bookmarkEnd w:id="120"/>
    <w:p>
      <w:pPr>
        <w:spacing w:after="0"/>
        <w:tabs>
          <w:tab w:leader="none" w:pos="4820" w:val="left"/>
          <w:tab w:leader="none" w:pos="5220" w:val="left"/>
        </w:tabs>
        <w:rPr>
          <w:sz w:val="20"/>
          <w:szCs w:val="20"/>
          <w:color w:val="auto"/>
        </w:rPr>
      </w:pPr>
      <w:r>
        <w:rPr>
          <w:rFonts w:ascii="Arial" w:cs="Arial" w:eastAsia="Arial" w:hAnsi="Arial"/>
          <w:sz w:val="18"/>
          <w:szCs w:val="18"/>
          <w:color w:val="auto"/>
        </w:rPr>
        <w:t>Date: March 23,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3318510</wp:posOffset>
            </wp:positionH>
            <wp:positionV relativeFrom="paragraph">
              <wp:posOffset>31750</wp:posOffset>
            </wp:positionV>
            <wp:extent cx="3060700" cy="8255"/>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88">
                      <a:extLst>
                        <a:ext uri="{28A0092B-C50C-407E-A947-70E740481C1C}"/>
                      </a:extLst>
                    </a:blip>
                    <a:srcRect/>
                    <a:stretch>
                      <a:fillRect/>
                    </a:stretch>
                  </pic:blipFill>
                  <pic:spPr bwMode="auto">
                    <a:xfrm>
                      <a:off x="0" y="0"/>
                      <a:ext cx="3060700" cy="8255"/>
                    </a:xfrm>
                    <a:prstGeom prst="rect">
                      <a:avLst/>
                    </a:prstGeom>
                    <a:noFill/>
                  </pic:spPr>
                </pic:pic>
              </a:graphicData>
            </a:graphic>
          </wp:anchor>
        </w:drawing>
      </w:r>
    </w:p>
    <w:p>
      <w:pPr>
        <w:spacing w:after="0" w:line="93" w:lineRule="exact"/>
        <w:rPr>
          <w:sz w:val="20"/>
          <w:szCs w:val="20"/>
          <w:color w:val="auto"/>
        </w:rPr>
      </w:pPr>
    </w:p>
    <w:p>
      <w:pPr>
        <w:ind w:left="524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240"/>
        <w:spacing w:after="0"/>
        <w:rPr>
          <w:sz w:val="20"/>
          <w:szCs w:val="20"/>
          <w:color w:val="auto"/>
        </w:rPr>
      </w:pPr>
      <w:r>
        <w:rPr>
          <w:rFonts w:ascii="Arial" w:cs="Arial" w:eastAsia="Arial" w:hAnsi="Arial"/>
          <w:sz w:val="16"/>
          <w:szCs w:val="16"/>
          <w:b w:val="1"/>
          <w:bCs w:val="1"/>
          <w:color w:val="auto"/>
        </w:rPr>
        <w:t>President and Chief Executive Officer</w:t>
      </w:r>
    </w:p>
    <w:p>
      <w:pPr>
        <w:spacing w:after="0" w:line="32" w:lineRule="exact"/>
        <w:rPr>
          <w:sz w:val="20"/>
          <w:szCs w:val="20"/>
          <w:color w:val="auto"/>
        </w:rPr>
      </w:pPr>
    </w:p>
    <w:p>
      <w:pPr>
        <w:ind w:left="524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0119"/>
          </w:cols>
          <w:pgMar w:left="340" w:top="949" w:right="1440" w:bottom="1440" w:gutter="0" w:footer="0" w:header="0"/>
        </w:sectPr>
      </w:pPr>
    </w:p>
    <w:bookmarkStart w:id="121" w:name="page122"/>
    <w:bookmarkEnd w:id="121"/>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200" w:lineRule="exact"/>
        <w:rPr>
          <w:sz w:val="20"/>
          <w:szCs w:val="20"/>
          <w:color w:val="auto"/>
        </w:rPr>
      </w:pPr>
    </w:p>
    <w:p>
      <w:pPr>
        <w:spacing w:after="0" w:line="295" w:lineRule="exact"/>
        <w:rPr>
          <w:sz w:val="20"/>
          <w:szCs w:val="20"/>
          <w:color w:val="auto"/>
        </w:rPr>
      </w:pPr>
    </w:p>
    <w:p>
      <w:pPr>
        <w:ind w:left="340" w:hanging="332"/>
        <w:spacing w:after="0"/>
        <w:tabs>
          <w:tab w:leader="none" w:pos="340" w:val="left"/>
        </w:tabs>
        <w:numPr>
          <w:ilvl w:val="0"/>
          <w:numId w:val="52"/>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252" w:lineRule="exact"/>
        <w:rPr>
          <w:rFonts w:ascii="Arial" w:cs="Arial" w:eastAsia="Arial" w:hAnsi="Arial"/>
          <w:sz w:val="18"/>
          <w:szCs w:val="18"/>
          <w:color w:val="auto"/>
        </w:rPr>
      </w:pPr>
    </w:p>
    <w:p>
      <w:pPr>
        <w:jc w:val="both"/>
        <w:ind w:left="340" w:right="440" w:hanging="332"/>
        <w:spacing w:after="0" w:line="295" w:lineRule="auto"/>
        <w:tabs>
          <w:tab w:leader="none" w:pos="340" w:val="left"/>
        </w:tabs>
        <w:numPr>
          <w:ilvl w:val="0"/>
          <w:numId w:val="52"/>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340" w:right="400" w:hanging="332"/>
        <w:spacing w:after="0" w:line="341" w:lineRule="auto"/>
        <w:tabs>
          <w:tab w:leader="none" w:pos="340" w:val="left"/>
        </w:tabs>
        <w:numPr>
          <w:ilvl w:val="0"/>
          <w:numId w:val="52"/>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20" w:hanging="332"/>
        <w:spacing w:after="0" w:line="295" w:lineRule="auto"/>
        <w:tabs>
          <w:tab w:leader="none" w:pos="340" w:val="left"/>
        </w:tabs>
        <w:numPr>
          <w:ilvl w:val="0"/>
          <w:numId w:val="52"/>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60" w:hanging="324"/>
        <w:spacing w:after="0" w:line="295" w:lineRule="auto"/>
        <w:tabs>
          <w:tab w:leader="none" w:pos="971" w:val="left"/>
        </w:tabs>
        <w:numPr>
          <w:ilvl w:val="1"/>
          <w:numId w:val="5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360" w:hanging="324"/>
        <w:spacing w:after="0" w:line="295" w:lineRule="auto"/>
        <w:tabs>
          <w:tab w:leader="none" w:pos="968" w:val="left"/>
        </w:tabs>
        <w:numPr>
          <w:ilvl w:val="1"/>
          <w:numId w:val="52"/>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540" w:hanging="324"/>
        <w:spacing w:after="0" w:line="377" w:lineRule="auto"/>
        <w:tabs>
          <w:tab w:leader="none" w:pos="971" w:val="left"/>
        </w:tabs>
        <w:numPr>
          <w:ilvl w:val="1"/>
          <w:numId w:val="5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60" w:hanging="324"/>
        <w:spacing w:after="0" w:line="295" w:lineRule="auto"/>
        <w:tabs>
          <w:tab w:leader="none" w:pos="968" w:val="left"/>
        </w:tabs>
        <w:numPr>
          <w:ilvl w:val="1"/>
          <w:numId w:val="5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320" w:hanging="332"/>
        <w:spacing w:after="0" w:line="341" w:lineRule="auto"/>
        <w:tabs>
          <w:tab w:leader="none" w:pos="340" w:val="left"/>
        </w:tabs>
        <w:numPr>
          <w:ilvl w:val="0"/>
          <w:numId w:val="52"/>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780" w:hanging="324"/>
        <w:spacing w:after="0" w:line="377" w:lineRule="auto"/>
        <w:tabs>
          <w:tab w:leader="none" w:pos="971" w:val="left"/>
        </w:tabs>
        <w:numPr>
          <w:ilvl w:val="1"/>
          <w:numId w:val="52"/>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980" w:right="480" w:hanging="324"/>
        <w:spacing w:after="0" w:line="308" w:lineRule="auto"/>
        <w:tabs>
          <w:tab w:leader="none" w:pos="968" w:val="left"/>
        </w:tabs>
        <w:numPr>
          <w:ilvl w:val="1"/>
          <w:numId w:val="52"/>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ectPr>
          <w:pgSz w:w="11900" w:h="16838" w:orient="portrait"/>
          <w:cols w:equalWidth="0" w:num="1">
            <w:col w:w="11240"/>
          </w:cols>
          <w:pgMar w:left="320" w:top="904" w:right="339" w:bottom="1440" w:gutter="0" w:footer="0" w:header="0"/>
        </w:sectPr>
      </w:pPr>
    </w:p>
    <w:bookmarkStart w:id="122" w:name="page123"/>
    <w:bookmarkEnd w:id="122"/>
    <w:p>
      <w:pPr>
        <w:spacing w:after="0"/>
        <w:tabs>
          <w:tab w:leader="none" w:pos="4820" w:val="left"/>
          <w:tab w:leader="none" w:pos="5220" w:val="left"/>
        </w:tabs>
        <w:rPr>
          <w:sz w:val="20"/>
          <w:szCs w:val="20"/>
          <w:color w:val="auto"/>
        </w:rPr>
      </w:pPr>
      <w:r>
        <w:rPr>
          <w:rFonts w:ascii="Arial" w:cs="Arial" w:eastAsia="Arial" w:hAnsi="Arial"/>
          <w:sz w:val="18"/>
          <w:szCs w:val="18"/>
          <w:color w:val="auto"/>
        </w:rPr>
        <w:t>Date: March 23,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3318510</wp:posOffset>
            </wp:positionH>
            <wp:positionV relativeFrom="paragraph">
              <wp:posOffset>31750</wp:posOffset>
            </wp:positionV>
            <wp:extent cx="3060700" cy="8255"/>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89">
                      <a:extLst>
                        <a:ext uri="{28A0092B-C50C-407E-A947-70E740481C1C}"/>
                      </a:extLst>
                    </a:blip>
                    <a:srcRect/>
                    <a:stretch>
                      <a:fillRect/>
                    </a:stretch>
                  </pic:blipFill>
                  <pic:spPr bwMode="auto">
                    <a:xfrm>
                      <a:off x="0" y="0"/>
                      <a:ext cx="3060700" cy="8255"/>
                    </a:xfrm>
                    <a:prstGeom prst="rect">
                      <a:avLst/>
                    </a:prstGeom>
                    <a:noFill/>
                  </pic:spPr>
                </pic:pic>
              </a:graphicData>
            </a:graphic>
          </wp:anchor>
        </w:drawing>
      </w:r>
    </w:p>
    <w:p>
      <w:pPr>
        <w:spacing w:after="0" w:line="93" w:lineRule="exact"/>
        <w:rPr>
          <w:sz w:val="20"/>
          <w:szCs w:val="20"/>
          <w:color w:val="auto"/>
        </w:rPr>
      </w:pPr>
    </w:p>
    <w:p>
      <w:pPr>
        <w:ind w:left="524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24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240"/>
        <w:spacing w:after="0"/>
        <w:rPr>
          <w:sz w:val="20"/>
          <w:szCs w:val="20"/>
          <w:color w:val="auto"/>
        </w:rPr>
      </w:pPr>
      <w:r>
        <w:rPr>
          <w:rFonts w:ascii="Arial" w:cs="Arial" w:eastAsia="Arial" w:hAnsi="Arial"/>
          <w:sz w:val="16"/>
          <w:szCs w:val="16"/>
          <w:b w:val="1"/>
          <w:bCs w:val="1"/>
          <w:color w:val="auto"/>
        </w:rPr>
        <w:t>(Principal Financial Officer)</w:t>
      </w:r>
    </w:p>
    <w:p>
      <w:pPr>
        <w:sectPr>
          <w:pgSz w:w="11900" w:h="16838" w:orient="portrait"/>
          <w:cols w:equalWidth="0" w:num="1">
            <w:col w:w="10119"/>
          </w:cols>
          <w:pgMar w:left="340" w:top="949" w:right="1440" w:bottom="1440" w:gutter="0" w:footer="0" w:header="0"/>
        </w:sectPr>
      </w:pPr>
    </w:p>
    <w:bookmarkStart w:id="123" w:name="page124"/>
    <w:bookmarkEnd w:id="123"/>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760"/>
        <w:spacing w:after="0" w:line="308" w:lineRule="auto"/>
        <w:rPr>
          <w:sz w:val="20"/>
          <w:szCs w:val="20"/>
          <w:color w:val="auto"/>
        </w:rPr>
      </w:pPr>
      <w:r>
        <w:rPr>
          <w:rFonts w:ascii="Arial" w:cs="Arial" w:eastAsia="Arial" w:hAnsi="Arial"/>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160" w:hanging="497"/>
        <w:spacing w:after="0" w:line="308" w:lineRule="auto"/>
        <w:tabs>
          <w:tab w:leader="none" w:pos="560" w:val="left"/>
        </w:tabs>
        <w:numPr>
          <w:ilvl w:val="0"/>
          <w:numId w:val="53"/>
        </w:numPr>
        <w:rPr>
          <w:rFonts w:ascii="Arial" w:cs="Arial" w:eastAsia="Arial" w:hAnsi="Arial"/>
          <w:sz w:val="18"/>
          <w:szCs w:val="18"/>
          <w:color w:val="auto"/>
        </w:rPr>
      </w:pPr>
      <w:r>
        <w:rPr>
          <w:rFonts w:ascii="Arial" w:cs="Arial" w:eastAsia="Arial" w:hAnsi="Arial"/>
          <w:sz w:val="18"/>
          <w:szCs w:val="18"/>
          <w:color w:val="auto"/>
        </w:rPr>
        <w:t>the Annual Report of the Registrant on Form 10-K for the fiscal year ended February 1, 2020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60" w:hanging="547"/>
        <w:spacing w:after="0"/>
        <w:tabs>
          <w:tab w:leader="none" w:pos="560" w:val="left"/>
        </w:tabs>
        <w:numPr>
          <w:ilvl w:val="0"/>
          <w:numId w:val="53"/>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20"/>
        <w:spacing w:after="0"/>
        <w:tabs>
          <w:tab w:leader="none" w:pos="4840" w:val="left"/>
          <w:tab w:leader="none" w:pos="5240" w:val="left"/>
        </w:tabs>
        <w:rPr>
          <w:sz w:val="20"/>
          <w:szCs w:val="20"/>
          <w:color w:val="auto"/>
        </w:rPr>
      </w:pPr>
      <w:r>
        <w:rPr>
          <w:rFonts w:ascii="Arial" w:cs="Arial" w:eastAsia="Arial" w:hAnsi="Arial"/>
          <w:sz w:val="18"/>
          <w:szCs w:val="18"/>
          <w:color w:val="auto"/>
        </w:rPr>
        <w:t>Date: March 23,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3331210</wp:posOffset>
            </wp:positionH>
            <wp:positionV relativeFrom="paragraph">
              <wp:posOffset>31750</wp:posOffset>
            </wp:positionV>
            <wp:extent cx="3060700" cy="825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90">
                      <a:extLst>
                        <a:ext uri="{28A0092B-C50C-407E-A947-70E740481C1C}"/>
                      </a:extLst>
                    </a:blip>
                    <a:srcRect/>
                    <a:stretch>
                      <a:fillRect/>
                    </a:stretch>
                  </pic:blipFill>
                  <pic:spPr bwMode="auto">
                    <a:xfrm>
                      <a:off x="0" y="0"/>
                      <a:ext cx="3060700" cy="8255"/>
                    </a:xfrm>
                    <a:prstGeom prst="rect">
                      <a:avLst/>
                    </a:prstGeom>
                    <a:noFill/>
                  </pic:spPr>
                </pic:pic>
              </a:graphicData>
            </a:graphic>
          </wp:anchor>
        </w:drawing>
      </w:r>
    </w:p>
    <w:p>
      <w:pPr>
        <w:spacing w:after="0" w:line="93"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904" w:right="339" w:bottom="1440" w:gutter="0" w:footer="0" w:header="0"/>
        </w:sectPr>
      </w:pPr>
    </w:p>
    <w:bookmarkStart w:id="124" w:name="page125"/>
    <w:bookmarkEnd w:id="124"/>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400"/>
        <w:spacing w:after="0" w:line="308" w:lineRule="auto"/>
        <w:rPr>
          <w:sz w:val="20"/>
          <w:szCs w:val="20"/>
          <w:color w:val="auto"/>
        </w:rPr>
      </w:pPr>
      <w:r>
        <w:rPr>
          <w:rFonts w:ascii="Arial" w:cs="Arial" w:eastAsia="Arial" w:hAnsi="Arial"/>
          <w:sz w:val="18"/>
          <w:szCs w:val="18"/>
          <w:color w:val="auto"/>
        </w:rPr>
        <w:t>I, Jean Hu, the Principal Financial Officer of Marvell Technology Group Ltd.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160" w:hanging="497"/>
        <w:spacing w:after="0" w:line="308" w:lineRule="auto"/>
        <w:tabs>
          <w:tab w:leader="none" w:pos="56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Annual Report of the Registrant on Form 10-K for the fiscal year ended February 1, 2020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60" w:hanging="547"/>
        <w:spacing w:after="0"/>
        <w:tabs>
          <w:tab w:leader="none" w:pos="560" w:val="left"/>
        </w:tabs>
        <w:numPr>
          <w:ilvl w:val="0"/>
          <w:numId w:val="54"/>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20"/>
        <w:spacing w:after="0"/>
        <w:tabs>
          <w:tab w:leader="none" w:pos="4840" w:val="left"/>
          <w:tab w:leader="none" w:pos="5240" w:val="left"/>
        </w:tabs>
        <w:rPr>
          <w:sz w:val="20"/>
          <w:szCs w:val="20"/>
          <w:color w:val="auto"/>
        </w:rPr>
      </w:pPr>
      <w:r>
        <w:rPr>
          <w:rFonts w:ascii="Arial" w:cs="Arial" w:eastAsia="Arial" w:hAnsi="Arial"/>
          <w:sz w:val="18"/>
          <w:szCs w:val="18"/>
          <w:color w:val="auto"/>
        </w:rPr>
        <w:t>Date: March 23,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3331210</wp:posOffset>
            </wp:positionH>
            <wp:positionV relativeFrom="paragraph">
              <wp:posOffset>31750</wp:posOffset>
            </wp:positionV>
            <wp:extent cx="3060700" cy="8255"/>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91">
                      <a:extLst>
                        <a:ext uri="{28A0092B-C50C-407E-A947-70E740481C1C}"/>
                      </a:extLst>
                    </a:blip>
                    <a:srcRect/>
                    <a:stretch>
                      <a:fillRect/>
                    </a:stretch>
                  </pic:blipFill>
                  <pic:spPr bwMode="auto">
                    <a:xfrm>
                      <a:off x="0" y="0"/>
                      <a:ext cx="3060700" cy="8255"/>
                    </a:xfrm>
                    <a:prstGeom prst="rect">
                      <a:avLst/>
                    </a:prstGeom>
                    <a:noFill/>
                  </pic:spPr>
                </pic:pic>
              </a:graphicData>
            </a:graphic>
          </wp:anchor>
        </w:drawing>
      </w:r>
    </w:p>
    <w:p>
      <w:pPr>
        <w:spacing w:after="0" w:line="93"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240"/>
      </w:cols>
      <w:pgMar w:left="320" w:top="904"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1F32454"/>
    <w:multiLevelType w:val="hybridMultilevel"/>
    <w:lvl w:ilvl="0">
      <w:lvlJc w:val="left"/>
      <w:lvlText w:val="☒"/>
      <w:numFmt w:val="bullet"/>
      <w:start w:val="1"/>
    </w:lvl>
  </w:abstractNum>
  <w:abstractNum w:abstractNumId="1">
    <w:nsid w:val="2CA88611"/>
    <w:multiLevelType w:val="hybridMultilevel"/>
    <w:lvl w:ilvl="0">
      <w:lvlJc w:val="left"/>
      <w:lvlText w:val="☐"/>
      <w:numFmt w:val="bullet"/>
      <w:start w:val="1"/>
    </w:lvl>
  </w:abstractNum>
  <w:abstractNum w:abstractNumId="2">
    <w:nsid w:val="836C40E"/>
    <w:multiLevelType w:val="hybridMultilevel"/>
    <w:lvl w:ilvl="0">
      <w:lvlJc w:val="left"/>
      <w:lvlText w:val="•"/>
      <w:numFmt w:val="bullet"/>
      <w:start w:val="1"/>
    </w:lvl>
  </w:abstractNum>
  <w:abstractNum w:abstractNumId="3">
    <w:nsid w:val="2901D82"/>
    <w:multiLevelType w:val="hybridMultilevel"/>
    <w:lvl w:ilvl="0">
      <w:lvlJc w:val="left"/>
      <w:lvlText w:val="**"/>
      <w:numFmt w:val="bullet"/>
      <w:start w:val="1"/>
    </w:lvl>
  </w:abstractNum>
  <w:abstractNum w:abstractNumId="4">
    <w:nsid w:val="3A95F874"/>
    <w:multiLevelType w:val="hybridMultilevel"/>
    <w:lvl w:ilvl="0">
      <w:lvlJc w:val="left"/>
      <w:lvlText w:val="•"/>
      <w:numFmt w:val="bullet"/>
      <w:start w:val="1"/>
    </w:lvl>
  </w:abstractNum>
  <w:abstractNum w:abstractNumId="5">
    <w:nsid w:val="8138641"/>
    <w:multiLevelType w:val="hybridMultilevel"/>
    <w:lvl w:ilvl="0">
      <w:lvlJc w:val="left"/>
      <w:lvlText w:val="•"/>
      <w:numFmt w:val="bullet"/>
      <w:start w:val="1"/>
    </w:lvl>
  </w:abstractNum>
  <w:abstractNum w:abstractNumId="6">
    <w:nsid w:val="1E7FF521"/>
    <w:multiLevelType w:val="hybridMultilevel"/>
    <w:lvl w:ilvl="0">
      <w:lvlJc w:val="left"/>
      <w:lvlText w:val="•"/>
      <w:numFmt w:val="bullet"/>
      <w:start w:val="1"/>
    </w:lvl>
  </w:abstractNum>
  <w:abstractNum w:abstractNumId="7">
    <w:nsid w:val="7C3DBD3D"/>
    <w:multiLevelType w:val="hybridMultilevel"/>
    <w:lvl w:ilvl="0">
      <w:lvlJc w:val="left"/>
      <w:lvlText w:val="•"/>
      <w:numFmt w:val="bullet"/>
      <w:start w:val="1"/>
    </w:lvl>
  </w:abstractNum>
  <w:abstractNum w:abstractNumId="8">
    <w:nsid w:val="737B8DDC"/>
    <w:multiLevelType w:val="hybridMultilevel"/>
    <w:lvl w:ilvl="0">
      <w:lvlJc w:val="left"/>
      <w:lvlText w:val="•"/>
      <w:numFmt w:val="bullet"/>
      <w:start w:val="1"/>
    </w:lvl>
  </w:abstractNum>
  <w:abstractNum w:abstractNumId="9">
    <w:nsid w:val="6CEAF087"/>
    <w:multiLevelType w:val="hybridMultilevel"/>
    <w:lvl w:ilvl="0">
      <w:lvlJc w:val="left"/>
      <w:lvlText w:val="•"/>
      <w:numFmt w:val="bullet"/>
      <w:start w:val="1"/>
    </w:lvl>
  </w:abstractNum>
  <w:abstractNum w:abstractNumId="10">
    <w:nsid w:val="22221A70"/>
    <w:multiLevelType w:val="hybridMultilevel"/>
    <w:lvl w:ilvl="0">
      <w:lvlJc w:val="left"/>
      <w:lvlText w:val="•"/>
      <w:numFmt w:val="bullet"/>
      <w:start w:val="1"/>
    </w:lvl>
  </w:abstractNum>
  <w:abstractNum w:abstractNumId="11">
    <w:nsid w:val="4516DDE9"/>
    <w:multiLevelType w:val="hybridMultilevel"/>
    <w:lvl w:ilvl="0">
      <w:lvlJc w:val="left"/>
      <w:lvlText w:val="•"/>
      <w:numFmt w:val="bullet"/>
      <w:start w:val="1"/>
    </w:lvl>
  </w:abstractNum>
  <w:abstractNum w:abstractNumId="12">
    <w:nsid w:val="3006C83E"/>
    <w:multiLevelType w:val="hybridMultilevel"/>
    <w:lvl w:ilvl="0">
      <w:lvlJc w:val="left"/>
      <w:lvlText w:val="•"/>
      <w:numFmt w:val="bullet"/>
      <w:start w:val="1"/>
    </w:lvl>
  </w:abstractNum>
  <w:abstractNum w:abstractNumId="13">
    <w:nsid w:val="614FD4A1"/>
    <w:multiLevelType w:val="hybridMultilevel"/>
    <w:lvl w:ilvl="0">
      <w:lvlJc w:val="left"/>
      <w:lvlText w:val="•"/>
      <w:numFmt w:val="bullet"/>
      <w:start w:val="1"/>
    </w:lvl>
  </w:abstractNum>
  <w:abstractNum w:abstractNumId="14">
    <w:nsid w:val="419AC241"/>
    <w:multiLevelType w:val="hybridMultilevel"/>
    <w:lvl w:ilvl="0">
      <w:lvlJc w:val="left"/>
      <w:lvlText w:val="•"/>
      <w:numFmt w:val="bullet"/>
      <w:start w:val="1"/>
    </w:lvl>
  </w:abstractNum>
  <w:abstractNum w:abstractNumId="15">
    <w:nsid w:val="5577F8E1"/>
    <w:multiLevelType w:val="hybridMultilevel"/>
    <w:lvl w:ilvl="0">
      <w:lvlJc w:val="left"/>
      <w:lvlText w:val="•"/>
      <w:numFmt w:val="bullet"/>
      <w:start w:val="1"/>
    </w:lvl>
  </w:abstractNum>
  <w:abstractNum w:abstractNumId="16">
    <w:nsid w:val="440BADFC"/>
    <w:multiLevelType w:val="hybridMultilevel"/>
    <w:lvl w:ilvl="0">
      <w:lvlJc w:val="left"/>
      <w:lvlText w:val="•"/>
      <w:numFmt w:val="bullet"/>
      <w:start w:val="1"/>
    </w:lvl>
  </w:abstractNum>
  <w:abstractNum w:abstractNumId="17">
    <w:nsid w:val="5072367"/>
    <w:multiLevelType w:val="hybridMultilevel"/>
    <w:lvl w:ilvl="0">
      <w:lvlJc w:val="left"/>
      <w:lvlText w:val="•"/>
      <w:numFmt w:val="bullet"/>
      <w:start w:val="1"/>
    </w:lvl>
  </w:abstractNum>
  <w:abstractNum w:abstractNumId="18">
    <w:nsid w:val="3804823E"/>
    <w:multiLevelType w:val="hybridMultilevel"/>
    <w:lvl w:ilvl="0">
      <w:lvlJc w:val="left"/>
      <w:lvlText w:val="(%1)"/>
      <w:numFmt w:val="decimal"/>
      <w:start w:val="1"/>
    </w:lvl>
  </w:abstractNum>
  <w:abstractNum w:abstractNumId="19">
    <w:nsid w:val="77465F01"/>
    <w:multiLevelType w:val="hybridMultilevel"/>
    <w:lvl w:ilvl="0">
      <w:lvlJc w:val="left"/>
      <w:lvlText w:val="(%1)"/>
      <w:numFmt w:val="decimal"/>
      <w:start w:val="1"/>
    </w:lvl>
  </w:abstractNum>
  <w:abstractNum w:abstractNumId="20">
    <w:nsid w:val="7724C67E"/>
    <w:multiLevelType w:val="hybridMultilevel"/>
    <w:lvl w:ilvl="0">
      <w:lvlJc w:val="left"/>
      <w:lvlText w:val="(%1)"/>
      <w:numFmt w:val="decimal"/>
      <w:start w:val="1"/>
    </w:lvl>
  </w:abstractNum>
  <w:abstractNum w:abstractNumId="21">
    <w:nsid w:val="5C482A97"/>
    <w:multiLevelType w:val="hybridMultilevel"/>
    <w:lvl w:ilvl="0">
      <w:lvlJc w:val="left"/>
      <w:lvlText w:val="(%1)"/>
      <w:numFmt w:val="decimal"/>
      <w:start w:val="4"/>
    </w:lvl>
  </w:abstractNum>
  <w:abstractNum w:abstractNumId="22">
    <w:nsid w:val="2463B9EA"/>
    <w:multiLevelType w:val="hybridMultilevel"/>
    <w:lvl w:ilvl="0">
      <w:lvlJc w:val="left"/>
      <w:lvlText w:val="•"/>
      <w:numFmt w:val="bullet"/>
      <w:start w:val="1"/>
    </w:lvl>
  </w:abstractNum>
  <w:abstractNum w:abstractNumId="23">
    <w:nsid w:val="5E884ADC"/>
    <w:multiLevelType w:val="hybridMultilevel"/>
    <w:lvl w:ilvl="0">
      <w:lvlJc w:val="left"/>
      <w:lvlText w:val="•"/>
      <w:numFmt w:val="bullet"/>
      <w:start w:val="1"/>
    </w:lvl>
  </w:abstractNum>
  <w:abstractNum w:abstractNumId="24">
    <w:nsid w:val="51EAD36B"/>
    <w:multiLevelType w:val="hybridMultilevel"/>
    <w:lvl w:ilvl="0">
      <w:lvlJc w:val="left"/>
      <w:lvlText w:val="(%1)"/>
      <w:numFmt w:val="decimal"/>
      <w:start w:val="1"/>
    </w:lvl>
  </w:abstractNum>
  <w:abstractNum w:abstractNumId="25">
    <w:nsid w:val="2D517796"/>
    <w:multiLevelType w:val="hybridMultilevel"/>
    <w:lvl w:ilvl="0">
      <w:lvlJc w:val="left"/>
      <w:lvlText w:val="•"/>
      <w:numFmt w:val="bullet"/>
      <w:start w:val="1"/>
    </w:lvl>
  </w:abstractNum>
  <w:abstractNum w:abstractNumId="26">
    <w:nsid w:val="580BD78F"/>
    <w:multiLevelType w:val="hybridMultilevel"/>
    <w:lvl w:ilvl="0">
      <w:lvlJc w:val="left"/>
      <w:lvlText w:val="•"/>
      <w:numFmt w:val="bullet"/>
      <w:start w:val="1"/>
    </w:lvl>
  </w:abstractNum>
  <w:abstractNum w:abstractNumId="27">
    <w:nsid w:val="153EA438"/>
    <w:multiLevelType w:val="hybridMultilevel"/>
    <w:lvl w:ilvl="0">
      <w:lvlJc w:val="left"/>
      <w:lvlText w:val="•"/>
      <w:numFmt w:val="bullet"/>
      <w:start w:val="1"/>
    </w:lvl>
  </w:abstractNum>
  <w:abstractNum w:abstractNumId="28">
    <w:nsid w:val="3855585C"/>
    <w:multiLevelType w:val="hybridMultilevel"/>
    <w:lvl w:ilvl="0">
      <w:lvlJc w:val="left"/>
      <w:lvlText w:val="•"/>
      <w:numFmt w:val="bullet"/>
      <w:start w:val="1"/>
    </w:lvl>
  </w:abstractNum>
  <w:abstractNum w:abstractNumId="29">
    <w:nsid w:val="70A64E2A"/>
    <w:multiLevelType w:val="hybridMultilevel"/>
    <w:lvl w:ilvl="0">
      <w:lvlJc w:val="left"/>
      <w:lvlText w:val="**"/>
      <w:numFmt w:val="bullet"/>
      <w:start w:val="1"/>
    </w:lvl>
  </w:abstractNum>
  <w:abstractNum w:abstractNumId="30">
    <w:nsid w:val="6A2342EC"/>
    <w:multiLevelType w:val="hybridMultilevel"/>
    <w:lvl w:ilvl="0">
      <w:lvlJc w:val="left"/>
      <w:lvlText w:val="%1)"/>
      <w:numFmt w:val="decimal"/>
      <w:start w:val="1"/>
    </w:lvl>
  </w:abstractNum>
  <w:abstractNum w:abstractNumId="31">
    <w:nsid w:val="2A487CB0"/>
    <w:multiLevelType w:val="hybridMultilevel"/>
    <w:lvl w:ilvl="0">
      <w:lvlJc w:val="left"/>
      <w:lvlText w:val="(%1)"/>
      <w:numFmt w:val="decimal"/>
      <w:start w:val="1"/>
    </w:lvl>
  </w:abstractNum>
  <w:abstractNum w:abstractNumId="32">
    <w:nsid w:val="1D4ED43B"/>
    <w:multiLevelType w:val="hybridMultilevel"/>
    <w:lvl w:ilvl="0">
      <w:lvlJc w:val="left"/>
      <w:lvlText w:val="(%1)"/>
      <w:numFmt w:val="decimal"/>
      <w:start w:val="1"/>
    </w:lvl>
  </w:abstractNum>
  <w:abstractNum w:abstractNumId="33">
    <w:nsid w:val="725A06FB"/>
    <w:multiLevelType w:val="hybridMultilevel"/>
    <w:lvl w:ilvl="0">
      <w:lvlJc w:val="left"/>
      <w:lvlText w:val="(%1)"/>
      <w:numFmt w:val="decimal"/>
      <w:start w:val="1"/>
    </w:lvl>
  </w:abstractNum>
  <w:abstractNum w:abstractNumId="34">
    <w:nsid w:val="2CD89A32"/>
    <w:multiLevelType w:val="hybridMultilevel"/>
    <w:lvl w:ilvl="0">
      <w:lvlJc w:val="left"/>
      <w:lvlText w:val="(%1)"/>
      <w:numFmt w:val="decimal"/>
      <w:start w:val="1"/>
    </w:lvl>
  </w:abstractNum>
  <w:abstractNum w:abstractNumId="35">
    <w:nsid w:val="57E4CCAF"/>
    <w:multiLevelType w:val="hybridMultilevel"/>
    <w:lvl w:ilvl="0">
      <w:lvlJc w:val="left"/>
      <w:lvlText w:val="[%1]"/>
      <w:numFmt w:val="decimal"/>
      <w:start w:val="1"/>
    </w:lvl>
  </w:abstractNum>
  <w:abstractNum w:abstractNumId="36">
    <w:nsid w:val="7A6D8D3C"/>
    <w:multiLevelType w:val="hybridMultilevel"/>
    <w:lvl w:ilvl="0">
      <w:lvlJc w:val="left"/>
      <w:lvlText w:val="•"/>
      <w:numFmt w:val="bullet"/>
      <w:start w:val="1"/>
    </w:lvl>
  </w:abstractNum>
  <w:abstractNum w:abstractNumId="37">
    <w:nsid w:val="4B588F54"/>
    <w:multiLevelType w:val="hybridMultilevel"/>
    <w:lvl w:ilvl="0">
      <w:lvlJc w:val="left"/>
      <w:lvlText w:val="(%1)"/>
      <w:numFmt w:val="decimal"/>
      <w:start w:val="1"/>
    </w:lvl>
  </w:abstractNum>
  <w:abstractNum w:abstractNumId="38">
    <w:nsid w:val="542289EC"/>
    <w:multiLevelType w:val="hybridMultilevel"/>
    <w:lvl w:ilvl="0">
      <w:lvlJc w:val="left"/>
      <w:lvlText w:val="(%1)"/>
      <w:numFmt w:val="decimal"/>
      <w:start w:val="1"/>
    </w:lvl>
  </w:abstractNum>
  <w:abstractNum w:abstractNumId="39">
    <w:nsid w:val="6DE91B18"/>
    <w:multiLevelType w:val="hybridMultilevel"/>
    <w:lvl w:ilvl="0">
      <w:lvlJc w:val="left"/>
      <w:lvlText w:val="%1."/>
      <w:numFmt w:val="decimal"/>
      <w:start w:val="1"/>
    </w:lvl>
  </w:abstractNum>
  <w:abstractNum w:abstractNumId="40">
    <w:nsid w:val="38437FDB"/>
    <w:multiLevelType w:val="hybridMultilevel"/>
    <w:lvl w:ilvl="0">
      <w:lvlJc w:val="left"/>
      <w:lvlText w:val="%1."/>
      <w:numFmt w:val="decimal"/>
      <w:start w:val="2"/>
    </w:lvl>
  </w:abstractNum>
  <w:abstractNum w:abstractNumId="41">
    <w:nsid w:val="7644A45C"/>
    <w:multiLevelType w:val="hybridMultilevel"/>
    <w:lvl w:ilvl="0">
      <w:lvlJc w:val="left"/>
      <w:lvlText w:val="%1."/>
      <w:numFmt w:val="decimal"/>
      <w:start w:val="3"/>
    </w:lvl>
  </w:abstractNum>
  <w:abstractNum w:abstractNumId="42">
    <w:nsid w:val="32FFF902"/>
    <w:multiLevelType w:val="hybridMultilevel"/>
    <w:lvl w:ilvl="0">
      <w:lvlJc w:val="left"/>
      <w:lvlText w:val="*"/>
      <w:numFmt w:val="bullet"/>
      <w:start w:val="1"/>
    </w:lvl>
  </w:abstractNum>
  <w:abstractNum w:abstractNumId="43">
    <w:nsid w:val="684A481A"/>
    <w:multiLevelType w:val="hybridMultilevel"/>
    <w:lvl w:ilvl="0">
      <w:lvlJc w:val="left"/>
      <w:lvlText w:val="(%1)"/>
      <w:numFmt w:val="decimal"/>
      <w:start w:val="1"/>
    </w:lvl>
  </w:abstractNum>
  <w:abstractNum w:abstractNumId="44">
    <w:nsid w:val="579478FE"/>
    <w:multiLevelType w:val="hybridMultilevel"/>
    <w:lvl w:ilvl="0">
      <w:lvlJc w:val="left"/>
      <w:lvlText w:val="•"/>
      <w:numFmt w:val="bullet"/>
      <w:start w:val="1"/>
    </w:lvl>
  </w:abstractNum>
  <w:abstractNum w:abstractNumId="45">
    <w:nsid w:val="749ABB43"/>
    <w:multiLevelType w:val="hybridMultilevel"/>
    <w:lvl w:ilvl="0">
      <w:lvlJc w:val="left"/>
      <w:lvlText w:val="•"/>
      <w:numFmt w:val="bullet"/>
      <w:start w:val="1"/>
    </w:lvl>
  </w:abstractNum>
  <w:abstractNum w:abstractNumId="46">
    <w:nsid w:val="3DC240FB"/>
    <w:multiLevelType w:val="hybridMultilevel"/>
    <w:lvl w:ilvl="0">
      <w:lvlJc w:val="left"/>
      <w:lvlText w:val="•"/>
      <w:numFmt w:val="bullet"/>
      <w:start w:val="1"/>
    </w:lvl>
  </w:abstractNum>
  <w:abstractNum w:abstractNumId="47">
    <w:nsid w:val="1BA026FA"/>
    <w:multiLevelType w:val="hybridMultilevel"/>
    <w:lvl w:ilvl="0">
      <w:lvlJc w:val="left"/>
      <w:lvlText w:val="•"/>
      <w:numFmt w:val="bullet"/>
      <w:start w:val="1"/>
    </w:lvl>
  </w:abstractNum>
  <w:abstractNum w:abstractNumId="48">
    <w:nsid w:val="79A1DEAA"/>
    <w:multiLevelType w:val="hybridMultilevel"/>
    <w:lvl w:ilvl="0">
      <w:lvlJc w:val="left"/>
      <w:lvlText w:val="•"/>
      <w:numFmt w:val="bullet"/>
      <w:start w:val="1"/>
    </w:lvl>
  </w:abstractNum>
  <w:abstractNum w:abstractNumId="49">
    <w:nsid w:val="75C6C33A"/>
    <w:multiLevelType w:val="hybridMultilevel"/>
    <w:lvl w:ilvl="0">
      <w:lvlJc w:val="left"/>
      <w:lvlText w:val="1"/>
      <w:numFmt w:val="bullet"/>
      <w:start w:val="1"/>
    </w:lvl>
  </w:abstractNum>
  <w:abstractNum w:abstractNumId="50">
    <w:nsid w:val="12E685FB"/>
    <w:multiLevelType w:val="hybridMultilevel"/>
    <w:lvl w:ilvl="0">
      <w:lvlJc w:val="left"/>
      <w:lvlText w:val="%1."/>
      <w:numFmt w:val="decimal"/>
      <w:start w:val="1"/>
    </w:lvl>
    <w:lvl w:ilvl="1">
      <w:lvlJc w:val="left"/>
      <w:lvlText w:val="%2)"/>
      <w:numFmt w:val="lowerLetter"/>
      <w:start w:val="1"/>
    </w:lvl>
  </w:abstractNum>
  <w:abstractNum w:abstractNumId="51">
    <w:nsid w:val="70C6A529"/>
    <w:multiLevelType w:val="hybridMultilevel"/>
    <w:lvl w:ilvl="0">
      <w:lvlJc w:val="left"/>
      <w:lvlText w:val="%1."/>
      <w:numFmt w:val="decimal"/>
      <w:start w:val="1"/>
    </w:lvl>
    <w:lvl w:ilvl="1">
      <w:lvlJc w:val="left"/>
      <w:lvlText w:val="%2)"/>
      <w:numFmt w:val="lowerLetter"/>
      <w:start w:val="1"/>
    </w:lvl>
  </w:abstractNum>
  <w:abstractNum w:abstractNumId="52">
    <w:nsid w:val="520EEDD1"/>
    <w:multiLevelType w:val="hybridMultilevel"/>
    <w:lvl w:ilvl="0">
      <w:lvlJc w:val="left"/>
      <w:lvlText w:val="(%1)"/>
      <w:numFmt w:val="lowerRoman"/>
      <w:start w:val="1"/>
    </w:lvl>
  </w:abstractNum>
  <w:abstractNum w:abstractNumId="53">
    <w:nsid w:val="374A3FE6"/>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jpe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29" Type="http://schemas.openxmlformats.org/officeDocument/2006/relationships/image" Target="media/image112.png"/><Relationship Id="rId144" Type="http://schemas.openxmlformats.org/officeDocument/2006/relationships/image" Target="media/image113.png"/><Relationship Id="rId164" Type="http://schemas.openxmlformats.org/officeDocument/2006/relationships/image" Target="media/image114.png"/><Relationship Id="rId170" Type="http://schemas.openxmlformats.org/officeDocument/2006/relationships/image" Target="media/image115.png"/><Relationship Id="rId171" Type="http://schemas.openxmlformats.org/officeDocument/2006/relationships/image" Target="media/image116.png"/><Relationship Id="rId172" Type="http://schemas.openxmlformats.org/officeDocument/2006/relationships/image" Target="media/image117.png"/><Relationship Id="rId173" Type="http://schemas.openxmlformats.org/officeDocument/2006/relationships/image" Target="media/image118.png"/><Relationship Id="rId174" Type="http://schemas.openxmlformats.org/officeDocument/2006/relationships/image" Target="media/image119.png"/><Relationship Id="rId175" Type="http://schemas.openxmlformats.org/officeDocument/2006/relationships/image" Target="media/image120.png"/><Relationship Id="rId176" Type="http://schemas.openxmlformats.org/officeDocument/2006/relationships/image" Target="media/image121.png"/><Relationship Id="rId177" Type="http://schemas.openxmlformats.org/officeDocument/2006/relationships/image" Target="media/image122.png"/><Relationship Id="rId178" Type="http://schemas.openxmlformats.org/officeDocument/2006/relationships/image" Target="media/image123.png"/><Relationship Id="rId179" Type="http://schemas.openxmlformats.org/officeDocument/2006/relationships/image" Target="media/image124.png"/><Relationship Id="rId180" Type="http://schemas.openxmlformats.org/officeDocument/2006/relationships/image" Target="media/image125.png"/><Relationship Id="rId181" Type="http://schemas.openxmlformats.org/officeDocument/2006/relationships/image" Target="media/image126.png"/><Relationship Id="rId182" Type="http://schemas.openxmlformats.org/officeDocument/2006/relationships/image" Target="media/image127.png"/><Relationship Id="rId183" Type="http://schemas.openxmlformats.org/officeDocument/2006/relationships/image" Target="media/image128.png"/><Relationship Id="rId184" Type="http://schemas.openxmlformats.org/officeDocument/2006/relationships/image" Target="media/image129.png"/><Relationship Id="rId185" Type="http://schemas.openxmlformats.org/officeDocument/2006/relationships/image" Target="media/image130.png"/><Relationship Id="rId186" Type="http://schemas.openxmlformats.org/officeDocument/2006/relationships/image" Target="media/image131.png"/><Relationship Id="rId187" Type="http://schemas.openxmlformats.org/officeDocument/2006/relationships/image" Target="media/image132.png"/><Relationship Id="rId188" Type="http://schemas.openxmlformats.org/officeDocument/2006/relationships/image" Target="media/image133.png"/><Relationship Id="rId189" Type="http://schemas.openxmlformats.org/officeDocument/2006/relationships/image" Target="media/image134.png"/><Relationship Id="rId190" Type="http://schemas.openxmlformats.org/officeDocument/2006/relationships/image" Target="media/image135.png"/><Relationship Id="rId191" Type="http://schemas.openxmlformats.org/officeDocument/2006/relationships/image" Target="media/image136.png"/><Relationship Id="rId119" Type="http://schemas.openxmlformats.org/officeDocument/2006/relationships/hyperlink" Target="http://www.sec.gov/Archives/edgar/data/1058057/000119312517348220/d454219dex21.htm" TargetMode="External"/><Relationship Id="rId120" Type="http://schemas.openxmlformats.org/officeDocument/2006/relationships/hyperlink" Target="http://www.sec.gov/Archives/edgar/data/1058057/000105805719000024/q22010q08032019exhibit21.htm" TargetMode="External"/><Relationship Id="rId121" Type="http://schemas.openxmlformats.org/officeDocument/2006/relationships/hyperlink" Target="http://www.sec.gov/Archives/edgar/data/1058057/000105805718000009/mrvl203201810kexhibit31.htm" TargetMode="External"/><Relationship Id="rId122" Type="http://schemas.openxmlformats.org/officeDocument/2006/relationships/hyperlink" Target="http://www.sec.gov/Archives/edgar/data/1058057/000119312516765958/d278571dex31.htm" TargetMode="External"/><Relationship Id="rId123" Type="http://schemas.openxmlformats.org/officeDocument/2006/relationships/hyperlink" Target="http://www.sec.gov/Archives/edgar/data/1058057/000105805718000015/q11910q05052018exhibit35.htm" TargetMode="External"/><Relationship Id="rId124" Type="http://schemas.openxmlformats.org/officeDocument/2006/relationships/hyperlink" Target="http://www.sec.gov/Archives/edgar/data/1058057/000105805718000015/q11910q05052018exhibit32.htm" TargetMode="External"/><Relationship Id="rId125" Type="http://schemas.openxmlformats.org/officeDocument/2006/relationships/hyperlink" Target="http://www.sec.gov/Archives/edgar/data/1058057/000105805718000015/q11910q05052018exhibit34.htm" TargetMode="External"/><Relationship Id="rId126" Type="http://schemas.openxmlformats.org/officeDocument/2006/relationships/hyperlink" Target="http://www.sec.gov/Archives/edgar/data/1058057/000105805718000009/mrvl20320810kexhibit41.htm" TargetMode="External"/><Relationship Id="rId127" Type="http://schemas.openxmlformats.org/officeDocument/2006/relationships/hyperlink" Target="http://www.sec.gov/Archives/edgar/data/1058057/000119312518201053/d583855dex41.htm" TargetMode="External"/><Relationship Id="rId128" Type="http://schemas.openxmlformats.org/officeDocument/2006/relationships/hyperlink" Target="http://www.sec.gov/Archives/edgar/data/1058057/000119312518201053/d583855dex42.htm" TargetMode="External"/><Relationship Id="rId130" Type="http://schemas.openxmlformats.org/officeDocument/2006/relationships/hyperlink" Target="http://www.sec.gov/Archives/edgar/data/1058057/000119312511327713/d242470dex101.htm" TargetMode="External"/><Relationship Id="rId131" Type="http://schemas.openxmlformats.org/officeDocument/2006/relationships/hyperlink" Target="http://www.sec.gov/Archives/edgar/data/1058057/000119312513134707/d469362dex104.htm" TargetMode="External"/><Relationship Id="rId132" Type="http://schemas.openxmlformats.org/officeDocument/2006/relationships/hyperlink" Target="http://www.sec.gov/Archives/edgar/data/1058057/000119312515243540/d62221dex102.htm" TargetMode="External"/><Relationship Id="rId133" Type="http://schemas.openxmlformats.org/officeDocument/2006/relationships/hyperlink" Target="http://www.sec.gov/Archives/edgar/data/1058057/000110465906025019/a06-5490_1ex10d20.htm" TargetMode="External"/><Relationship Id="rId134" Type="http://schemas.openxmlformats.org/officeDocument/2006/relationships/hyperlink" Target="http://www.sec.gov/Archives/edgar/data/1058057/000119312513380091/d603994dex102.htm" TargetMode="External"/><Relationship Id="rId135" Type="http://schemas.openxmlformats.org/officeDocument/2006/relationships/hyperlink" Target="http://www.sec.gov/Archives/edgar/data/1058057/000119312510204896/dex104.htm" TargetMode="External"/><Relationship Id="rId136" Type="http://schemas.openxmlformats.org/officeDocument/2006/relationships/hyperlink" Target="http://www.sec.gov/Archives/edgar/data/1058057/000119312508257262/dex101.htm" TargetMode="External"/><Relationship Id="rId137" Type="http://schemas.openxmlformats.org/officeDocument/2006/relationships/hyperlink" Target="http://www.sec.gov/Archives/edgar/data/1058057/000119312514227243/d713602dex102.htm" TargetMode="External"/><Relationship Id="rId138" Type="http://schemas.openxmlformats.org/officeDocument/2006/relationships/hyperlink" Target="http://www.sec.gov/Archives/edgar/data/1058057/000105805718000009/mrvl-2032018x10kexhibit103.htm" TargetMode="External"/><Relationship Id="rId139" Type="http://schemas.openxmlformats.org/officeDocument/2006/relationships/hyperlink" Target="http://www.sec.gov/Archives/edgar/data/1058057/000105805719000018/q120_10qx05042019exhibit103.htm" TargetMode="External"/><Relationship Id="rId140" Type="http://schemas.openxmlformats.org/officeDocument/2006/relationships/hyperlink" Target="http://www.sec.gov/Archives/edgar/data/1058057/000105805719000018/q120_10qx05042019exhibit101.htm" TargetMode="External"/><Relationship Id="rId141" Type="http://schemas.openxmlformats.org/officeDocument/2006/relationships/hyperlink" Target="http://www.sec.gov/Archives/edgar/data/1058057/000119312515243540/d62221dex101.htm" TargetMode="External"/><Relationship Id="rId142" Type="http://schemas.openxmlformats.org/officeDocument/2006/relationships/hyperlink" Target="http://www.sec.gov/Archives/edgar/data/1058057/000110465907067402/a07-23245_1ex10d37.htm" TargetMode="External"/><Relationship Id="rId143" Type="http://schemas.openxmlformats.org/officeDocument/2006/relationships/hyperlink" Target="http://www.sec.gov/Archives/edgar/data/1058057/000110465908063699/a08-25114_1ex10d1.htm" TargetMode="External"/><Relationship Id="rId145" Type="http://schemas.openxmlformats.org/officeDocument/2006/relationships/hyperlink" Target="http://www.sec.gov/Archives/edgar/data/1058057/000119312511057746/dex101.htm" TargetMode="External"/><Relationship Id="rId146" Type="http://schemas.openxmlformats.org/officeDocument/2006/relationships/hyperlink" Target="http://www.sec.gov/Archives/edgar/data/1058057/000119312516626575/d215915dex101.htm" TargetMode="External"/><Relationship Id="rId147" Type="http://schemas.openxmlformats.org/officeDocument/2006/relationships/hyperlink" Target="http://www.sec.gov/Archives/edgar/data/1058057/000119312516626575/d215915dex102.htm" TargetMode="External"/><Relationship Id="rId148" Type="http://schemas.openxmlformats.org/officeDocument/2006/relationships/hyperlink" Target="http://www.sec.gov/Archives/edgar/data/1058057/000119312516705222/d240868dex103.htm" TargetMode="External"/><Relationship Id="rId149" Type="http://schemas.openxmlformats.org/officeDocument/2006/relationships/hyperlink" Target="http://www.sec.gov/Archives/edgar/data/1058057/000119312516705222/d240868dex105.htm" TargetMode="External"/><Relationship Id="rId150" Type="http://schemas.openxmlformats.org/officeDocument/2006/relationships/hyperlink" Target="http://www.sec.gov/Archives/edgar/data/1058057/000119312516688737/d226316dex101.htm" TargetMode="External"/><Relationship Id="rId151" Type="http://schemas.openxmlformats.org/officeDocument/2006/relationships/hyperlink" Target="http://www.sec.gov/Archives/edgar/data/1058057/000162828017002968/mrvl-1282017x10kexhibit1022.htm" TargetMode="External"/><Relationship Id="rId152" Type="http://schemas.openxmlformats.org/officeDocument/2006/relationships/hyperlink" Target="http://www.sec.gov/Archives/edgar/data/1058057/000162828017002968/mrvl-1282017x10kexhibit1023.htm" TargetMode="External"/><Relationship Id="rId153" Type="http://schemas.openxmlformats.org/officeDocument/2006/relationships/hyperlink" Target="http://www.sec.gov/Archives/edgar/data/1058057/000162828017006219/q118_10qx4292017exhibit101.htm" TargetMode="External"/><Relationship Id="rId154" Type="http://schemas.openxmlformats.org/officeDocument/2006/relationships/hyperlink" Target="http://www.sec.gov/Archives/edgar/data/1058057/000105805718000020/raghibofferletterfinal-exh.htm" TargetMode="External"/><Relationship Id="rId155" Type="http://schemas.openxmlformats.org/officeDocument/2006/relationships/hyperlink" Target="http://www.sec.gov/Archives/edgar/data/1058057/000119312518209685/d845997dex101.htm" TargetMode="External"/><Relationship Id="rId156" Type="http://schemas.openxmlformats.org/officeDocument/2006/relationships/hyperlink" Target="http://www.sec.gov/Archives/edgar/data/1058057/000119312518191035/d604139dex101.htm" TargetMode="External"/><Relationship Id="rId157" Type="http://schemas.openxmlformats.org/officeDocument/2006/relationships/hyperlink" Target="http://www.sec.gov/Archives/edgar/data/1058057/000105805719000018/q120_10qx05042019exhibit102.htm" TargetMode="External"/><Relationship Id="rId158" Type="http://schemas.openxmlformats.org/officeDocument/2006/relationships/hyperlink" Target="http://www.sec.gov/Archives/edgar/data/1058057/000119312519166129/d50238dex991.htm" TargetMode="External"/><Relationship Id="rId159" Type="http://schemas.openxmlformats.org/officeDocument/2006/relationships/hyperlink" Target="http://www.sec.gov/Archives/edgar/data/1058057/000105805719000032/q32010q11022019exhibit101.htm" TargetMode="External"/><Relationship Id="rId160" Type="http://schemas.openxmlformats.org/officeDocument/2006/relationships/hyperlink" Target="http://www.sec.gov/Archives/edgar/data/1058057/000105805719000032/q32010q11022019exhibit102.htm" TargetMode="External"/><Relationship Id="rId161" Type="http://schemas.openxmlformats.org/officeDocument/2006/relationships/hyperlink" Target="http://www.sec.gov/Archives/edgar/data/1058057/000105805719000032/q32010q11022019exhibit103.htm" TargetMode="External"/><Relationship Id="rId162" Type="http://schemas.openxmlformats.org/officeDocument/2006/relationships/hyperlink" Target="http://www.sec.gov/Archives/edgar/data/1058057/000105805719000032/q32010q11022019exhibit104.htm" TargetMode="External"/><Relationship Id="rId163" Type="http://schemas.openxmlformats.org/officeDocument/2006/relationships/hyperlink" Target="http://www.sec.gov/Archives/edgar/data/1058057/000105805719000032/q32010q11022019exhibit105.htm" TargetMode="External"/><Relationship Id="rId165" Type="http://schemas.openxmlformats.org/officeDocument/2006/relationships/hyperlink" Target="http://www.sec.gov/Archives/edgar/data/1058057/000105805719000032/q32010q11022019exhibit106.htm" TargetMode="External"/><Relationship Id="rId166" Type="http://schemas.openxmlformats.org/officeDocument/2006/relationships/hyperlink" Target="http://www.sec.gov/Archives/edgar/data/1058057/000105805719000032/q32010q11022019exhibit107.htm" TargetMode="External"/><Relationship Id="rId167" Type="http://schemas.openxmlformats.org/officeDocument/2006/relationships/hyperlink" Target="http://www.sec.gov/Archives/edgar/data/1058057/000105805719000032/q32010q11022019exhibit108.htm" TargetMode="External"/><Relationship Id="rId168" Type="http://schemas.openxmlformats.org/officeDocument/2006/relationships/hyperlink" Target="http://www.sec.gov/Archives/edgar/data/1058057/000105805719000032/q32010q11022019exhibit.htm" TargetMode="External"/><Relationship Id="rId169" Type="http://schemas.openxmlformats.org/officeDocument/2006/relationships/hyperlink" Target="http://www.sec.gov/Archives/edgar/data/1058057/000119312519284220/d815676dex10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2020-03-23T06:56:12Z</dcterms:created>
  <dcterms:modified xsi:type="dcterms:W3CDTF">2020-03-23T06:56:12Z</dcterms:modified>
</cp:coreProperties>
</file>