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360"/>
        <w:spacing w:after="0" w:line="24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-232410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8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5280025</wp:posOffset>
            </wp:positionH>
            <wp:positionV relativeFrom="paragraph">
              <wp:posOffset>-595630</wp:posOffset>
            </wp:positionV>
            <wp:extent cx="8255" cy="5962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3974465</wp:posOffset>
            </wp:positionH>
            <wp:positionV relativeFrom="paragraph">
              <wp:posOffset>-603885</wp:posOffset>
            </wp:positionV>
            <wp:extent cx="8255" cy="6045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-579755</wp:posOffset>
            </wp:positionV>
            <wp:extent cx="1264920" cy="556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26035</wp:posOffset>
            </wp:positionV>
            <wp:extent cx="6970395" cy="15875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395" cy="158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20" w:right="359" w:bottom="144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Hussain Muhammad Raghib</w:t>
        </w:r>
      </w:hyperlink>
    </w:p>
    <w:p>
      <w:pPr>
        <w:spacing w:after="0" w:line="30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C/O 5488 MARVELL LANE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4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3840" w:type="dxa"/>
            <w:vAlign w:val="bottom"/>
          </w:tcPr>
          <w:p>
            <w:pPr>
              <w:ind w:left="80"/>
              <w:spacing w:after="0" w:line="199" w:lineRule="exact"/>
              <w:rPr>
                <w:rFonts w:ascii="Arial" w:cs="Arial" w:eastAsia="Arial" w:hAnsi="Arial"/>
                <w:sz w:val="20"/>
                <w:szCs w:val="20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0"/>
                  <w:szCs w:val="20"/>
                  <w:u w:val="single" w:color="auto"/>
                  <w:color w:val="0000EE"/>
                </w:rPr>
                <w:t>MARVELL TECHNOLOGY GROUP LTD</w:t>
              </w:r>
              <w:r>
                <w:rPr>
                  <w:rFonts w:ascii="Arial" w:cs="Arial" w:eastAsia="Arial" w:hAnsi="Arial"/>
                  <w:sz w:val="20"/>
                  <w:szCs w:val="20"/>
                  <w:color w:val="0000EE"/>
                </w:rPr>
                <w:t xml:space="preserve"> </w:t>
              </w:r>
            </w:hyperlink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[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38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38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3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3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8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38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04/15/2020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3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3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3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25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-2436495</wp:posOffset>
            </wp:positionH>
            <wp:positionV relativeFrom="paragraph">
              <wp:posOffset>147320</wp:posOffset>
            </wp:positionV>
            <wp:extent cx="6970395" cy="2167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395" cy="2167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0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10,702</w:t>
            </w: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717,373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5,307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25.15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712,066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6,853</w:t>
            </w: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718,919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3,398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25.15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715,521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78,324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10,702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1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39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10,702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10,703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6,853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6,853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54,830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83,500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1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83,500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83,500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-2465070</wp:posOffset>
            </wp:positionV>
            <wp:extent cx="7034530" cy="25063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4530" cy="2506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10/15/2020.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7/15/2020, 10/15/2020, 1/15/2021, 4/15/2021, 07/15/2021, 10/15/2021, 01/15/2022 and 04/15/2022.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4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Raghib Hussain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-5715</wp:posOffset>
            </wp:positionV>
            <wp:extent cx="103314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-2540</wp:posOffset>
            </wp:positionV>
            <wp:extent cx="116078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04/17/2020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8255</wp:posOffset>
            </wp:positionV>
            <wp:extent cx="476885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40" w:space="360"/>
            <w:col w:w="2280"/>
          </w:cols>
          <w:pgMar w:left="460" w:top="220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jc w:val="both"/>
        <w:ind w:left="40" w:right="3720"/>
        <w:spacing w:after="0" w:line="327" w:lineRule="auto"/>
        <w:tabs>
          <w:tab w:leader="none" w:pos="174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80691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2020-04-17T16:39:10Z</dcterms:created>
  <dcterms:modified xsi:type="dcterms:W3CDTF">2020-04-17T16:39:10Z</dcterms:modified>
</cp:coreProperties>
</file>