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208280</wp:posOffset>
            </wp:positionH>
            <wp:positionV relativeFrom="page">
              <wp:posOffset>980440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946150</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jc w:val="center"/>
        <w:ind w:right="-179"/>
        <w:spacing w:after="0"/>
        <w:rPr>
          <w:sz w:val="20"/>
          <w:szCs w:val="20"/>
          <w:color w:val="auto"/>
        </w:rPr>
      </w:pPr>
      <w:r>
        <w:rPr>
          <w:rFonts w:ascii="Arial" w:cs="Arial" w:eastAsia="Arial" w:hAnsi="Arial"/>
          <w:sz w:val="29"/>
          <w:szCs w:val="29"/>
          <w:b w:val="1"/>
          <w:bCs w:val="1"/>
          <w:color w:val="auto"/>
        </w:rPr>
        <w:t>UNITED STATES</w:t>
      </w:r>
    </w:p>
    <w:p>
      <w:pPr>
        <w:spacing w:after="0" w:line="126"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62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0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Securities Exchange Act of 1934</w:t>
      </w:r>
    </w:p>
    <w:p>
      <w:pPr>
        <w:spacing w:after="0" w:line="301"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Date of Report: May 28, 2020</w:t>
      </w:r>
    </w:p>
    <w:p>
      <w:pPr>
        <w:spacing w:after="0" w:line="5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980" w:type="dxa"/>
        <w:tblCellMar>
          <w:top w:w="0" w:type="dxa"/>
          <w:left w:w="0" w:type="dxa"/>
          <w:bottom w:w="0" w:type="dxa"/>
          <w:right w:w="0" w:type="dxa"/>
        </w:tblCellMar>
      </w:tblPr>
      <w:tr>
        <w:trPr>
          <w:trHeight w:val="234"/>
        </w:trPr>
        <w:tc>
          <w:tcPr>
            <w:tcW w:w="2300" w:type="dxa"/>
            <w:vAlign w:val="bottom"/>
          </w:tcPr>
          <w:p>
            <w:pPr>
              <w:jc w:val="center"/>
              <w:ind w:right="422"/>
              <w:spacing w:after="0"/>
              <w:rPr>
                <w:sz w:val="20"/>
                <w:szCs w:val="20"/>
                <w:color w:val="auto"/>
              </w:rPr>
            </w:pPr>
            <w:r>
              <w:rPr>
                <w:rFonts w:ascii="Arial" w:cs="Arial" w:eastAsia="Arial" w:hAnsi="Arial"/>
                <w:sz w:val="18"/>
                <w:szCs w:val="18"/>
                <w:b w:val="1"/>
                <w:bCs w:val="1"/>
                <w:color w:val="auto"/>
                <w:w w:val="92"/>
              </w:rPr>
              <w:t>Bermuda</w:t>
            </w:r>
          </w:p>
        </w:tc>
        <w:tc>
          <w:tcPr>
            <w:tcW w:w="4600" w:type="dxa"/>
            <w:vAlign w:val="bottom"/>
          </w:tcPr>
          <w:p>
            <w:pPr>
              <w:jc w:val="right"/>
              <w:ind w:right="1876"/>
              <w:spacing w:after="0"/>
              <w:rPr>
                <w:sz w:val="20"/>
                <w:szCs w:val="20"/>
                <w:color w:val="auto"/>
              </w:rPr>
            </w:pPr>
            <w:r>
              <w:rPr>
                <w:rFonts w:ascii="Arial" w:cs="Arial" w:eastAsia="Arial" w:hAnsi="Arial"/>
                <w:sz w:val="18"/>
                <w:szCs w:val="18"/>
                <w:b w:val="1"/>
                <w:bCs w:val="1"/>
                <w:color w:val="auto"/>
              </w:rPr>
              <w:t>0-30877</w:t>
            </w:r>
          </w:p>
        </w:tc>
        <w:tc>
          <w:tcPr>
            <w:tcW w:w="254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16"/>
        </w:trPr>
        <w:tc>
          <w:tcPr>
            <w:tcW w:w="2300" w:type="dxa"/>
            <w:vAlign w:val="bottom"/>
          </w:tcPr>
          <w:p>
            <w:pPr>
              <w:jc w:val="center"/>
              <w:ind w:right="442"/>
              <w:spacing w:after="0"/>
              <w:rPr>
                <w:sz w:val="20"/>
                <w:szCs w:val="20"/>
                <w:color w:val="auto"/>
              </w:rPr>
            </w:pPr>
            <w:r>
              <w:rPr>
                <w:rFonts w:ascii="Arial" w:cs="Arial" w:eastAsia="Arial" w:hAnsi="Arial"/>
                <w:sz w:val="14"/>
                <w:szCs w:val="14"/>
                <w:b w:val="1"/>
                <w:bCs w:val="1"/>
                <w:color w:val="auto"/>
                <w:w w:val="92"/>
              </w:rPr>
              <w:t>(State or other jurisdiction of</w:t>
            </w: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4"/>
              </w:rPr>
              <w:t>(Commission File Number)</w:t>
            </w:r>
          </w:p>
        </w:tc>
        <w:tc>
          <w:tcPr>
            <w:tcW w:w="2540" w:type="dxa"/>
            <w:vAlign w:val="bottom"/>
          </w:tcPr>
          <w:p>
            <w:pPr>
              <w:jc w:val="center"/>
              <w:ind w:left="379"/>
              <w:spacing w:after="0"/>
              <w:rPr>
                <w:sz w:val="20"/>
                <w:szCs w:val="20"/>
                <w:color w:val="auto"/>
              </w:rPr>
            </w:pPr>
            <w:r>
              <w:rPr>
                <w:rFonts w:ascii="Arial" w:cs="Arial" w:eastAsia="Arial" w:hAnsi="Arial"/>
                <w:sz w:val="14"/>
                <w:szCs w:val="14"/>
                <w:b w:val="1"/>
                <w:bCs w:val="1"/>
                <w:color w:val="auto"/>
                <w:w w:val="95"/>
              </w:rPr>
              <w:t>(IRS Employer Identification No.)</w:t>
            </w:r>
          </w:p>
        </w:tc>
      </w:tr>
      <w:tr>
        <w:trPr>
          <w:trHeight w:val="186"/>
        </w:trPr>
        <w:tc>
          <w:tcPr>
            <w:tcW w:w="2300" w:type="dxa"/>
            <w:vAlign w:val="bottom"/>
          </w:tcPr>
          <w:p>
            <w:pPr>
              <w:jc w:val="center"/>
              <w:ind w:right="442"/>
              <w:spacing w:after="0"/>
              <w:rPr>
                <w:sz w:val="20"/>
                <w:szCs w:val="20"/>
                <w:color w:val="auto"/>
              </w:rPr>
            </w:pPr>
            <w:r>
              <w:rPr>
                <w:rFonts w:ascii="Arial" w:cs="Arial" w:eastAsia="Arial" w:hAnsi="Arial"/>
                <w:sz w:val="14"/>
                <w:szCs w:val="14"/>
                <w:b w:val="1"/>
                <w:bCs w:val="1"/>
                <w:color w:val="auto"/>
                <w:w w:val="94"/>
              </w:rPr>
              <w:t>incorporation)</w:t>
            </w:r>
          </w:p>
        </w:tc>
        <w:tc>
          <w:tcPr>
            <w:tcW w:w="4600" w:type="dxa"/>
            <w:vAlign w:val="bottom"/>
          </w:tcPr>
          <w:p>
            <w:pPr>
              <w:spacing w:after="0"/>
              <w:rPr>
                <w:sz w:val="16"/>
                <w:szCs w:val="16"/>
                <w:color w:val="auto"/>
              </w:rPr>
            </w:pPr>
          </w:p>
        </w:tc>
        <w:tc>
          <w:tcPr>
            <w:tcW w:w="2540" w:type="dxa"/>
            <w:vAlign w:val="bottom"/>
          </w:tcPr>
          <w:p>
            <w:pPr>
              <w:spacing w:after="0"/>
              <w:rPr>
                <w:sz w:val="16"/>
                <w:szCs w:val="16"/>
                <w:color w:val="auto"/>
              </w:rPr>
            </w:pPr>
          </w:p>
        </w:tc>
      </w:tr>
      <w:tr>
        <w:trPr>
          <w:trHeight w:val="578"/>
        </w:trPr>
        <w:tc>
          <w:tcPr>
            <w:tcW w:w="2300" w:type="dxa"/>
            <w:vAlign w:val="bottom"/>
          </w:tcPr>
          <w:p>
            <w:pPr>
              <w:spacing w:after="0"/>
              <w:rPr>
                <w:sz w:val="24"/>
                <w:szCs w:val="24"/>
                <w:color w:val="auto"/>
              </w:rPr>
            </w:pPr>
          </w:p>
        </w:tc>
        <w:tc>
          <w:tcPr>
            <w:tcW w:w="4600" w:type="dxa"/>
            <w:vAlign w:val="bottom"/>
          </w:tcPr>
          <w:p>
            <w:pPr>
              <w:jc w:val="center"/>
              <w:ind w:left="16"/>
              <w:spacing w:after="0"/>
              <w:rPr>
                <w:sz w:val="20"/>
                <w:szCs w:val="20"/>
                <w:color w:val="auto"/>
              </w:rPr>
            </w:pPr>
            <w:r>
              <w:rPr>
                <w:rFonts w:ascii="Arial" w:cs="Arial" w:eastAsia="Arial" w:hAnsi="Arial"/>
                <w:sz w:val="18"/>
                <w:szCs w:val="18"/>
                <w:b w:val="1"/>
                <w:bCs w:val="1"/>
                <w:color w:val="auto"/>
                <w:w w:val="91"/>
              </w:rPr>
              <w:t>Canon’s Court</w:t>
            </w:r>
          </w:p>
        </w:tc>
        <w:tc>
          <w:tcPr>
            <w:tcW w:w="2540" w:type="dxa"/>
            <w:vAlign w:val="bottom"/>
          </w:tcPr>
          <w:p>
            <w:pPr>
              <w:spacing w:after="0"/>
              <w:rPr>
                <w:sz w:val="24"/>
                <w:szCs w:val="24"/>
                <w:color w:val="auto"/>
              </w:rPr>
            </w:pPr>
          </w:p>
        </w:tc>
      </w:tr>
      <w:tr>
        <w:trPr>
          <w:trHeight w:val="216"/>
        </w:trPr>
        <w:tc>
          <w:tcPr>
            <w:tcW w:w="230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2"/>
              </w:rPr>
              <w:t>22 Victoria Street</w:t>
            </w:r>
          </w:p>
        </w:tc>
        <w:tc>
          <w:tcPr>
            <w:tcW w:w="2540" w:type="dxa"/>
            <w:vAlign w:val="bottom"/>
          </w:tcPr>
          <w:p>
            <w:pPr>
              <w:spacing w:after="0"/>
              <w:rPr>
                <w:sz w:val="18"/>
                <w:szCs w:val="18"/>
                <w:color w:val="auto"/>
              </w:rPr>
            </w:pPr>
          </w:p>
        </w:tc>
      </w:tr>
      <w:tr>
        <w:trPr>
          <w:trHeight w:val="216"/>
        </w:trPr>
        <w:tc>
          <w:tcPr>
            <w:tcW w:w="230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7"/>
              </w:rPr>
              <w:t>Hamilton HM 12</w:t>
            </w:r>
          </w:p>
        </w:tc>
        <w:tc>
          <w:tcPr>
            <w:tcW w:w="2540" w:type="dxa"/>
            <w:vAlign w:val="bottom"/>
          </w:tcPr>
          <w:p>
            <w:pPr>
              <w:spacing w:after="0"/>
              <w:rPr>
                <w:sz w:val="18"/>
                <w:szCs w:val="18"/>
                <w:color w:val="auto"/>
              </w:rPr>
            </w:pPr>
          </w:p>
        </w:tc>
      </w:tr>
      <w:tr>
        <w:trPr>
          <w:trHeight w:val="234"/>
        </w:trPr>
        <w:tc>
          <w:tcPr>
            <w:tcW w:w="2300" w:type="dxa"/>
            <w:vAlign w:val="bottom"/>
          </w:tcPr>
          <w:p>
            <w:pPr>
              <w:spacing w:after="0"/>
              <w:rPr>
                <w:sz w:val="20"/>
                <w:szCs w:val="20"/>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40" w:type="dxa"/>
            <w:vAlign w:val="bottom"/>
          </w:tcPr>
          <w:p>
            <w:pPr>
              <w:spacing w:after="0"/>
              <w:rPr>
                <w:sz w:val="20"/>
                <w:szCs w:val="20"/>
                <w:color w:val="auto"/>
              </w:rPr>
            </w:pPr>
          </w:p>
        </w:tc>
      </w:tr>
      <w:tr>
        <w:trPr>
          <w:trHeight w:val="190"/>
        </w:trPr>
        <w:tc>
          <w:tcPr>
            <w:tcW w:w="2300" w:type="dxa"/>
            <w:vAlign w:val="bottom"/>
          </w:tcPr>
          <w:p>
            <w:pPr>
              <w:spacing w:after="0"/>
              <w:rPr>
                <w:sz w:val="16"/>
                <w:szCs w:val="16"/>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40" w:type="dxa"/>
            <w:vAlign w:val="bottom"/>
          </w:tcPr>
          <w:p>
            <w:pPr>
              <w:spacing w:after="0"/>
              <w:rPr>
                <w:sz w:val="16"/>
                <w:szCs w:val="16"/>
                <w:color w:val="auto"/>
              </w:rPr>
            </w:pPr>
          </w:p>
        </w:tc>
      </w:tr>
      <w:tr>
        <w:trPr>
          <w:trHeight w:val="417"/>
        </w:trPr>
        <w:tc>
          <w:tcPr>
            <w:tcW w:w="2300" w:type="dxa"/>
            <w:vAlign w:val="bottom"/>
          </w:tcPr>
          <w:p>
            <w:pPr>
              <w:spacing w:after="0"/>
              <w:rPr>
                <w:sz w:val="24"/>
                <w:szCs w:val="24"/>
                <w:color w:val="auto"/>
              </w:rPr>
            </w:pPr>
          </w:p>
        </w:tc>
        <w:tc>
          <w:tcPr>
            <w:tcW w:w="4600" w:type="dxa"/>
            <w:vAlign w:val="bottom"/>
          </w:tcPr>
          <w:p>
            <w:pPr>
              <w:jc w:val="right"/>
              <w:ind w:right="1616"/>
              <w:spacing w:after="0"/>
              <w:rPr>
                <w:sz w:val="20"/>
                <w:szCs w:val="20"/>
                <w:color w:val="auto"/>
              </w:rPr>
            </w:pPr>
            <w:r>
              <w:rPr>
                <w:rFonts w:ascii="Arial" w:cs="Arial" w:eastAsia="Arial" w:hAnsi="Arial"/>
                <w:sz w:val="18"/>
                <w:szCs w:val="18"/>
                <w:b w:val="1"/>
                <w:bCs w:val="1"/>
                <w:color w:val="auto"/>
              </w:rPr>
              <w:t>(441) 296-6395</w:t>
            </w:r>
          </w:p>
        </w:tc>
        <w:tc>
          <w:tcPr>
            <w:tcW w:w="2540" w:type="dxa"/>
            <w:vAlign w:val="bottom"/>
          </w:tcPr>
          <w:p>
            <w:pPr>
              <w:spacing w:after="0"/>
              <w:rPr>
                <w:sz w:val="24"/>
                <w:szCs w:val="24"/>
                <w:color w:val="auto"/>
              </w:rPr>
            </w:pPr>
          </w:p>
        </w:tc>
      </w:tr>
      <w:tr>
        <w:trPr>
          <w:trHeight w:val="204"/>
        </w:trPr>
        <w:tc>
          <w:tcPr>
            <w:tcW w:w="2300" w:type="dxa"/>
            <w:vAlign w:val="bottom"/>
          </w:tcPr>
          <w:p>
            <w:pPr>
              <w:spacing w:after="0"/>
              <w:rPr>
                <w:sz w:val="17"/>
                <w:szCs w:val="17"/>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40" w:type="dxa"/>
            <w:vAlign w:val="bottom"/>
          </w:tcPr>
          <w:p>
            <w:pPr>
              <w:spacing w:after="0"/>
              <w:rPr>
                <w:sz w:val="17"/>
                <w:szCs w:val="17"/>
                <w:color w:val="auto"/>
              </w:rPr>
            </w:pPr>
          </w:p>
        </w:tc>
      </w:tr>
    </w:tbl>
    <w:p>
      <w:pPr>
        <w:spacing w:after="0" w:line="25"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5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03" w:lineRule="exact"/>
        <w:rPr>
          <w:sz w:val="24"/>
          <w:szCs w:val="24"/>
          <w:color w:val="auto"/>
        </w:rPr>
      </w:pPr>
    </w:p>
    <w:p>
      <w:pPr>
        <w:ind w:left="480" w:hanging="373"/>
        <w:spacing w:after="0"/>
        <w:tabs>
          <w:tab w:leader="none" w:pos="4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60" w:hanging="353"/>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60" w:hanging="353"/>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60" w:hanging="353"/>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58" w:lineRule="exact"/>
        <w:rPr>
          <w:sz w:val="24"/>
          <w:szCs w:val="24"/>
          <w:color w:val="auto"/>
        </w:rPr>
      </w:pPr>
    </w:p>
    <w:p>
      <w:pPr>
        <w:ind w:right="36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88"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90" w:lineRule="exact"/>
        <w:rPr>
          <w:sz w:val="24"/>
          <w:szCs w:val="24"/>
          <w:color w:val="auto"/>
        </w:rPr>
      </w:pPr>
    </w:p>
    <w:tbl>
      <w:tblPr>
        <w:tblLayout w:type="fixed"/>
        <w:tblInd w:w="1300" w:type="dxa"/>
        <w:tblCellMar>
          <w:top w:w="0" w:type="dxa"/>
          <w:left w:w="0" w:type="dxa"/>
          <w:bottom w:w="0" w:type="dxa"/>
          <w:right w:w="0" w:type="dxa"/>
        </w:tblCellMar>
      </w:tblPr>
      <w:tr>
        <w:trPr>
          <w:trHeight w:val="162"/>
        </w:trPr>
        <w:tc>
          <w:tcPr>
            <w:tcW w:w="2560" w:type="dxa"/>
            <w:vAlign w:val="bottom"/>
          </w:tcPr>
          <w:p>
            <w:pPr>
              <w:spacing w:after="0"/>
              <w:rPr>
                <w:sz w:val="14"/>
                <w:szCs w:val="14"/>
                <w:color w:val="auto"/>
              </w:rPr>
            </w:pPr>
          </w:p>
        </w:tc>
        <w:tc>
          <w:tcPr>
            <w:tcW w:w="3480" w:type="dxa"/>
            <w:vAlign w:val="bottom"/>
          </w:tcPr>
          <w:p>
            <w:pPr>
              <w:jc w:val="center"/>
              <w:ind w:left="28"/>
              <w:spacing w:after="0"/>
              <w:rPr>
                <w:sz w:val="20"/>
                <w:szCs w:val="20"/>
                <w:color w:val="auto"/>
              </w:rPr>
            </w:pPr>
            <w:r>
              <w:rPr>
                <w:rFonts w:ascii="Arial" w:cs="Arial" w:eastAsia="Arial" w:hAnsi="Arial"/>
                <w:sz w:val="14"/>
                <w:szCs w:val="14"/>
                <w:b w:val="1"/>
                <w:bCs w:val="1"/>
                <w:color w:val="auto"/>
                <w:w w:val="97"/>
              </w:rPr>
              <w:t>Trading</w:t>
            </w:r>
          </w:p>
        </w:tc>
        <w:tc>
          <w:tcPr>
            <w:tcW w:w="2800" w:type="dxa"/>
            <w:vAlign w:val="bottom"/>
          </w:tcPr>
          <w:p>
            <w:pPr>
              <w:jc w:val="center"/>
              <w:ind w:left="1308"/>
              <w:spacing w:after="0"/>
              <w:rPr>
                <w:sz w:val="20"/>
                <w:szCs w:val="20"/>
                <w:color w:val="auto"/>
              </w:rPr>
            </w:pPr>
            <w:r>
              <w:rPr>
                <w:rFonts w:ascii="Arial" w:cs="Arial" w:eastAsia="Arial" w:hAnsi="Arial"/>
                <w:sz w:val="14"/>
                <w:szCs w:val="14"/>
                <w:b w:val="1"/>
                <w:bCs w:val="1"/>
                <w:color w:val="auto"/>
                <w:w w:val="88"/>
              </w:rPr>
              <w:t>Name of each exchange</w:t>
            </w:r>
          </w:p>
        </w:tc>
      </w:tr>
      <w:tr>
        <w:trPr>
          <w:trHeight w:val="213"/>
        </w:trPr>
        <w:tc>
          <w:tcPr>
            <w:tcW w:w="2560" w:type="dxa"/>
            <w:vAlign w:val="bottom"/>
          </w:tcPr>
          <w:p>
            <w:pPr>
              <w:spacing w:after="0"/>
              <w:rPr>
                <w:sz w:val="20"/>
                <w:szCs w:val="20"/>
                <w:color w:val="auto"/>
              </w:rPr>
            </w:pPr>
            <w:r>
              <w:rPr>
                <w:rFonts w:ascii="Arial" w:cs="Arial" w:eastAsia="Arial" w:hAnsi="Arial"/>
                <w:sz w:val="14"/>
                <w:szCs w:val="14"/>
                <w:b w:val="1"/>
                <w:bCs w:val="1"/>
                <w:color w:val="auto"/>
              </w:rPr>
              <w:t>Title of each class</w:t>
            </w:r>
          </w:p>
        </w:tc>
        <w:tc>
          <w:tcPr>
            <w:tcW w:w="3480" w:type="dxa"/>
            <w:vAlign w:val="bottom"/>
          </w:tcPr>
          <w:p>
            <w:pPr>
              <w:jc w:val="center"/>
              <w:ind w:left="28"/>
              <w:spacing w:after="0"/>
              <w:rPr>
                <w:sz w:val="20"/>
                <w:szCs w:val="20"/>
                <w:color w:val="auto"/>
              </w:rPr>
            </w:pPr>
            <w:r>
              <w:rPr>
                <w:rFonts w:ascii="Arial" w:cs="Arial" w:eastAsia="Arial" w:hAnsi="Arial"/>
                <w:sz w:val="14"/>
                <w:szCs w:val="14"/>
                <w:b w:val="1"/>
                <w:bCs w:val="1"/>
                <w:color w:val="auto"/>
                <w:w w:val="91"/>
              </w:rPr>
              <w:t>Symbol(s)</w:t>
            </w:r>
          </w:p>
        </w:tc>
        <w:tc>
          <w:tcPr>
            <w:tcW w:w="2800" w:type="dxa"/>
            <w:vAlign w:val="bottom"/>
          </w:tcPr>
          <w:p>
            <w:pPr>
              <w:jc w:val="center"/>
              <w:ind w:left="1328"/>
              <w:spacing w:after="0"/>
              <w:rPr>
                <w:sz w:val="20"/>
                <w:szCs w:val="20"/>
                <w:color w:val="auto"/>
              </w:rPr>
            </w:pPr>
            <w:r>
              <w:rPr>
                <w:rFonts w:ascii="Arial" w:cs="Arial" w:eastAsia="Arial" w:hAnsi="Arial"/>
                <w:sz w:val="14"/>
                <w:szCs w:val="14"/>
                <w:b w:val="1"/>
                <w:bCs w:val="1"/>
                <w:color w:val="auto"/>
                <w:w w:val="90"/>
              </w:rPr>
              <w:t>on which registered</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7620</wp:posOffset>
            </wp:positionV>
            <wp:extent cx="71323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080"/>
          </w:cols>
          <w:pgMar w:left="320" w:top="1440" w:right="499" w:bottom="177" w:gutter="0" w:footer="0" w:header="0"/>
        </w:sectPr>
      </w:pPr>
    </w:p>
    <w:p>
      <w:pPr>
        <w:spacing w:after="0" w:line="34" w:lineRule="exact"/>
        <w:rPr>
          <w:sz w:val="24"/>
          <w:szCs w:val="24"/>
          <w:color w:val="auto"/>
        </w:rPr>
      </w:pPr>
    </w:p>
    <w:p>
      <w:pPr>
        <w:ind w:left="1200"/>
        <w:spacing w:after="0"/>
        <w:tabs>
          <w:tab w:leader="none" w:pos="5360" w:val="left"/>
          <w:tab w:leader="none" w:pos="8160" w:val="left"/>
        </w:tabs>
        <w:rPr>
          <w:sz w:val="20"/>
          <w:szCs w:val="20"/>
          <w:color w:val="auto"/>
        </w:rPr>
      </w:pPr>
      <w:r>
        <w:rPr>
          <w:rFonts w:ascii="Arial" w:cs="Arial" w:eastAsia="Arial" w:hAnsi="Arial"/>
          <w:sz w:val="18"/>
          <w:szCs w:val="18"/>
          <w:b w:val="1"/>
          <w:bCs w:val="1"/>
          <w:color w:val="auto"/>
        </w:rPr>
        <w:t>Common Shares</w:t>
      </w:r>
      <w:r>
        <w:rPr>
          <w:sz w:val="20"/>
          <w:szCs w:val="20"/>
          <w:color w:val="auto"/>
        </w:rPr>
        <w:tab/>
      </w:r>
      <w:r>
        <w:rPr>
          <w:rFonts w:ascii="Arial" w:cs="Arial" w:eastAsia="Arial" w:hAnsi="Arial"/>
          <w:sz w:val="18"/>
          <w:szCs w:val="18"/>
          <w:b w:val="1"/>
          <w:bCs w:val="1"/>
          <w:color w:val="auto"/>
        </w:rPr>
        <w:t>MRVL</w:t>
      </w:r>
      <w:r>
        <w:rPr>
          <w:sz w:val="20"/>
          <w:szCs w:val="20"/>
          <w:color w:val="auto"/>
        </w:rPr>
        <w:tab/>
      </w:r>
      <w:r>
        <w:rPr>
          <w:rFonts w:ascii="Arial" w:cs="Arial" w:eastAsia="Arial" w:hAnsi="Arial"/>
          <w:sz w:val="17"/>
          <w:szCs w:val="17"/>
          <w:b w:val="1"/>
          <w:bCs w:val="1"/>
          <w:color w:val="auto"/>
        </w:rPr>
        <w:t>The Nasdaq Stock Market, LLC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308610</wp:posOffset>
            </wp:positionV>
            <wp:extent cx="713232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274320</wp:posOffset>
            </wp:positionV>
            <wp:extent cx="71323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080"/>
          </w:cols>
          <w:pgMar w:left="320" w:top="1440" w:right="499" w:bottom="177"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56"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w:t>
      </w:r>
    </w:p>
    <w:p>
      <w:pPr>
        <w:ind w:right="380" w:firstLine="8"/>
        <w:spacing w:after="0" w:line="323" w:lineRule="auto"/>
        <w:tabs>
          <w:tab w:leader="none" w:pos="270" w:val="left"/>
        </w:tabs>
        <w:numPr>
          <w:ilvl w:val="0"/>
          <w:numId w:val="2"/>
        </w:numPr>
        <w:rPr>
          <w:rFonts w:ascii="Arial" w:cs="Arial" w:eastAsia="Arial" w:hAnsi="Arial"/>
          <w:sz w:val="16"/>
          <w:szCs w:val="16"/>
          <w:i w:val="1"/>
          <w:iCs w:val="1"/>
          <w:color w:val="auto"/>
        </w:rPr>
      </w:pPr>
      <w:r>
        <w:rPr>
          <w:rFonts w:ascii="Arial" w:cs="Arial" w:eastAsia="Arial" w:hAnsi="Arial"/>
          <w:sz w:val="16"/>
          <w:szCs w:val="16"/>
          <w:i w:val="1"/>
          <w:iCs w:val="1"/>
          <w:color w:val="auto"/>
        </w:rPr>
        <w:t>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38"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On May 28, 2020, Marvell Technology Group Ltd. (“Marvell”) issued a press release reporting its financial results for the first quarter of fiscal 2021 ended May 2, 2020. A copy of the press release is furnished herewith as Exhibit 99.1.</w:t>
      </w:r>
    </w:p>
    <w:p>
      <w:pPr>
        <w:spacing w:after="0" w:line="197"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May 28, 2020 at 1:45 p.m. Pacific Time to discuss results for the first quarter of fiscal 2021. Interested parties may join the conference call by dialing 1-844-647-5488 or 1-615-247-0258, pass-code </w:t>
      </w:r>
      <w:r>
        <w:rPr>
          <w:rFonts w:ascii="Arial" w:cs="Arial" w:eastAsia="Arial" w:hAnsi="Arial"/>
          <w:sz w:val="18"/>
          <w:szCs w:val="18"/>
          <w:b w:val="1"/>
          <w:bCs w:val="1"/>
          <w:color w:val="auto"/>
        </w:rPr>
        <w:t>8949798</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Thursday, June 4, 2020.</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ind w:left="1960" w:right="400" w:hanging="647"/>
        <w:spacing w:after="0" w:line="277" w:lineRule="auto"/>
        <w:rPr>
          <w:rFonts w:ascii="Arial" w:cs="Arial" w:eastAsia="Arial" w:hAnsi="Arial"/>
          <w:sz w:val="18"/>
          <w:szCs w:val="18"/>
          <w:u w:val="single" w:color="auto"/>
          <w:color w:val="0000FF"/>
        </w:rPr>
      </w:pPr>
      <w:r>
        <w:rPr>
          <w:rFonts w:ascii="Arial" w:cs="Arial" w:eastAsia="Arial" w:hAnsi="Arial"/>
          <w:sz w:val="18"/>
          <w:szCs w:val="18"/>
          <w:color w:val="auto"/>
        </w:rPr>
        <w:t xml:space="preserve">99.1 </w:t>
      </w:r>
      <w:hyperlink w:anchor="page4">
        <w:r>
          <w:rPr>
            <w:rFonts w:ascii="Arial" w:cs="Arial" w:eastAsia="Arial" w:hAnsi="Arial"/>
            <w:sz w:val="18"/>
            <w:szCs w:val="18"/>
            <w:u w:val="single" w:color="auto"/>
            <w:color w:val="0000FF"/>
          </w:rPr>
          <w:t>Press Release dated May 28, 2020, titled “Marvell Technology Group Ltd. Reports First Quarter of Fiscal Year 2021 Financial</w:t>
        </w:r>
      </w:hyperlink>
      <w:r>
        <w:rPr>
          <w:rFonts w:ascii="Arial" w:cs="Arial" w:eastAsia="Arial" w:hAnsi="Arial"/>
          <w:sz w:val="18"/>
          <w:szCs w:val="18"/>
          <w:color w:val="auto"/>
        </w:rPr>
        <w:t xml:space="preserve"> </w:t>
      </w:r>
      <w:hyperlink w:anchor="page4">
        <w:r>
          <w:rPr>
            <w:rFonts w:ascii="Arial" w:cs="Arial" w:eastAsia="Arial" w:hAnsi="Arial"/>
            <w:sz w:val="18"/>
            <w:szCs w:val="18"/>
            <w:u w:val="single" w:color="auto"/>
            <w:color w:val="0000FF"/>
          </w:rPr>
          <w:t>Results”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1026160</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60"/>
          </w:cols>
          <w:pgMar w:left="320" w:top="607" w:right="41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800"/>
        <w:spacing w:after="0"/>
        <w:tabs>
          <w:tab w:leader="none" w:pos="6420" w:val="left"/>
          <w:tab w:leader="none" w:pos="6900" w:val="left"/>
        </w:tabs>
        <w:rPr>
          <w:sz w:val="20"/>
          <w:szCs w:val="20"/>
          <w:color w:val="auto"/>
        </w:rPr>
      </w:pPr>
      <w:r>
        <w:rPr>
          <w:rFonts w:ascii="Arial" w:cs="Arial" w:eastAsia="Arial" w:hAnsi="Arial"/>
          <w:sz w:val="18"/>
          <w:szCs w:val="18"/>
          <w:color w:val="auto"/>
        </w:rPr>
        <w:t>Date: May 28,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4377055</wp:posOffset>
            </wp:positionH>
            <wp:positionV relativeFrom="paragraph">
              <wp:posOffset>31750</wp:posOffset>
            </wp:positionV>
            <wp:extent cx="226314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263140" cy="8255"/>
                    </a:xfrm>
                    <a:prstGeom prst="rect">
                      <a:avLst/>
                    </a:prstGeom>
                    <a:noFill/>
                  </pic:spPr>
                </pic:pic>
              </a:graphicData>
            </a:graphic>
          </wp:anchor>
        </w:drawing>
      </w:r>
    </w:p>
    <w:p>
      <w:pPr>
        <w:spacing w:after="0" w:line="53" w:lineRule="exact"/>
        <w:rPr>
          <w:sz w:val="20"/>
          <w:szCs w:val="20"/>
          <w:color w:val="auto"/>
        </w:rPr>
      </w:pPr>
    </w:p>
    <w:p>
      <w:pPr>
        <w:ind w:left="692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69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880"/>
          </w:cols>
          <w:pgMar w:left="320" w:top="1012" w:right="6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180340</wp:posOffset>
            </wp:positionV>
            <wp:extent cx="1499870" cy="4540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99870" cy="4540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First Quarter of Fiscal Year 2021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Revenue: $694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Gross Margin: 47.1% GAAP gross margin; 62.8%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Diluted income (loss) per share: $(0.17) GAAP diluted loss per share; $0.18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$668 million</w:t>
      </w:r>
    </w:p>
    <w:p>
      <w:pPr>
        <w:spacing w:after="0" w:line="207"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 xml:space="preserve">Santa Clara, Calif. (May 28, 2020)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first quarter of fiscal year 2021.</w:t>
      </w:r>
    </w:p>
    <w:p>
      <w:pPr>
        <w:spacing w:after="0" w:line="166" w:lineRule="exact"/>
        <w:rPr>
          <w:sz w:val="20"/>
          <w:szCs w:val="20"/>
          <w:color w:val="auto"/>
        </w:rPr>
      </w:pPr>
    </w:p>
    <w:p>
      <w:pPr>
        <w:ind w:right="80"/>
        <w:spacing w:after="0" w:line="263" w:lineRule="auto"/>
        <w:rPr>
          <w:sz w:val="20"/>
          <w:szCs w:val="20"/>
          <w:color w:val="auto"/>
        </w:rPr>
      </w:pPr>
      <w:r>
        <w:rPr>
          <w:rFonts w:ascii="Arial" w:cs="Arial" w:eastAsia="Arial" w:hAnsi="Arial"/>
          <w:sz w:val="18"/>
          <w:szCs w:val="18"/>
          <w:color w:val="auto"/>
        </w:rPr>
        <w:t>Revenue for the first quarter of fiscal 2021 was $694 million, which exceeded the midpoint of the Company's guidance provided on March 4, 2020. GAAP net loss for the first quarter of fiscal 2021 was $(113) million, or $(0.17) per diluted share. Non-GAAP net income for the first quarter of fiscal 2021 was $118 million, or $0.18 per diluted share. Cash flow from operations for the first quarter was $176 million.</w:t>
      </w:r>
    </w:p>
    <w:p>
      <w:pPr>
        <w:spacing w:after="0" w:line="319" w:lineRule="exact"/>
        <w:rPr>
          <w:sz w:val="20"/>
          <w:szCs w:val="20"/>
          <w:color w:val="auto"/>
        </w:rPr>
      </w:pPr>
    </w:p>
    <w:p>
      <w:pPr>
        <w:ind w:right="40"/>
        <w:spacing w:after="0" w:line="241" w:lineRule="auto"/>
        <w:rPr>
          <w:sz w:val="20"/>
          <w:szCs w:val="20"/>
          <w:color w:val="auto"/>
        </w:rPr>
      </w:pPr>
      <w:r>
        <w:rPr>
          <w:rFonts w:ascii="Arial" w:cs="Arial" w:eastAsia="Arial" w:hAnsi="Arial"/>
          <w:sz w:val="18"/>
          <w:szCs w:val="18"/>
          <w:color w:val="auto"/>
        </w:rPr>
        <w:t>“In a challenging environment, solid execution by the Marvell team drove strong first quarter financial results with disciplined operating expense management, healthy operating cash flow, and revenue above the mid-point of guidance, enabled by stronger demand for our networking products from the datacenter and 5G infrastructure end markets,” said Matt Murphy, Marvell’s President and CEO. “While we did experience some COVID-19 supply chain impacts on our storage business in the first quarter, we expect a bounce back in the second quarter and we project our networking business to continue to grow.”</w:t>
      </w:r>
    </w:p>
    <w:p>
      <w:pPr>
        <w:spacing w:after="0" w:line="216" w:lineRule="exact"/>
        <w:rPr>
          <w:sz w:val="20"/>
          <w:szCs w:val="20"/>
          <w:color w:val="auto"/>
        </w:rPr>
      </w:pPr>
    </w:p>
    <w:p>
      <w:pPr>
        <w:ind w:right="800"/>
        <w:spacing w:after="0" w:line="342" w:lineRule="auto"/>
        <w:rPr>
          <w:sz w:val="20"/>
          <w:szCs w:val="20"/>
          <w:color w:val="auto"/>
        </w:rPr>
      </w:pPr>
      <w:r>
        <w:rPr>
          <w:rFonts w:ascii="Arial" w:cs="Arial" w:eastAsia="Arial" w:hAnsi="Arial"/>
          <w:sz w:val="16"/>
          <w:szCs w:val="16"/>
          <w:color w:val="auto"/>
        </w:rPr>
        <w:t>Marvell's second quarter guidance takes into account the U.S. Government's export restrictions on certain Chinese customers. Given the ongoing uncertainty associated with COVID-19 and related public health measures, we also have temporarily widened the guidance range on revenue.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2021 Financial Outlook</w:t>
      </w:r>
    </w:p>
    <w:p>
      <w:pPr>
        <w:spacing w:after="0" w:line="135"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$720 million +/- 5%.</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50.6%.</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63%.</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approximately $393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$300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loss per share is expected to be $(0.10) to $(0.02)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$0.17 to $0.23 per share.</w:t>
      </w:r>
    </w:p>
    <w:p>
      <w:pPr>
        <w:sectPr>
          <w:pgSz w:w="11900" w:h="16838" w:orient="portrait"/>
          <w:cols w:equalWidth="0" w:num="1">
            <w:col w:w="11240"/>
          </w:cols>
          <w:pgMar w:left="320" w:top="1093"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7" w:lineRule="exact"/>
        <w:rPr>
          <w:sz w:val="20"/>
          <w:szCs w:val="20"/>
          <w:color w:val="auto"/>
        </w:rPr>
      </w:pPr>
    </w:p>
    <w:p>
      <w:pPr>
        <w:jc w:val="both"/>
        <w:ind w:right="40"/>
        <w:spacing w:after="0" w:line="302" w:lineRule="auto"/>
        <w:rPr>
          <w:sz w:val="20"/>
          <w:szCs w:val="20"/>
          <w:color w:val="auto"/>
        </w:rPr>
      </w:pPr>
      <w:r>
        <w:rPr>
          <w:rFonts w:ascii="Arial" w:cs="Arial" w:eastAsia="Arial" w:hAnsi="Arial"/>
          <w:sz w:val="16"/>
          <w:szCs w:val="16"/>
          <w:color w:val="auto"/>
        </w:rPr>
        <w:t>Marvell will conduct a conference call on Thursday, May 28, 2020 at 1:45 p.m. Pacific Time to discuss results for the first quarter of fiscal 2021. Interested parties may join the conference call by dialing 1-844-647-5488 or 1-615-247-0258, pass-code 8949798. The call will be webcast and can be accessed at the Marvell Investor Relations website at http://investor.marvell.com/ with a replay available following the call until Thursday, June 4, 2020.</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360"/>
        <w:spacing w:after="0" w:line="259" w:lineRule="auto"/>
        <w:rPr>
          <w:sz w:val="20"/>
          <w:szCs w:val="20"/>
          <w:color w:val="auto"/>
        </w:rPr>
      </w:pPr>
      <w:r>
        <w:rPr>
          <w:rFonts w:ascii="Arial" w:cs="Arial" w:eastAsia="Arial" w:hAnsi="Arial"/>
          <w:sz w:val="18"/>
          <w:szCs w:val="18"/>
          <w:color w:val="auto"/>
        </w:rPr>
        <w:t>Non-GAAP financial measures exclude the effect of share-based compensation expense, amortization of the inventory fair value adjustment associated with the Aquantia and Avera acquisitions, amortization of acquired intangible assets, acquisition and divestiture-related costs, restructuring and other related charges, resolution of legal matters, and certain expenses and benefits that are driven primarily by discrete events that management does not consider to be directly related to Marvell's core business.</w:t>
      </w:r>
    </w:p>
    <w:p>
      <w:pPr>
        <w:spacing w:after="0" w:line="79"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first quarter of fiscal 2021, a non-GAAP tax rate of 5.0% has been applied to the non-GAAP financial results.</w:t>
      </w:r>
    </w:p>
    <w:p>
      <w:pPr>
        <w:spacing w:after="0" w:line="84"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70" w:lineRule="exact"/>
        <w:rPr>
          <w:sz w:val="20"/>
          <w:szCs w:val="20"/>
          <w:color w:val="auto"/>
        </w:rPr>
      </w:pPr>
    </w:p>
    <w:p>
      <w:pPr>
        <w:ind w:right="66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3"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480" w:hanging="328"/>
        <w:spacing w:after="0" w:line="260" w:lineRule="auto"/>
        <w:tabs>
          <w:tab w:leader="none" w:pos="655"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1"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1093"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risks related to the impact on our business of the novel coronavirus (COVID-19) pandemic which have impacted, and may continue to impact, our workforce and operations and the transportation and manufacturing of our products; risks related to the impact of the COVID-19 pandemic which have impacted, and may continue to impact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and travel; the effects that the current credit and market conditions caused by, or resulting from, COVID-19 could have on the liquidity and financial condition of our customers and suppliers, including any impact on their ability to meet their contractual obligations;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Marvell's ability to define, design and develop products for the 5G market; Marvell's ability to market its 5G products to Tier 1 infrastructure customers;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the risk that the company may not realize the anticipated benefits of the acquisitions of Aquantia Corp. and the Application Specific Integrated Circuit (ASIC) business of GLOBALFOUNDRIES and the divestiture to NXP (collectively,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Quarterly Report on Form 10-K for the fiscal quarter ended February 1, 2020 as filed with the SEC on March 23, 2020, and other factors detailed from time to time in Marvell’s filings with the SEC. Marvell undertakes no obligation to revise or publicly update any forward-looking statements.</w:t>
      </w:r>
    </w:p>
    <w:p>
      <w:pPr>
        <w:sectPr>
          <w:pgSz w:w="11900" w:h="16838" w:orient="portrait"/>
          <w:cols w:equalWidth="0" w:num="1">
            <w:col w:w="11220"/>
          </w:cols>
          <w:pgMar w:left="320" w:top="1093" w:right="3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9"/>
          <w:szCs w:val="19"/>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1093" w:right="3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r>
      <w:tr>
        <w:trPr>
          <w:trHeight w:val="152"/>
        </w:trPr>
        <w:tc>
          <w:tcPr>
            <w:tcW w:w="70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May 2,</w:t>
            </w:r>
          </w:p>
        </w:tc>
        <w:tc>
          <w:tcPr>
            <w:tcW w:w="200" w:type="dxa"/>
            <w:vAlign w:val="bottom"/>
          </w:tcPr>
          <w:p>
            <w:pPr>
              <w:spacing w:after="0"/>
              <w:rPr>
                <w:sz w:val="13"/>
                <w:szCs w:val="13"/>
                <w:color w:val="auto"/>
              </w:rPr>
            </w:pPr>
          </w:p>
        </w:tc>
        <w:tc>
          <w:tcPr>
            <w:tcW w:w="12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1,</w:t>
            </w:r>
          </w:p>
        </w:tc>
        <w:tc>
          <w:tcPr>
            <w:tcW w:w="260" w:type="dxa"/>
            <w:vAlign w:val="bottom"/>
          </w:tcPr>
          <w:p>
            <w:pPr>
              <w:spacing w:after="0"/>
              <w:rPr>
                <w:sz w:val="13"/>
                <w:szCs w:val="13"/>
                <w:color w:val="auto"/>
              </w:rPr>
            </w:pPr>
          </w:p>
        </w:tc>
        <w:tc>
          <w:tcPr>
            <w:tcW w:w="1040" w:type="dxa"/>
            <w:vAlign w:val="bottom"/>
          </w:tcPr>
          <w:p>
            <w:pPr>
              <w:jc w:val="right"/>
              <w:ind w:right="352"/>
              <w:spacing w:after="0" w:line="153" w:lineRule="exact"/>
              <w:rPr>
                <w:sz w:val="20"/>
                <w:szCs w:val="20"/>
                <w:color w:val="auto"/>
              </w:rPr>
            </w:pPr>
            <w:r>
              <w:rPr>
                <w:rFonts w:ascii="Arial" w:cs="Arial" w:eastAsia="Arial" w:hAnsi="Arial"/>
                <w:sz w:val="14"/>
                <w:szCs w:val="14"/>
                <w:b w:val="1"/>
                <w:bCs w:val="1"/>
                <w:color w:val="auto"/>
              </w:rPr>
              <w:t>May 4,</w:t>
            </w:r>
          </w:p>
        </w:tc>
      </w:tr>
      <w:tr>
        <w:trPr>
          <w:trHeight w:val="192"/>
        </w:trPr>
        <w:tc>
          <w:tcPr>
            <w:tcW w:w="70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16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1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2019</w:t>
            </w:r>
          </w:p>
        </w:tc>
      </w:tr>
      <w:tr>
        <w:trPr>
          <w:trHeight w:val="250"/>
        </w:trPr>
        <w:tc>
          <w:tcPr>
            <w:tcW w:w="70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revenue</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693,641</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717,671</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662,452</w:t>
            </w:r>
          </w:p>
        </w:tc>
      </w:tr>
      <w:tr>
        <w:trPr>
          <w:trHeight w:val="243"/>
        </w:trPr>
        <w:tc>
          <w:tcPr>
            <w:tcW w:w="7020" w:type="dxa"/>
            <w:vAlign w:val="bottom"/>
          </w:tcPr>
          <w:p>
            <w:pPr>
              <w:ind w:left="6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366,739</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412,927</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301,024</w:t>
            </w: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70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Gross profit</w:t>
            </w: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326,902</w:t>
            </w:r>
          </w:p>
        </w:tc>
        <w:tc>
          <w:tcPr>
            <w:tcW w:w="16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304,744</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361,428</w:t>
            </w:r>
          </w:p>
        </w:tc>
      </w:tr>
      <w:tr>
        <w:trPr>
          <w:trHeight w:val="250"/>
        </w:trPr>
        <w:tc>
          <w:tcPr>
            <w:tcW w:w="7020" w:type="dxa"/>
            <w:vAlign w:val="bottom"/>
          </w:tcPr>
          <w:p>
            <w:pPr>
              <w:spacing w:after="0"/>
              <w:rPr>
                <w:sz w:val="21"/>
                <w:szCs w:val="21"/>
                <w:color w:val="auto"/>
              </w:rPr>
            </w:pPr>
          </w:p>
        </w:tc>
        <w:tc>
          <w:tcPr>
            <w:tcW w:w="260" w:type="dxa"/>
            <w:vAlign w:val="bottom"/>
            <w:tcBorders>
              <w:top w:val="single" w:sz="8" w:color="auto"/>
            </w:tcBorders>
          </w:tcPr>
          <w:p>
            <w:pPr>
              <w:spacing w:after="0"/>
              <w:rPr>
                <w:sz w:val="21"/>
                <w:szCs w:val="21"/>
                <w:color w:val="auto"/>
              </w:rPr>
            </w:pPr>
          </w:p>
        </w:tc>
        <w:tc>
          <w:tcPr>
            <w:tcW w:w="1040" w:type="dxa"/>
            <w:vAlign w:val="bottom"/>
            <w:tcBorders>
              <w:top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200" w:type="dxa"/>
            <w:vAlign w:val="bottom"/>
            <w:tcBorders>
              <w:top w:val="single" w:sz="8" w:color="auto"/>
            </w:tcBorders>
          </w:tcPr>
          <w:p>
            <w:pPr>
              <w:spacing w:after="0"/>
              <w:rPr>
                <w:sz w:val="21"/>
                <w:szCs w:val="21"/>
                <w:color w:val="auto"/>
              </w:rPr>
            </w:pPr>
          </w:p>
        </w:tc>
        <w:tc>
          <w:tcPr>
            <w:tcW w:w="1100" w:type="dxa"/>
            <w:vAlign w:val="bottom"/>
            <w:tcBorders>
              <w:top w:val="single" w:sz="8" w:color="auto"/>
            </w:tcBorders>
          </w:tcPr>
          <w:p>
            <w:pPr>
              <w:spacing w:after="0"/>
              <w:rPr>
                <w:sz w:val="21"/>
                <w:szCs w:val="21"/>
                <w:color w:val="auto"/>
              </w:rPr>
            </w:pPr>
          </w:p>
        </w:tc>
        <w:tc>
          <w:tcPr>
            <w:tcW w:w="160" w:type="dxa"/>
            <w:vAlign w:val="bottom"/>
          </w:tcPr>
          <w:p>
            <w:pPr>
              <w:spacing w:after="0"/>
              <w:rPr>
                <w:sz w:val="21"/>
                <w:szCs w:val="21"/>
                <w:color w:val="auto"/>
              </w:rPr>
            </w:pPr>
          </w:p>
        </w:tc>
        <w:tc>
          <w:tcPr>
            <w:tcW w:w="260" w:type="dxa"/>
            <w:vAlign w:val="bottom"/>
            <w:tcBorders>
              <w:top w:val="single" w:sz="8" w:color="auto"/>
            </w:tcBorders>
          </w:tcPr>
          <w:p>
            <w:pPr>
              <w:spacing w:after="0"/>
              <w:rPr>
                <w:sz w:val="21"/>
                <w:szCs w:val="21"/>
                <w:color w:val="auto"/>
              </w:rPr>
            </w:pPr>
          </w:p>
        </w:tc>
        <w:tc>
          <w:tcPr>
            <w:tcW w:w="1040" w:type="dxa"/>
            <w:vAlign w:val="bottom"/>
            <w:tcBorders>
              <w:top w:val="single" w:sz="8" w:color="auto"/>
            </w:tcBorders>
          </w:tcPr>
          <w:p>
            <w:pPr>
              <w:spacing w:after="0"/>
              <w:rPr>
                <w:sz w:val="21"/>
                <w:szCs w:val="21"/>
                <w:color w:val="auto"/>
              </w:rPr>
            </w:pPr>
          </w:p>
        </w:tc>
      </w:tr>
      <w:tr>
        <w:trPr>
          <w:trHeight w:val="229"/>
        </w:trPr>
        <w:tc>
          <w:tcPr>
            <w:tcW w:w="702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expenses:</w:t>
            </w:r>
          </w:p>
        </w:tc>
        <w:tc>
          <w:tcPr>
            <w:tcW w:w="2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43"/>
        </w:trPr>
        <w:tc>
          <w:tcPr>
            <w:tcW w:w="7020" w:type="dxa"/>
            <w:vAlign w:val="bottom"/>
          </w:tcPr>
          <w:p>
            <w:pPr>
              <w:ind w:left="520"/>
              <w:spacing w:after="0"/>
              <w:rPr>
                <w:sz w:val="20"/>
                <w:szCs w:val="20"/>
                <w:color w:val="auto"/>
              </w:rPr>
            </w:pPr>
            <w:r>
              <w:rPr>
                <w:rFonts w:ascii="Arial" w:cs="Arial" w:eastAsia="Arial" w:hAnsi="Arial"/>
                <w:sz w:val="18"/>
                <w:szCs w:val="18"/>
                <w:color w:val="auto"/>
              </w:rPr>
              <w:t>Research and development</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279,584</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279,389</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266,867</w:t>
            </w: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02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122,027</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121,592</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110,005</w:t>
            </w:r>
          </w:p>
        </w:tc>
      </w:tr>
      <w:tr>
        <w:trPr>
          <w:trHeight w:val="243"/>
        </w:trPr>
        <w:tc>
          <w:tcPr>
            <w:tcW w:w="7020" w:type="dxa"/>
            <w:vAlign w:val="bottom"/>
          </w:tcPr>
          <w:p>
            <w:pPr>
              <w:ind w:left="520"/>
              <w:spacing w:after="0"/>
              <w:rPr>
                <w:sz w:val="20"/>
                <w:szCs w:val="20"/>
                <w:color w:val="auto"/>
              </w:rPr>
            </w:pPr>
            <w:r>
              <w:rPr>
                <w:rFonts w:ascii="Arial" w:cs="Arial" w:eastAsia="Arial" w:hAnsi="Arial"/>
                <w:sz w:val="18"/>
                <w:szCs w:val="18"/>
                <w:color w:val="auto"/>
              </w:rPr>
              <w:t>Restructuring related charges</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21,287</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18,258</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5,682</w:t>
            </w: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7020" w:type="dxa"/>
            <w:vAlign w:val="bottom"/>
            <w:tcBorders>
              <w:bottom w:val="single" w:sz="8" w:color="CCEEFF"/>
            </w:tcBorders>
            <w:shd w:val="clear" w:color="auto" w:fill="CCEEFF"/>
          </w:tcPr>
          <w:p>
            <w:pPr>
              <w:ind w:left="960"/>
              <w:spacing w:after="0"/>
              <w:rPr>
                <w:sz w:val="20"/>
                <w:szCs w:val="20"/>
                <w:color w:val="auto"/>
              </w:rPr>
            </w:pPr>
            <w:r>
              <w:rPr>
                <w:rFonts w:ascii="Arial" w:cs="Arial" w:eastAsia="Arial" w:hAnsi="Arial"/>
                <w:sz w:val="18"/>
                <w:szCs w:val="18"/>
                <w:color w:val="auto"/>
              </w:rPr>
              <w:t>Total operating expenses</w:t>
            </w: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422,898</w:t>
            </w:r>
          </w:p>
        </w:tc>
        <w:tc>
          <w:tcPr>
            <w:tcW w:w="16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419,239</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382,554</w:t>
            </w:r>
          </w:p>
        </w:tc>
      </w:tr>
      <w:tr>
        <w:trPr>
          <w:trHeight w:val="264"/>
        </w:trPr>
        <w:tc>
          <w:tcPr>
            <w:tcW w:w="7020" w:type="dxa"/>
            <w:vAlign w:val="bottom"/>
          </w:tcPr>
          <w:p>
            <w:pPr>
              <w:ind w:left="60"/>
              <w:spacing w:after="0"/>
              <w:rPr>
                <w:sz w:val="20"/>
                <w:szCs w:val="20"/>
                <w:color w:val="auto"/>
              </w:rPr>
            </w:pPr>
            <w:r>
              <w:rPr>
                <w:rFonts w:ascii="Arial" w:cs="Arial" w:eastAsia="Arial" w:hAnsi="Arial"/>
                <w:sz w:val="18"/>
                <w:szCs w:val="18"/>
                <w:color w:val="auto"/>
              </w:rPr>
              <w:t>Operating income (loss)</w:t>
            </w:r>
          </w:p>
        </w:tc>
        <w:tc>
          <w:tcPr>
            <w:tcW w:w="260" w:type="dxa"/>
            <w:vAlign w:val="bottom"/>
            <w:tcBorders>
              <w:top w:val="single" w:sz="8" w:color="auto"/>
            </w:tcBorders>
          </w:tcPr>
          <w:p>
            <w:pPr>
              <w:spacing w:after="0"/>
              <w:rPr>
                <w:sz w:val="22"/>
                <w:szCs w:val="22"/>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(95,996)</w:t>
            </w:r>
          </w:p>
        </w:tc>
        <w:tc>
          <w:tcPr>
            <w:tcW w:w="160" w:type="dxa"/>
            <w:vAlign w:val="bottom"/>
          </w:tcPr>
          <w:p>
            <w:pPr>
              <w:spacing w:after="0"/>
              <w:rPr>
                <w:sz w:val="22"/>
                <w:szCs w:val="22"/>
                <w:color w:val="auto"/>
              </w:rPr>
            </w:pPr>
          </w:p>
        </w:tc>
        <w:tc>
          <w:tcPr>
            <w:tcW w:w="200" w:type="dxa"/>
            <w:vAlign w:val="bottom"/>
            <w:tcBorders>
              <w:top w:val="single" w:sz="8" w:color="auto"/>
            </w:tcBorders>
          </w:tcPr>
          <w:p>
            <w:pPr>
              <w:spacing w:after="0"/>
              <w:rPr>
                <w:sz w:val="22"/>
                <w:szCs w:val="22"/>
                <w:color w:val="auto"/>
              </w:rPr>
            </w:pP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(114,495)</w:t>
            </w:r>
          </w:p>
        </w:tc>
        <w:tc>
          <w:tcPr>
            <w:tcW w:w="160" w:type="dxa"/>
            <w:vAlign w:val="bottom"/>
          </w:tcPr>
          <w:p>
            <w:pPr>
              <w:spacing w:after="0"/>
              <w:rPr>
                <w:sz w:val="22"/>
                <w:szCs w:val="22"/>
                <w:color w:val="auto"/>
              </w:rPr>
            </w:pPr>
          </w:p>
        </w:tc>
        <w:tc>
          <w:tcPr>
            <w:tcW w:w="260" w:type="dxa"/>
            <w:vAlign w:val="bottom"/>
            <w:tcBorders>
              <w:top w:val="single" w:sz="8" w:color="auto"/>
            </w:tcBorders>
          </w:tcPr>
          <w:p>
            <w:pPr>
              <w:spacing w:after="0"/>
              <w:rPr>
                <w:sz w:val="22"/>
                <w:szCs w:val="22"/>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(21,126)</w:t>
            </w:r>
          </w:p>
        </w:tc>
      </w:tr>
      <w:tr>
        <w:trPr>
          <w:trHeight w:val="250"/>
        </w:trPr>
        <w:tc>
          <w:tcPr>
            <w:tcW w:w="702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Interest income</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1,058</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1,379</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1,268</w:t>
            </w:r>
          </w:p>
        </w:tc>
      </w:tr>
      <w:tr>
        <w:trPr>
          <w:trHeight w:val="243"/>
        </w:trPr>
        <w:tc>
          <w:tcPr>
            <w:tcW w:w="7020" w:type="dxa"/>
            <w:vAlign w:val="bottom"/>
          </w:tcPr>
          <w:p>
            <w:pPr>
              <w:ind w:left="520"/>
              <w:spacing w:after="0"/>
              <w:rPr>
                <w:sz w:val="20"/>
                <w:szCs w:val="20"/>
                <w:color w:val="auto"/>
              </w:rPr>
            </w:pPr>
            <w:r>
              <w:rPr>
                <w:rFonts w:ascii="Arial" w:cs="Arial" w:eastAsia="Arial" w:hAnsi="Arial"/>
                <w:sz w:val="18"/>
                <w:szCs w:val="18"/>
                <w:color w:val="auto"/>
              </w:rPr>
              <w:t>Interest expense</w:t>
            </w:r>
          </w:p>
        </w:tc>
        <w:tc>
          <w:tcPr>
            <w:tcW w:w="26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(16,830)</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(22,656)</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(21,203)</w:t>
            </w: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7020" w:type="dxa"/>
            <w:vAlign w:val="bottom"/>
            <w:tcBorders>
              <w:bottom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Other income (loss), net</w:t>
            </w:r>
          </w:p>
        </w:tc>
        <w:tc>
          <w:tcPr>
            <w:tcW w:w="2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3,754</w:t>
            </w:r>
          </w:p>
        </w:tc>
        <w:tc>
          <w:tcPr>
            <w:tcW w:w="16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1,124,179</w:t>
            </w:r>
          </w:p>
        </w:tc>
        <w:tc>
          <w:tcPr>
            <w:tcW w:w="16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(116)</w:t>
            </w:r>
          </w:p>
        </w:tc>
      </w:tr>
      <w:tr>
        <w:trPr>
          <w:trHeight w:val="237"/>
        </w:trPr>
        <w:tc>
          <w:tcPr>
            <w:tcW w:w="7020" w:type="dxa"/>
            <w:vAlign w:val="bottom"/>
          </w:tcPr>
          <w:p>
            <w:pPr>
              <w:ind w:left="960"/>
              <w:spacing w:after="0"/>
              <w:rPr>
                <w:sz w:val="20"/>
                <w:szCs w:val="20"/>
                <w:color w:val="auto"/>
              </w:rPr>
            </w:pPr>
            <w:r>
              <w:rPr>
                <w:rFonts w:ascii="Arial" w:cs="Arial" w:eastAsia="Arial" w:hAnsi="Arial"/>
                <w:sz w:val="18"/>
                <w:szCs w:val="18"/>
                <w:color w:val="auto"/>
              </w:rPr>
              <w:t>Interest and other income (loss), net</w:t>
            </w:r>
          </w:p>
        </w:tc>
        <w:tc>
          <w:tcPr>
            <w:tcW w:w="2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(12,018)</w:t>
            </w:r>
          </w:p>
        </w:tc>
        <w:tc>
          <w:tcPr>
            <w:tcW w:w="16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1,102,902</w:t>
            </w:r>
          </w:p>
        </w:tc>
        <w:tc>
          <w:tcPr>
            <w:tcW w:w="16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(20,051)</w:t>
            </w: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7020" w:type="dxa"/>
            <w:vAlign w:val="bottom"/>
            <w:shd w:val="clear" w:color="auto" w:fill="CCEEFF"/>
          </w:tcPr>
          <w:p>
            <w:pPr>
              <w:ind w:left="60"/>
              <w:spacing w:after="0"/>
              <w:rPr>
                <w:sz w:val="20"/>
                <w:szCs w:val="20"/>
                <w:color w:val="auto"/>
              </w:rPr>
            </w:pPr>
            <w:r>
              <w:rPr>
                <w:rFonts w:ascii="Arial" w:cs="Arial" w:eastAsia="Arial" w:hAnsi="Arial"/>
                <w:sz w:val="18"/>
                <w:szCs w:val="18"/>
                <w:color w:val="auto"/>
              </w:rPr>
              <w:t>Income (loss) before income taxes</w:t>
            </w:r>
          </w:p>
        </w:tc>
        <w:tc>
          <w:tcPr>
            <w:tcW w:w="260" w:type="dxa"/>
            <w:vAlign w:val="bottom"/>
            <w:shd w:val="clear" w:color="auto" w:fill="CCEEFF"/>
          </w:tcPr>
          <w:p>
            <w:pPr>
              <w:spacing w:after="0"/>
              <w:rPr>
                <w:sz w:val="22"/>
                <w:szCs w:val="22"/>
                <w:color w:val="auto"/>
              </w:rPr>
            </w:pPr>
          </w:p>
        </w:tc>
        <w:tc>
          <w:tcPr>
            <w:tcW w:w="10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(108,014)</w:t>
            </w:r>
          </w:p>
        </w:tc>
        <w:tc>
          <w:tcPr>
            <w:tcW w:w="16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988,407</w:t>
            </w:r>
          </w:p>
        </w:tc>
        <w:tc>
          <w:tcPr>
            <w:tcW w:w="16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0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(41,177)</w:t>
            </w:r>
          </w:p>
        </w:tc>
      </w:tr>
      <w:tr>
        <w:trPr>
          <w:trHeight w:val="243"/>
        </w:trPr>
        <w:tc>
          <w:tcPr>
            <w:tcW w:w="7020" w:type="dxa"/>
            <w:vAlign w:val="bottom"/>
          </w:tcPr>
          <w:p>
            <w:pPr>
              <w:ind w:left="60"/>
              <w:spacing w:after="0"/>
              <w:rPr>
                <w:sz w:val="20"/>
                <w:szCs w:val="20"/>
                <w:color w:val="auto"/>
              </w:rPr>
            </w:pPr>
            <w:r>
              <w:rPr>
                <w:rFonts w:ascii="Arial" w:cs="Arial" w:eastAsia="Arial" w:hAnsi="Arial"/>
                <w:sz w:val="18"/>
                <w:szCs w:val="18"/>
                <w:color w:val="auto"/>
              </w:rPr>
              <w:t>Provision (benefit) for income taxes</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5,019</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(784,266)</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7,273</w:t>
            </w: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3"/>
        </w:trPr>
        <w:tc>
          <w:tcPr>
            <w:tcW w:w="70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income (loss)</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(113,033)</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1,772,673</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(48,450)</w:t>
            </w:r>
          </w:p>
        </w:tc>
      </w:tr>
      <w:tr>
        <w:trPr>
          <w:trHeight w:val="257"/>
        </w:trPr>
        <w:tc>
          <w:tcPr>
            <w:tcW w:w="70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40" w:type="dxa"/>
            <w:vAlign w:val="bottom"/>
          </w:tcPr>
          <w:p>
            <w:pPr>
              <w:spacing w:after="0"/>
              <w:rPr>
                <w:sz w:val="22"/>
                <w:szCs w:val="22"/>
                <w:color w:val="auto"/>
              </w:rPr>
            </w:pPr>
          </w:p>
        </w:tc>
      </w:tr>
      <w:tr>
        <w:trPr>
          <w:trHeight w:val="268"/>
        </w:trPr>
        <w:tc>
          <w:tcPr>
            <w:tcW w:w="70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income (loss) per share — Basic:</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(0.17)</w:t>
            </w:r>
          </w:p>
        </w:tc>
        <w:tc>
          <w:tcPr>
            <w:tcW w:w="16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2.66</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(0.07)</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70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68"/>
        </w:trPr>
        <w:tc>
          <w:tcPr>
            <w:tcW w:w="70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income (loss) per share — Diluted:</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(0.17)</w:t>
            </w:r>
          </w:p>
        </w:tc>
        <w:tc>
          <w:tcPr>
            <w:tcW w:w="16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2.62</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(0.07)</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4"/>
        </w:trPr>
        <w:tc>
          <w:tcPr>
            <w:tcW w:w="70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29"/>
        </w:trPr>
        <w:tc>
          <w:tcPr>
            <w:tcW w:w="7020" w:type="dxa"/>
            <w:vAlign w:val="bottom"/>
            <w:shd w:val="clear" w:color="auto" w:fill="CCEEFF"/>
          </w:tcPr>
          <w:p>
            <w:pPr>
              <w:ind w:left="60"/>
              <w:spacing w:after="0"/>
              <w:rPr>
                <w:sz w:val="20"/>
                <w:szCs w:val="20"/>
                <w:color w:val="auto"/>
              </w:rPr>
            </w:pPr>
            <w:r>
              <w:rPr>
                <w:rFonts w:ascii="Arial" w:cs="Arial" w:eastAsia="Arial" w:hAnsi="Arial"/>
                <w:sz w:val="18"/>
                <w:szCs w:val="18"/>
                <w:color w:val="auto"/>
              </w:rPr>
              <w:t>Weighted average shares:</w:t>
            </w:r>
          </w:p>
        </w:tc>
        <w:tc>
          <w:tcPr>
            <w:tcW w:w="2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43"/>
        </w:trPr>
        <w:tc>
          <w:tcPr>
            <w:tcW w:w="7020" w:type="dxa"/>
            <w:vAlign w:val="bottom"/>
          </w:tcPr>
          <w:p>
            <w:pPr>
              <w:ind w:left="520"/>
              <w:spacing w:after="0"/>
              <w:rPr>
                <w:sz w:val="20"/>
                <w:szCs w:val="20"/>
                <w:color w:val="auto"/>
              </w:rPr>
            </w:pPr>
            <w:r>
              <w:rPr>
                <w:rFonts w:ascii="Arial" w:cs="Arial" w:eastAsia="Arial" w:hAnsi="Arial"/>
                <w:sz w:val="18"/>
                <w:szCs w:val="18"/>
                <w:color w:val="auto"/>
              </w:rPr>
              <w:t>Basic</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663,547</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665,562</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658,963</w:t>
            </w: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43"/>
        </w:trPr>
        <w:tc>
          <w:tcPr>
            <w:tcW w:w="7020" w:type="dxa"/>
            <w:vAlign w:val="bottom"/>
            <w:shd w:val="clear" w:color="auto" w:fill="CCEEFF"/>
          </w:tcPr>
          <w:p>
            <w:pPr>
              <w:ind w:left="520"/>
              <w:spacing w:after="0"/>
              <w:rPr>
                <w:sz w:val="20"/>
                <w:szCs w:val="20"/>
                <w:color w:val="auto"/>
              </w:rPr>
            </w:pPr>
            <w:r>
              <w:rPr>
                <w:rFonts w:ascii="Arial" w:cs="Arial" w:eastAsia="Arial" w:hAnsi="Arial"/>
                <w:sz w:val="18"/>
                <w:szCs w:val="18"/>
                <w:color w:val="auto"/>
              </w:rPr>
              <w:t>Diluted</w:t>
            </w:r>
          </w:p>
        </w:tc>
        <w:tc>
          <w:tcPr>
            <w:tcW w:w="26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663,547</w:t>
            </w:r>
          </w:p>
        </w:tc>
        <w:tc>
          <w:tcPr>
            <w:tcW w:w="16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675,700</w:t>
            </w:r>
          </w:p>
        </w:tc>
        <w:tc>
          <w:tcPr>
            <w:tcW w:w="16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658,963</w:t>
            </w:r>
          </w:p>
        </w:tc>
      </w:tr>
      <w:tr>
        <w:trPr>
          <w:trHeight w:val="27"/>
        </w:trPr>
        <w:tc>
          <w:tcPr>
            <w:tcW w:w="70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r>
    </w:tbl>
    <w:p>
      <w:pPr>
        <w:sectPr>
          <w:pgSz w:w="11900" w:h="16838" w:orient="portrait"/>
          <w:cols w:equalWidth="0" w:num="1">
            <w:col w:w="11240"/>
          </w:cols>
          <w:pgMar w:left="320" w:top="1093"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49" w:lineRule="exact"/>
        <w:rPr>
          <w:sz w:val="20"/>
          <w:szCs w:val="20"/>
          <w:color w:val="auto"/>
        </w:rPr>
      </w:pPr>
    </w:p>
    <w:tbl>
      <w:tblPr>
        <w:tblLayout w:type="fixed"/>
        <w:tblInd w:w="0" w:type="dxa"/>
        <w:tblCellMar>
          <w:top w:w="0" w:type="dxa"/>
          <w:left w:w="0" w:type="dxa"/>
          <w:bottom w:w="0" w:type="dxa"/>
          <w:right w:w="0" w:type="dxa"/>
        </w:tblCellMar>
      </w:tblPr>
      <w:tr>
        <w:trPr>
          <w:trHeight w:val="203"/>
        </w:trPr>
        <w:tc>
          <w:tcPr>
            <w:tcW w:w="7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500" w:type="dxa"/>
            <w:vAlign w:val="bottom"/>
            <w:gridSpan w:val="2"/>
          </w:tcPr>
          <w:p>
            <w:pPr>
              <w:ind w:left="240"/>
              <w:spacing w:after="0"/>
              <w:rPr>
                <w:sz w:val="20"/>
                <w:szCs w:val="20"/>
                <w:color w:val="auto"/>
              </w:rPr>
            </w:pPr>
            <w:r>
              <w:rPr>
                <w:rFonts w:ascii="Arial" w:cs="Arial" w:eastAsia="Arial" w:hAnsi="Arial"/>
                <w:sz w:val="16"/>
                <w:szCs w:val="16"/>
                <w:b w:val="1"/>
                <w:bCs w:val="1"/>
                <w:color w:val="auto"/>
              </w:rPr>
              <w:t>May 2,</w:t>
            </w:r>
          </w:p>
        </w:tc>
        <w:tc>
          <w:tcPr>
            <w:tcW w:w="240" w:type="dxa"/>
            <w:vAlign w:val="bottom"/>
          </w:tcPr>
          <w:p>
            <w:pPr>
              <w:spacing w:after="0"/>
              <w:rPr>
                <w:sz w:val="17"/>
                <w:szCs w:val="17"/>
                <w:color w:val="auto"/>
              </w:rPr>
            </w:pPr>
          </w:p>
        </w:tc>
        <w:tc>
          <w:tcPr>
            <w:tcW w:w="1360" w:type="dxa"/>
            <w:vAlign w:val="bottom"/>
          </w:tcPr>
          <w:p>
            <w:pPr>
              <w:jc w:val="right"/>
              <w:ind w:right="311"/>
              <w:spacing w:after="0"/>
              <w:rPr>
                <w:sz w:val="20"/>
                <w:szCs w:val="20"/>
                <w:color w:val="auto"/>
              </w:rPr>
            </w:pPr>
            <w:r>
              <w:rPr>
                <w:rFonts w:ascii="Arial" w:cs="Arial" w:eastAsia="Arial" w:hAnsi="Arial"/>
                <w:sz w:val="16"/>
                <w:szCs w:val="16"/>
                <w:b w:val="1"/>
                <w:bCs w:val="1"/>
                <w:color w:val="auto"/>
              </w:rPr>
              <w:t>February 1,</w:t>
            </w:r>
          </w:p>
        </w:tc>
      </w:tr>
      <w:tr>
        <w:trPr>
          <w:trHeight w:val="210"/>
        </w:trPr>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tcPr>
          <w:p>
            <w:pPr>
              <w:jc w:val="right"/>
              <w:ind w:right="551"/>
              <w:spacing w:after="0"/>
              <w:rPr>
                <w:sz w:val="20"/>
                <w:szCs w:val="20"/>
                <w:color w:val="auto"/>
              </w:rPr>
            </w:pPr>
            <w:r>
              <w:rPr>
                <w:rFonts w:ascii="Arial" w:cs="Arial" w:eastAsia="Arial" w:hAnsi="Arial"/>
                <w:sz w:val="16"/>
                <w:szCs w:val="16"/>
                <w:b w:val="1"/>
                <w:bCs w:val="1"/>
                <w:color w:val="auto"/>
              </w:rPr>
              <w:t>2020</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Pr>
          <w:p>
            <w:pPr>
              <w:jc w:val="right"/>
              <w:ind w:right="551"/>
              <w:spacing w:after="0"/>
              <w:rPr>
                <w:sz w:val="20"/>
                <w:szCs w:val="20"/>
                <w:color w:val="auto"/>
              </w:rPr>
            </w:pPr>
            <w:r>
              <w:rPr>
                <w:rFonts w:ascii="Arial" w:cs="Arial" w:eastAsia="Arial" w:hAnsi="Arial"/>
                <w:sz w:val="16"/>
                <w:szCs w:val="16"/>
                <w:b w:val="1"/>
                <w:bCs w:val="1"/>
                <w:color w:val="auto"/>
              </w:rPr>
              <w:t>2020</w:t>
            </w:r>
          </w:p>
        </w:tc>
      </w:tr>
      <w:tr>
        <w:trPr>
          <w:trHeight w:val="33"/>
        </w:trPr>
        <w:tc>
          <w:tcPr>
            <w:tcW w:w="77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3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b w:val="1"/>
                <w:bCs w:val="1"/>
                <w:color w:val="auto"/>
              </w:rPr>
              <w:t>Assets</w:t>
            </w:r>
          </w:p>
        </w:tc>
        <w:tc>
          <w:tcPr>
            <w:tcW w:w="32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spacing w:after="0"/>
              <w:rPr>
                <w:sz w:val="20"/>
                <w:szCs w:val="20"/>
                <w:color w:val="auto"/>
              </w:rPr>
            </w:pP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Cash and cash equivalents</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667,548</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647,604</w:t>
            </w:r>
          </w:p>
        </w:tc>
      </w:tr>
      <w:tr>
        <w:trPr>
          <w:trHeight w:val="243"/>
        </w:trPr>
        <w:tc>
          <w:tcPr>
            <w:tcW w:w="7760" w:type="dxa"/>
            <w:vAlign w:val="bottom"/>
          </w:tcPr>
          <w:p>
            <w:pPr>
              <w:ind w:left="640"/>
              <w:spacing w:after="0"/>
              <w:rPr>
                <w:sz w:val="20"/>
                <w:szCs w:val="20"/>
                <w:color w:val="auto"/>
              </w:rPr>
            </w:pPr>
            <w:r>
              <w:rPr>
                <w:rFonts w:ascii="Arial" w:cs="Arial" w:eastAsia="Arial" w:hAnsi="Arial"/>
                <w:sz w:val="18"/>
                <w:szCs w:val="18"/>
                <w:color w:val="auto"/>
              </w:rPr>
              <w:t>Accounts receivable, net</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468,760</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492,346</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270,374</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322,980</w:t>
            </w:r>
          </w:p>
        </w:tc>
      </w:tr>
      <w:tr>
        <w:trPr>
          <w:trHeight w:val="243"/>
        </w:trPr>
        <w:tc>
          <w:tcPr>
            <w:tcW w:w="7760" w:type="dxa"/>
            <w:vAlign w:val="bottom"/>
          </w:tcPr>
          <w:p>
            <w:pPr>
              <w:ind w:left="6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72,282</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74,567</w:t>
            </w:r>
          </w:p>
        </w:tc>
      </w:tr>
      <w:tr>
        <w:trPr>
          <w:trHeight w:val="27"/>
        </w:trPr>
        <w:tc>
          <w:tcPr>
            <w:tcW w:w="77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44"/>
        </w:trPr>
        <w:tc>
          <w:tcPr>
            <w:tcW w:w="776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1,478,964</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1,537,497</w:t>
            </w: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348,066</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357,092</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5,337,405</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5,337,405</w:t>
            </w: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2,651,678</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2,764,600</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639,470</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639,791</w:t>
            </w: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525,946</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496,850</w:t>
            </w:r>
          </w:p>
        </w:tc>
      </w:tr>
      <w:tr>
        <w:trPr>
          <w:trHeight w:val="27"/>
        </w:trPr>
        <w:tc>
          <w:tcPr>
            <w:tcW w:w="77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89"/>
        </w:trPr>
        <w:tc>
          <w:tcPr>
            <w:tcW w:w="776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10,981,529</w:t>
            </w:r>
          </w:p>
        </w:tc>
        <w:tc>
          <w:tcPr>
            <w:tcW w:w="22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11,133,235</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r>
      <w:tr>
        <w:trPr>
          <w:trHeight w:val="163"/>
        </w:trPr>
        <w:tc>
          <w:tcPr>
            <w:tcW w:w="7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25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Shareholders’ Equity</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spacing w:after="0"/>
              <w:rPr>
                <w:sz w:val="21"/>
                <w:szCs w:val="21"/>
                <w:color w:val="auto"/>
              </w:rPr>
            </w:pP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3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185,711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213,747</w:t>
            </w:r>
          </w:p>
        </w:tc>
      </w:tr>
      <w:tr>
        <w:trPr>
          <w:trHeight w:val="243"/>
        </w:trPr>
        <w:tc>
          <w:tcPr>
            <w:tcW w:w="7760" w:type="dxa"/>
            <w:vAlign w:val="bottom"/>
          </w:tcPr>
          <w:p>
            <w:pPr>
              <w:ind w:left="64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380,653</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346,639</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7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124,277</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149,780</w:t>
            </w:r>
          </w:p>
        </w:tc>
      </w:tr>
      <w:tr>
        <w:trPr>
          <w:trHeight w:val="237"/>
        </w:trPr>
        <w:tc>
          <w:tcPr>
            <w:tcW w:w="7760" w:type="dxa"/>
            <w:vAlign w:val="bottom"/>
          </w:tcPr>
          <w:p>
            <w:pPr>
              <w:ind w:left="1080"/>
              <w:spacing w:after="0"/>
              <w:rPr>
                <w:sz w:val="20"/>
                <w:szCs w:val="20"/>
                <w:color w:val="auto"/>
              </w:rPr>
            </w:pPr>
            <w:r>
              <w:rPr>
                <w:rFonts w:ascii="Arial" w:cs="Arial" w:eastAsia="Arial" w:hAnsi="Arial"/>
                <w:sz w:val="18"/>
                <w:szCs w:val="18"/>
                <w:color w:val="auto"/>
              </w:rPr>
              <w:t>Total current liabilities</w:t>
            </w:r>
          </w:p>
        </w:tc>
        <w:tc>
          <w:tcPr>
            <w:tcW w:w="3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690,641</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710,166</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Long-term debt</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1,439,852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1,439,024</w:t>
            </w: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Deferred tax liabilities</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33,284</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31,233</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70"/>
        </w:trPr>
        <w:tc>
          <w:tcPr>
            <w:tcW w:w="77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3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282,130</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274,232</w:t>
            </w:r>
          </w:p>
        </w:tc>
      </w:tr>
      <w:tr>
        <w:trPr>
          <w:trHeight w:val="237"/>
        </w:trPr>
        <w:tc>
          <w:tcPr>
            <w:tcW w:w="7760" w:type="dxa"/>
            <w:vAlign w:val="bottom"/>
          </w:tcPr>
          <w:p>
            <w:pPr>
              <w:ind w:left="1080"/>
              <w:spacing w:after="0"/>
              <w:rPr>
                <w:sz w:val="20"/>
                <w:szCs w:val="20"/>
                <w:color w:val="auto"/>
              </w:rPr>
            </w:pPr>
            <w:r>
              <w:rPr>
                <w:rFonts w:ascii="Arial" w:cs="Arial" w:eastAsia="Arial" w:hAnsi="Arial"/>
                <w:sz w:val="18"/>
                <w:szCs w:val="18"/>
                <w:color w:val="auto"/>
              </w:rPr>
              <w:t>Total liabilities</w:t>
            </w:r>
          </w:p>
        </w:tc>
        <w:tc>
          <w:tcPr>
            <w:tcW w:w="3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2,445,907</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2,454,655</w:t>
            </w:r>
          </w:p>
        </w:tc>
      </w:tr>
      <w:tr>
        <w:trPr>
          <w:trHeight w:val="27"/>
        </w:trPr>
        <w:tc>
          <w:tcPr>
            <w:tcW w:w="77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96"/>
        </w:trPr>
        <w:tc>
          <w:tcPr>
            <w:tcW w:w="77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360" w:type="dxa"/>
            <w:vAlign w:val="bottom"/>
            <w:shd w:val="clear" w:color="auto" w:fill="CCEEFF"/>
          </w:tcPr>
          <w:p>
            <w:pPr>
              <w:spacing w:after="0"/>
              <w:rPr>
                <w:sz w:val="17"/>
                <w:szCs w:val="17"/>
                <w:color w:val="auto"/>
              </w:rPr>
            </w:pPr>
          </w:p>
        </w:tc>
      </w:tr>
      <w:tr>
        <w:trPr>
          <w:trHeight w:val="243"/>
        </w:trPr>
        <w:tc>
          <w:tcPr>
            <w:tcW w:w="7760" w:type="dxa"/>
            <w:vAlign w:val="bottom"/>
          </w:tcPr>
          <w:p>
            <w:pPr>
              <w:ind w:left="200"/>
              <w:spacing w:after="0"/>
              <w:rPr>
                <w:sz w:val="20"/>
                <w:szCs w:val="20"/>
                <w:color w:val="auto"/>
              </w:rPr>
            </w:pPr>
            <w:r>
              <w:rPr>
                <w:rFonts w:ascii="Arial" w:cs="Arial" w:eastAsia="Arial" w:hAnsi="Arial"/>
                <w:sz w:val="18"/>
                <w:szCs w:val="18"/>
                <w:color w:val="auto"/>
              </w:rPr>
              <w:t>Shareholders’ equity:</w:t>
            </w:r>
          </w:p>
        </w:tc>
        <w:tc>
          <w:tcPr>
            <w:tcW w:w="3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Common shares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1,330</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1,328</w:t>
            </w:r>
          </w:p>
        </w:tc>
      </w:tr>
      <w:tr>
        <w:trPr>
          <w:trHeight w:val="243"/>
        </w:trPr>
        <w:tc>
          <w:tcPr>
            <w:tcW w:w="7760" w:type="dxa"/>
            <w:vAlign w:val="bottom"/>
          </w:tcPr>
          <w:p>
            <w:pPr>
              <w:ind w:left="640"/>
              <w:spacing w:after="0"/>
              <w:rPr>
                <w:sz w:val="20"/>
                <w:szCs w:val="20"/>
                <w:color w:val="auto"/>
              </w:rPr>
            </w:pPr>
            <w:r>
              <w:rPr>
                <w:rFonts w:ascii="Arial" w:cs="Arial" w:eastAsia="Arial" w:hAnsi="Arial"/>
                <w:sz w:val="18"/>
                <w:szCs w:val="18"/>
                <w:color w:val="auto"/>
              </w:rPr>
              <w:t>Additional paid-in capital</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6,144,907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6,135,939</w:t>
            </w:r>
          </w:p>
        </w:tc>
      </w:tr>
      <w:tr>
        <w:trPr>
          <w:trHeight w:val="27"/>
        </w:trPr>
        <w:tc>
          <w:tcPr>
            <w:tcW w:w="77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50"/>
        </w:trPr>
        <w:tc>
          <w:tcPr>
            <w:tcW w:w="7760" w:type="dxa"/>
            <w:vAlign w:val="bottom"/>
            <w:tcBorders>
              <w:bottom w:val="single" w:sz="8" w:color="CCEEFF"/>
            </w:tcBorders>
            <w:shd w:val="clear" w:color="auto" w:fill="CCEEFF"/>
          </w:tcPr>
          <w:p>
            <w:pPr>
              <w:ind w:left="640"/>
              <w:spacing w:after="0"/>
              <w:rPr>
                <w:sz w:val="20"/>
                <w:szCs w:val="20"/>
                <w:color w:val="auto"/>
              </w:rPr>
            </w:pPr>
            <w:r>
              <w:rPr>
                <w:rFonts w:ascii="Arial" w:cs="Arial" w:eastAsia="Arial" w:hAnsi="Arial"/>
                <w:sz w:val="18"/>
                <w:szCs w:val="18"/>
                <w:color w:val="auto"/>
              </w:rPr>
              <w:t>Accumulated other comprehensive income</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868</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w:t>
            </w:r>
          </w:p>
        </w:tc>
      </w:tr>
      <w:tr>
        <w:trPr>
          <w:trHeight w:val="243"/>
        </w:trPr>
        <w:tc>
          <w:tcPr>
            <w:tcW w:w="7760" w:type="dxa"/>
            <w:vAlign w:val="bottom"/>
          </w:tcPr>
          <w:p>
            <w:pPr>
              <w:ind w:left="640"/>
              <w:spacing w:after="0"/>
              <w:rPr>
                <w:sz w:val="20"/>
                <w:szCs w:val="20"/>
                <w:color w:val="auto"/>
              </w:rPr>
            </w:pPr>
            <w:r>
              <w:rPr>
                <w:rFonts w:ascii="Arial" w:cs="Arial" w:eastAsia="Arial" w:hAnsi="Arial"/>
                <w:sz w:val="18"/>
                <w:szCs w:val="18"/>
                <w:color w:val="auto"/>
              </w:rPr>
              <w:t>Retained earnings</w:t>
            </w:r>
          </w:p>
        </w:tc>
        <w:tc>
          <w:tcPr>
            <w:tcW w:w="320" w:type="dxa"/>
            <w:vAlign w:val="bottom"/>
          </w:tcPr>
          <w:p>
            <w:pPr>
              <w:spacing w:after="0"/>
              <w:rPr>
                <w:sz w:val="21"/>
                <w:szCs w:val="21"/>
                <w:color w:val="auto"/>
              </w:rPr>
            </w:pPr>
          </w:p>
        </w:tc>
        <w:tc>
          <w:tcPr>
            <w:tcW w:w="1280" w:type="dxa"/>
            <w:vAlign w:val="bottom"/>
          </w:tcPr>
          <w:p>
            <w:pPr>
              <w:jc w:val="right"/>
              <w:ind w:right="71"/>
              <w:spacing w:after="0"/>
              <w:rPr>
                <w:sz w:val="20"/>
                <w:szCs w:val="20"/>
                <w:color w:val="auto"/>
              </w:rPr>
            </w:pPr>
            <w:r>
              <w:rPr>
                <w:rFonts w:ascii="Arial" w:cs="Arial" w:eastAsia="Arial" w:hAnsi="Arial"/>
                <w:sz w:val="18"/>
                <w:szCs w:val="18"/>
                <w:color w:val="auto"/>
              </w:rPr>
              <w:t>2,388,517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tcPr>
          <w:p>
            <w:pPr>
              <w:jc w:val="right"/>
              <w:ind w:right="71"/>
              <w:spacing w:after="0"/>
              <w:rPr>
                <w:sz w:val="20"/>
                <w:szCs w:val="20"/>
                <w:color w:val="auto"/>
              </w:rPr>
            </w:pPr>
            <w:r>
              <w:rPr>
                <w:rFonts w:ascii="Arial" w:cs="Arial" w:eastAsia="Arial" w:hAnsi="Arial"/>
                <w:sz w:val="18"/>
                <w:szCs w:val="18"/>
                <w:color w:val="auto"/>
              </w:rPr>
              <w:t>2,541,313</w:t>
            </w:r>
          </w:p>
        </w:tc>
      </w:tr>
      <w:tr>
        <w:trPr>
          <w:trHeight w:val="27"/>
        </w:trPr>
        <w:tc>
          <w:tcPr>
            <w:tcW w:w="77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63"/>
        </w:trPr>
        <w:tc>
          <w:tcPr>
            <w:tcW w:w="7760" w:type="dxa"/>
            <w:vAlign w:val="bottom"/>
            <w:tcBorders>
              <w:bottom w:val="single" w:sz="8" w:color="CCEEFF"/>
            </w:tcBorders>
            <w:shd w:val="clear" w:color="auto" w:fill="CCEEFF"/>
          </w:tcPr>
          <w:p>
            <w:pPr>
              <w:ind w:left="1080"/>
              <w:spacing w:after="0"/>
              <w:rPr>
                <w:sz w:val="20"/>
                <w:szCs w:val="20"/>
                <w:color w:val="auto"/>
              </w:rPr>
            </w:pPr>
            <w:r>
              <w:rPr>
                <w:rFonts w:ascii="Arial" w:cs="Arial" w:eastAsia="Arial" w:hAnsi="Arial"/>
                <w:sz w:val="18"/>
                <w:szCs w:val="18"/>
                <w:color w:val="auto"/>
              </w:rPr>
              <w:t>Total shareholders’ equity</w:t>
            </w:r>
          </w:p>
        </w:tc>
        <w:tc>
          <w:tcPr>
            <w:tcW w:w="3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8,535,622</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8,678,580</w:t>
            </w:r>
          </w:p>
        </w:tc>
      </w:tr>
      <w:tr>
        <w:trPr>
          <w:trHeight w:val="237"/>
        </w:trPr>
        <w:tc>
          <w:tcPr>
            <w:tcW w:w="7760" w:type="dxa"/>
            <w:vAlign w:val="bottom"/>
          </w:tcPr>
          <w:p>
            <w:pPr>
              <w:ind w:left="1080"/>
              <w:spacing w:after="0"/>
              <w:rPr>
                <w:sz w:val="20"/>
                <w:szCs w:val="20"/>
                <w:color w:val="auto"/>
              </w:rPr>
            </w:pPr>
            <w:r>
              <w:rPr>
                <w:rFonts w:ascii="Arial" w:cs="Arial" w:eastAsia="Arial" w:hAnsi="Arial"/>
                <w:sz w:val="18"/>
                <w:szCs w:val="18"/>
                <w:color w:val="auto"/>
              </w:rPr>
              <w:t>Total liabilities and shareholders’ equity</w:t>
            </w:r>
          </w:p>
        </w:tc>
        <w:tc>
          <w:tcPr>
            <w:tcW w:w="32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10,981,529</w:t>
            </w:r>
          </w:p>
        </w:tc>
        <w:tc>
          <w:tcPr>
            <w:tcW w:w="2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11,133,235</w:t>
            </w:r>
          </w:p>
        </w:tc>
      </w:tr>
      <w:tr>
        <w:trPr>
          <w:trHeight w:val="27"/>
        </w:trPr>
        <w:tc>
          <w:tcPr>
            <w:tcW w:w="77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0"/>
        </w:trPr>
        <w:tc>
          <w:tcPr>
            <w:tcW w:w="77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1093" w:right="359" w:bottom="1440" w:gutter="0" w:footer="0" w:header="0"/>
        </w:sectPr>
      </w:pPr>
    </w:p>
    <w:bookmarkStart w:id="9" w:name="page10"/>
    <w:bookmarkEnd w:id="9"/>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 thousands)</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78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0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tcBorders>
              <w:bottom w:val="single" w:sz="8" w:color="auto"/>
            </w:tcBorders>
          </w:tcPr>
          <w:p>
            <w:pPr>
              <w:spacing w:after="0"/>
              <w:rPr>
                <w:sz w:val="16"/>
                <w:szCs w:val="16"/>
                <w:color w:val="auto"/>
              </w:rPr>
            </w:pPr>
          </w:p>
        </w:tc>
      </w:tr>
      <w:tr>
        <w:trPr>
          <w:trHeight w:val="152"/>
        </w:trPr>
        <w:tc>
          <w:tcPr>
            <w:tcW w:w="77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480" w:type="dxa"/>
            <w:vAlign w:val="bottom"/>
            <w:gridSpan w:val="2"/>
          </w:tcPr>
          <w:p>
            <w:pPr>
              <w:ind w:left="240"/>
              <w:spacing w:after="0" w:line="153" w:lineRule="exact"/>
              <w:rPr>
                <w:sz w:val="20"/>
                <w:szCs w:val="20"/>
                <w:color w:val="auto"/>
              </w:rPr>
            </w:pPr>
            <w:r>
              <w:rPr>
                <w:rFonts w:ascii="Arial" w:cs="Arial" w:eastAsia="Arial" w:hAnsi="Arial"/>
                <w:sz w:val="14"/>
                <w:szCs w:val="14"/>
                <w:b w:val="1"/>
                <w:bCs w:val="1"/>
                <w:color w:val="auto"/>
              </w:rPr>
              <w:t>May 2,</w:t>
            </w:r>
          </w:p>
        </w:tc>
        <w:tc>
          <w:tcPr>
            <w:tcW w:w="560" w:type="dxa"/>
            <w:vAlign w:val="bottom"/>
          </w:tcPr>
          <w:p>
            <w:pPr>
              <w:spacing w:after="0"/>
              <w:rPr>
                <w:sz w:val="13"/>
                <w:szCs w:val="13"/>
                <w:color w:val="auto"/>
              </w:rPr>
            </w:pPr>
          </w:p>
        </w:tc>
        <w:tc>
          <w:tcPr>
            <w:tcW w:w="1040" w:type="dxa"/>
            <w:vAlign w:val="bottom"/>
          </w:tcPr>
          <w:p>
            <w:pPr>
              <w:jc w:val="right"/>
              <w:ind w:right="511"/>
              <w:spacing w:after="0" w:line="153" w:lineRule="exact"/>
              <w:rPr>
                <w:sz w:val="20"/>
                <w:szCs w:val="20"/>
                <w:color w:val="auto"/>
              </w:rPr>
            </w:pPr>
            <w:r>
              <w:rPr>
                <w:rFonts w:ascii="Arial" w:cs="Arial" w:eastAsia="Arial" w:hAnsi="Arial"/>
                <w:sz w:val="14"/>
                <w:szCs w:val="14"/>
                <w:b w:val="1"/>
                <w:bCs w:val="1"/>
                <w:color w:val="auto"/>
                <w:w w:val="98"/>
              </w:rPr>
              <w:t>May 4,</w:t>
            </w:r>
          </w:p>
        </w:tc>
      </w:tr>
      <w:tr>
        <w:trPr>
          <w:trHeight w:val="192"/>
        </w:trPr>
        <w:tc>
          <w:tcPr>
            <w:tcW w:w="778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72"/>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2019</w:t>
            </w:r>
          </w:p>
        </w:tc>
      </w:tr>
      <w:tr>
        <w:trPr>
          <w:trHeight w:val="236"/>
        </w:trPr>
        <w:tc>
          <w:tcPr>
            <w:tcW w:w="77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3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5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r>
      <w:tr>
        <w:trPr>
          <w:trHeight w:val="243"/>
        </w:trPr>
        <w:tc>
          <w:tcPr>
            <w:tcW w:w="7780" w:type="dxa"/>
            <w:vAlign w:val="bottom"/>
          </w:tcPr>
          <w:p>
            <w:pPr>
              <w:ind w:left="220"/>
              <w:spacing w:after="0"/>
              <w:rPr>
                <w:sz w:val="20"/>
                <w:szCs w:val="20"/>
                <w:color w:val="auto"/>
              </w:rPr>
            </w:pPr>
            <w:r>
              <w:rPr>
                <w:rFonts w:ascii="Arial" w:cs="Arial" w:eastAsia="Arial" w:hAnsi="Arial"/>
                <w:sz w:val="18"/>
                <w:szCs w:val="18"/>
                <w:color w:val="auto"/>
              </w:rPr>
              <w:t>Net loss</w:t>
            </w: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(113,033)</w:t>
            </w:r>
          </w:p>
        </w:tc>
        <w:tc>
          <w:tcPr>
            <w:tcW w:w="220" w:type="dxa"/>
            <w:vAlign w:val="bottom"/>
          </w:tcPr>
          <w:p>
            <w:pPr>
              <w:spacing w:after="0"/>
              <w:rPr>
                <w:sz w:val="21"/>
                <w:szCs w:val="21"/>
                <w:color w:val="auto"/>
              </w:rPr>
            </w:pPr>
          </w:p>
        </w:tc>
        <w:tc>
          <w:tcPr>
            <w:tcW w:w="560" w:type="dxa"/>
            <w:vAlign w:val="bottom"/>
          </w:tcPr>
          <w:p>
            <w:pPr>
              <w:jc w:val="right"/>
              <w:ind w:right="37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(48,450)</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340" w:type="dxa"/>
            <w:vAlign w:val="bottom"/>
          </w:tcPr>
          <w:p>
            <w:pPr>
              <w:spacing w:after="0"/>
              <w:rPr>
                <w:sz w:val="21"/>
                <w:szCs w:val="21"/>
                <w:color w:val="auto"/>
              </w:rPr>
            </w:pPr>
          </w:p>
        </w:tc>
        <w:tc>
          <w:tcPr>
            <w:tcW w:w="1260" w:type="dxa"/>
            <w:vAlign w:val="bottom"/>
          </w:tcPr>
          <w:p>
            <w:pPr>
              <w:jc w:val="right"/>
              <w:ind w:right="72"/>
              <w:spacing w:after="0"/>
              <w:rPr>
                <w:sz w:val="20"/>
                <w:szCs w:val="20"/>
                <w:color w:val="auto"/>
              </w:rPr>
            </w:pPr>
            <w:r>
              <w:rPr>
                <w:rFonts w:ascii="Arial" w:cs="Arial" w:eastAsia="Arial" w:hAnsi="Arial"/>
                <w:sz w:val="18"/>
                <w:szCs w:val="18"/>
                <w:color w:val="auto"/>
              </w:rPr>
              <w:t>50,483</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71"/>
              <w:spacing w:after="0"/>
              <w:rPr>
                <w:sz w:val="20"/>
                <w:szCs w:val="20"/>
                <w:color w:val="auto"/>
              </w:rPr>
            </w:pPr>
            <w:r>
              <w:rPr>
                <w:rFonts w:ascii="Arial" w:cs="Arial" w:eastAsia="Arial" w:hAnsi="Arial"/>
                <w:sz w:val="18"/>
                <w:szCs w:val="18"/>
                <w:color w:val="auto"/>
              </w:rPr>
              <w:t>38,654</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59,687</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58,598</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340" w:type="dxa"/>
            <w:vAlign w:val="bottom"/>
          </w:tcPr>
          <w:p>
            <w:pPr>
              <w:spacing w:after="0"/>
              <w:rPr>
                <w:sz w:val="21"/>
                <w:szCs w:val="21"/>
                <w:color w:val="auto"/>
              </w:rPr>
            </w:pPr>
          </w:p>
        </w:tc>
        <w:tc>
          <w:tcPr>
            <w:tcW w:w="1260" w:type="dxa"/>
            <w:vAlign w:val="bottom"/>
          </w:tcPr>
          <w:p>
            <w:pPr>
              <w:jc w:val="right"/>
              <w:ind w:right="72"/>
              <w:spacing w:after="0"/>
              <w:rPr>
                <w:sz w:val="20"/>
                <w:szCs w:val="20"/>
                <w:color w:val="auto"/>
              </w:rPr>
            </w:pPr>
            <w:r>
              <w:rPr>
                <w:rFonts w:ascii="Arial" w:cs="Arial" w:eastAsia="Arial" w:hAnsi="Arial"/>
                <w:sz w:val="18"/>
                <w:szCs w:val="18"/>
                <w:color w:val="auto"/>
              </w:rPr>
              <w:t>112,922</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71"/>
              <w:spacing w:after="0"/>
              <w:rPr>
                <w:sz w:val="20"/>
                <w:szCs w:val="20"/>
                <w:color w:val="auto"/>
              </w:rPr>
            </w:pPr>
            <w:r>
              <w:rPr>
                <w:rFonts w:ascii="Arial" w:cs="Arial" w:eastAsia="Arial" w:hAnsi="Arial"/>
                <w:sz w:val="18"/>
                <w:szCs w:val="18"/>
                <w:color w:val="auto"/>
              </w:rPr>
              <w:t>79,740</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17,284</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340" w:type="dxa"/>
            <w:vAlign w:val="bottom"/>
          </w:tcPr>
          <w:p>
            <w:pPr>
              <w:spacing w:after="0"/>
              <w:rPr>
                <w:sz w:val="21"/>
                <w:szCs w:val="21"/>
                <w:color w:val="auto"/>
              </w:rPr>
            </w:pPr>
          </w:p>
        </w:tc>
        <w:tc>
          <w:tcPr>
            <w:tcW w:w="1260" w:type="dxa"/>
            <w:vAlign w:val="bottom"/>
          </w:tcPr>
          <w:p>
            <w:pPr>
              <w:jc w:val="right"/>
              <w:ind w:right="72"/>
              <w:spacing w:after="0"/>
              <w:rPr>
                <w:sz w:val="20"/>
                <w:szCs w:val="20"/>
                <w:color w:val="auto"/>
              </w:rPr>
            </w:pPr>
            <w:r>
              <w:rPr>
                <w:rFonts w:ascii="Arial" w:cs="Arial" w:eastAsia="Arial" w:hAnsi="Arial"/>
                <w:sz w:val="18"/>
                <w:szCs w:val="18"/>
                <w:color w:val="auto"/>
              </w:rPr>
              <w:t>11,451</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71"/>
              <w:spacing w:after="0"/>
              <w:rPr>
                <w:sz w:val="20"/>
                <w:szCs w:val="20"/>
                <w:color w:val="auto"/>
              </w:rPr>
            </w:pPr>
            <w:r>
              <w:rPr>
                <w:rFonts w:ascii="Arial" w:cs="Arial" w:eastAsia="Arial" w:hAnsi="Arial"/>
                <w:sz w:val="18"/>
                <w:szCs w:val="18"/>
                <w:color w:val="auto"/>
              </w:rPr>
              <w:t>12,577</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2,372</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4,356</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Changes in assets and liabilities:</w:t>
            </w:r>
          </w:p>
        </w:tc>
        <w:tc>
          <w:tcPr>
            <w:tcW w:w="3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Accounts receivable</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23,586</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22,775</w:t>
            </w:r>
          </w:p>
        </w:tc>
      </w:tr>
      <w:tr>
        <w:trPr>
          <w:trHeight w:val="243"/>
        </w:trPr>
        <w:tc>
          <w:tcPr>
            <w:tcW w:w="7780" w:type="dxa"/>
            <w:vAlign w:val="bottom"/>
          </w:tcPr>
          <w:p>
            <w:pPr>
              <w:ind w:left="1100"/>
              <w:spacing w:after="0"/>
              <w:rPr>
                <w:sz w:val="20"/>
                <w:szCs w:val="20"/>
                <w:color w:val="auto"/>
              </w:rPr>
            </w:pPr>
            <w:r>
              <w:rPr>
                <w:rFonts w:ascii="Arial" w:cs="Arial" w:eastAsia="Arial" w:hAnsi="Arial"/>
                <w:sz w:val="18"/>
                <w:szCs w:val="18"/>
                <w:color w:val="auto"/>
              </w:rPr>
              <w:t>Inventories</w:t>
            </w:r>
          </w:p>
        </w:tc>
        <w:tc>
          <w:tcPr>
            <w:tcW w:w="340" w:type="dxa"/>
            <w:vAlign w:val="bottom"/>
          </w:tcPr>
          <w:p>
            <w:pPr>
              <w:spacing w:after="0"/>
              <w:rPr>
                <w:sz w:val="21"/>
                <w:szCs w:val="21"/>
                <w:color w:val="auto"/>
              </w:rPr>
            </w:pPr>
          </w:p>
        </w:tc>
        <w:tc>
          <w:tcPr>
            <w:tcW w:w="1260" w:type="dxa"/>
            <w:vAlign w:val="bottom"/>
          </w:tcPr>
          <w:p>
            <w:pPr>
              <w:jc w:val="right"/>
              <w:ind w:right="72"/>
              <w:spacing w:after="0"/>
              <w:rPr>
                <w:sz w:val="20"/>
                <w:szCs w:val="20"/>
                <w:color w:val="auto"/>
              </w:rPr>
            </w:pPr>
            <w:r>
              <w:rPr>
                <w:rFonts w:ascii="Arial" w:cs="Arial" w:eastAsia="Arial" w:hAnsi="Arial"/>
                <w:sz w:val="18"/>
                <w:szCs w:val="18"/>
                <w:color w:val="auto"/>
              </w:rPr>
              <w:t>35,834</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71"/>
              <w:spacing w:after="0"/>
              <w:rPr>
                <w:sz w:val="20"/>
                <w:szCs w:val="20"/>
                <w:color w:val="auto"/>
              </w:rPr>
            </w:pPr>
            <w:r>
              <w:rPr>
                <w:rFonts w:ascii="Arial" w:cs="Arial" w:eastAsia="Arial" w:hAnsi="Arial"/>
                <w:sz w:val="18"/>
                <w:szCs w:val="18"/>
                <w:color w:val="auto"/>
              </w:rPr>
              <w:t>15,848</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Prepaid expenses and other assets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(6,694)</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8,004</w:t>
            </w:r>
          </w:p>
        </w:tc>
      </w:tr>
      <w:tr>
        <w:trPr>
          <w:trHeight w:val="243"/>
        </w:trPr>
        <w:tc>
          <w:tcPr>
            <w:tcW w:w="7780" w:type="dxa"/>
            <w:vAlign w:val="bottom"/>
          </w:tcPr>
          <w:p>
            <w:pPr>
              <w:ind w:left="1100"/>
              <w:spacing w:after="0"/>
              <w:rPr>
                <w:sz w:val="20"/>
                <w:szCs w:val="20"/>
                <w:color w:val="auto"/>
              </w:rPr>
            </w:pPr>
            <w:r>
              <w:rPr>
                <w:rFonts w:ascii="Arial" w:cs="Arial" w:eastAsia="Arial" w:hAnsi="Arial"/>
                <w:sz w:val="18"/>
                <w:szCs w:val="18"/>
                <w:color w:val="auto"/>
              </w:rPr>
              <w:t>Accounts payable</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(3,557)</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(1,873)</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Accrued liabilities and other non-current liabilities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10,796</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(30,929)</w:t>
            </w:r>
          </w:p>
        </w:tc>
      </w:tr>
      <w:tr>
        <w:trPr>
          <w:trHeight w:val="243"/>
        </w:trPr>
        <w:tc>
          <w:tcPr>
            <w:tcW w:w="7780" w:type="dxa"/>
            <w:vAlign w:val="bottom"/>
          </w:tcPr>
          <w:p>
            <w:pPr>
              <w:ind w:left="1100"/>
              <w:spacing w:after="0"/>
              <w:rPr>
                <w:sz w:val="20"/>
                <w:szCs w:val="20"/>
                <w:color w:val="auto"/>
              </w:rPr>
            </w:pPr>
            <w:r>
              <w:rPr>
                <w:rFonts w:ascii="Arial" w:cs="Arial" w:eastAsia="Arial" w:hAnsi="Arial"/>
                <w:sz w:val="18"/>
                <w:szCs w:val="18"/>
                <w:color w:val="auto"/>
              </w:rPr>
              <w:t>Accrued employee compensation</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(25,503)</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71"/>
              <w:spacing w:after="0"/>
              <w:rPr>
                <w:sz w:val="20"/>
                <w:szCs w:val="20"/>
                <w:color w:val="auto"/>
              </w:rPr>
            </w:pPr>
            <w:r>
              <w:rPr>
                <w:rFonts w:ascii="Arial" w:cs="Arial" w:eastAsia="Arial" w:hAnsi="Arial"/>
                <w:sz w:val="18"/>
                <w:szCs w:val="18"/>
                <w:color w:val="auto"/>
              </w:rPr>
              <w:t>6,516</w:t>
            </w:r>
          </w:p>
        </w:tc>
      </w:tr>
      <w:tr>
        <w:trPr>
          <w:trHeight w:val="27"/>
        </w:trPr>
        <w:tc>
          <w:tcPr>
            <w:tcW w:w="77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7780" w:type="dxa"/>
            <w:vAlign w:val="bottom"/>
            <w:tcBorders>
              <w:bottom w:val="single" w:sz="8" w:color="CCEEFF"/>
            </w:tcBorders>
            <w:shd w:val="clear" w:color="auto" w:fill="CCEEFF"/>
          </w:tcPr>
          <w:p>
            <w:pPr>
              <w:ind w:left="1500"/>
              <w:spacing w:after="0"/>
              <w:rPr>
                <w:sz w:val="20"/>
                <w:szCs w:val="20"/>
                <w:color w:val="auto"/>
              </w:rPr>
            </w:pPr>
            <w:r>
              <w:rPr>
                <w:rFonts w:ascii="Arial" w:cs="Arial" w:eastAsia="Arial" w:hAnsi="Arial"/>
                <w:sz w:val="18"/>
                <w:szCs w:val="18"/>
                <w:color w:val="auto"/>
              </w:rPr>
              <w:t>Net cash provided by operating activities</w:t>
            </w:r>
          </w:p>
        </w:tc>
        <w:tc>
          <w:tcPr>
            <w:tcW w:w="3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175,628</w:t>
            </w:r>
          </w:p>
        </w:tc>
        <w:tc>
          <w:tcPr>
            <w:tcW w:w="220" w:type="dxa"/>
            <w:vAlign w:val="bottom"/>
            <w:tcBorders>
              <w:bottom w:val="single" w:sz="8" w:color="CCEEFF"/>
            </w:tcBorders>
            <w:shd w:val="clear" w:color="auto" w:fill="CCEEFF"/>
          </w:tcPr>
          <w:p>
            <w:pPr>
              <w:spacing w:after="0"/>
              <w:rPr>
                <w:sz w:val="22"/>
                <w:szCs w:val="22"/>
                <w:color w:val="auto"/>
              </w:rPr>
            </w:pPr>
          </w:p>
        </w:tc>
        <w:tc>
          <w:tcPr>
            <w:tcW w:w="5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165,816</w:t>
            </w:r>
          </w:p>
        </w:tc>
      </w:tr>
      <w:tr>
        <w:trPr>
          <w:trHeight w:val="223"/>
        </w:trPr>
        <w:tc>
          <w:tcPr>
            <w:tcW w:w="7780" w:type="dxa"/>
            <w:vAlign w:val="bottom"/>
          </w:tcPr>
          <w:p>
            <w:pPr>
              <w:ind w:left="220"/>
              <w:spacing w:after="0"/>
              <w:rPr>
                <w:sz w:val="20"/>
                <w:szCs w:val="20"/>
                <w:color w:val="auto"/>
              </w:rPr>
            </w:pPr>
            <w:r>
              <w:rPr>
                <w:rFonts w:ascii="Arial" w:cs="Arial" w:eastAsia="Arial" w:hAnsi="Arial"/>
                <w:sz w:val="18"/>
                <w:szCs w:val="18"/>
                <w:b w:val="1"/>
                <w:bCs w:val="1"/>
                <w:color w:val="auto"/>
              </w:rPr>
              <w:t>Cash flows from investing activities:</w:t>
            </w:r>
          </w:p>
        </w:tc>
        <w:tc>
          <w:tcPr>
            <w:tcW w:w="34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56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spacing w:after="0"/>
              <w:rPr>
                <w:sz w:val="19"/>
                <w:szCs w:val="19"/>
                <w:color w:val="auto"/>
              </w:rPr>
            </w:pP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(3,684)</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(1,484)</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(35,343)</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(19,183)</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3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665</w:t>
            </w:r>
          </w:p>
        </w:tc>
        <w:tc>
          <w:tcPr>
            <w:tcW w:w="220" w:type="dxa"/>
            <w:vAlign w:val="bottom"/>
            <w:tcBorders>
              <w:bottom w:val="single" w:sz="8" w:color="CCEEFF"/>
            </w:tcBorders>
            <w:shd w:val="clear" w:color="auto" w:fill="CCEEFF"/>
          </w:tcPr>
          <w:p>
            <w:pPr>
              <w:spacing w:after="0"/>
              <w:rPr>
                <w:sz w:val="23"/>
                <w:szCs w:val="23"/>
                <w:color w:val="auto"/>
              </w:rPr>
            </w:pPr>
          </w:p>
        </w:tc>
        <w:tc>
          <w:tcPr>
            <w:tcW w:w="5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(342)</w:t>
            </w:r>
          </w:p>
        </w:tc>
      </w:tr>
      <w:tr>
        <w:trPr>
          <w:trHeight w:val="237"/>
        </w:trPr>
        <w:tc>
          <w:tcPr>
            <w:tcW w:w="7780" w:type="dxa"/>
            <w:vAlign w:val="bottom"/>
          </w:tcPr>
          <w:p>
            <w:pPr>
              <w:ind w:left="1500"/>
              <w:spacing w:after="0"/>
              <w:rPr>
                <w:sz w:val="20"/>
                <w:szCs w:val="20"/>
                <w:color w:val="auto"/>
              </w:rPr>
            </w:pPr>
            <w:r>
              <w:rPr>
                <w:rFonts w:ascii="Arial" w:cs="Arial" w:eastAsia="Arial" w:hAnsi="Arial"/>
                <w:sz w:val="18"/>
                <w:szCs w:val="18"/>
                <w:color w:val="auto"/>
              </w:rPr>
              <w:t>Net cash used in investing activities</w:t>
            </w:r>
          </w:p>
        </w:tc>
        <w:tc>
          <w:tcPr>
            <w:tcW w:w="3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(38,362)</w:t>
            </w:r>
          </w:p>
        </w:tc>
        <w:tc>
          <w:tcPr>
            <w:tcW w:w="220" w:type="dxa"/>
            <w:vAlign w:val="bottom"/>
          </w:tcPr>
          <w:p>
            <w:pPr>
              <w:spacing w:after="0"/>
              <w:rPr>
                <w:sz w:val="20"/>
                <w:szCs w:val="20"/>
                <w:color w:val="auto"/>
              </w:rPr>
            </w:pPr>
          </w:p>
        </w:tc>
        <w:tc>
          <w:tcPr>
            <w:tcW w:w="5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(21,009)</w:t>
            </w:r>
          </w:p>
        </w:tc>
      </w:tr>
      <w:tr>
        <w:trPr>
          <w:trHeight w:val="27"/>
        </w:trPr>
        <w:tc>
          <w:tcPr>
            <w:tcW w:w="77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30"/>
        </w:trPr>
        <w:tc>
          <w:tcPr>
            <w:tcW w:w="77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financing activities:</w:t>
            </w:r>
          </w:p>
        </w:tc>
        <w:tc>
          <w:tcPr>
            <w:tcW w:w="3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5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Repurchases of common stock</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(25,202)</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(48,022)</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Proceeds from employee stock plans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5,458</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31,084</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(31,501)</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(28,758)</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Dividend payments to shareholders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(39,763)</w:t>
            </w:r>
          </w:p>
        </w:tc>
        <w:tc>
          <w:tcPr>
            <w:tcW w:w="22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(39,467)</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(23,807)</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(15,268)</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34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(50,000)</w:t>
            </w:r>
          </w:p>
        </w:tc>
      </w:tr>
      <w:tr>
        <w:trPr>
          <w:trHeight w:val="243"/>
        </w:trPr>
        <w:tc>
          <w:tcPr>
            <w:tcW w:w="7780" w:type="dxa"/>
            <w:vAlign w:val="bottom"/>
          </w:tcPr>
          <w:p>
            <w:pPr>
              <w:ind w:left="660"/>
              <w:spacing w:after="0"/>
              <w:rPr>
                <w:sz w:val="20"/>
                <w:szCs w:val="20"/>
                <w:color w:val="auto"/>
              </w:rPr>
            </w:pPr>
            <w:r>
              <w:rPr>
                <w:rFonts w:ascii="Arial" w:cs="Arial" w:eastAsia="Arial" w:hAnsi="Arial"/>
                <w:sz w:val="18"/>
                <w:szCs w:val="18"/>
                <w:color w:val="auto"/>
              </w:rPr>
              <w:t>Other, net</w:t>
            </w:r>
          </w:p>
        </w:tc>
        <w:tc>
          <w:tcPr>
            <w:tcW w:w="3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(2,507)</w:t>
            </w: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(4,893)</w:t>
            </w:r>
          </w:p>
        </w:tc>
      </w:tr>
      <w:tr>
        <w:trPr>
          <w:trHeight w:val="27"/>
        </w:trPr>
        <w:tc>
          <w:tcPr>
            <w:tcW w:w="77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3"/>
        </w:trPr>
        <w:tc>
          <w:tcPr>
            <w:tcW w:w="7780" w:type="dxa"/>
            <w:vAlign w:val="bottom"/>
            <w:tcBorders>
              <w:bottom w:val="single" w:sz="8" w:color="CCEEFF"/>
            </w:tcBorders>
            <w:shd w:val="clear" w:color="auto" w:fill="CCEEFF"/>
          </w:tcPr>
          <w:p>
            <w:pPr>
              <w:ind w:left="1500"/>
              <w:spacing w:after="0"/>
              <w:rPr>
                <w:sz w:val="20"/>
                <w:szCs w:val="20"/>
                <w:color w:val="auto"/>
              </w:rPr>
            </w:pPr>
            <w:r>
              <w:rPr>
                <w:rFonts w:ascii="Arial" w:cs="Arial" w:eastAsia="Arial" w:hAnsi="Arial"/>
                <w:sz w:val="18"/>
                <w:szCs w:val="18"/>
                <w:color w:val="auto"/>
              </w:rPr>
              <w:t>Net cash used in financing activities</w:t>
            </w:r>
          </w:p>
        </w:tc>
        <w:tc>
          <w:tcPr>
            <w:tcW w:w="3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(117,322)</w:t>
            </w:r>
          </w:p>
        </w:tc>
        <w:tc>
          <w:tcPr>
            <w:tcW w:w="220" w:type="dxa"/>
            <w:vAlign w:val="bottom"/>
            <w:tcBorders>
              <w:bottom w:val="single" w:sz="8" w:color="CCEEFF"/>
            </w:tcBorders>
            <w:shd w:val="clear" w:color="auto" w:fill="CCEEFF"/>
          </w:tcPr>
          <w:p>
            <w:pPr>
              <w:spacing w:after="0"/>
              <w:rPr>
                <w:sz w:val="22"/>
                <w:szCs w:val="22"/>
                <w:color w:val="auto"/>
              </w:rPr>
            </w:pPr>
          </w:p>
        </w:tc>
        <w:tc>
          <w:tcPr>
            <w:tcW w:w="5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(155,324)</w:t>
            </w:r>
          </w:p>
        </w:tc>
      </w:tr>
      <w:tr>
        <w:trPr>
          <w:trHeight w:val="237"/>
        </w:trPr>
        <w:tc>
          <w:tcPr>
            <w:tcW w:w="7780" w:type="dxa"/>
            <w:vAlign w:val="bottom"/>
          </w:tcPr>
          <w:p>
            <w:pPr>
              <w:ind w:left="60"/>
              <w:spacing w:after="0"/>
              <w:rPr>
                <w:sz w:val="20"/>
                <w:szCs w:val="20"/>
                <w:color w:val="auto"/>
              </w:rPr>
            </w:pPr>
            <w:r>
              <w:rPr>
                <w:rFonts w:ascii="Arial" w:cs="Arial" w:eastAsia="Arial" w:hAnsi="Arial"/>
                <w:sz w:val="18"/>
                <w:szCs w:val="18"/>
                <w:color w:val="auto"/>
              </w:rPr>
              <w:t>Net increase (decrease) in cash and cash equivalents</w:t>
            </w:r>
          </w:p>
        </w:tc>
        <w:tc>
          <w:tcPr>
            <w:tcW w:w="3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19,944</w:t>
            </w:r>
          </w:p>
        </w:tc>
        <w:tc>
          <w:tcPr>
            <w:tcW w:w="220" w:type="dxa"/>
            <w:vAlign w:val="bottom"/>
          </w:tcPr>
          <w:p>
            <w:pPr>
              <w:spacing w:after="0"/>
              <w:rPr>
                <w:sz w:val="20"/>
                <w:szCs w:val="20"/>
                <w:color w:val="auto"/>
              </w:rPr>
            </w:pPr>
          </w:p>
        </w:tc>
        <w:tc>
          <w:tcPr>
            <w:tcW w:w="5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(10,517)</w:t>
            </w:r>
          </w:p>
        </w:tc>
      </w:tr>
      <w:tr>
        <w:trPr>
          <w:trHeight w:val="27"/>
        </w:trPr>
        <w:tc>
          <w:tcPr>
            <w:tcW w:w="77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778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Cash and cash equivalents at beginning of period</w:t>
            </w:r>
          </w:p>
        </w:tc>
        <w:tc>
          <w:tcPr>
            <w:tcW w:w="3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647,604</w:t>
            </w:r>
          </w:p>
        </w:tc>
        <w:tc>
          <w:tcPr>
            <w:tcW w:w="220" w:type="dxa"/>
            <w:vAlign w:val="bottom"/>
            <w:tcBorders>
              <w:bottom w:val="single" w:sz="8" w:color="CCEEFF"/>
            </w:tcBorders>
            <w:shd w:val="clear" w:color="auto" w:fill="CCEEFF"/>
          </w:tcPr>
          <w:p>
            <w:pPr>
              <w:spacing w:after="0"/>
              <w:rPr>
                <w:sz w:val="23"/>
                <w:szCs w:val="23"/>
                <w:color w:val="auto"/>
              </w:rPr>
            </w:pPr>
          </w:p>
        </w:tc>
        <w:tc>
          <w:tcPr>
            <w:tcW w:w="5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r>
      <w:tr>
        <w:trPr>
          <w:trHeight w:val="237"/>
        </w:trPr>
        <w:tc>
          <w:tcPr>
            <w:tcW w:w="7780" w:type="dxa"/>
            <w:vAlign w:val="bottom"/>
          </w:tcPr>
          <w:p>
            <w:pPr>
              <w:ind w:left="60"/>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667,548</w:t>
            </w:r>
          </w:p>
        </w:tc>
        <w:tc>
          <w:tcPr>
            <w:tcW w:w="220" w:type="dxa"/>
            <w:vAlign w:val="bottom"/>
          </w:tcPr>
          <w:p>
            <w:pPr>
              <w:spacing w:after="0"/>
              <w:rPr>
                <w:sz w:val="20"/>
                <w:szCs w:val="20"/>
                <w:color w:val="auto"/>
              </w:rPr>
            </w:pPr>
          </w:p>
        </w:tc>
        <w:tc>
          <w:tcPr>
            <w:tcW w:w="560" w:type="dxa"/>
            <w:vAlign w:val="bottom"/>
            <w:tcBorders>
              <w:top w:val="single" w:sz="8" w:color="auto"/>
            </w:tcBorders>
          </w:tcPr>
          <w:p>
            <w:pPr>
              <w:jc w:val="right"/>
              <w:ind w:right="37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571,893</w:t>
            </w:r>
          </w:p>
        </w:tc>
      </w:tr>
      <w:tr>
        <w:trPr>
          <w:trHeight w:val="27"/>
        </w:trPr>
        <w:tc>
          <w:tcPr>
            <w:tcW w:w="778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0"/>
        </w:trPr>
        <w:tc>
          <w:tcPr>
            <w:tcW w:w="778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200"/>
          </w:cols>
          <w:pgMar w:left="320" w:top="1093" w:right="37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8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82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rPr>
              <w:t>Three Months Ended</w:t>
            </w:r>
          </w:p>
        </w:tc>
        <w:tc>
          <w:tcPr>
            <w:tcW w:w="9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8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920" w:type="dxa"/>
            <w:vAlign w:val="bottom"/>
          </w:tcPr>
          <w:p>
            <w:pPr>
              <w:jc w:val="right"/>
              <w:ind w:right="212"/>
              <w:spacing w:after="0" w:line="153" w:lineRule="exact"/>
              <w:rPr>
                <w:sz w:val="20"/>
                <w:szCs w:val="20"/>
                <w:color w:val="auto"/>
              </w:rPr>
            </w:pPr>
            <w:r>
              <w:rPr>
                <w:rFonts w:ascii="Arial" w:cs="Arial" w:eastAsia="Arial" w:hAnsi="Arial"/>
                <w:sz w:val="14"/>
                <w:szCs w:val="14"/>
                <w:b w:val="1"/>
                <w:bCs w:val="1"/>
                <w:color w:val="auto"/>
              </w:rPr>
              <w:t>May 2,</w:t>
            </w:r>
          </w:p>
        </w:tc>
        <w:tc>
          <w:tcPr>
            <w:tcW w:w="1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80" w:type="dxa"/>
            <w:vAlign w:val="bottom"/>
          </w:tcPr>
          <w:p>
            <w:pPr>
              <w:jc w:val="right"/>
              <w:ind w:right="72"/>
              <w:spacing w:after="0" w:line="153" w:lineRule="exact"/>
              <w:rPr>
                <w:sz w:val="20"/>
                <w:szCs w:val="20"/>
                <w:color w:val="auto"/>
              </w:rPr>
            </w:pPr>
            <w:r>
              <w:rPr>
                <w:rFonts w:ascii="Arial" w:cs="Arial" w:eastAsia="Arial" w:hAnsi="Arial"/>
                <w:sz w:val="14"/>
                <w:szCs w:val="14"/>
                <w:b w:val="1"/>
                <w:bCs w:val="1"/>
                <w:color w:val="auto"/>
              </w:rPr>
              <w:t>February 1,</w:t>
            </w:r>
          </w:p>
        </w:tc>
        <w:tc>
          <w:tcPr>
            <w:tcW w:w="1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00" w:type="dxa"/>
            <w:vAlign w:val="bottom"/>
          </w:tcPr>
          <w:p>
            <w:pPr>
              <w:jc w:val="right"/>
              <w:ind w:right="212"/>
              <w:spacing w:after="0" w:line="153" w:lineRule="exact"/>
              <w:rPr>
                <w:sz w:val="20"/>
                <w:szCs w:val="20"/>
                <w:color w:val="auto"/>
              </w:rPr>
            </w:pPr>
            <w:r>
              <w:rPr>
                <w:rFonts w:ascii="Arial" w:cs="Arial" w:eastAsia="Arial" w:hAnsi="Arial"/>
                <w:sz w:val="14"/>
                <w:szCs w:val="14"/>
                <w:b w:val="1"/>
                <w:bCs w:val="1"/>
                <w:color w:val="auto"/>
              </w:rPr>
              <w:t>May 4,</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68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2020</w:t>
            </w:r>
          </w:p>
        </w:tc>
        <w:tc>
          <w:tcPr>
            <w:tcW w:w="160" w:type="dxa"/>
            <w:vAlign w:val="bottom"/>
            <w:tcBorders>
              <w:bottom w:val="single" w:sz="8" w:color="auto"/>
            </w:tcBorders>
          </w:tcPr>
          <w:p>
            <w:pPr>
              <w:spacing w:after="0"/>
              <w:rPr>
                <w:sz w:val="16"/>
                <w:szCs w:val="16"/>
                <w:color w:val="auto"/>
              </w:rPr>
            </w:pPr>
          </w:p>
        </w:tc>
        <w:tc>
          <w:tcPr>
            <w:tcW w:w="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40"/>
        </w:trPr>
        <w:tc>
          <w:tcPr>
            <w:tcW w:w="6820" w:type="dxa"/>
            <w:vAlign w:val="bottom"/>
          </w:tcPr>
          <w:p>
            <w:pPr>
              <w:spacing w:after="0"/>
              <w:rPr>
                <w:sz w:val="3"/>
                <w:szCs w:val="3"/>
                <w:color w:val="auto"/>
              </w:rPr>
            </w:pPr>
          </w:p>
        </w:tc>
        <w:tc>
          <w:tcPr>
            <w:tcW w:w="280" w:type="dxa"/>
            <w:vAlign w:val="bottom"/>
          </w:tcPr>
          <w:p>
            <w:pPr>
              <w:spacing w:after="0"/>
              <w:rPr>
                <w:sz w:val="3"/>
                <w:szCs w:val="3"/>
                <w:color w:val="auto"/>
              </w:rPr>
            </w:pPr>
          </w:p>
        </w:tc>
        <w:tc>
          <w:tcPr>
            <w:tcW w:w="9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60" w:type="dxa"/>
            <w:vAlign w:val="bottom"/>
          </w:tcPr>
          <w:p>
            <w:pPr>
              <w:spacing w:after="0"/>
              <w:rPr>
                <w:sz w:val="3"/>
                <w:szCs w:val="3"/>
                <w:color w:val="auto"/>
              </w:rPr>
            </w:pPr>
          </w:p>
        </w:tc>
        <w:tc>
          <w:tcPr>
            <w:tcW w:w="2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40" w:type="dxa"/>
            <w:vAlign w:val="bottom"/>
          </w:tcPr>
          <w:p>
            <w:pPr>
              <w:spacing w:after="0"/>
              <w:rPr>
                <w:sz w:val="3"/>
                <w:szCs w:val="3"/>
                <w:color w:val="auto"/>
              </w:rPr>
            </w:pPr>
          </w:p>
        </w:tc>
        <w:tc>
          <w:tcPr>
            <w:tcW w:w="300" w:type="dxa"/>
            <w:vAlign w:val="bottom"/>
          </w:tcPr>
          <w:p>
            <w:pPr>
              <w:spacing w:after="0"/>
              <w:rPr>
                <w:sz w:val="3"/>
                <w:szCs w:val="3"/>
                <w:color w:val="auto"/>
              </w:rPr>
            </w:pPr>
          </w:p>
        </w:tc>
        <w:tc>
          <w:tcPr>
            <w:tcW w:w="900" w:type="dxa"/>
            <w:vAlign w:val="bottom"/>
          </w:tcPr>
          <w:p>
            <w:pPr>
              <w:spacing w:after="0"/>
              <w:rPr>
                <w:sz w:val="3"/>
                <w:szCs w:val="3"/>
                <w:color w:val="auto"/>
              </w:rPr>
            </w:pPr>
          </w:p>
        </w:tc>
        <w:tc>
          <w:tcPr>
            <w:tcW w:w="1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326,902</w:t>
            </w:r>
          </w:p>
        </w:tc>
        <w:tc>
          <w:tcPr>
            <w:tcW w:w="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304,744</w:t>
            </w:r>
          </w:p>
        </w:tc>
        <w:tc>
          <w:tcPr>
            <w:tcW w:w="62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361,428</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3,538</w:t>
            </w:r>
          </w:p>
        </w:tc>
        <w:tc>
          <w:tcPr>
            <w:tcW w:w="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3,181</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2,926</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86,567</w:t>
            </w: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86,383</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59,906</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18,562</w:t>
            </w:r>
          </w:p>
        </w:tc>
        <w:tc>
          <w:tcPr>
            <w:tcW w:w="16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52,510</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68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108,667</w:t>
            </w:r>
          </w:p>
        </w:tc>
        <w:tc>
          <w:tcPr>
            <w:tcW w:w="160" w:type="dxa"/>
            <w:vAlign w:val="bottom"/>
            <w:tcBorders>
              <w:top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142,074</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63,282</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8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gross profit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435,569</w:t>
            </w:r>
          </w:p>
        </w:tc>
        <w:tc>
          <w:tcPr>
            <w:tcW w:w="16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446,818</w:t>
            </w:r>
          </w:p>
        </w:tc>
        <w:tc>
          <w:tcPr>
            <w:tcW w:w="62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424,710</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68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95"/>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280" w:type="dxa"/>
            <w:vAlign w:val="bottom"/>
            <w:tcBorders>
              <w:bottom w:val="single" w:sz="8" w:color="CCEEFF"/>
            </w:tcBorders>
            <w:shd w:val="clear" w:color="auto" w:fill="CCEEFF"/>
          </w:tcPr>
          <w:p>
            <w:pPr>
              <w:spacing w:after="0"/>
              <w:rPr>
                <w:sz w:val="24"/>
                <w:szCs w:val="24"/>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47.1 %</w:t>
            </w: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42.5 %</w:t>
            </w:r>
          </w:p>
        </w:tc>
        <w:tc>
          <w:tcPr>
            <w:tcW w:w="14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spacing w:after="0"/>
              <w:rPr>
                <w:sz w:val="24"/>
                <w:szCs w:val="24"/>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54.6 %</w:t>
            </w:r>
          </w:p>
        </w:tc>
        <w:tc>
          <w:tcPr>
            <w:tcW w:w="0" w:type="dxa"/>
            <w:vAlign w:val="bottom"/>
          </w:tcPr>
          <w:p>
            <w:pPr>
              <w:spacing w:after="0"/>
              <w:rPr>
                <w:sz w:val="1"/>
                <w:szCs w:val="1"/>
                <w:color w:val="auto"/>
              </w:rPr>
            </w:pPr>
          </w:p>
        </w:tc>
      </w:tr>
      <w:tr>
        <w:trPr>
          <w:trHeight w:val="20"/>
        </w:trPr>
        <w:tc>
          <w:tcPr>
            <w:tcW w:w="68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820" w:type="dxa"/>
            <w:vAlign w:val="bottom"/>
            <w:vMerge w:val="continue"/>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62.8 %</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62.3 %</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64.1 %</w:t>
            </w: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82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8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68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82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9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9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90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682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422,898</w:t>
            </w: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ind w:left="2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419,239</w:t>
            </w:r>
          </w:p>
        </w:tc>
        <w:tc>
          <w:tcPr>
            <w:tcW w:w="62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382,554</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(56,149)</w:t>
            </w: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(49,989)</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(55,672)</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c>
          <w:tcPr>
            <w:tcW w:w="16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(18,258)</w:t>
            </w:r>
          </w:p>
        </w:tc>
        <w:tc>
          <w:tcPr>
            <w:tcW w:w="1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(5,682)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(26,355)</w:t>
            </w: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(28,232)</w:t>
            </w:r>
          </w:p>
        </w:tc>
        <w:tc>
          <w:tcPr>
            <w:tcW w:w="1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(19,834)</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(19,403)</w:t>
            </w:r>
          </w:p>
        </w:tc>
        <w:tc>
          <w:tcPr>
            <w:tcW w:w="16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(16,621)</w:t>
            </w:r>
          </w:p>
        </w:tc>
        <w:tc>
          <w:tcPr>
            <w:tcW w:w="18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(6,569)</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682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(123,194)</w:t>
            </w:r>
          </w:p>
        </w:tc>
        <w:tc>
          <w:tcPr>
            <w:tcW w:w="160" w:type="dxa"/>
            <w:vAlign w:val="bottom"/>
            <w:tcBorders>
              <w:top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(113,100)</w:t>
            </w:r>
          </w:p>
        </w:tc>
        <w:tc>
          <w:tcPr>
            <w:tcW w:w="18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(87,757)</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8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non-GAAP operating expenses</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299,704</w:t>
            </w:r>
          </w:p>
        </w:tc>
        <w:tc>
          <w:tcPr>
            <w:tcW w:w="16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306,139</w:t>
            </w:r>
          </w:p>
        </w:tc>
        <w:tc>
          <w:tcPr>
            <w:tcW w:w="62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294,797</w:t>
            </w:r>
          </w:p>
        </w:tc>
        <w:tc>
          <w:tcPr>
            <w:tcW w:w="18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68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682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80" w:type="dxa"/>
            <w:vAlign w:val="bottom"/>
            <w:gridSpan w:val="2"/>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60" w:type="dxa"/>
            <w:vAlign w:val="bottom"/>
            <w:gridSpan w:val="2"/>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080" w:type="dxa"/>
            <w:vAlign w:val="bottom"/>
            <w:gridSpan w:val="2"/>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8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gridSpan w:val="2"/>
          </w:tcPr>
          <w:p>
            <w:pPr>
              <w:spacing w:after="0"/>
              <w:rPr>
                <w:sz w:val="23"/>
                <w:szCs w:val="23"/>
                <w:color w:val="auto"/>
              </w:rPr>
            </w:pPr>
          </w:p>
        </w:tc>
        <w:tc>
          <w:tcPr>
            <w:tcW w:w="1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60" w:type="dxa"/>
            <w:vAlign w:val="bottom"/>
            <w:gridSpan w:val="2"/>
          </w:tcPr>
          <w:p>
            <w:pPr>
              <w:spacing w:after="0"/>
              <w:rPr>
                <w:sz w:val="23"/>
                <w:szCs w:val="23"/>
                <w:color w:val="auto"/>
              </w:rPr>
            </w:pPr>
          </w:p>
        </w:tc>
        <w:tc>
          <w:tcPr>
            <w:tcW w:w="1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80" w:type="dxa"/>
            <w:vAlign w:val="bottom"/>
            <w:gridSpan w:val="2"/>
          </w:tcPr>
          <w:p>
            <w:pPr>
              <w:spacing w:after="0"/>
              <w:rPr>
                <w:sz w:val="23"/>
                <w:szCs w:val="23"/>
                <w:color w:val="auto"/>
              </w:rPr>
            </w:pPr>
          </w:p>
        </w:tc>
        <w:tc>
          <w:tcPr>
            <w:tcW w:w="0" w:type="dxa"/>
            <w:vAlign w:val="bottom"/>
          </w:tcPr>
          <w:p>
            <w:pPr>
              <w:spacing w:after="0"/>
              <w:rPr>
                <w:sz w:val="1"/>
                <w:szCs w:val="1"/>
                <w:color w:val="auto"/>
              </w:rPr>
            </w:pPr>
          </w:p>
        </w:tc>
      </w:tr>
      <w:tr>
        <w:trPr>
          <w:trHeight w:val="250"/>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w:t>
            </w:r>
          </w:p>
        </w:tc>
        <w:tc>
          <w:tcPr>
            <w:tcW w:w="16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7.3</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0.1</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3.1</w:t>
            </w:r>
          </w:p>
        </w:tc>
        <w:tc>
          <w:tcPr>
            <w:tcW w:w="16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0.9</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68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8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68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w:t>
            </w:r>
          </w:p>
        </w:tc>
        <w:tc>
          <w:tcPr>
            <w:tcW w:w="16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68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8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operating margin</w:t>
            </w:r>
          </w:p>
        </w:tc>
        <w:tc>
          <w:tcPr>
            <w:tcW w:w="280" w:type="dxa"/>
            <w:vAlign w:val="bottom"/>
            <w:tcBorders>
              <w:bottom w:val="single" w:sz="8" w:color="CCEEFF"/>
            </w:tcBorders>
            <w:shd w:val="clear" w:color="auto" w:fill="CCEEFF"/>
          </w:tcPr>
          <w:p>
            <w:pPr>
              <w:spacing w:after="0"/>
              <w:rPr>
                <w:sz w:val="24"/>
                <w:szCs w:val="24"/>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16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14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spacing w:after="0"/>
              <w:rPr>
                <w:sz w:val="24"/>
                <w:szCs w:val="24"/>
                <w:color w:val="auto"/>
              </w:rPr>
            </w:pP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0" w:type="dxa"/>
            <w:vAlign w:val="bottom"/>
          </w:tcPr>
          <w:p>
            <w:pPr>
              <w:spacing w:after="0"/>
              <w:rPr>
                <w:sz w:val="1"/>
                <w:szCs w:val="1"/>
                <w:color w:val="auto"/>
              </w:rPr>
            </w:pPr>
          </w:p>
        </w:tc>
      </w:tr>
      <w:tr>
        <w:trPr>
          <w:trHeight w:val="20"/>
        </w:trPr>
        <w:tc>
          <w:tcPr>
            <w:tcW w:w="68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47"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70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0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May 2,</w:t>
            </w:r>
          </w:p>
        </w:tc>
        <w:tc>
          <w:tcPr>
            <w:tcW w:w="200" w:type="dxa"/>
            <w:vAlign w:val="bottom"/>
          </w:tcPr>
          <w:p>
            <w:pPr>
              <w:spacing w:after="0"/>
              <w:rPr>
                <w:sz w:val="13"/>
                <w:szCs w:val="13"/>
                <w:color w:val="auto"/>
              </w:rPr>
            </w:pPr>
          </w:p>
        </w:tc>
        <w:tc>
          <w:tcPr>
            <w:tcW w:w="12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1,</w:t>
            </w:r>
          </w:p>
        </w:tc>
        <w:tc>
          <w:tcPr>
            <w:tcW w:w="260" w:type="dxa"/>
            <w:vAlign w:val="bottom"/>
          </w:tcPr>
          <w:p>
            <w:pPr>
              <w:spacing w:after="0"/>
              <w:rPr>
                <w:sz w:val="13"/>
                <w:szCs w:val="13"/>
                <w:color w:val="auto"/>
              </w:rPr>
            </w:pPr>
          </w:p>
        </w:tc>
        <w:tc>
          <w:tcPr>
            <w:tcW w:w="1040" w:type="dxa"/>
            <w:vAlign w:val="bottom"/>
          </w:tcPr>
          <w:p>
            <w:pPr>
              <w:jc w:val="right"/>
              <w:ind w:right="352"/>
              <w:spacing w:after="0" w:line="153" w:lineRule="exact"/>
              <w:rPr>
                <w:sz w:val="20"/>
                <w:szCs w:val="20"/>
                <w:color w:val="auto"/>
              </w:rPr>
            </w:pPr>
            <w:r>
              <w:rPr>
                <w:rFonts w:ascii="Arial" w:cs="Arial" w:eastAsia="Arial" w:hAnsi="Arial"/>
                <w:sz w:val="14"/>
                <w:szCs w:val="14"/>
                <w:b w:val="1"/>
                <w:bCs w:val="1"/>
                <w:color w:val="auto"/>
              </w:rPr>
              <w:t>May 4,</w:t>
            </w:r>
          </w:p>
        </w:tc>
        <w:tc>
          <w:tcPr>
            <w:tcW w:w="0" w:type="dxa"/>
            <w:vAlign w:val="bottom"/>
          </w:tcPr>
          <w:p>
            <w:pPr>
              <w:spacing w:after="0"/>
              <w:rPr>
                <w:sz w:val="1"/>
                <w:szCs w:val="1"/>
                <w:color w:val="auto"/>
              </w:rPr>
            </w:pPr>
          </w:p>
        </w:tc>
      </w:tr>
      <w:tr>
        <w:trPr>
          <w:trHeight w:val="192"/>
        </w:trPr>
        <w:tc>
          <w:tcPr>
            <w:tcW w:w="70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1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40"/>
        </w:trPr>
        <w:tc>
          <w:tcPr>
            <w:tcW w:w="70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60" w:type="dxa"/>
            <w:vAlign w:val="bottom"/>
          </w:tcPr>
          <w:p>
            <w:pPr>
              <w:spacing w:after="0"/>
              <w:rPr>
                <w:sz w:val="3"/>
                <w:szCs w:val="3"/>
                <w:color w:val="auto"/>
              </w:rPr>
            </w:pPr>
          </w:p>
        </w:tc>
        <w:tc>
          <w:tcPr>
            <w:tcW w:w="2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(12,018)</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1,102,902</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(20,051)</w:t>
            </w:r>
          </w:p>
        </w:tc>
        <w:tc>
          <w:tcPr>
            <w:tcW w:w="0" w:type="dxa"/>
            <w:vAlign w:val="bottom"/>
          </w:tcPr>
          <w:p>
            <w:pPr>
              <w:spacing w:after="0"/>
              <w:rPr>
                <w:sz w:val="1"/>
                <w:szCs w:val="1"/>
                <w:color w:val="auto"/>
              </w:rPr>
            </w:pPr>
          </w:p>
        </w:tc>
      </w:tr>
      <w:tr>
        <w:trPr>
          <w:trHeight w:val="243"/>
        </w:trPr>
        <w:tc>
          <w:tcPr>
            <w:tcW w:w="70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Restructuring and other related items (d)</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434</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(1,122,988)</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Write-off of debt issuance costs (e)</w:t>
            </w:r>
          </w:p>
        </w:tc>
        <w:tc>
          <w:tcPr>
            <w:tcW w:w="260" w:type="dxa"/>
            <w:vAlign w:val="bottom"/>
          </w:tcPr>
          <w:p>
            <w:pPr>
              <w:spacing w:after="0"/>
              <w:rPr>
                <w:sz w:val="21"/>
                <w:szCs w:val="21"/>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1,621</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458</w:t>
            </w:r>
          </w:p>
        </w:tc>
        <w:tc>
          <w:tcPr>
            <w:tcW w:w="0" w:type="dxa"/>
            <w:vAlign w:val="bottom"/>
          </w:tcPr>
          <w:p>
            <w:pPr>
              <w:spacing w:after="0"/>
              <w:rPr>
                <w:sz w:val="1"/>
                <w:szCs w:val="1"/>
                <w:color w:val="auto"/>
              </w:rPr>
            </w:pP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special items</w:t>
            </w: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434</w:t>
            </w:r>
          </w:p>
        </w:tc>
        <w:tc>
          <w:tcPr>
            <w:tcW w:w="16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(1,121,367)</w:t>
            </w:r>
          </w:p>
        </w:tc>
        <w:tc>
          <w:tcPr>
            <w:tcW w:w="16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37"/>
        </w:trPr>
        <w:tc>
          <w:tcPr>
            <w:tcW w:w="7020" w:type="dxa"/>
            <w:vAlign w:val="bottom"/>
          </w:tcPr>
          <w:p>
            <w:pPr>
              <w:ind w:left="220"/>
              <w:spacing w:after="0"/>
              <w:rPr>
                <w:sz w:val="20"/>
                <w:szCs w:val="20"/>
                <w:color w:val="auto"/>
              </w:rPr>
            </w:pPr>
            <w:r>
              <w:rPr>
                <w:rFonts w:ascii="Arial" w:cs="Arial" w:eastAsia="Arial" w:hAnsi="Arial"/>
                <w:sz w:val="18"/>
                <w:szCs w:val="18"/>
                <w:color w:val="auto"/>
              </w:rPr>
              <w:t>Total non-GAAP interest and other income (loss), net</w:t>
            </w:r>
          </w:p>
        </w:tc>
        <w:tc>
          <w:tcPr>
            <w:tcW w:w="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(11,584)</w:t>
            </w:r>
          </w:p>
        </w:tc>
        <w:tc>
          <w:tcPr>
            <w:tcW w:w="160" w:type="dxa"/>
            <w:vAlign w:val="bottom"/>
          </w:tcPr>
          <w:p>
            <w:pPr>
              <w:spacing w:after="0"/>
              <w:rPr>
                <w:sz w:val="20"/>
                <w:szCs w:val="20"/>
                <w:color w:val="auto"/>
              </w:rPr>
            </w:pPr>
          </w:p>
        </w:tc>
        <w:tc>
          <w:tcPr>
            <w:tcW w:w="20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(18,465)</w:t>
            </w:r>
          </w:p>
        </w:tc>
        <w:tc>
          <w:tcPr>
            <w:tcW w:w="160" w:type="dxa"/>
            <w:vAlign w:val="bottom"/>
          </w:tcPr>
          <w:p>
            <w:pPr>
              <w:spacing w:after="0"/>
              <w:rPr>
                <w:sz w:val="20"/>
                <w:szCs w:val="20"/>
                <w:color w:val="auto"/>
              </w:rPr>
            </w:pPr>
          </w:p>
        </w:tc>
        <w:tc>
          <w:tcPr>
            <w:tcW w:w="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(19,931)</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70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70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70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70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7020" w:type="dxa"/>
            <w:vAlign w:val="bottom"/>
          </w:tcPr>
          <w:p>
            <w:pPr>
              <w:ind w:left="220"/>
              <w:spacing w:after="0"/>
              <w:rPr>
                <w:sz w:val="20"/>
                <w:szCs w:val="20"/>
                <w:color w:val="auto"/>
              </w:rPr>
            </w:pPr>
            <w:r>
              <w:rPr>
                <w:rFonts w:ascii="Arial" w:cs="Arial" w:eastAsia="Arial" w:hAnsi="Arial"/>
                <w:sz w:val="18"/>
                <w:szCs w:val="18"/>
                <w:color w:val="auto"/>
              </w:rPr>
              <w:t>GAAP net income (loss)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(113,033)</w:t>
            </w:r>
          </w:p>
        </w:tc>
        <w:tc>
          <w:tcPr>
            <w:tcW w:w="160" w:type="dxa"/>
            <w:vAlign w:val="bottom"/>
          </w:tcPr>
          <w:p>
            <w:pPr>
              <w:spacing w:after="0"/>
              <w:rPr>
                <w:sz w:val="21"/>
                <w:szCs w:val="21"/>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1,772,673</w:t>
            </w:r>
          </w:p>
        </w:tc>
        <w:tc>
          <w:tcPr>
            <w:tcW w:w="16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18,562</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52,510</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59,687</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53,170</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58,598</w:t>
            </w: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Restructuring related charges in operating expenses (b)</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21,287</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18,258</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5,682</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19,403</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16,621</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6,569</w:t>
            </w: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Restructuring and other related items in interest and other income, net (d)</w:t>
            </w:r>
          </w:p>
        </w:tc>
        <w:tc>
          <w:tcPr>
            <w:tcW w:w="26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434</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(1,122,988)</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112,922</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114,615</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79,740</w:t>
            </w: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Write-off of debt issuance costs (e)</w:t>
            </w:r>
          </w:p>
        </w:tc>
        <w:tc>
          <w:tcPr>
            <w:tcW w:w="260" w:type="dxa"/>
            <w:vAlign w:val="bottom"/>
          </w:tcPr>
          <w:p>
            <w:pPr>
              <w:spacing w:after="0"/>
              <w:rPr>
                <w:sz w:val="21"/>
                <w:szCs w:val="21"/>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1,621</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458</w:t>
            </w:r>
          </w:p>
        </w:tc>
        <w:tc>
          <w:tcPr>
            <w:tcW w:w="0" w:type="dxa"/>
            <w:vAlign w:val="bottom"/>
          </w:tcPr>
          <w:p>
            <w:pPr>
              <w:spacing w:after="0"/>
              <w:rPr>
                <w:sz w:val="1"/>
                <w:szCs w:val="1"/>
                <w:color w:val="auto"/>
              </w:rPr>
            </w:pP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Pre-tax total special items</w:t>
            </w: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232,295</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(866,193)</w:t>
            </w:r>
          </w:p>
        </w:tc>
        <w:tc>
          <w:tcPr>
            <w:tcW w:w="1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151,159</w:t>
            </w:r>
          </w:p>
        </w:tc>
        <w:tc>
          <w:tcPr>
            <w:tcW w:w="0" w:type="dxa"/>
            <w:vAlign w:val="bottom"/>
          </w:tcPr>
          <w:p>
            <w:pPr>
              <w:spacing w:after="0"/>
              <w:rPr>
                <w:sz w:val="1"/>
                <w:szCs w:val="1"/>
                <w:color w:val="auto"/>
              </w:rPr>
            </w:pPr>
          </w:p>
        </w:tc>
      </w:tr>
      <w:tr>
        <w:trPr>
          <w:trHeight w:val="243"/>
        </w:trPr>
        <w:tc>
          <w:tcPr>
            <w:tcW w:w="7020" w:type="dxa"/>
            <w:vAlign w:val="bottom"/>
          </w:tcPr>
          <w:p>
            <w:pPr>
              <w:ind w:left="660"/>
              <w:spacing w:after="0"/>
              <w:rPr>
                <w:sz w:val="20"/>
                <w:szCs w:val="20"/>
                <w:color w:val="auto"/>
              </w:rPr>
            </w:pPr>
            <w:r>
              <w:rPr>
                <w:rFonts w:ascii="Arial" w:cs="Arial" w:eastAsia="Arial" w:hAnsi="Arial"/>
                <w:sz w:val="18"/>
                <w:szCs w:val="18"/>
                <w:color w:val="auto"/>
              </w:rPr>
              <w:t>Other income tax effects and adjustments (f)</w:t>
            </w:r>
          </w:p>
        </w:tc>
        <w:tc>
          <w:tcPr>
            <w:tcW w:w="26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(1,229)</w:t>
            </w:r>
          </w:p>
        </w:tc>
        <w:tc>
          <w:tcPr>
            <w:tcW w:w="1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(789,761)</w:t>
            </w:r>
          </w:p>
        </w:tc>
        <w:tc>
          <w:tcPr>
            <w:tcW w:w="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2,324</w:t>
            </w:r>
          </w:p>
        </w:tc>
        <w:tc>
          <w:tcPr>
            <w:tcW w:w="0" w:type="dxa"/>
            <w:vAlign w:val="bottom"/>
          </w:tcPr>
          <w:p>
            <w:pPr>
              <w:spacing w:after="0"/>
              <w:rPr>
                <w:sz w:val="1"/>
                <w:szCs w:val="1"/>
                <w:color w:val="auto"/>
              </w:rPr>
            </w:pPr>
          </w:p>
        </w:tc>
      </w:tr>
      <w:tr>
        <w:trPr>
          <w:trHeight w:val="27"/>
        </w:trPr>
        <w:tc>
          <w:tcPr>
            <w:tcW w:w="70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net income</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118,033</w:t>
            </w:r>
          </w:p>
        </w:tc>
        <w:tc>
          <w:tcPr>
            <w:tcW w:w="1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116,719</w:t>
            </w:r>
          </w:p>
        </w:tc>
        <w:tc>
          <w:tcPr>
            <w:tcW w:w="16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105,033</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70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70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Weighted average shares — basic</w:t>
            </w:r>
          </w:p>
        </w:tc>
        <w:tc>
          <w:tcPr>
            <w:tcW w:w="260" w:type="dxa"/>
            <w:vAlign w:val="bottom"/>
            <w:tcBorders>
              <w:bottom w:val="single" w:sz="8" w:color="CCEEFF"/>
            </w:tcBorders>
            <w:shd w:val="clear" w:color="auto" w:fill="CCEEFF"/>
          </w:tcPr>
          <w:p>
            <w:pPr>
              <w:spacing w:after="0"/>
              <w:rPr>
                <w:sz w:val="24"/>
                <w:szCs w:val="24"/>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663,547</w:t>
            </w:r>
          </w:p>
        </w:tc>
        <w:tc>
          <w:tcPr>
            <w:tcW w:w="1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665,562</w:t>
            </w:r>
          </w:p>
        </w:tc>
        <w:tc>
          <w:tcPr>
            <w:tcW w:w="16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spacing w:after="0"/>
              <w:rPr>
                <w:sz w:val="24"/>
                <w:szCs w:val="24"/>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658,963</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Weighted average shares — diluted</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020" w:type="dxa"/>
            <w:vAlign w:val="bottom"/>
            <w:vMerge w:val="continue"/>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rPr>
              <w:t>663,547</w:t>
            </w:r>
          </w:p>
        </w:tc>
        <w:tc>
          <w:tcPr>
            <w:tcW w:w="160" w:type="dxa"/>
            <w:vAlign w:val="bottom"/>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675,700</w:t>
            </w:r>
          </w:p>
        </w:tc>
        <w:tc>
          <w:tcPr>
            <w:tcW w:w="160" w:type="dxa"/>
            <w:vAlign w:val="bottom"/>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658,963</w:t>
            </w:r>
          </w:p>
        </w:tc>
        <w:tc>
          <w:tcPr>
            <w:tcW w:w="0" w:type="dxa"/>
            <w:vAlign w:val="bottom"/>
          </w:tcPr>
          <w:p>
            <w:pPr>
              <w:spacing w:after="0"/>
              <w:rPr>
                <w:sz w:val="1"/>
                <w:szCs w:val="1"/>
                <w:color w:val="auto"/>
              </w:rPr>
            </w:pPr>
          </w:p>
        </w:tc>
      </w:tr>
      <w:tr>
        <w:trPr>
          <w:trHeight w:val="20"/>
        </w:trPr>
        <w:tc>
          <w:tcPr>
            <w:tcW w:w="70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70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7020" w:type="dxa"/>
            <w:vAlign w:val="bottom"/>
          </w:tcPr>
          <w:p>
            <w:pPr>
              <w:ind w:left="220"/>
              <w:spacing w:after="0"/>
              <w:rPr>
                <w:sz w:val="20"/>
                <w:szCs w:val="20"/>
                <w:color w:val="auto"/>
              </w:rPr>
            </w:pPr>
            <w:r>
              <w:rPr>
                <w:rFonts w:ascii="Arial" w:cs="Arial" w:eastAsia="Arial" w:hAnsi="Arial"/>
                <w:sz w:val="18"/>
                <w:szCs w:val="18"/>
                <w:color w:val="auto"/>
              </w:rPr>
              <w:t>GAAP diluted net income (loss) per share</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(0.17)</w:t>
            </w:r>
          </w:p>
        </w:tc>
        <w:tc>
          <w:tcPr>
            <w:tcW w:w="160" w:type="dxa"/>
            <w:vAlign w:val="bottom"/>
          </w:tcPr>
          <w:p>
            <w:pPr>
              <w:spacing w:after="0"/>
              <w:rPr>
                <w:sz w:val="21"/>
                <w:szCs w:val="21"/>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72"/>
              <w:spacing w:after="0"/>
              <w:rPr>
                <w:sz w:val="20"/>
                <w:szCs w:val="20"/>
                <w:color w:val="auto"/>
              </w:rPr>
            </w:pPr>
            <w:r>
              <w:rPr>
                <w:rFonts w:ascii="Arial" w:cs="Arial" w:eastAsia="Arial" w:hAnsi="Arial"/>
                <w:sz w:val="18"/>
                <w:szCs w:val="18"/>
                <w:color w:val="auto"/>
              </w:rPr>
              <w:t>2.62</w:t>
            </w:r>
          </w:p>
        </w:tc>
        <w:tc>
          <w:tcPr>
            <w:tcW w:w="16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7"/>
        </w:trPr>
        <w:tc>
          <w:tcPr>
            <w:tcW w:w="70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70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70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Non-GAAP diluted net income per share (g)</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0.18</w:t>
            </w:r>
          </w:p>
        </w:tc>
        <w:tc>
          <w:tcPr>
            <w:tcW w:w="1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0.17</w:t>
            </w:r>
          </w:p>
        </w:tc>
        <w:tc>
          <w:tcPr>
            <w:tcW w:w="16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47" w:right="339" w:bottom="1440" w:gutter="0" w:footer="0" w:header="0"/>
        </w:sectPr>
      </w:pPr>
    </w:p>
    <w:bookmarkStart w:id="12" w:name="page13"/>
    <w:bookmarkEnd w:id="12"/>
    <w:p>
      <w:pPr>
        <w:ind w:left="454" w:hanging="454"/>
        <w:spacing w:after="0"/>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acquired inventory fair value adjustment.</w:t>
      </w:r>
    </w:p>
    <w:p>
      <w:pPr>
        <w:spacing w:after="0" w:line="198" w:lineRule="exact"/>
        <w:rPr>
          <w:rFonts w:ascii="Arial" w:cs="Arial" w:eastAsia="Arial" w:hAnsi="Arial"/>
          <w:sz w:val="18"/>
          <w:szCs w:val="18"/>
          <w:i w:val="1"/>
          <w:iCs w:val="1"/>
          <w:color w:val="auto"/>
        </w:rPr>
      </w:pPr>
    </w:p>
    <w:p>
      <w:pPr>
        <w:ind w:left="454" w:hanging="454"/>
        <w:spacing w:after="0"/>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facilities related costs, and impairment of equipment and other assets.</w:t>
      </w:r>
    </w:p>
    <w:p>
      <w:pPr>
        <w:spacing w:after="0" w:line="198" w:lineRule="exact"/>
        <w:rPr>
          <w:rFonts w:ascii="Arial" w:cs="Arial" w:eastAsia="Arial" w:hAnsi="Arial"/>
          <w:sz w:val="18"/>
          <w:szCs w:val="18"/>
          <w:i w:val="1"/>
          <w:iCs w:val="1"/>
          <w:color w:val="auto"/>
        </w:rPr>
      </w:pPr>
    </w:p>
    <w:p>
      <w:pPr>
        <w:ind w:left="454" w:hanging="454"/>
        <w:spacing w:after="0"/>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costs associated with recent acquisitions.</w:t>
      </w:r>
    </w:p>
    <w:p>
      <w:pPr>
        <w:spacing w:after="0" w:line="198" w:lineRule="exact"/>
        <w:rPr>
          <w:rFonts w:ascii="Arial" w:cs="Arial" w:eastAsia="Arial" w:hAnsi="Arial"/>
          <w:sz w:val="18"/>
          <w:szCs w:val="18"/>
          <w:i w:val="1"/>
          <w:iCs w:val="1"/>
          <w:color w:val="auto"/>
        </w:rPr>
      </w:pPr>
    </w:p>
    <w:p>
      <w:pPr>
        <w:ind w:left="454" w:right="760" w:hanging="454"/>
        <w:spacing w:after="0" w:line="277" w:lineRule="auto"/>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Interest and other income (loss), net, includes restructuring and other related items such as gain on sale of business and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454" w:hanging="454"/>
        <w:spacing w:after="0"/>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w:t>
      </w:r>
    </w:p>
    <w:p>
      <w:pPr>
        <w:spacing w:after="0" w:line="198" w:lineRule="exact"/>
        <w:rPr>
          <w:rFonts w:ascii="Arial" w:cs="Arial" w:eastAsia="Arial" w:hAnsi="Arial"/>
          <w:sz w:val="18"/>
          <w:szCs w:val="18"/>
          <w:i w:val="1"/>
          <w:iCs w:val="1"/>
          <w:color w:val="auto"/>
        </w:rPr>
      </w:pPr>
    </w:p>
    <w:p>
      <w:pPr>
        <w:ind w:left="454" w:hanging="454"/>
        <w:spacing w:after="0" w:line="263" w:lineRule="auto"/>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 for the three months ended May 2, 2020. Other income tax effects and adjustments relate to tax provision based on a non-GAAP income tax rate of 4.5% for the three months ended February 1, 2020 and May 4, 2019.</w:t>
      </w:r>
    </w:p>
    <w:p>
      <w:pPr>
        <w:spacing w:after="0" w:line="156" w:lineRule="exact"/>
        <w:rPr>
          <w:rFonts w:ascii="Arial" w:cs="Arial" w:eastAsia="Arial" w:hAnsi="Arial"/>
          <w:sz w:val="18"/>
          <w:szCs w:val="18"/>
          <w:i w:val="1"/>
          <w:iCs w:val="1"/>
          <w:color w:val="auto"/>
        </w:rPr>
      </w:pPr>
    </w:p>
    <w:p>
      <w:pPr>
        <w:jc w:val="both"/>
        <w:ind w:left="454" w:right="240" w:hanging="454"/>
        <w:spacing w:after="0" w:line="263" w:lineRule="auto"/>
        <w:tabs>
          <w:tab w:leader="none" w:pos="454"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Non-GAAP diluted net income per share for the three months ended May 2, 2020, and May 4, 2019 was calculated by dividing non-GAAP net income by weighted average shares outstanding (diluted) of 670,841 shares and 671,048 shares, respectively, due to the non-GAAP net income reported in the respective period.</w:t>
      </w:r>
    </w:p>
    <w:p>
      <w:pPr>
        <w:sectPr>
          <w:pgSz w:w="11900" w:h="16838" w:orient="portrait"/>
          <w:cols w:equalWidth="0" w:num="1">
            <w:col w:w="11014"/>
          </w:cols>
          <w:pgMar w:left="346" w:top="1151" w:right="539" w:bottom="1440" w:gutter="0" w:footer="0" w:header="0"/>
        </w:sectPr>
      </w:pPr>
    </w:p>
    <w:bookmarkStart w:id="13" w:name="page14"/>
    <w:bookmarkEnd w:id="13"/>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63" w:lineRule="exact"/>
        <w:rPr>
          <w:sz w:val="20"/>
          <w:szCs w:val="20"/>
          <w:color w:val="auto"/>
        </w:rPr>
      </w:pPr>
    </w:p>
    <w:p>
      <w:pPr>
        <w:jc w:val="center"/>
        <w:ind w:right="-39"/>
        <w:spacing w:after="0"/>
        <w:rPr>
          <w:sz w:val="20"/>
          <w:szCs w:val="20"/>
          <w:color w:val="auto"/>
        </w:rPr>
      </w:pPr>
      <w:r>
        <w:rPr>
          <w:rFonts w:ascii="Arial" w:cs="Arial" w:eastAsia="Arial" w:hAnsi="Arial"/>
          <w:sz w:val="17"/>
          <w:szCs w:val="17"/>
          <w:b w:val="1"/>
          <w:bCs w:val="1"/>
          <w:color w:val="auto"/>
        </w:rPr>
        <w:t>Outlook for the Second Quarter of Fiscal Year 2021</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8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1240"/>
          </w:cols>
          <w:pgMar w:left="320" w:top="1147" w:right="339" w:bottom="1440" w:gutter="0" w:footer="0" w:header="0"/>
        </w:sectPr>
      </w:pPr>
    </w:p>
    <w:p>
      <w:pPr>
        <w:spacing w:after="0" w:line="200" w:lineRule="exact"/>
        <w:rPr>
          <w:sz w:val="20"/>
          <w:szCs w:val="20"/>
          <w:color w:val="auto"/>
        </w:rPr>
      </w:pPr>
    </w:p>
    <w:p>
      <w:pPr>
        <w:spacing w:after="0" w:line="33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-144780</wp:posOffset>
            </wp:positionV>
            <wp:extent cx="7132320" cy="1797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4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97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57"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194945</wp:posOffset>
            </wp:positionV>
            <wp:extent cx="7132320" cy="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9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gross margin</w:t>
      </w:r>
    </w:p>
    <w:p>
      <w:pPr>
        <w:spacing w:after="0" w:line="6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1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Share-based compensation</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132320" cy="1797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9705"/>
                    </a:xfrm>
                    <a:prstGeom prst="rect">
                      <a:avLst/>
                    </a:prstGeom>
                    <a:noFill/>
                  </pic:spPr>
                </pic:pic>
              </a:graphicData>
            </a:graphic>
          </wp:anchor>
        </w:drawing>
      </w:r>
    </w:p>
    <w:p>
      <w:pPr>
        <w:spacing w:after="0" w:line="53"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194945</wp:posOffset>
            </wp:positionV>
            <wp:extent cx="7132320"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96"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Total GAAP operating expenses</w:t>
      </w:r>
    </w:p>
    <w:p>
      <w:pPr>
        <w:spacing w:after="0" w:line="6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Share-based compensation</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132320" cy="1714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6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Other operating expenses</w:t>
      </w:r>
    </w:p>
    <w:p>
      <w:pPr>
        <w:spacing w:after="0" w:line="50"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132320" cy="128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2890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297815</wp:posOffset>
            </wp:positionV>
            <wp:extent cx="7132320" cy="171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0" w:lineRule="exact"/>
        <w:rPr>
          <w:sz w:val="20"/>
          <w:szCs w:val="20"/>
          <w:color w:val="auto"/>
        </w:rPr>
      </w:pPr>
    </w:p>
    <w:p>
      <w:pPr>
        <w:spacing w:after="0" w:line="258"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diluted net loss per share</w:t>
      </w:r>
    </w:p>
    <w:p>
      <w:pPr>
        <w:spacing w:after="0" w:line="67"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jc w:val="center"/>
        <w:ind w:right="760"/>
        <w:spacing w:after="0"/>
        <w:rPr>
          <w:sz w:val="20"/>
          <w:szCs w:val="20"/>
          <w:color w:val="auto"/>
        </w:rPr>
      </w:pPr>
      <w:r>
        <w:rPr>
          <w:rFonts w:ascii="Arial" w:cs="Arial" w:eastAsia="Arial" w:hAnsi="Arial"/>
          <w:sz w:val="13"/>
          <w:szCs w:val="13"/>
          <w:b w:val="1"/>
          <w:bCs w:val="1"/>
          <w:color w:val="auto"/>
        </w:rPr>
        <w:t>Outlook for Three Months Ended</w:t>
      </w:r>
    </w:p>
    <w:p>
      <w:pPr>
        <w:spacing w:after="0" w:line="15" w:lineRule="exact"/>
        <w:rPr>
          <w:sz w:val="20"/>
          <w:szCs w:val="20"/>
          <w:color w:val="auto"/>
        </w:rPr>
      </w:pPr>
    </w:p>
    <w:p>
      <w:pPr>
        <w:jc w:val="center"/>
        <w:ind w:right="760"/>
        <w:spacing w:after="0"/>
        <w:rPr>
          <w:sz w:val="20"/>
          <w:szCs w:val="20"/>
          <w:color w:val="auto"/>
        </w:rPr>
      </w:pPr>
      <w:r>
        <w:rPr>
          <w:rFonts w:ascii="Arial" w:cs="Arial" w:eastAsia="Arial" w:hAnsi="Arial"/>
          <w:sz w:val="14"/>
          <w:szCs w:val="14"/>
          <w:b w:val="1"/>
          <w:bCs w:val="1"/>
          <w:color w:val="auto"/>
        </w:rPr>
        <w:t>August 1, 2020</w:t>
      </w:r>
    </w:p>
    <w:p>
      <w:pPr>
        <w:spacing w:after="0" w:line="47"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$720 +/- 5%</w:t>
      </w:r>
    </w:p>
    <w:p>
      <w:pPr>
        <w:spacing w:after="0" w:line="6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w:t>
      </w:r>
    </w:p>
    <w:p>
      <w:pPr>
        <w:spacing w:after="0" w:line="77"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$720 +/- 5%</w:t>
      </w:r>
    </w:p>
    <w:p>
      <w:pPr>
        <w:spacing w:after="0" w:line="320" w:lineRule="exact"/>
        <w:rPr>
          <w:sz w:val="20"/>
          <w:szCs w:val="20"/>
          <w:color w:val="auto"/>
        </w:rPr>
      </w:pPr>
    </w:p>
    <w:p>
      <w:pPr>
        <w:ind w:left="800"/>
        <w:spacing w:after="0"/>
        <w:rPr>
          <w:sz w:val="20"/>
          <w:szCs w:val="20"/>
          <w:color w:val="auto"/>
        </w:rPr>
      </w:pPr>
      <w:r>
        <w:rPr>
          <w:rFonts w:ascii="Arial" w:cs="Arial" w:eastAsia="Arial" w:hAnsi="Arial"/>
          <w:sz w:val="18"/>
          <w:szCs w:val="18"/>
          <w:color w:val="auto"/>
        </w:rPr>
        <w:t>50.6%</w:t>
      </w:r>
    </w:p>
    <w:p>
      <w:pPr>
        <w:spacing w:after="0" w:line="33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0.3%</w:t>
      </w:r>
    </w:p>
    <w:p>
      <w:pPr>
        <w:spacing w:after="0" w:line="6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12.1%</w:t>
      </w:r>
    </w:p>
    <w:p>
      <w:pPr>
        <w:spacing w:after="0" w:line="77"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63%</w:t>
      </w:r>
    </w:p>
    <w:p>
      <w:pPr>
        <w:spacing w:after="0" w:line="320" w:lineRule="exact"/>
        <w:rPr>
          <w:sz w:val="20"/>
          <w:szCs w:val="20"/>
          <w:color w:val="auto"/>
        </w:rPr>
      </w:pPr>
    </w:p>
    <w:p>
      <w:pPr>
        <w:ind w:left="800"/>
        <w:spacing w:after="0"/>
        <w:rPr>
          <w:sz w:val="20"/>
          <w:szCs w:val="20"/>
          <w:color w:val="auto"/>
        </w:rPr>
      </w:pPr>
      <w:r>
        <w:rPr>
          <w:rFonts w:ascii="Arial" w:cs="Arial" w:eastAsia="Arial" w:hAnsi="Arial"/>
          <w:sz w:val="18"/>
          <w:szCs w:val="18"/>
          <w:color w:val="auto"/>
        </w:rPr>
        <w:t>~$393</w:t>
      </w:r>
    </w:p>
    <w:p>
      <w:pPr>
        <w:spacing w:after="0" w:line="33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64</w:t>
      </w:r>
    </w:p>
    <w:p>
      <w:pPr>
        <w:spacing w:after="0" w:line="6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26</w:t>
      </w:r>
    </w:p>
    <w:p>
      <w:pPr>
        <w:spacing w:after="0" w:line="63"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-485140</wp:posOffset>
            </wp:positionH>
            <wp:positionV relativeFrom="paragraph">
              <wp:posOffset>31750</wp:posOffset>
            </wp:positionV>
            <wp:extent cx="228854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288540" cy="8890"/>
                    </a:xfrm>
                    <a:prstGeom prst="rect">
                      <a:avLst/>
                    </a:prstGeom>
                    <a:noFill/>
                  </pic:spPr>
                </pic:pic>
              </a:graphicData>
            </a:graphic>
          </wp:anchor>
        </w:drawing>
      </w:r>
    </w:p>
    <w:p>
      <w:pPr>
        <w:spacing w:after="0" w:line="57" w:lineRule="exact"/>
        <w:rPr>
          <w:sz w:val="20"/>
          <w:szCs w:val="20"/>
          <w:color w:val="auto"/>
        </w:rPr>
      </w:pPr>
    </w:p>
    <w:p>
      <w:pPr>
        <w:jc w:val="center"/>
        <w:ind w:right="760"/>
        <w:spacing w:after="0"/>
        <w:rPr>
          <w:sz w:val="20"/>
          <w:szCs w:val="20"/>
          <w:color w:val="auto"/>
        </w:rPr>
      </w:pPr>
      <w:r>
        <w:rPr>
          <w:rFonts w:ascii="Arial" w:cs="Arial" w:eastAsia="Arial" w:hAnsi="Arial"/>
          <w:sz w:val="18"/>
          <w:szCs w:val="18"/>
          <w:color w:val="auto"/>
        </w:rPr>
        <w:t>~$300</w:t>
      </w:r>
    </w:p>
    <w:p>
      <w:pPr>
        <w:spacing w:after="0" w:line="200" w:lineRule="exact"/>
        <w:rPr>
          <w:sz w:val="20"/>
          <w:szCs w:val="20"/>
          <w:color w:val="auto"/>
        </w:rPr>
      </w:pPr>
    </w:p>
    <w:p>
      <w:pPr>
        <w:spacing w:after="0" w:line="28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$(0.10) - $(0.02)</w:t>
      </w:r>
    </w:p>
    <w:p>
      <w:pPr>
        <w:spacing w:after="0" w:line="320" w:lineRule="exact"/>
        <w:rPr>
          <w:sz w:val="20"/>
          <w:szCs w:val="20"/>
          <w:color w:val="auto"/>
        </w:rPr>
      </w:pPr>
    </w:p>
    <w:p>
      <w:pPr>
        <w:sectPr>
          <w:pgSz w:w="11900" w:h="16838" w:orient="portrait"/>
          <w:cols w:equalWidth="0" w:num="2">
            <w:col w:w="7680" w:space="720"/>
            <w:col w:w="2840"/>
          </w:cols>
          <w:pgMar w:left="320" w:top="1147" w:right="339" w:bottom="1440" w:gutter="0" w:footer="0" w:header="0"/>
          <w:type w:val="continuous"/>
        </w:sectPr>
      </w:pPr>
    </w:p>
    <w:tbl>
      <w:tblPr>
        <w:tblLayout w:type="fixed"/>
        <w:tblInd w:w="0" w:type="dxa"/>
        <w:tblCellMar>
          <w:top w:w="0" w:type="dxa"/>
          <w:left w:w="0" w:type="dxa"/>
          <w:bottom w:w="0" w:type="dxa"/>
          <w:right w:w="0" w:type="dxa"/>
        </w:tblCellMar>
      </w:tblPr>
      <w:tr>
        <w:trPr>
          <w:trHeight w:val="270"/>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36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0.10</w:t>
            </w:r>
          </w:p>
        </w:tc>
      </w:tr>
      <w:tr>
        <w:trPr>
          <w:trHeight w:val="270"/>
        </w:trPr>
        <w:tc>
          <w:tcPr>
            <w:tcW w:w="7640" w:type="dxa"/>
            <w:vAlign w:val="bottom"/>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600" w:type="dxa"/>
            <w:vAlign w:val="bottom"/>
          </w:tcPr>
          <w:p>
            <w:pPr>
              <w:jc w:val="center"/>
              <w:spacing w:after="0"/>
              <w:rPr>
                <w:sz w:val="20"/>
                <w:szCs w:val="20"/>
                <w:color w:val="auto"/>
              </w:rPr>
            </w:pPr>
            <w:r>
              <w:rPr>
                <w:rFonts w:ascii="Arial" w:cs="Arial" w:eastAsia="Arial" w:hAnsi="Arial"/>
                <w:sz w:val="18"/>
                <w:szCs w:val="18"/>
                <w:color w:val="auto"/>
                <w:w w:val="91"/>
              </w:rPr>
              <w:t>0.17</w:t>
            </w:r>
          </w:p>
        </w:tc>
      </w:tr>
      <w:tr>
        <w:trPr>
          <w:trHeight w:val="270"/>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tax effects and adjustments</w:t>
            </w:r>
          </w:p>
        </w:tc>
        <w:tc>
          <w:tcPr>
            <w:tcW w:w="3600" w:type="dxa"/>
            <w:vAlign w:val="bottom"/>
            <w:tcBorders>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(0.01)</w:t>
            </w:r>
          </w:p>
        </w:tc>
      </w:tr>
      <w:tr>
        <w:trPr>
          <w:trHeight w:val="237"/>
        </w:trPr>
        <w:tc>
          <w:tcPr>
            <w:tcW w:w="7640" w:type="dxa"/>
            <w:vAlign w:val="bottom"/>
          </w:tcPr>
          <w:p>
            <w:pPr>
              <w:ind w:left="20"/>
              <w:spacing w:after="0"/>
              <w:rPr>
                <w:sz w:val="20"/>
                <w:szCs w:val="20"/>
                <w:color w:val="auto"/>
              </w:rPr>
            </w:pPr>
            <w:r>
              <w:rPr>
                <w:rFonts w:ascii="Arial" w:cs="Arial" w:eastAsia="Arial" w:hAnsi="Arial"/>
                <w:sz w:val="18"/>
                <w:szCs w:val="18"/>
                <w:color w:val="auto"/>
              </w:rPr>
              <w:t>Non-GAAP diluted net income per share</w:t>
            </w:r>
          </w:p>
        </w:tc>
        <w:tc>
          <w:tcPr>
            <w:tcW w:w="3600" w:type="dxa"/>
            <w:vAlign w:val="bottom"/>
          </w:tcPr>
          <w:p>
            <w:pPr>
              <w:jc w:val="center"/>
              <w:spacing w:after="0"/>
              <w:rPr>
                <w:sz w:val="20"/>
                <w:szCs w:val="20"/>
                <w:color w:val="auto"/>
              </w:rPr>
            </w:pPr>
            <w:r>
              <w:rPr>
                <w:rFonts w:ascii="Arial" w:cs="Arial" w:eastAsia="Arial" w:hAnsi="Arial"/>
                <w:sz w:val="18"/>
                <w:szCs w:val="18"/>
                <w:color w:val="auto"/>
                <w:w w:val="90"/>
              </w:rPr>
              <w:t>$0.17 - $0.23</w:t>
            </w:r>
          </w:p>
        </w:tc>
      </w:tr>
    </w:tbl>
    <w:p>
      <w:pPr>
        <w:sectPr>
          <w:pgSz w:w="11900" w:h="16838" w:orient="portrait"/>
          <w:cols w:equalWidth="0" w:num="1">
            <w:col w:w="11240"/>
          </w:cols>
          <w:pgMar w:left="320" w:top="1147" w:right="339" w:bottom="1440" w:gutter="0" w:footer="0" w:header="0"/>
          <w:type w:val="continuous"/>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7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2"/>
              </w:rPr>
              <w:t>Three Months Ended</w:t>
            </w:r>
          </w:p>
        </w:tc>
        <w:tc>
          <w:tcPr>
            <w:tcW w:w="3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60" w:type="dxa"/>
            <w:vAlign w:val="bottom"/>
            <w:gridSpan w:val="4"/>
          </w:tcPr>
          <w:p>
            <w:pPr>
              <w:ind w:left="102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74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gridSpan w:val="2"/>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800" w:type="dxa"/>
            <w:vAlign w:val="bottom"/>
            <w:tcBorders>
              <w:bottom w:val="single" w:sz="8" w:color="auto"/>
            </w:tcBorders>
            <w:gridSpan w:val="2"/>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9"/>
        </w:trPr>
        <w:tc>
          <w:tcPr>
            <w:tcW w:w="27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540" w:type="dxa"/>
            <w:vAlign w:val="bottom"/>
            <w:gridSpan w:val="2"/>
          </w:tcPr>
          <w:p>
            <w:pPr>
              <w:ind w:left="260"/>
              <w:spacing w:after="0"/>
              <w:rPr>
                <w:sz w:val="20"/>
                <w:szCs w:val="20"/>
                <w:color w:val="auto"/>
              </w:rPr>
            </w:pPr>
            <w:r>
              <w:rPr>
                <w:rFonts w:ascii="Arial" w:cs="Arial" w:eastAsia="Arial" w:hAnsi="Arial"/>
                <w:sz w:val="16"/>
                <w:szCs w:val="16"/>
                <w:b w:val="1"/>
                <w:bCs w:val="1"/>
                <w:color w:val="auto"/>
              </w:rPr>
              <w:t>May 2,</w:t>
            </w:r>
          </w:p>
        </w:tc>
        <w:tc>
          <w:tcPr>
            <w:tcW w:w="120" w:type="dxa"/>
            <w:vAlign w:val="bottom"/>
          </w:tcPr>
          <w:p>
            <w:pPr>
              <w:spacing w:after="0"/>
              <w:rPr>
                <w:sz w:val="18"/>
                <w:szCs w:val="18"/>
                <w:color w:val="auto"/>
              </w:rPr>
            </w:pPr>
          </w:p>
        </w:tc>
        <w:tc>
          <w:tcPr>
            <w:tcW w:w="18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5"/>
              </w:rPr>
              <w:t>February 1,</w:t>
            </w:r>
          </w:p>
        </w:tc>
        <w:tc>
          <w:tcPr>
            <w:tcW w:w="380" w:type="dxa"/>
            <w:vAlign w:val="bottom"/>
          </w:tcPr>
          <w:p>
            <w:pPr>
              <w:spacing w:after="0"/>
              <w:rPr>
                <w:sz w:val="18"/>
                <w:szCs w:val="18"/>
                <w:color w:val="auto"/>
              </w:rPr>
            </w:pPr>
          </w:p>
        </w:tc>
        <w:tc>
          <w:tcPr>
            <w:tcW w:w="1500" w:type="dxa"/>
            <w:vAlign w:val="bottom"/>
            <w:gridSpan w:val="2"/>
          </w:tcPr>
          <w:p>
            <w:pPr>
              <w:ind w:left="260"/>
              <w:spacing w:after="0"/>
              <w:rPr>
                <w:sz w:val="20"/>
                <w:szCs w:val="20"/>
                <w:color w:val="auto"/>
              </w:rPr>
            </w:pPr>
            <w:r>
              <w:rPr>
                <w:rFonts w:ascii="Arial" w:cs="Arial" w:eastAsia="Arial" w:hAnsi="Arial"/>
                <w:sz w:val="16"/>
                <w:szCs w:val="16"/>
                <w:b w:val="1"/>
                <w:bCs w:val="1"/>
                <w:color w:val="auto"/>
              </w:rPr>
              <w:t>May 4,</w:t>
            </w:r>
          </w:p>
        </w:tc>
        <w:tc>
          <w:tcPr>
            <w:tcW w:w="1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27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380" w:type="dxa"/>
            <w:vAlign w:val="bottom"/>
          </w:tcPr>
          <w:p>
            <w:pPr>
              <w:jc w:val="right"/>
              <w:ind w:right="639"/>
              <w:spacing w:after="0"/>
              <w:rPr>
                <w:sz w:val="20"/>
                <w:szCs w:val="20"/>
                <w:color w:val="auto"/>
              </w:rPr>
            </w:pPr>
            <w:r>
              <w:rPr>
                <w:rFonts w:ascii="Arial" w:cs="Arial" w:eastAsia="Arial" w:hAnsi="Arial"/>
                <w:sz w:val="16"/>
                <w:szCs w:val="16"/>
                <w:b w:val="1"/>
                <w:bCs w:val="1"/>
                <w:color w:val="auto"/>
              </w:rPr>
              <w:t>2020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40" w:type="dxa"/>
            <w:vAlign w:val="bottom"/>
          </w:tcPr>
          <w:p>
            <w:pPr>
              <w:jc w:val="center"/>
              <w:ind w:right="39"/>
              <w:spacing w:after="0"/>
              <w:rPr>
                <w:sz w:val="20"/>
                <w:szCs w:val="20"/>
                <w:color w:val="auto"/>
              </w:rPr>
            </w:pPr>
            <w:r>
              <w:rPr>
                <w:rFonts w:ascii="Arial" w:cs="Arial" w:eastAsia="Arial" w:hAnsi="Arial"/>
                <w:sz w:val="16"/>
                <w:szCs w:val="16"/>
                <w:b w:val="1"/>
                <w:bCs w:val="1"/>
                <w:color w:val="auto"/>
                <w:w w:val="89"/>
              </w:rPr>
              <w:t>2020</w:t>
            </w:r>
          </w:p>
        </w:tc>
        <w:tc>
          <w:tcPr>
            <w:tcW w:w="1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0" w:type="dxa"/>
            <w:vAlign w:val="bottom"/>
          </w:tcPr>
          <w:p>
            <w:pPr>
              <w:jc w:val="right"/>
              <w:ind w:right="659"/>
              <w:spacing w:after="0"/>
              <w:rPr>
                <w:sz w:val="20"/>
                <w:szCs w:val="20"/>
                <w:color w:val="auto"/>
              </w:rPr>
            </w:pPr>
            <w:r>
              <w:rPr>
                <w:rFonts w:ascii="Arial" w:cs="Arial" w:eastAsia="Arial" w:hAnsi="Arial"/>
                <w:sz w:val="16"/>
                <w:szCs w:val="16"/>
                <w:b w:val="1"/>
                <w:bCs w:val="1"/>
                <w:color w:val="auto"/>
              </w:rPr>
              <w:t>2019</w:t>
            </w:r>
          </w:p>
        </w:tc>
        <w:tc>
          <w:tcPr>
            <w:tcW w:w="100" w:type="dxa"/>
            <w:vAlign w:val="bottom"/>
          </w:tcPr>
          <w:p>
            <w:pPr>
              <w:spacing w:after="0"/>
              <w:rPr>
                <w:sz w:val="18"/>
                <w:szCs w:val="18"/>
                <w:color w:val="auto"/>
              </w:rPr>
            </w:pPr>
          </w:p>
        </w:tc>
        <w:tc>
          <w:tcPr>
            <w:tcW w:w="1120" w:type="dxa"/>
            <w:vAlign w:val="bottom"/>
          </w:tcPr>
          <w:p>
            <w:pPr>
              <w:jc w:val="right"/>
              <w:ind w:right="239"/>
              <w:spacing w:after="0"/>
              <w:rPr>
                <w:sz w:val="20"/>
                <w:szCs w:val="20"/>
                <w:color w:val="auto"/>
              </w:rPr>
            </w:pPr>
            <w:r>
              <w:rPr>
                <w:rFonts w:ascii="Arial" w:cs="Arial" w:eastAsia="Arial" w:hAnsi="Arial"/>
                <w:sz w:val="16"/>
                <w:szCs w:val="16"/>
                <w:b w:val="1"/>
                <w:bCs w:val="1"/>
                <w:color w:val="auto"/>
              </w:rPr>
              <w:t>YoY</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20" w:type="dxa"/>
            <w:vAlign w:val="bottom"/>
          </w:tcPr>
          <w:p>
            <w:pPr>
              <w:jc w:val="right"/>
              <w:ind w:right="399"/>
              <w:spacing w:after="0"/>
              <w:rPr>
                <w:sz w:val="20"/>
                <w:szCs w:val="20"/>
                <w:color w:val="auto"/>
              </w:rPr>
            </w:pPr>
            <w:r>
              <w:rPr>
                <w:rFonts w:ascii="Arial" w:cs="Arial" w:eastAsia="Arial" w:hAnsi="Arial"/>
                <w:sz w:val="16"/>
                <w:szCs w:val="16"/>
                <w:b w:val="1"/>
                <w:bCs w:val="1"/>
                <w:color w:val="auto"/>
              </w:rPr>
              <w:t>QoQ</w:t>
            </w:r>
          </w:p>
        </w:tc>
      </w:tr>
      <w:tr>
        <w:trPr>
          <w:trHeight w:val="33"/>
        </w:trPr>
        <w:tc>
          <w:tcPr>
            <w:tcW w:w="27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50"/>
        </w:trPr>
        <w:tc>
          <w:tcPr>
            <w:tcW w:w="2740" w:type="dxa"/>
            <w:vAlign w:val="bottom"/>
            <w:shd w:val="clear" w:color="auto" w:fill="CCEEFF"/>
          </w:tcPr>
          <w:p>
            <w:pPr>
              <w:ind w:left="2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(1)</w:t>
            </w:r>
          </w:p>
        </w:tc>
        <w:tc>
          <w:tcPr>
            <w:tcW w:w="380" w:type="dxa"/>
            <w:vAlign w:val="bottom"/>
            <w:shd w:val="clear" w:color="auto" w:fill="CCEEFF"/>
          </w:tcPr>
          <w:p>
            <w:pPr>
              <w:jc w:val="right"/>
              <w:ind w:right="199"/>
              <w:spacing w:after="0"/>
              <w:rPr>
                <w:sz w:val="20"/>
                <w:szCs w:val="20"/>
                <w:color w:val="auto"/>
              </w:rPr>
            </w:pPr>
            <w:r>
              <w:rPr>
                <w:rFonts w:ascii="Arial" w:cs="Arial" w:eastAsia="Arial" w:hAnsi="Arial"/>
                <w:sz w:val="16"/>
                <w:szCs w:val="16"/>
                <w:color w:val="auto"/>
                <w:w w:val="89"/>
              </w:rPr>
              <w:t>$</w:t>
            </w:r>
          </w:p>
        </w:tc>
        <w:tc>
          <w:tcPr>
            <w:tcW w:w="138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393,920</w:t>
            </w:r>
          </w:p>
        </w:tc>
        <w:tc>
          <w:tcPr>
            <w:tcW w:w="160" w:type="dxa"/>
            <w:vAlign w:val="bottom"/>
            <w:shd w:val="clear" w:color="auto" w:fill="CCEEFF"/>
          </w:tcPr>
          <w:p>
            <w:pPr>
              <w:spacing w:after="0"/>
              <w:rPr>
                <w:sz w:val="21"/>
                <w:szCs w:val="21"/>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4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376,724</w:t>
            </w:r>
          </w:p>
        </w:tc>
        <w:tc>
          <w:tcPr>
            <w:tcW w:w="160" w:type="dxa"/>
            <w:vAlign w:val="bottom"/>
            <w:shd w:val="clear" w:color="auto" w:fill="CCEEFF"/>
          </w:tcPr>
          <w:p>
            <w:pPr>
              <w:spacing w:after="0"/>
              <w:rPr>
                <w:sz w:val="21"/>
                <w:szCs w:val="21"/>
                <w:color w:val="auto"/>
              </w:rPr>
            </w:pPr>
          </w:p>
        </w:tc>
        <w:tc>
          <w:tcPr>
            <w:tcW w:w="380" w:type="dxa"/>
            <w:vAlign w:val="bottom"/>
            <w:shd w:val="clear" w:color="auto" w:fill="CCEEFF"/>
          </w:tcPr>
          <w:p>
            <w:pPr>
              <w:jc w:val="right"/>
              <w:ind w:right="199"/>
              <w:spacing w:after="0"/>
              <w:rPr>
                <w:sz w:val="20"/>
                <w:szCs w:val="20"/>
                <w:color w:val="auto"/>
              </w:rPr>
            </w:pPr>
            <w:r>
              <w:rPr>
                <w:rFonts w:ascii="Arial" w:cs="Arial" w:eastAsia="Arial" w:hAnsi="Arial"/>
                <w:sz w:val="16"/>
                <w:szCs w:val="16"/>
                <w:color w:val="auto"/>
                <w:w w:val="89"/>
              </w:rPr>
              <w:t>$</w:t>
            </w:r>
          </w:p>
        </w:tc>
        <w:tc>
          <w:tcPr>
            <w:tcW w:w="1400" w:type="dxa"/>
            <w:vAlign w:val="bottom"/>
            <w:shd w:val="clear" w:color="auto" w:fill="CCEEFF"/>
          </w:tcPr>
          <w:p>
            <w:pPr>
              <w:jc w:val="right"/>
              <w:ind w:right="79"/>
              <w:spacing w:after="0"/>
              <w:rPr>
                <w:sz w:val="20"/>
                <w:szCs w:val="20"/>
                <w:color w:val="auto"/>
              </w:rPr>
            </w:pPr>
            <w:r>
              <w:rPr>
                <w:rFonts w:ascii="Arial" w:cs="Arial" w:eastAsia="Arial" w:hAnsi="Arial"/>
                <w:sz w:val="16"/>
                <w:szCs w:val="16"/>
                <w:color w:val="auto"/>
              </w:rPr>
              <w:t>341,344</w:t>
            </w:r>
          </w:p>
        </w:tc>
        <w:tc>
          <w:tcPr>
            <w:tcW w:w="100" w:type="dxa"/>
            <w:vAlign w:val="bottom"/>
            <w:shd w:val="clear" w:color="auto" w:fill="CCEEFF"/>
          </w:tcPr>
          <w:p>
            <w:pPr>
              <w:spacing w:after="0"/>
              <w:rPr>
                <w:sz w:val="21"/>
                <w:szCs w:val="21"/>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w:t>
            </w:r>
          </w:p>
        </w:tc>
        <w:tc>
          <w:tcPr>
            <w:tcW w:w="1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21"/>
                <w:szCs w:val="21"/>
                <w:color w:val="auto"/>
              </w:rPr>
            </w:pPr>
          </w:p>
        </w:tc>
        <w:tc>
          <w:tcPr>
            <w:tcW w:w="380" w:type="dxa"/>
            <w:vAlign w:val="bottom"/>
            <w:shd w:val="clear" w:color="auto" w:fill="CCEEFF"/>
          </w:tcPr>
          <w:p>
            <w:pPr>
              <w:spacing w:after="0"/>
              <w:rPr>
                <w:sz w:val="21"/>
                <w:szCs w:val="21"/>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5 %</w:t>
            </w:r>
          </w:p>
        </w:tc>
      </w:tr>
      <w:tr>
        <w:trPr>
          <w:trHeight w:val="254"/>
        </w:trPr>
        <w:tc>
          <w:tcPr>
            <w:tcW w:w="274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(2)</w:t>
            </w:r>
          </w:p>
        </w:tc>
        <w:tc>
          <w:tcPr>
            <w:tcW w:w="380" w:type="dxa"/>
            <w:vAlign w:val="bottom"/>
            <w:tcBorders>
              <w:bottom w:val="single" w:sz="8" w:color="auto"/>
            </w:tcBorders>
          </w:tcPr>
          <w:p>
            <w:pPr>
              <w:spacing w:after="0"/>
              <w:rPr>
                <w:sz w:val="22"/>
                <w:szCs w:val="22"/>
                <w:color w:val="auto"/>
              </w:rPr>
            </w:pPr>
          </w:p>
        </w:tc>
        <w:tc>
          <w:tcPr>
            <w:tcW w:w="1380" w:type="dxa"/>
            <w:vAlign w:val="bottom"/>
            <w:tcBorders>
              <w:bottom w:val="single" w:sz="8" w:color="auto"/>
            </w:tcBorders>
          </w:tcPr>
          <w:p>
            <w:pPr>
              <w:jc w:val="right"/>
              <w:ind w:right="59"/>
              <w:spacing w:after="0"/>
              <w:rPr>
                <w:sz w:val="20"/>
                <w:szCs w:val="20"/>
                <w:color w:val="auto"/>
              </w:rPr>
            </w:pPr>
            <w:r>
              <w:rPr>
                <w:rFonts w:ascii="Arial" w:cs="Arial" w:eastAsia="Arial" w:hAnsi="Arial"/>
                <w:sz w:val="16"/>
                <w:szCs w:val="16"/>
                <w:color w:val="auto"/>
              </w:rPr>
              <w:t>258,688</w:t>
            </w:r>
          </w:p>
        </w:tc>
        <w:tc>
          <w:tcPr>
            <w:tcW w:w="16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640" w:type="dxa"/>
            <w:vAlign w:val="bottom"/>
            <w:tcBorders>
              <w:bottom w:val="single" w:sz="8" w:color="auto"/>
            </w:tcBorders>
          </w:tcPr>
          <w:p>
            <w:pPr>
              <w:jc w:val="right"/>
              <w:ind w:right="59"/>
              <w:spacing w:after="0"/>
              <w:rPr>
                <w:sz w:val="20"/>
                <w:szCs w:val="20"/>
                <w:color w:val="auto"/>
              </w:rPr>
            </w:pPr>
            <w:r>
              <w:rPr>
                <w:rFonts w:ascii="Arial" w:cs="Arial" w:eastAsia="Arial" w:hAnsi="Arial"/>
                <w:sz w:val="16"/>
                <w:szCs w:val="16"/>
                <w:color w:val="auto"/>
              </w:rPr>
              <w:t>296,486</w:t>
            </w:r>
          </w:p>
        </w:tc>
        <w:tc>
          <w:tcPr>
            <w:tcW w:w="160" w:type="dxa"/>
            <w:vAlign w:val="bottom"/>
            <w:tcBorders>
              <w:bottom w:val="single" w:sz="8" w:color="CCEEFF"/>
            </w:tcBorders>
          </w:tcPr>
          <w:p>
            <w:pPr>
              <w:spacing w:after="0"/>
              <w:rPr>
                <w:sz w:val="22"/>
                <w:szCs w:val="22"/>
                <w:color w:val="auto"/>
              </w:rPr>
            </w:pPr>
          </w:p>
        </w:tc>
        <w:tc>
          <w:tcPr>
            <w:tcW w:w="38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79"/>
              <w:spacing w:after="0"/>
              <w:rPr>
                <w:sz w:val="20"/>
                <w:szCs w:val="20"/>
                <w:color w:val="auto"/>
              </w:rPr>
            </w:pPr>
            <w:r>
              <w:rPr>
                <w:rFonts w:ascii="Arial" w:cs="Arial" w:eastAsia="Arial" w:hAnsi="Arial"/>
                <w:sz w:val="16"/>
                <w:szCs w:val="16"/>
                <w:color w:val="auto"/>
              </w:rPr>
              <w:t>278,667</w:t>
            </w:r>
          </w:p>
        </w:tc>
        <w:tc>
          <w:tcPr>
            <w:tcW w:w="100" w:type="dxa"/>
            <w:vAlign w:val="bottom"/>
            <w:tcBorders>
              <w:bottom w:val="single" w:sz="8" w:color="CCEEFF"/>
            </w:tcBorders>
          </w:tcPr>
          <w:p>
            <w:pPr>
              <w:spacing w:after="0"/>
              <w:rPr>
                <w:sz w:val="22"/>
                <w:szCs w:val="22"/>
                <w:color w:val="auto"/>
              </w:rPr>
            </w:pPr>
          </w:p>
        </w:tc>
        <w:tc>
          <w:tcPr>
            <w:tcW w:w="1300" w:type="dxa"/>
            <w:vAlign w:val="bottom"/>
            <w:tcBorders>
              <w:bottom w:val="single" w:sz="8" w:color="auto"/>
            </w:tcBorders>
            <w:gridSpan w:val="2"/>
          </w:tcPr>
          <w:p>
            <w:pPr>
              <w:jc w:val="right"/>
              <w:spacing w:after="0"/>
              <w:rPr>
                <w:sz w:val="20"/>
                <w:szCs w:val="20"/>
                <w:color w:val="auto"/>
              </w:rPr>
            </w:pPr>
            <w:r>
              <w:rPr>
                <w:rFonts w:ascii="Arial" w:cs="Arial" w:eastAsia="Arial" w:hAnsi="Arial"/>
                <w:sz w:val="16"/>
                <w:szCs w:val="16"/>
                <w:color w:val="auto"/>
              </w:rPr>
              <w:t>(7) %</w:t>
            </w:r>
          </w:p>
        </w:tc>
        <w:tc>
          <w:tcPr>
            <w:tcW w:w="180" w:type="dxa"/>
            <w:vAlign w:val="bottom"/>
            <w:tcBorders>
              <w:bottom w:val="single" w:sz="8" w:color="CCEEFF"/>
            </w:tcBorders>
          </w:tcPr>
          <w:p>
            <w:pPr>
              <w:spacing w:after="0"/>
              <w:rPr>
                <w:sz w:val="22"/>
                <w:szCs w:val="22"/>
                <w:color w:val="auto"/>
              </w:rPr>
            </w:pPr>
          </w:p>
        </w:tc>
        <w:tc>
          <w:tcPr>
            <w:tcW w:w="380" w:type="dxa"/>
            <w:vAlign w:val="bottom"/>
            <w:tcBorders>
              <w:bottom w:val="single" w:sz="8" w:color="auto"/>
            </w:tcBorders>
          </w:tcPr>
          <w:p>
            <w:pPr>
              <w:spacing w:after="0"/>
              <w:rPr>
                <w:sz w:val="22"/>
                <w:szCs w:val="22"/>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(13) %</w:t>
            </w:r>
          </w:p>
        </w:tc>
      </w:tr>
      <w:tr>
        <w:trPr>
          <w:trHeight w:val="233"/>
        </w:trPr>
        <w:tc>
          <w:tcPr>
            <w:tcW w:w="274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380" w:type="dxa"/>
            <w:vAlign w:val="bottom"/>
            <w:tcBorders>
              <w:bottom w:val="single" w:sz="8" w:color="CCEEFF"/>
            </w:tcBorders>
            <w:shd w:val="clear" w:color="auto" w:fill="CCEEFF"/>
          </w:tcPr>
          <w:p>
            <w:pPr>
              <w:spacing w:after="0"/>
              <w:rPr>
                <w:sz w:val="20"/>
                <w:szCs w:val="20"/>
                <w:color w:val="auto"/>
              </w:rPr>
            </w:pPr>
          </w:p>
        </w:tc>
        <w:tc>
          <w:tcPr>
            <w:tcW w:w="138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652,608</w:t>
            </w:r>
          </w:p>
        </w:tc>
        <w:tc>
          <w:tcPr>
            <w:tcW w:w="1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6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673,210</w:t>
            </w:r>
          </w:p>
        </w:tc>
        <w:tc>
          <w:tcPr>
            <w:tcW w:w="16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620,011</w:t>
            </w:r>
          </w:p>
        </w:tc>
        <w:tc>
          <w:tcPr>
            <w:tcW w:w="10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 %</w:t>
            </w:r>
          </w:p>
        </w:tc>
      </w:tr>
      <w:tr>
        <w:trPr>
          <w:trHeight w:val="253"/>
        </w:trPr>
        <w:tc>
          <w:tcPr>
            <w:tcW w:w="274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380" w:type="dxa"/>
            <w:vAlign w:val="bottom"/>
            <w:tcBorders>
              <w:bottom w:val="single" w:sz="8" w:color="auto"/>
            </w:tcBorders>
          </w:tcPr>
          <w:p>
            <w:pPr>
              <w:spacing w:after="0"/>
              <w:rPr>
                <w:sz w:val="22"/>
                <w:szCs w:val="22"/>
                <w:color w:val="auto"/>
              </w:rPr>
            </w:pPr>
          </w:p>
        </w:tc>
        <w:tc>
          <w:tcPr>
            <w:tcW w:w="1380" w:type="dxa"/>
            <w:vAlign w:val="bottom"/>
            <w:tcBorders>
              <w:bottom w:val="single" w:sz="8" w:color="auto"/>
            </w:tcBorders>
          </w:tcPr>
          <w:p>
            <w:pPr>
              <w:jc w:val="right"/>
              <w:ind w:right="59"/>
              <w:spacing w:after="0"/>
              <w:rPr>
                <w:sz w:val="20"/>
                <w:szCs w:val="20"/>
                <w:color w:val="auto"/>
              </w:rPr>
            </w:pPr>
            <w:r>
              <w:rPr>
                <w:rFonts w:ascii="Arial" w:cs="Arial" w:eastAsia="Arial" w:hAnsi="Arial"/>
                <w:sz w:val="16"/>
                <w:szCs w:val="16"/>
                <w:color w:val="auto"/>
              </w:rPr>
              <w:t>41,033</w:t>
            </w:r>
          </w:p>
        </w:tc>
        <w:tc>
          <w:tcPr>
            <w:tcW w:w="16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640" w:type="dxa"/>
            <w:vAlign w:val="bottom"/>
            <w:tcBorders>
              <w:bottom w:val="single" w:sz="8" w:color="auto"/>
            </w:tcBorders>
          </w:tcPr>
          <w:p>
            <w:pPr>
              <w:jc w:val="right"/>
              <w:ind w:right="59"/>
              <w:spacing w:after="0"/>
              <w:rPr>
                <w:sz w:val="20"/>
                <w:szCs w:val="20"/>
                <w:color w:val="auto"/>
              </w:rPr>
            </w:pPr>
            <w:r>
              <w:rPr>
                <w:rFonts w:ascii="Arial" w:cs="Arial" w:eastAsia="Arial" w:hAnsi="Arial"/>
                <w:sz w:val="16"/>
                <w:szCs w:val="16"/>
                <w:color w:val="auto"/>
              </w:rPr>
              <w:t>44,461</w:t>
            </w:r>
          </w:p>
        </w:tc>
        <w:tc>
          <w:tcPr>
            <w:tcW w:w="160" w:type="dxa"/>
            <w:vAlign w:val="bottom"/>
            <w:tcBorders>
              <w:bottom w:val="single" w:sz="8" w:color="CCEEFF"/>
            </w:tcBorders>
          </w:tcPr>
          <w:p>
            <w:pPr>
              <w:spacing w:after="0"/>
              <w:rPr>
                <w:sz w:val="22"/>
                <w:szCs w:val="22"/>
                <w:color w:val="auto"/>
              </w:rPr>
            </w:pPr>
          </w:p>
        </w:tc>
        <w:tc>
          <w:tcPr>
            <w:tcW w:w="380" w:type="dxa"/>
            <w:vAlign w:val="bottom"/>
            <w:tcBorders>
              <w:bottom w:val="single" w:sz="8" w:color="auto"/>
            </w:tcBorders>
          </w:tcPr>
          <w:p>
            <w:pPr>
              <w:spacing w:after="0"/>
              <w:rPr>
                <w:sz w:val="22"/>
                <w:szCs w:val="22"/>
                <w:color w:val="auto"/>
              </w:rPr>
            </w:pPr>
          </w:p>
        </w:tc>
        <w:tc>
          <w:tcPr>
            <w:tcW w:w="1400" w:type="dxa"/>
            <w:vAlign w:val="bottom"/>
            <w:tcBorders>
              <w:bottom w:val="single" w:sz="8" w:color="auto"/>
            </w:tcBorders>
          </w:tcPr>
          <w:p>
            <w:pPr>
              <w:jc w:val="right"/>
              <w:ind w:right="79"/>
              <w:spacing w:after="0"/>
              <w:rPr>
                <w:sz w:val="20"/>
                <w:szCs w:val="20"/>
                <w:color w:val="auto"/>
              </w:rPr>
            </w:pPr>
            <w:r>
              <w:rPr>
                <w:rFonts w:ascii="Arial" w:cs="Arial" w:eastAsia="Arial" w:hAnsi="Arial"/>
                <w:sz w:val="16"/>
                <w:szCs w:val="16"/>
                <w:color w:val="auto"/>
              </w:rPr>
              <w:t>42,441</w:t>
            </w:r>
          </w:p>
        </w:tc>
        <w:tc>
          <w:tcPr>
            <w:tcW w:w="100" w:type="dxa"/>
            <w:vAlign w:val="bottom"/>
            <w:tcBorders>
              <w:bottom w:val="single" w:sz="8" w:color="CCEEFF"/>
            </w:tcBorders>
          </w:tcPr>
          <w:p>
            <w:pPr>
              <w:spacing w:after="0"/>
              <w:rPr>
                <w:sz w:val="22"/>
                <w:szCs w:val="22"/>
                <w:color w:val="auto"/>
              </w:rPr>
            </w:pPr>
          </w:p>
        </w:tc>
        <w:tc>
          <w:tcPr>
            <w:tcW w:w="1300" w:type="dxa"/>
            <w:vAlign w:val="bottom"/>
            <w:tcBorders>
              <w:bottom w:val="single" w:sz="8" w:color="auto"/>
            </w:tcBorders>
            <w:gridSpan w:val="2"/>
          </w:tcPr>
          <w:p>
            <w:pPr>
              <w:jc w:val="right"/>
              <w:spacing w:after="0"/>
              <w:rPr>
                <w:sz w:val="20"/>
                <w:szCs w:val="20"/>
                <w:color w:val="auto"/>
              </w:rPr>
            </w:pPr>
            <w:r>
              <w:rPr>
                <w:rFonts w:ascii="Arial" w:cs="Arial" w:eastAsia="Arial" w:hAnsi="Arial"/>
                <w:sz w:val="16"/>
                <w:szCs w:val="16"/>
                <w:color w:val="auto"/>
              </w:rPr>
              <w:t>(3) %</w:t>
            </w:r>
          </w:p>
        </w:tc>
        <w:tc>
          <w:tcPr>
            <w:tcW w:w="180" w:type="dxa"/>
            <w:vAlign w:val="bottom"/>
            <w:tcBorders>
              <w:bottom w:val="single" w:sz="8" w:color="CCEEFF"/>
            </w:tcBorders>
          </w:tcPr>
          <w:p>
            <w:pPr>
              <w:spacing w:after="0"/>
              <w:rPr>
                <w:sz w:val="22"/>
                <w:szCs w:val="22"/>
                <w:color w:val="auto"/>
              </w:rPr>
            </w:pPr>
          </w:p>
        </w:tc>
        <w:tc>
          <w:tcPr>
            <w:tcW w:w="380" w:type="dxa"/>
            <w:vAlign w:val="bottom"/>
            <w:tcBorders>
              <w:bottom w:val="single" w:sz="8" w:color="auto"/>
            </w:tcBorders>
          </w:tcPr>
          <w:p>
            <w:pPr>
              <w:spacing w:after="0"/>
              <w:rPr>
                <w:sz w:val="22"/>
                <w:szCs w:val="22"/>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 %</w:t>
            </w:r>
          </w:p>
        </w:tc>
      </w:tr>
      <w:tr>
        <w:trPr>
          <w:trHeight w:val="275"/>
        </w:trPr>
        <w:tc>
          <w:tcPr>
            <w:tcW w:w="2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Revenue</w:t>
            </w:r>
          </w:p>
        </w:tc>
        <w:tc>
          <w:tcPr>
            <w:tcW w:w="380" w:type="dxa"/>
            <w:vAlign w:val="bottom"/>
            <w:tcBorders>
              <w:bottom w:val="single" w:sz="8" w:color="auto"/>
            </w:tcBorders>
            <w:shd w:val="clear" w:color="auto" w:fill="CCEEFF"/>
          </w:tcPr>
          <w:p>
            <w:pPr>
              <w:jc w:val="right"/>
              <w:ind w:right="199"/>
              <w:spacing w:after="0"/>
              <w:rPr>
                <w:sz w:val="20"/>
                <w:szCs w:val="20"/>
                <w:color w:val="auto"/>
              </w:rPr>
            </w:pPr>
            <w:r>
              <w:rPr>
                <w:rFonts w:ascii="Arial" w:cs="Arial" w:eastAsia="Arial" w:hAnsi="Arial"/>
                <w:sz w:val="16"/>
                <w:szCs w:val="16"/>
                <w:color w:val="auto"/>
                <w:w w:val="89"/>
              </w:rPr>
              <w:t>$</w:t>
            </w:r>
          </w:p>
        </w:tc>
        <w:tc>
          <w:tcPr>
            <w:tcW w:w="1380" w:type="dxa"/>
            <w:vAlign w:val="bottom"/>
            <w:tcBorders>
              <w:bottom w:val="single" w:sz="8" w:color="auto"/>
            </w:tcBorders>
            <w:shd w:val="clear" w:color="auto" w:fill="CCEEFF"/>
          </w:tcPr>
          <w:p>
            <w:pPr>
              <w:jc w:val="right"/>
              <w:ind w:right="59"/>
              <w:spacing w:after="0"/>
              <w:rPr>
                <w:sz w:val="20"/>
                <w:szCs w:val="20"/>
                <w:color w:val="auto"/>
              </w:rPr>
            </w:pPr>
            <w:r>
              <w:rPr>
                <w:rFonts w:ascii="Arial" w:cs="Arial" w:eastAsia="Arial" w:hAnsi="Arial"/>
                <w:sz w:val="16"/>
                <w:szCs w:val="16"/>
                <w:color w:val="auto"/>
              </w:rPr>
              <w:t>693,641</w:t>
            </w:r>
          </w:p>
        </w:tc>
        <w:tc>
          <w:tcPr>
            <w:tcW w:w="16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40" w:type="dxa"/>
            <w:vAlign w:val="bottom"/>
            <w:tcBorders>
              <w:bottom w:val="single" w:sz="8" w:color="auto"/>
            </w:tcBorders>
            <w:shd w:val="clear" w:color="auto" w:fill="CCEEFF"/>
          </w:tcPr>
          <w:p>
            <w:pPr>
              <w:jc w:val="right"/>
              <w:ind w:right="59"/>
              <w:spacing w:after="0"/>
              <w:rPr>
                <w:sz w:val="20"/>
                <w:szCs w:val="20"/>
                <w:color w:val="auto"/>
              </w:rPr>
            </w:pPr>
            <w:r>
              <w:rPr>
                <w:rFonts w:ascii="Arial" w:cs="Arial" w:eastAsia="Arial" w:hAnsi="Arial"/>
                <w:sz w:val="16"/>
                <w:szCs w:val="16"/>
                <w:color w:val="auto"/>
              </w:rPr>
              <w:t>717,671</w:t>
            </w:r>
          </w:p>
        </w:tc>
        <w:tc>
          <w:tcPr>
            <w:tcW w:w="16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auto"/>
            </w:tcBorders>
            <w:shd w:val="clear" w:color="auto" w:fill="CCEEFF"/>
          </w:tcPr>
          <w:p>
            <w:pPr>
              <w:jc w:val="right"/>
              <w:ind w:right="199"/>
              <w:spacing w:after="0"/>
              <w:rPr>
                <w:sz w:val="20"/>
                <w:szCs w:val="20"/>
                <w:color w:val="auto"/>
              </w:rPr>
            </w:pPr>
            <w:r>
              <w:rPr>
                <w:rFonts w:ascii="Arial" w:cs="Arial" w:eastAsia="Arial" w:hAnsi="Arial"/>
                <w:sz w:val="16"/>
                <w:szCs w:val="16"/>
                <w:color w:val="auto"/>
                <w:w w:val="89"/>
              </w:rPr>
              <w:t>$</w:t>
            </w:r>
          </w:p>
        </w:tc>
        <w:tc>
          <w:tcPr>
            <w:tcW w:w="1400" w:type="dxa"/>
            <w:vAlign w:val="bottom"/>
            <w:tcBorders>
              <w:bottom w:val="single" w:sz="8" w:color="auto"/>
            </w:tcBorders>
            <w:shd w:val="clear" w:color="auto" w:fill="CCEEFF"/>
          </w:tcPr>
          <w:p>
            <w:pPr>
              <w:jc w:val="right"/>
              <w:ind w:right="79"/>
              <w:spacing w:after="0"/>
              <w:rPr>
                <w:sz w:val="20"/>
                <w:szCs w:val="20"/>
                <w:color w:val="auto"/>
              </w:rPr>
            </w:pPr>
            <w:r>
              <w:rPr>
                <w:rFonts w:ascii="Arial" w:cs="Arial" w:eastAsia="Arial" w:hAnsi="Arial"/>
                <w:sz w:val="16"/>
                <w:szCs w:val="16"/>
                <w:color w:val="auto"/>
              </w:rPr>
              <w:t>662,452</w:t>
            </w:r>
          </w:p>
        </w:tc>
        <w:tc>
          <w:tcPr>
            <w:tcW w:w="1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auto"/>
            </w:tcBorders>
            <w:shd w:val="clear" w:color="auto" w:fill="CCEEFF"/>
          </w:tcPr>
          <w:p>
            <w:pPr>
              <w:spacing w:after="0"/>
              <w:rPr>
                <w:sz w:val="23"/>
                <w:szCs w:val="23"/>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 %</w:t>
            </w:r>
          </w:p>
        </w:tc>
      </w:tr>
      <w:tr>
        <w:trPr>
          <w:trHeight w:val="20"/>
        </w:trPr>
        <w:tc>
          <w:tcPr>
            <w:tcW w:w="27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6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tbl>
      <w:tblPr>
        <w:tblLayout w:type="fixed"/>
        <w:tblInd w:w="20" w:type="dxa"/>
        <w:tblCellMar>
          <w:top w:w="0" w:type="dxa"/>
          <w:left w:w="0" w:type="dxa"/>
          <w:bottom w:w="0" w:type="dxa"/>
          <w:right w:w="0" w:type="dxa"/>
        </w:tblCellMar>
      </w:tblPr>
      <w:tr>
        <w:trPr>
          <w:trHeight w:val="210"/>
        </w:trPr>
        <w:tc>
          <w:tcPr>
            <w:tcW w:w="51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120" w:type="dxa"/>
            <w:vAlign w:val="bottom"/>
            <w:gridSpan w:val="2"/>
          </w:tcPr>
          <w:p>
            <w:pPr>
              <w:jc w:val="center"/>
              <w:ind w:right="140"/>
              <w:spacing w:after="0"/>
              <w:rPr>
                <w:sz w:val="20"/>
                <w:szCs w:val="20"/>
                <w:color w:val="auto"/>
              </w:rPr>
            </w:pPr>
            <w:r>
              <w:rPr>
                <w:rFonts w:ascii="Arial" w:cs="Arial" w:eastAsia="Arial" w:hAnsi="Arial"/>
                <w:sz w:val="16"/>
                <w:szCs w:val="16"/>
                <w:b w:val="1"/>
                <w:bCs w:val="1"/>
                <w:color w:val="auto"/>
                <w:w w:val="92"/>
              </w:rPr>
              <w:t>Three Months Ended</w:t>
            </w:r>
          </w:p>
        </w:tc>
        <w:tc>
          <w:tcPr>
            <w:tcW w:w="1920" w:type="dxa"/>
            <w:vAlign w:val="bottom"/>
          </w:tcPr>
          <w:p>
            <w:pPr>
              <w:spacing w:after="0"/>
              <w:rPr>
                <w:sz w:val="18"/>
                <w:szCs w:val="18"/>
                <w:color w:val="auto"/>
              </w:rPr>
            </w:pPr>
          </w:p>
        </w:tc>
      </w:tr>
      <w:tr>
        <w:trPr>
          <w:trHeight w:val="33"/>
        </w:trPr>
        <w:tc>
          <w:tcPr>
            <w:tcW w:w="5100" w:type="dxa"/>
            <w:vAlign w:val="bottom"/>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120" w:type="dxa"/>
            <w:vAlign w:val="bottom"/>
            <w:tcBorders>
              <w:bottom w:val="single" w:sz="8" w:color="auto"/>
            </w:tcBorders>
            <w:gridSpan w:val="2"/>
          </w:tcPr>
          <w:p>
            <w:pPr>
              <w:spacing w:after="0"/>
              <w:rPr>
                <w:sz w:val="2"/>
                <w:szCs w:val="2"/>
                <w:color w:val="auto"/>
              </w:rPr>
            </w:pPr>
          </w:p>
        </w:tc>
        <w:tc>
          <w:tcPr>
            <w:tcW w:w="1920" w:type="dxa"/>
            <w:vAlign w:val="bottom"/>
            <w:tcBorders>
              <w:bottom w:val="single" w:sz="8" w:color="auto"/>
            </w:tcBorders>
          </w:tcPr>
          <w:p>
            <w:pPr>
              <w:spacing w:after="0"/>
              <w:rPr>
                <w:sz w:val="2"/>
                <w:szCs w:val="2"/>
                <w:color w:val="auto"/>
              </w:rPr>
            </w:pPr>
          </w:p>
        </w:tc>
      </w:tr>
      <w:tr>
        <w:trPr>
          <w:trHeight w:val="209"/>
        </w:trPr>
        <w:tc>
          <w:tcPr>
            <w:tcW w:w="5100" w:type="dxa"/>
            <w:vAlign w:val="bottom"/>
          </w:tcPr>
          <w:p>
            <w:pPr>
              <w:spacing w:after="0"/>
              <w:rPr>
                <w:sz w:val="18"/>
                <w:szCs w:val="18"/>
                <w:color w:val="auto"/>
              </w:rPr>
            </w:pPr>
          </w:p>
        </w:tc>
        <w:tc>
          <w:tcPr>
            <w:tcW w:w="1320" w:type="dxa"/>
            <w:vAlign w:val="bottom"/>
          </w:tcPr>
          <w:p>
            <w:pPr>
              <w:jc w:val="center"/>
              <w:ind w:left="499"/>
              <w:spacing w:after="0"/>
              <w:rPr>
                <w:sz w:val="20"/>
                <w:szCs w:val="20"/>
                <w:color w:val="auto"/>
              </w:rPr>
            </w:pPr>
            <w:r>
              <w:rPr>
                <w:rFonts w:ascii="Arial" w:cs="Arial" w:eastAsia="Arial" w:hAnsi="Arial"/>
                <w:sz w:val="16"/>
                <w:szCs w:val="16"/>
                <w:b w:val="1"/>
                <w:bCs w:val="1"/>
                <w:color w:val="auto"/>
                <w:w w:val="93"/>
              </w:rPr>
              <w:t>May 2,</w:t>
            </w: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120" w:type="dxa"/>
            <w:vAlign w:val="bottom"/>
            <w:gridSpan w:val="2"/>
          </w:tcPr>
          <w:p>
            <w:pPr>
              <w:jc w:val="center"/>
              <w:ind w:right="180"/>
              <w:spacing w:after="0"/>
              <w:rPr>
                <w:sz w:val="20"/>
                <w:szCs w:val="20"/>
                <w:color w:val="auto"/>
              </w:rPr>
            </w:pPr>
            <w:r>
              <w:rPr>
                <w:rFonts w:ascii="Arial" w:cs="Arial" w:eastAsia="Arial" w:hAnsi="Arial"/>
                <w:sz w:val="16"/>
                <w:szCs w:val="16"/>
                <w:b w:val="1"/>
                <w:bCs w:val="1"/>
                <w:color w:val="auto"/>
                <w:w w:val="95"/>
              </w:rPr>
              <w:t>February 1,</w:t>
            </w:r>
          </w:p>
        </w:tc>
        <w:tc>
          <w:tcPr>
            <w:tcW w:w="1920" w:type="dxa"/>
            <w:vAlign w:val="bottom"/>
          </w:tcPr>
          <w:p>
            <w:pPr>
              <w:jc w:val="right"/>
              <w:ind w:right="639"/>
              <w:spacing w:after="0"/>
              <w:rPr>
                <w:sz w:val="20"/>
                <w:szCs w:val="20"/>
                <w:color w:val="auto"/>
              </w:rPr>
            </w:pPr>
            <w:r>
              <w:rPr>
                <w:rFonts w:ascii="Arial" w:cs="Arial" w:eastAsia="Arial" w:hAnsi="Arial"/>
                <w:sz w:val="16"/>
                <w:szCs w:val="16"/>
                <w:b w:val="1"/>
                <w:bCs w:val="1"/>
                <w:color w:val="auto"/>
              </w:rPr>
              <w:t>May 4,</w:t>
            </w:r>
          </w:p>
        </w:tc>
      </w:tr>
      <w:tr>
        <w:trPr>
          <w:trHeight w:val="210"/>
        </w:trPr>
        <w:tc>
          <w:tcPr>
            <w:tcW w:w="5100" w:type="dxa"/>
            <w:vAlign w:val="bottom"/>
          </w:tcPr>
          <w:p>
            <w:pPr>
              <w:ind w:left="20"/>
              <w:spacing w:after="0"/>
              <w:rPr>
                <w:sz w:val="20"/>
                <w:szCs w:val="20"/>
                <w:color w:val="auto"/>
              </w:rPr>
            </w:pPr>
            <w:r>
              <w:rPr>
                <w:rFonts w:ascii="Arial" w:cs="Arial" w:eastAsia="Arial" w:hAnsi="Arial"/>
                <w:sz w:val="16"/>
                <w:szCs w:val="16"/>
                <w:b w:val="1"/>
                <w:bCs w:val="1"/>
                <w:color w:val="auto"/>
              </w:rPr>
              <w:t>% of Total</w:t>
            </w:r>
          </w:p>
        </w:tc>
        <w:tc>
          <w:tcPr>
            <w:tcW w:w="1320" w:type="dxa"/>
            <w:vAlign w:val="bottom"/>
          </w:tcPr>
          <w:p>
            <w:pPr>
              <w:jc w:val="right"/>
              <w:ind w:right="119"/>
              <w:spacing w:after="0"/>
              <w:rPr>
                <w:sz w:val="20"/>
                <w:szCs w:val="20"/>
                <w:color w:val="auto"/>
              </w:rPr>
            </w:pPr>
            <w:r>
              <w:rPr>
                <w:rFonts w:ascii="Arial" w:cs="Arial" w:eastAsia="Arial" w:hAnsi="Arial"/>
                <w:sz w:val="16"/>
                <w:szCs w:val="16"/>
                <w:b w:val="1"/>
                <w:bCs w:val="1"/>
                <w:color w:val="auto"/>
              </w:rPr>
              <w:t>2020</w:t>
            </w: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940" w:type="dxa"/>
            <w:vAlign w:val="bottom"/>
          </w:tcPr>
          <w:p>
            <w:pPr>
              <w:jc w:val="center"/>
              <w:spacing w:after="0"/>
              <w:rPr>
                <w:sz w:val="20"/>
                <w:szCs w:val="20"/>
                <w:color w:val="auto"/>
              </w:rPr>
            </w:pPr>
            <w:r>
              <w:rPr>
                <w:rFonts w:ascii="Arial" w:cs="Arial" w:eastAsia="Arial" w:hAnsi="Arial"/>
                <w:sz w:val="16"/>
                <w:szCs w:val="16"/>
                <w:b w:val="1"/>
                <w:bCs w:val="1"/>
                <w:color w:val="auto"/>
                <w:w w:val="89"/>
              </w:rPr>
              <w:t>2020</w:t>
            </w:r>
          </w:p>
        </w:tc>
        <w:tc>
          <w:tcPr>
            <w:tcW w:w="180" w:type="dxa"/>
            <w:vAlign w:val="bottom"/>
          </w:tcPr>
          <w:p>
            <w:pPr>
              <w:spacing w:after="0"/>
              <w:rPr>
                <w:sz w:val="18"/>
                <w:szCs w:val="18"/>
                <w:color w:val="auto"/>
              </w:rPr>
            </w:pPr>
          </w:p>
        </w:tc>
        <w:tc>
          <w:tcPr>
            <w:tcW w:w="1920" w:type="dxa"/>
            <w:vAlign w:val="bottom"/>
          </w:tcPr>
          <w:p>
            <w:pPr>
              <w:jc w:val="right"/>
              <w:ind w:right="699"/>
              <w:spacing w:after="0"/>
              <w:rPr>
                <w:sz w:val="20"/>
                <w:szCs w:val="20"/>
                <w:color w:val="auto"/>
              </w:rPr>
            </w:pPr>
            <w:r>
              <w:rPr>
                <w:rFonts w:ascii="Arial" w:cs="Arial" w:eastAsia="Arial" w:hAnsi="Arial"/>
                <w:sz w:val="16"/>
                <w:szCs w:val="16"/>
                <w:b w:val="1"/>
                <w:bCs w:val="1"/>
                <w:color w:val="auto"/>
              </w:rPr>
              <w:t>2019</w:t>
            </w:r>
          </w:p>
        </w:tc>
      </w:tr>
      <w:tr>
        <w:trPr>
          <w:trHeight w:val="33"/>
        </w:trPr>
        <w:tc>
          <w:tcPr>
            <w:tcW w:w="5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9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920" w:type="dxa"/>
            <w:vAlign w:val="bottom"/>
            <w:tcBorders>
              <w:bottom w:val="single" w:sz="8" w:color="auto"/>
            </w:tcBorders>
          </w:tcPr>
          <w:p>
            <w:pPr>
              <w:spacing w:after="0"/>
              <w:rPr>
                <w:sz w:val="2"/>
                <w:szCs w:val="2"/>
                <w:color w:val="auto"/>
              </w:rPr>
            </w:pPr>
          </w:p>
        </w:tc>
      </w:tr>
      <w:tr>
        <w:trPr>
          <w:trHeight w:val="230"/>
        </w:trPr>
        <w:tc>
          <w:tcPr>
            <w:tcW w:w="510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(1)</w:t>
            </w:r>
          </w:p>
        </w:tc>
        <w:tc>
          <w:tcPr>
            <w:tcW w:w="132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57 %</w:t>
            </w:r>
          </w:p>
        </w:tc>
        <w:tc>
          <w:tcPr>
            <w:tcW w:w="160" w:type="dxa"/>
            <w:vAlign w:val="bottom"/>
            <w:tcBorders>
              <w:bottom w:val="single" w:sz="8" w:color="CCEEFF"/>
            </w:tcBorders>
            <w:shd w:val="clear" w:color="auto" w:fill="CCEEFF"/>
          </w:tcPr>
          <w:p>
            <w:pPr>
              <w:spacing w:after="0"/>
              <w:rPr>
                <w:sz w:val="20"/>
                <w:szCs w:val="20"/>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52 %</w:t>
            </w:r>
          </w:p>
        </w:tc>
        <w:tc>
          <w:tcPr>
            <w:tcW w:w="180" w:type="dxa"/>
            <w:vAlign w:val="bottom"/>
            <w:tcBorders>
              <w:bottom w:val="single" w:sz="8" w:color="CCEEFF"/>
            </w:tcBorders>
            <w:shd w:val="clear" w:color="auto" w:fill="CCEEFF"/>
          </w:tcPr>
          <w:p>
            <w:pPr>
              <w:spacing w:after="0"/>
              <w:rPr>
                <w:sz w:val="20"/>
                <w:szCs w:val="20"/>
                <w:color w:val="auto"/>
              </w:rPr>
            </w:pPr>
          </w:p>
        </w:tc>
        <w:tc>
          <w:tcPr>
            <w:tcW w:w="1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52 %</w:t>
            </w:r>
          </w:p>
        </w:tc>
      </w:tr>
      <w:tr>
        <w:trPr>
          <w:trHeight w:val="224"/>
        </w:trPr>
        <w:tc>
          <w:tcPr>
            <w:tcW w:w="5100" w:type="dxa"/>
            <w:vAlign w:val="bottom"/>
          </w:tcPr>
          <w:p>
            <w:pPr>
              <w:ind w:left="6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(2)</w:t>
            </w:r>
          </w:p>
        </w:tc>
        <w:tc>
          <w:tcPr>
            <w:tcW w:w="1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37 %</w:t>
            </w:r>
          </w:p>
        </w:tc>
        <w:tc>
          <w:tcPr>
            <w:tcW w:w="16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6"/>
                <w:szCs w:val="16"/>
                <w:color w:val="auto"/>
              </w:rPr>
              <w:t>41 %</w:t>
            </w:r>
          </w:p>
        </w:tc>
        <w:tc>
          <w:tcPr>
            <w:tcW w:w="18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6"/>
                <w:szCs w:val="16"/>
                <w:color w:val="auto"/>
              </w:rPr>
              <w:t>42 %</w:t>
            </w:r>
          </w:p>
        </w:tc>
      </w:tr>
      <w:tr>
        <w:trPr>
          <w:trHeight w:val="33"/>
        </w:trPr>
        <w:tc>
          <w:tcPr>
            <w:tcW w:w="5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9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920" w:type="dxa"/>
            <w:vAlign w:val="bottom"/>
            <w:tcBorders>
              <w:bottom w:val="single" w:sz="8" w:color="auto"/>
            </w:tcBorders>
          </w:tcPr>
          <w:p>
            <w:pPr>
              <w:spacing w:after="0"/>
              <w:rPr>
                <w:sz w:val="2"/>
                <w:szCs w:val="2"/>
                <w:color w:val="auto"/>
              </w:rPr>
            </w:pPr>
          </w:p>
        </w:tc>
      </w:tr>
      <w:tr>
        <w:trPr>
          <w:trHeight w:val="230"/>
        </w:trPr>
        <w:tc>
          <w:tcPr>
            <w:tcW w:w="51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132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94 %</w:t>
            </w:r>
          </w:p>
        </w:tc>
        <w:tc>
          <w:tcPr>
            <w:tcW w:w="160" w:type="dxa"/>
            <w:vAlign w:val="bottom"/>
            <w:tcBorders>
              <w:bottom w:val="single" w:sz="8" w:color="CCEEFF"/>
            </w:tcBorders>
            <w:shd w:val="clear" w:color="auto" w:fill="CCEEFF"/>
          </w:tcPr>
          <w:p>
            <w:pPr>
              <w:spacing w:after="0"/>
              <w:rPr>
                <w:sz w:val="20"/>
                <w:szCs w:val="20"/>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93 %</w:t>
            </w:r>
          </w:p>
        </w:tc>
        <w:tc>
          <w:tcPr>
            <w:tcW w:w="180" w:type="dxa"/>
            <w:vAlign w:val="bottom"/>
            <w:tcBorders>
              <w:bottom w:val="single" w:sz="8" w:color="CCEEFF"/>
            </w:tcBorders>
            <w:shd w:val="clear" w:color="auto" w:fill="CCEEFF"/>
          </w:tcPr>
          <w:p>
            <w:pPr>
              <w:spacing w:after="0"/>
              <w:rPr>
                <w:sz w:val="20"/>
                <w:szCs w:val="20"/>
                <w:color w:val="auto"/>
              </w:rPr>
            </w:pPr>
          </w:p>
        </w:tc>
        <w:tc>
          <w:tcPr>
            <w:tcW w:w="1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94 %</w:t>
            </w:r>
          </w:p>
        </w:tc>
      </w:tr>
      <w:tr>
        <w:trPr>
          <w:trHeight w:val="224"/>
        </w:trPr>
        <w:tc>
          <w:tcPr>
            <w:tcW w:w="5100" w:type="dxa"/>
            <w:vAlign w:val="bottom"/>
          </w:tcPr>
          <w:p>
            <w:pPr>
              <w:ind w:left="6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6 %</w:t>
            </w:r>
          </w:p>
        </w:tc>
        <w:tc>
          <w:tcPr>
            <w:tcW w:w="16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6"/>
                <w:szCs w:val="16"/>
                <w:color w:val="auto"/>
              </w:rPr>
              <w:t>7 %</w:t>
            </w:r>
          </w:p>
        </w:tc>
        <w:tc>
          <w:tcPr>
            <w:tcW w:w="18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6"/>
                <w:szCs w:val="16"/>
                <w:color w:val="auto"/>
              </w:rPr>
              <w:t>6 %</w:t>
            </w:r>
          </w:p>
        </w:tc>
      </w:tr>
      <w:tr>
        <w:trPr>
          <w:trHeight w:val="33"/>
        </w:trPr>
        <w:tc>
          <w:tcPr>
            <w:tcW w:w="5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194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920" w:type="dxa"/>
            <w:vAlign w:val="bottom"/>
            <w:tcBorders>
              <w:bottom w:val="single" w:sz="8" w:color="auto"/>
            </w:tcBorders>
          </w:tcPr>
          <w:p>
            <w:pPr>
              <w:spacing w:after="0"/>
              <w:rPr>
                <w:sz w:val="2"/>
                <w:szCs w:val="2"/>
                <w:color w:val="auto"/>
              </w:rPr>
            </w:pPr>
          </w:p>
        </w:tc>
      </w:tr>
      <w:tr>
        <w:trPr>
          <w:trHeight w:val="275"/>
        </w:trPr>
        <w:tc>
          <w:tcPr>
            <w:tcW w:w="510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Total Revenue</w:t>
            </w:r>
          </w:p>
        </w:tc>
        <w:tc>
          <w:tcPr>
            <w:tcW w:w="1320" w:type="dxa"/>
            <w:vAlign w:val="bottom"/>
            <w:tcBorders>
              <w:bottom w:val="single" w:sz="8" w:color="CCEEFF"/>
            </w:tcBorders>
            <w:shd w:val="clear" w:color="auto" w:fill="CCEEFF"/>
          </w:tcPr>
          <w:p>
            <w:pPr>
              <w:spacing w:after="0"/>
              <w:rPr>
                <w:sz w:val="23"/>
                <w:szCs w:val="23"/>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160" w:type="dxa"/>
            <w:vAlign w:val="bottom"/>
            <w:tcBorders>
              <w:bottom w:val="single" w:sz="8" w:color="CCEEFF"/>
            </w:tcBorders>
            <w:shd w:val="clear" w:color="auto" w:fill="CCEEFF"/>
          </w:tcPr>
          <w:p>
            <w:pPr>
              <w:spacing w:after="0"/>
              <w:rPr>
                <w:sz w:val="23"/>
                <w:szCs w:val="23"/>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c>
          <w:tcPr>
            <w:tcW w:w="180" w:type="dxa"/>
            <w:vAlign w:val="bottom"/>
            <w:tcBorders>
              <w:bottom w:val="single" w:sz="8" w:color="CCEEFF"/>
            </w:tcBorders>
            <w:shd w:val="clear" w:color="auto" w:fill="CCEEFF"/>
          </w:tcPr>
          <w:p>
            <w:pPr>
              <w:spacing w:after="0"/>
              <w:rPr>
                <w:sz w:val="23"/>
                <w:szCs w:val="23"/>
                <w:color w:val="auto"/>
              </w:rPr>
            </w:pPr>
          </w:p>
        </w:tc>
        <w:tc>
          <w:tcPr>
            <w:tcW w:w="1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100 %</w:t>
            </w:r>
          </w:p>
        </w:tc>
      </w:tr>
      <w:tr>
        <w:trPr>
          <w:trHeight w:val="20"/>
        </w:trPr>
        <w:tc>
          <w:tcPr>
            <w:tcW w:w="510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9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920" w:type="dxa"/>
            <w:vAlign w:val="bottom"/>
            <w:tcBorders>
              <w:top w:val="single" w:sz="8" w:color="auto"/>
              <w:bottom w:val="single" w:sz="8" w:color="auto"/>
            </w:tcBorders>
          </w:tcPr>
          <w:p>
            <w:pPr>
              <w:spacing w:after="0" w:line="20" w:lineRule="exact"/>
              <w:rPr>
                <w:sz w:val="1"/>
                <w:szCs w:val="1"/>
                <w:color w:val="auto"/>
              </w:rPr>
            </w:pPr>
          </w:p>
        </w:tc>
      </w:tr>
    </w:tbl>
    <w:p>
      <w:pPr>
        <w:spacing w:after="0" w:line="377" w:lineRule="exact"/>
        <w:rPr>
          <w:sz w:val="20"/>
          <w:szCs w:val="20"/>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i w:val="1"/>
          <w:iCs w:val="1"/>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22" w:lineRule="exact"/>
        <w:rPr>
          <w:rFonts w:ascii="Arial" w:cs="Arial" w:eastAsia="Arial" w:hAnsi="Arial"/>
          <w:sz w:val="18"/>
          <w:szCs w:val="18"/>
          <w:i w:val="1"/>
          <w:iCs w:val="1"/>
          <w:color w:val="auto"/>
        </w:rPr>
      </w:pPr>
    </w:p>
    <w:p>
      <w:pPr>
        <w:ind w:left="280" w:hanging="254"/>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and Application Processors.</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1093"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decimal"/>
      <w:start w:val="18"/>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2020-05-28T17:20:52Z</dcterms:created>
  <dcterms:modified xsi:type="dcterms:W3CDTF">2020-05-28T17:20:52Z</dcterms:modified>
</cp:coreProperties>
</file>