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88"/>
        <w:spacing w:after="0"/>
        <w:rPr>
          <w:sz w:val="20"/>
          <w:szCs w:val="20"/>
          <w:color w:val="auto"/>
        </w:rPr>
      </w:pPr>
      <w:r>
        <w:rPr>
          <w:rFonts w:ascii="Arial" w:cs="Arial" w:eastAsia="Arial" w:hAnsi="Arial"/>
          <w:sz w:val="31"/>
          <w:szCs w:val="31"/>
          <w:b w:val="1"/>
          <w:bCs w:val="1"/>
          <w:color w:val="auto"/>
        </w:rPr>
        <w:drawing>
          <wp:anchor simplePos="0" relativeHeight="251657728" behindDoc="1" locked="0" layoutInCell="0" allowOverlap="1">
            <wp:simplePos x="0" y="0"/>
            <wp:positionH relativeFrom="page">
              <wp:posOffset>464185</wp:posOffset>
            </wp:positionH>
            <wp:positionV relativeFrom="page">
              <wp:posOffset>161925</wp:posOffset>
            </wp:positionV>
            <wp:extent cx="662051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620510" cy="8255"/>
                    </a:xfrm>
                    <a:prstGeom prst="rect">
                      <a:avLst/>
                    </a:prstGeom>
                    <a:noFill/>
                  </pic:spPr>
                </pic:pic>
              </a:graphicData>
            </a:graphic>
          </wp:anchor>
        </w:drawing>
        <w:drawing>
          <wp:anchor simplePos="0" relativeHeight="251657728" behindDoc="1" locked="0" layoutInCell="0" allowOverlap="1">
            <wp:simplePos x="0" y="0"/>
            <wp:positionH relativeFrom="page">
              <wp:posOffset>464185</wp:posOffset>
            </wp:positionH>
            <wp:positionV relativeFrom="page">
              <wp:posOffset>202565</wp:posOffset>
            </wp:positionV>
            <wp:extent cx="662051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620510" cy="8255"/>
                    </a:xfrm>
                    <a:prstGeom prst="rect">
                      <a:avLst/>
                    </a:prstGeom>
                    <a:noFill/>
                  </pic:spPr>
                </pic:pic>
              </a:graphicData>
            </a:graphic>
          </wp:anchor>
        </w:drawing>
        <w:t>UNITED STATES</w:t>
      </w:r>
    </w:p>
    <w:p>
      <w:pPr>
        <w:spacing w:after="0" w:line="13" w:lineRule="exact"/>
        <w:rPr>
          <w:sz w:val="24"/>
          <w:szCs w:val="24"/>
          <w:color w:val="auto"/>
        </w:rPr>
      </w:pPr>
    </w:p>
    <w:p>
      <w:pPr>
        <w:jc w:val="center"/>
        <w:ind w:right="-88"/>
        <w:spacing w:after="0"/>
        <w:rPr>
          <w:sz w:val="20"/>
          <w:szCs w:val="20"/>
          <w:color w:val="auto"/>
        </w:rPr>
      </w:pPr>
      <w:r>
        <w:rPr>
          <w:rFonts w:ascii="Arial" w:cs="Arial" w:eastAsia="Arial" w:hAnsi="Arial"/>
          <w:sz w:val="31"/>
          <w:szCs w:val="31"/>
          <w:b w:val="1"/>
          <w:bCs w:val="1"/>
          <w:color w:val="auto"/>
        </w:rPr>
        <w:t>SECURITIES AND EXCHANGE COMMISSION</w:t>
      </w:r>
    </w:p>
    <w:p>
      <w:pPr>
        <w:jc w:val="center"/>
        <w:ind w:right="-88"/>
        <w:spacing w:after="0"/>
        <w:rPr>
          <w:sz w:val="20"/>
          <w:szCs w:val="20"/>
          <w:color w:val="auto"/>
        </w:rPr>
      </w:pPr>
      <w:r>
        <w:rPr>
          <w:rFonts w:ascii="Arial" w:cs="Arial" w:eastAsia="Arial" w:hAnsi="Arial"/>
          <w:sz w:val="20"/>
          <w:szCs w:val="20"/>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2612390</wp:posOffset>
            </wp:positionH>
            <wp:positionV relativeFrom="paragraph">
              <wp:posOffset>212725</wp:posOffset>
            </wp:positionV>
            <wp:extent cx="139573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395730" cy="8255"/>
                    </a:xfrm>
                    <a:prstGeom prst="rect">
                      <a:avLst/>
                    </a:prstGeom>
                    <a:noFill/>
                  </pic:spPr>
                </pic:pic>
              </a:graphicData>
            </a:graphic>
          </wp:anchor>
        </w:drawing>
      </w:r>
    </w:p>
    <w:p>
      <w:pPr>
        <w:spacing w:after="0" w:line="200" w:lineRule="exact"/>
        <w:rPr>
          <w:sz w:val="24"/>
          <w:szCs w:val="24"/>
          <w:color w:val="auto"/>
        </w:rPr>
      </w:pPr>
    </w:p>
    <w:p>
      <w:pPr>
        <w:spacing w:after="0" w:line="294" w:lineRule="exact"/>
        <w:rPr>
          <w:sz w:val="24"/>
          <w:szCs w:val="24"/>
          <w:color w:val="auto"/>
        </w:rPr>
      </w:pPr>
    </w:p>
    <w:p>
      <w:pPr>
        <w:jc w:val="center"/>
        <w:ind w:right="-88"/>
        <w:spacing w:after="0"/>
        <w:rPr>
          <w:sz w:val="20"/>
          <w:szCs w:val="20"/>
          <w:color w:val="auto"/>
        </w:rPr>
      </w:pPr>
      <w:r>
        <w:rPr>
          <w:rFonts w:ascii="Arial" w:cs="Arial" w:eastAsia="Arial" w:hAnsi="Arial"/>
          <w:sz w:val="31"/>
          <w:szCs w:val="31"/>
          <w:b w:val="1"/>
          <w:bCs w:val="1"/>
          <w:color w:val="auto"/>
        </w:rPr>
        <w:t>SCHEDULE 14A</w:t>
      </w:r>
    </w:p>
    <w:p>
      <w:pPr>
        <w:spacing w:after="0" w:line="29" w:lineRule="exact"/>
        <w:rPr>
          <w:sz w:val="24"/>
          <w:szCs w:val="24"/>
          <w:color w:val="auto"/>
        </w:rPr>
      </w:pPr>
    </w:p>
    <w:p>
      <w:pPr>
        <w:jc w:val="center"/>
        <w:ind w:right="-88"/>
        <w:spacing w:after="0"/>
        <w:rPr>
          <w:sz w:val="20"/>
          <w:szCs w:val="20"/>
          <w:color w:val="auto"/>
        </w:rPr>
      </w:pPr>
      <w:r>
        <w:rPr>
          <w:rFonts w:ascii="Arial" w:cs="Arial" w:eastAsia="Arial" w:hAnsi="Arial"/>
          <w:sz w:val="17"/>
          <w:szCs w:val="17"/>
          <w:b w:val="1"/>
          <w:bCs w:val="1"/>
          <w:color w:val="auto"/>
        </w:rPr>
        <w:t>(Rule 14a-101)</w:t>
      </w:r>
    </w:p>
    <w:p>
      <w:pPr>
        <w:spacing w:after="0" w:line="187" w:lineRule="exact"/>
        <w:rPr>
          <w:sz w:val="24"/>
          <w:szCs w:val="24"/>
          <w:color w:val="auto"/>
        </w:rPr>
      </w:pPr>
    </w:p>
    <w:p>
      <w:pPr>
        <w:jc w:val="center"/>
        <w:ind w:right="-88"/>
        <w:spacing w:after="0"/>
        <w:rPr>
          <w:sz w:val="20"/>
          <w:szCs w:val="20"/>
          <w:color w:val="auto"/>
        </w:rPr>
      </w:pPr>
      <w:r>
        <w:rPr>
          <w:rFonts w:ascii="Arial" w:cs="Arial" w:eastAsia="Arial" w:hAnsi="Arial"/>
          <w:sz w:val="20"/>
          <w:szCs w:val="20"/>
          <w:b w:val="1"/>
          <w:bCs w:val="1"/>
          <w:color w:val="auto"/>
        </w:rPr>
        <w:t>INFORMATION REQUIRED IN PROXY STATEMENT</w:t>
      </w:r>
    </w:p>
    <w:p>
      <w:pPr>
        <w:spacing w:after="0" w:line="22" w:lineRule="exact"/>
        <w:rPr>
          <w:sz w:val="24"/>
          <w:szCs w:val="24"/>
          <w:color w:val="auto"/>
        </w:rPr>
      </w:pPr>
    </w:p>
    <w:p>
      <w:pPr>
        <w:jc w:val="center"/>
        <w:ind w:right="-88"/>
        <w:spacing w:after="0"/>
        <w:rPr>
          <w:sz w:val="20"/>
          <w:szCs w:val="20"/>
          <w:color w:val="auto"/>
        </w:rPr>
      </w:pPr>
      <w:r>
        <w:rPr>
          <w:rFonts w:ascii="Arial" w:cs="Arial" w:eastAsia="Arial" w:hAnsi="Arial"/>
          <w:sz w:val="20"/>
          <w:szCs w:val="20"/>
          <w:b w:val="1"/>
          <w:bCs w:val="1"/>
          <w:color w:val="auto"/>
        </w:rPr>
        <w:t>SCHEDULE 14A INFORMATION</w:t>
      </w:r>
    </w:p>
    <w:p>
      <w:pPr>
        <w:spacing w:after="0" w:line="182" w:lineRule="exact"/>
        <w:rPr>
          <w:sz w:val="24"/>
          <w:szCs w:val="24"/>
          <w:color w:val="auto"/>
        </w:rPr>
      </w:pPr>
    </w:p>
    <w:p>
      <w:pPr>
        <w:jc w:val="center"/>
        <w:ind w:right="-88"/>
        <w:spacing w:after="0"/>
        <w:rPr>
          <w:sz w:val="20"/>
          <w:szCs w:val="20"/>
          <w:color w:val="auto"/>
        </w:rPr>
      </w:pPr>
      <w:r>
        <w:rPr>
          <w:rFonts w:ascii="Arial" w:cs="Arial" w:eastAsia="Arial" w:hAnsi="Arial"/>
          <w:sz w:val="20"/>
          <w:szCs w:val="20"/>
          <w:b w:val="1"/>
          <w:bCs w:val="1"/>
          <w:color w:val="auto"/>
        </w:rPr>
        <w:t>Proxy Statement Pursuant to Section 14(a) of the</w:t>
      </w:r>
    </w:p>
    <w:p>
      <w:pPr>
        <w:spacing w:after="0" w:line="22" w:lineRule="exact"/>
        <w:rPr>
          <w:sz w:val="24"/>
          <w:szCs w:val="24"/>
          <w:color w:val="auto"/>
        </w:rPr>
      </w:pPr>
    </w:p>
    <w:p>
      <w:pPr>
        <w:jc w:val="center"/>
        <w:ind w:right="-88"/>
        <w:spacing w:after="0"/>
        <w:rPr>
          <w:sz w:val="20"/>
          <w:szCs w:val="20"/>
          <w:color w:val="auto"/>
        </w:rPr>
      </w:pPr>
      <w:r>
        <w:rPr>
          <w:rFonts w:ascii="Arial" w:cs="Arial" w:eastAsia="Arial" w:hAnsi="Arial"/>
          <w:sz w:val="20"/>
          <w:szCs w:val="20"/>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2612390</wp:posOffset>
            </wp:positionH>
            <wp:positionV relativeFrom="paragraph">
              <wp:posOffset>220980</wp:posOffset>
            </wp:positionV>
            <wp:extent cx="139573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395730" cy="8255"/>
                    </a:xfrm>
                    <a:prstGeom prst="rect">
                      <a:avLst/>
                    </a:prstGeom>
                    <a:noFill/>
                  </pic:spPr>
                </pic:pic>
              </a:graphicData>
            </a:graphic>
          </wp:anchor>
        </w:drawing>
      </w:r>
    </w:p>
    <w:p>
      <w:pPr>
        <w:spacing w:after="0" w:line="200" w:lineRule="exact"/>
        <w:rPr>
          <w:sz w:val="24"/>
          <w:szCs w:val="24"/>
          <w:color w:val="auto"/>
        </w:rPr>
      </w:pPr>
    </w:p>
    <w:p>
      <w:pPr>
        <w:spacing w:after="0" w:line="301" w:lineRule="exact"/>
        <w:rPr>
          <w:sz w:val="24"/>
          <w:szCs w:val="24"/>
          <w:color w:val="auto"/>
        </w:rPr>
      </w:pPr>
    </w:p>
    <w:p>
      <w:pPr>
        <w:ind w:left="9"/>
        <w:spacing w:after="0" w:line="196" w:lineRule="exact"/>
        <w:tabs>
          <w:tab w:leader="none" w:pos="3049" w:val="left"/>
        </w:tabs>
        <w:rPr>
          <w:sz w:val="20"/>
          <w:szCs w:val="20"/>
          <w:color w:val="auto"/>
        </w:rPr>
      </w:pPr>
      <w:r>
        <w:rPr>
          <w:rFonts w:ascii="Arial" w:cs="Arial" w:eastAsia="Arial" w:hAnsi="Arial"/>
          <w:sz w:val="17"/>
          <w:szCs w:val="17"/>
          <w:color w:val="auto"/>
        </w:rPr>
        <w:t xml:space="preserve">Filed by the Registrant </w:t>
      </w:r>
      <w:r>
        <w:rPr>
          <w:rFonts w:ascii="MS PGothic" w:cs="MS PGothic" w:eastAsia="MS PGothic" w:hAnsi="MS PGothic"/>
          <w:sz w:val="17"/>
          <w:szCs w:val="17"/>
          <w:color w:val="auto"/>
        </w:rPr>
        <w:t>☒</w:t>
      </w:r>
      <w:r>
        <w:rPr>
          <w:sz w:val="20"/>
          <w:szCs w:val="20"/>
          <w:color w:val="auto"/>
        </w:rPr>
        <w:tab/>
      </w:r>
      <w:r>
        <w:rPr>
          <w:rFonts w:ascii="Arial" w:cs="Arial" w:eastAsia="Arial" w:hAnsi="Arial"/>
          <w:sz w:val="15"/>
          <w:szCs w:val="15"/>
          <w:color w:val="auto"/>
        </w:rPr>
        <w:t xml:space="preserve">Filed by a Party other than the Registrant </w:t>
      </w:r>
      <w:r>
        <w:rPr>
          <w:rFonts w:ascii="MS PGothic" w:cs="MS PGothic" w:eastAsia="MS PGothic" w:hAnsi="MS PGothic"/>
          <w:sz w:val="15"/>
          <w:szCs w:val="15"/>
          <w:color w:val="auto"/>
        </w:rPr>
        <w:t>☐</w:t>
      </w:r>
    </w:p>
    <w:p>
      <w:pPr>
        <w:spacing w:after="0" w:line="246" w:lineRule="exact"/>
        <w:rPr>
          <w:sz w:val="24"/>
          <w:szCs w:val="24"/>
          <w:color w:val="auto"/>
        </w:rPr>
      </w:pPr>
    </w:p>
    <w:p>
      <w:pPr>
        <w:ind w:left="9"/>
        <w:spacing w:after="0"/>
        <w:rPr>
          <w:sz w:val="20"/>
          <w:szCs w:val="20"/>
          <w:color w:val="auto"/>
        </w:rPr>
      </w:pPr>
      <w:r>
        <w:rPr>
          <w:rFonts w:ascii="Arial" w:cs="Arial" w:eastAsia="Arial" w:hAnsi="Arial"/>
          <w:sz w:val="17"/>
          <w:szCs w:val="17"/>
          <w:color w:val="auto"/>
        </w:rPr>
        <w:t>Check the appropriate box:</w:t>
      </w:r>
    </w:p>
    <w:p>
      <w:pPr>
        <w:spacing w:after="0" w:line="124" w:lineRule="exact"/>
        <w:rPr>
          <w:sz w:val="24"/>
          <w:szCs w:val="24"/>
          <w:color w:val="auto"/>
        </w:rPr>
      </w:pPr>
    </w:p>
    <w:p>
      <w:pPr>
        <w:ind w:left="529" w:hanging="529"/>
        <w:spacing w:after="0"/>
        <w:tabs>
          <w:tab w:leader="none" w:pos="529"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Preliminary Proxy Statement</w:t>
      </w:r>
    </w:p>
    <w:p>
      <w:pPr>
        <w:spacing w:after="0" w:line="107" w:lineRule="exact"/>
        <w:rPr>
          <w:rFonts w:ascii="MS PGothic" w:cs="MS PGothic" w:eastAsia="MS PGothic" w:hAnsi="MS PGothic"/>
          <w:sz w:val="17"/>
          <w:szCs w:val="17"/>
          <w:color w:val="auto"/>
        </w:rPr>
      </w:pPr>
    </w:p>
    <w:p>
      <w:pPr>
        <w:ind w:left="529" w:hanging="529"/>
        <w:spacing w:after="0"/>
        <w:tabs>
          <w:tab w:leader="none" w:pos="529" w:val="left"/>
        </w:tabs>
        <w:numPr>
          <w:ilvl w:val="0"/>
          <w:numId w:val="1"/>
        </w:numPr>
        <w:rPr>
          <w:rFonts w:ascii="MS PGothic" w:cs="MS PGothic" w:eastAsia="MS PGothic" w:hAnsi="MS PGothic"/>
          <w:sz w:val="17"/>
          <w:szCs w:val="17"/>
          <w:color w:val="auto"/>
        </w:rPr>
      </w:pPr>
      <w:r>
        <w:rPr>
          <w:rFonts w:ascii="Arial" w:cs="Arial" w:eastAsia="Arial" w:hAnsi="Arial"/>
          <w:sz w:val="17"/>
          <w:szCs w:val="17"/>
          <w:b w:val="1"/>
          <w:bCs w:val="1"/>
          <w:color w:val="auto"/>
        </w:rPr>
        <w:t>Confidential, for Use of the Commission Only (as permitted by Rule 14a-6(e)(2))</w:t>
      </w:r>
    </w:p>
    <w:p>
      <w:pPr>
        <w:spacing w:after="0" w:line="115" w:lineRule="exact"/>
        <w:rPr>
          <w:rFonts w:ascii="MS PGothic" w:cs="MS PGothic" w:eastAsia="MS PGothic" w:hAnsi="MS PGothic"/>
          <w:sz w:val="17"/>
          <w:szCs w:val="17"/>
          <w:color w:val="auto"/>
        </w:rPr>
      </w:pPr>
    </w:p>
    <w:p>
      <w:pPr>
        <w:ind w:left="529" w:hanging="529"/>
        <w:spacing w:after="0"/>
        <w:tabs>
          <w:tab w:leader="none" w:pos="529"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Definitive Proxy Statement</w:t>
      </w:r>
    </w:p>
    <w:p>
      <w:pPr>
        <w:spacing w:after="0" w:line="111" w:lineRule="exact"/>
        <w:rPr>
          <w:sz w:val="24"/>
          <w:szCs w:val="24"/>
          <w:color w:val="auto"/>
        </w:rPr>
      </w:pPr>
    </w:p>
    <w:p>
      <w:pPr>
        <w:ind w:left="529" w:hanging="529"/>
        <w:spacing w:after="0"/>
        <w:tabs>
          <w:tab w:leader="none" w:pos="529" w:val="left"/>
        </w:tabs>
        <w:numPr>
          <w:ilvl w:val="0"/>
          <w:numId w:val="2"/>
        </w:numPr>
        <w:rPr>
          <w:rFonts w:ascii="MS PGothic" w:cs="MS PGothic" w:eastAsia="MS PGothic" w:hAnsi="MS PGothic"/>
          <w:sz w:val="17"/>
          <w:szCs w:val="17"/>
          <w:color w:val="auto"/>
        </w:rPr>
      </w:pPr>
      <w:r>
        <w:rPr>
          <w:rFonts w:ascii="Arial" w:cs="Arial" w:eastAsia="Arial" w:hAnsi="Arial"/>
          <w:sz w:val="17"/>
          <w:szCs w:val="17"/>
          <w:color w:val="auto"/>
        </w:rPr>
        <w:t>Definitive Additional Materials</w:t>
      </w:r>
    </w:p>
    <w:p>
      <w:pPr>
        <w:spacing w:after="0" w:line="111" w:lineRule="exact"/>
        <w:rPr>
          <w:sz w:val="24"/>
          <w:szCs w:val="24"/>
          <w:color w:val="auto"/>
        </w:rPr>
      </w:pPr>
    </w:p>
    <w:p>
      <w:pPr>
        <w:ind w:left="529" w:hanging="529"/>
        <w:spacing w:after="0"/>
        <w:tabs>
          <w:tab w:leader="none" w:pos="529" w:val="left"/>
        </w:tabs>
        <w:numPr>
          <w:ilvl w:val="0"/>
          <w:numId w:val="3"/>
        </w:numPr>
        <w:rPr>
          <w:rFonts w:ascii="MS PGothic" w:cs="MS PGothic" w:eastAsia="MS PGothic" w:hAnsi="MS PGothic"/>
          <w:sz w:val="17"/>
          <w:szCs w:val="17"/>
          <w:color w:val="auto"/>
        </w:rPr>
      </w:pPr>
      <w:r>
        <w:rPr>
          <w:rFonts w:ascii="Arial" w:cs="Arial" w:eastAsia="Arial" w:hAnsi="Arial"/>
          <w:sz w:val="17"/>
          <w:szCs w:val="17"/>
          <w:color w:val="auto"/>
        </w:rPr>
        <w:t>Soliciting Material Pursuant to §240.14a-12</w:t>
      </w:r>
    </w:p>
    <w:p>
      <w:pPr>
        <w:spacing w:after="0" w:line="284" w:lineRule="exact"/>
        <w:rPr>
          <w:sz w:val="24"/>
          <w:szCs w:val="24"/>
          <w:color w:val="auto"/>
        </w:rPr>
      </w:pPr>
    </w:p>
    <w:p>
      <w:pPr>
        <w:jc w:val="center"/>
        <w:ind w:right="-68"/>
        <w:spacing w:after="0"/>
        <w:rPr>
          <w:sz w:val="20"/>
          <w:szCs w:val="20"/>
          <w:color w:val="auto"/>
        </w:rPr>
      </w:pPr>
      <w:r>
        <w:rPr>
          <w:rFonts w:ascii="Arial" w:cs="Arial" w:eastAsia="Arial" w:hAnsi="Arial"/>
          <w:sz w:val="37"/>
          <w:szCs w:val="37"/>
          <w:b w:val="1"/>
          <w:bCs w:val="1"/>
          <w:color w:val="auto"/>
        </w:rPr>
        <w:t>MARVELL TECHNOLOGY GROUP LTD.</w:t>
      </w:r>
    </w:p>
    <w:p>
      <w:pPr>
        <w:spacing w:after="0" w:line="41" w:lineRule="exact"/>
        <w:rPr>
          <w:sz w:val="24"/>
          <w:szCs w:val="24"/>
          <w:color w:val="auto"/>
        </w:rPr>
      </w:pPr>
    </w:p>
    <w:p>
      <w:pPr>
        <w:jc w:val="center"/>
        <w:ind w:right="-88"/>
        <w:spacing w:after="0"/>
        <w:rPr>
          <w:sz w:val="20"/>
          <w:szCs w:val="20"/>
          <w:color w:val="auto"/>
        </w:rPr>
      </w:pPr>
      <w:r>
        <w:rPr>
          <w:rFonts w:ascii="Arial" w:cs="Arial" w:eastAsia="Arial" w:hAnsi="Arial"/>
          <w:sz w:val="17"/>
          <w:szCs w:val="17"/>
          <w:b w:val="1"/>
          <w:bCs w:val="1"/>
          <w:color w:val="auto"/>
        </w:rPr>
        <w:t>(Name of Registrant as Specified In Its Charter)</w:t>
      </w:r>
    </w:p>
    <w:p>
      <w:pPr>
        <w:spacing w:after="0" w:line="298" w:lineRule="exact"/>
        <w:rPr>
          <w:sz w:val="24"/>
          <w:szCs w:val="24"/>
          <w:color w:val="auto"/>
        </w:rPr>
      </w:pPr>
    </w:p>
    <w:p>
      <w:pPr>
        <w:jc w:val="center"/>
        <w:ind w:right="-88"/>
        <w:spacing w:after="0"/>
        <w:rPr>
          <w:sz w:val="20"/>
          <w:szCs w:val="20"/>
          <w:color w:val="auto"/>
        </w:rPr>
      </w:pPr>
      <w:r>
        <w:rPr>
          <w:rFonts w:ascii="Arial" w:cs="Arial" w:eastAsia="Arial" w:hAnsi="Arial"/>
          <w:sz w:val="17"/>
          <w:szCs w:val="17"/>
          <w:b w:val="1"/>
          <w:bCs w:val="1"/>
          <w:color w:val="auto"/>
        </w:rPr>
        <w:t>N/A</w:t>
      </w:r>
    </w:p>
    <w:p>
      <w:pPr>
        <w:spacing w:after="0" w:line="19" w:lineRule="exact"/>
        <w:rPr>
          <w:sz w:val="24"/>
          <w:szCs w:val="24"/>
          <w:color w:val="auto"/>
        </w:rPr>
      </w:pPr>
    </w:p>
    <w:p>
      <w:pPr>
        <w:jc w:val="center"/>
        <w:ind w:right="-88"/>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280" w:lineRule="exact"/>
        <w:rPr>
          <w:sz w:val="24"/>
          <w:szCs w:val="24"/>
          <w:color w:val="auto"/>
        </w:rPr>
      </w:pPr>
    </w:p>
    <w:p>
      <w:pPr>
        <w:ind w:left="9"/>
        <w:spacing w:after="0"/>
        <w:rPr>
          <w:sz w:val="20"/>
          <w:szCs w:val="20"/>
          <w:color w:val="auto"/>
        </w:rPr>
      </w:pPr>
      <w:r>
        <w:rPr>
          <w:rFonts w:ascii="Arial" w:cs="Arial" w:eastAsia="Arial" w:hAnsi="Arial"/>
          <w:sz w:val="17"/>
          <w:szCs w:val="17"/>
          <w:color w:val="auto"/>
        </w:rPr>
        <w:t>Payment of Filing Fee (Check the appropriate box):</w:t>
      </w:r>
    </w:p>
    <w:p>
      <w:pPr>
        <w:spacing w:after="0" w:line="213" w:lineRule="exact"/>
        <w:rPr>
          <w:sz w:val="24"/>
          <w:szCs w:val="24"/>
          <w:color w:val="auto"/>
        </w:rPr>
      </w:pPr>
    </w:p>
    <w:p>
      <w:pPr>
        <w:ind w:left="529" w:hanging="529"/>
        <w:spacing w:after="0"/>
        <w:tabs>
          <w:tab w:leader="none" w:pos="529" w:val="left"/>
        </w:tabs>
        <w:numPr>
          <w:ilvl w:val="0"/>
          <w:numId w:val="4"/>
        </w:numPr>
        <w:rPr>
          <w:rFonts w:ascii="MS PGothic" w:cs="MS PGothic" w:eastAsia="MS PGothic" w:hAnsi="MS PGothic"/>
          <w:sz w:val="17"/>
          <w:szCs w:val="17"/>
          <w:color w:val="auto"/>
        </w:rPr>
      </w:pPr>
      <w:r>
        <w:rPr>
          <w:rFonts w:ascii="Arial" w:cs="Arial" w:eastAsia="Arial" w:hAnsi="Arial"/>
          <w:sz w:val="17"/>
          <w:szCs w:val="17"/>
          <w:color w:val="auto"/>
        </w:rPr>
        <w:t>No fee required.</w:t>
      </w:r>
    </w:p>
    <w:p>
      <w:pPr>
        <w:spacing w:after="0" w:line="213" w:lineRule="exact"/>
        <w:rPr>
          <w:sz w:val="24"/>
          <w:szCs w:val="24"/>
          <w:color w:val="auto"/>
        </w:rPr>
      </w:pPr>
    </w:p>
    <w:p>
      <w:pPr>
        <w:ind w:left="529" w:hanging="529"/>
        <w:spacing w:after="0"/>
        <w:tabs>
          <w:tab w:leader="none" w:pos="529"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Fee computed on table below per Exchange Act Rules 14a-6(i)(1) and 0-11.</w:t>
      </w:r>
    </w:p>
    <w:p>
      <w:pPr>
        <w:spacing w:after="0" w:line="213" w:lineRule="exact"/>
        <w:rPr>
          <w:rFonts w:ascii="MS PGothic" w:cs="MS PGothic" w:eastAsia="MS PGothic" w:hAnsi="MS PGothic"/>
          <w:sz w:val="17"/>
          <w:szCs w:val="17"/>
          <w:color w:val="auto"/>
        </w:rPr>
      </w:pPr>
    </w:p>
    <w:p>
      <w:pPr>
        <w:ind w:left="1049" w:hanging="512"/>
        <w:spacing w:after="0"/>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Title of each class of securities to which transaction applies:</w:t>
      </w:r>
    </w:p>
    <w:p>
      <w:pPr>
        <w:spacing w:after="0" w:line="200" w:lineRule="exact"/>
        <w:rPr>
          <w:rFonts w:ascii="Arial" w:cs="Arial" w:eastAsia="Arial" w:hAnsi="Arial"/>
          <w:sz w:val="17"/>
          <w:szCs w:val="17"/>
          <w:color w:val="auto"/>
        </w:rPr>
      </w:pPr>
    </w:p>
    <w:p>
      <w:pPr>
        <w:spacing w:after="0" w:line="268" w:lineRule="exact"/>
        <w:rPr>
          <w:rFonts w:ascii="Arial" w:cs="Arial" w:eastAsia="Arial" w:hAnsi="Arial"/>
          <w:sz w:val="17"/>
          <w:szCs w:val="17"/>
          <w:color w:val="auto"/>
        </w:rPr>
      </w:pPr>
    </w:p>
    <w:p>
      <w:pPr>
        <w:ind w:left="1049" w:hanging="512"/>
        <w:spacing w:after="0"/>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Aggregate number of securities to which transaction applies:</w:t>
      </w:r>
    </w:p>
    <w:p>
      <w:pPr>
        <w:spacing w:after="0" w:line="200" w:lineRule="exact"/>
        <w:rPr>
          <w:rFonts w:ascii="Arial" w:cs="Arial" w:eastAsia="Arial" w:hAnsi="Arial"/>
          <w:sz w:val="17"/>
          <w:szCs w:val="17"/>
          <w:color w:val="auto"/>
        </w:rPr>
      </w:pPr>
    </w:p>
    <w:p>
      <w:pPr>
        <w:spacing w:after="0" w:line="268" w:lineRule="exact"/>
        <w:rPr>
          <w:rFonts w:ascii="Arial" w:cs="Arial" w:eastAsia="Arial" w:hAnsi="Arial"/>
          <w:sz w:val="17"/>
          <w:szCs w:val="17"/>
          <w:color w:val="auto"/>
        </w:rPr>
      </w:pPr>
    </w:p>
    <w:p>
      <w:pPr>
        <w:ind w:left="1049" w:hanging="512"/>
        <w:spacing w:after="0" w:line="275" w:lineRule="auto"/>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7"/>
          <w:szCs w:val="17"/>
          <w:color w:val="auto"/>
        </w:rPr>
      </w:pPr>
    </w:p>
    <w:p>
      <w:pPr>
        <w:spacing w:after="0" w:line="220" w:lineRule="exact"/>
        <w:rPr>
          <w:rFonts w:ascii="Arial" w:cs="Arial" w:eastAsia="Arial" w:hAnsi="Arial"/>
          <w:sz w:val="17"/>
          <w:szCs w:val="17"/>
          <w:color w:val="auto"/>
        </w:rPr>
      </w:pPr>
    </w:p>
    <w:p>
      <w:pPr>
        <w:ind w:left="1049" w:hanging="512"/>
        <w:spacing w:after="0"/>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Proposed maximum aggregate value of transaction:</w:t>
      </w:r>
    </w:p>
    <w:p>
      <w:pPr>
        <w:spacing w:after="0" w:line="200" w:lineRule="exact"/>
        <w:rPr>
          <w:rFonts w:ascii="Arial" w:cs="Arial" w:eastAsia="Arial" w:hAnsi="Arial"/>
          <w:sz w:val="17"/>
          <w:szCs w:val="17"/>
          <w:color w:val="auto"/>
        </w:rPr>
      </w:pPr>
    </w:p>
    <w:p>
      <w:pPr>
        <w:spacing w:after="0" w:line="268" w:lineRule="exact"/>
        <w:rPr>
          <w:rFonts w:ascii="Arial" w:cs="Arial" w:eastAsia="Arial" w:hAnsi="Arial"/>
          <w:sz w:val="17"/>
          <w:szCs w:val="17"/>
          <w:color w:val="auto"/>
        </w:rPr>
      </w:pPr>
    </w:p>
    <w:p>
      <w:pPr>
        <w:ind w:left="1049" w:hanging="512"/>
        <w:spacing w:after="0"/>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Total fee paid:</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375" w:lineRule="exact"/>
        <w:rPr>
          <w:rFonts w:ascii="Arial" w:cs="Arial" w:eastAsia="Arial" w:hAnsi="Arial"/>
          <w:sz w:val="17"/>
          <w:szCs w:val="17"/>
          <w:color w:val="auto"/>
        </w:rPr>
      </w:pPr>
    </w:p>
    <w:p>
      <w:pPr>
        <w:ind w:left="529" w:hanging="529"/>
        <w:spacing w:after="0"/>
        <w:tabs>
          <w:tab w:leader="none" w:pos="529"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Fee paid previously with preliminary materials.</w:t>
      </w:r>
    </w:p>
    <w:p>
      <w:pPr>
        <w:spacing w:after="0" w:line="315" w:lineRule="exact"/>
        <w:rPr>
          <w:rFonts w:ascii="MS PGothic" w:cs="MS PGothic" w:eastAsia="MS PGothic" w:hAnsi="MS PGothic"/>
          <w:sz w:val="17"/>
          <w:szCs w:val="17"/>
          <w:color w:val="auto"/>
        </w:rPr>
      </w:pPr>
    </w:p>
    <w:p>
      <w:pPr>
        <w:ind w:left="529" w:right="180" w:hanging="529"/>
        <w:spacing w:after="0" w:line="308" w:lineRule="auto"/>
        <w:tabs>
          <w:tab w:leader="none" w:pos="529"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43" w:lineRule="exact"/>
        <w:rPr>
          <w:rFonts w:ascii="MS PGothic" w:cs="MS PGothic" w:eastAsia="MS PGothic" w:hAnsi="MS PGothic"/>
          <w:sz w:val="16"/>
          <w:szCs w:val="16"/>
          <w:color w:val="auto"/>
        </w:rPr>
      </w:pPr>
    </w:p>
    <w:p>
      <w:pPr>
        <w:ind w:left="1049" w:hanging="512"/>
        <w:spacing w:after="0"/>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Amount Previously Paid:</w:t>
      </w:r>
    </w:p>
    <w:p>
      <w:pPr>
        <w:spacing w:after="0" w:line="200" w:lineRule="exact"/>
        <w:rPr>
          <w:rFonts w:ascii="Arial" w:cs="Arial" w:eastAsia="Arial" w:hAnsi="Arial"/>
          <w:sz w:val="17"/>
          <w:szCs w:val="17"/>
          <w:color w:val="auto"/>
        </w:rPr>
      </w:pPr>
    </w:p>
    <w:p>
      <w:pPr>
        <w:spacing w:after="0" w:line="268" w:lineRule="exact"/>
        <w:rPr>
          <w:rFonts w:ascii="Arial" w:cs="Arial" w:eastAsia="Arial" w:hAnsi="Arial"/>
          <w:sz w:val="17"/>
          <w:szCs w:val="17"/>
          <w:color w:val="auto"/>
        </w:rPr>
      </w:pPr>
    </w:p>
    <w:p>
      <w:pPr>
        <w:ind w:left="1049" w:hanging="512"/>
        <w:spacing w:after="0"/>
        <w:tabs>
          <w:tab w:leader="none" w:pos="1049" w:val="left"/>
        </w:tabs>
        <w:numPr>
          <w:ilvl w:val="1"/>
          <w:numId w:val="5"/>
        </w:numPr>
        <w:rPr>
          <w:rFonts w:ascii="Arial" w:cs="Arial" w:eastAsia="Arial" w:hAnsi="Arial"/>
          <w:sz w:val="17"/>
          <w:szCs w:val="17"/>
          <w:color w:val="auto"/>
        </w:rPr>
      </w:pPr>
      <w:r>
        <w:rPr>
          <w:rFonts w:ascii="Arial" w:cs="Arial" w:eastAsia="Arial" w:hAnsi="Arial"/>
          <w:sz w:val="17"/>
          <w:szCs w:val="17"/>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665480</wp:posOffset>
            </wp:positionH>
            <wp:positionV relativeFrom="paragraph">
              <wp:posOffset>-3344545</wp:posOffset>
            </wp:positionV>
            <wp:extent cx="595503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-2922905</wp:posOffset>
            </wp:positionV>
            <wp:extent cx="595503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-2371090</wp:posOffset>
            </wp:positionV>
            <wp:extent cx="595503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-1949450</wp:posOffset>
            </wp:positionV>
            <wp:extent cx="595503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-1527175</wp:posOffset>
            </wp:positionV>
            <wp:extent cx="595503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-132080</wp:posOffset>
            </wp:positionV>
            <wp:extent cx="595503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289560</wp:posOffset>
            </wp:positionV>
            <wp:extent cx="595503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5955030" cy="8255"/>
                    </a:xfrm>
                    <a:prstGeom prst="rect">
                      <a:avLst/>
                    </a:prstGeom>
                    <a:noFill/>
                  </pic:spPr>
                </pic:pic>
              </a:graphicData>
            </a:graphic>
          </wp:anchor>
        </w:drawing>
      </w:r>
    </w:p>
    <w:p>
      <w:pPr>
        <w:sectPr>
          <w:pgSz w:w="11900" w:h="16838" w:orient="portrait"/>
          <w:cols w:equalWidth="0" w:num="1">
            <w:col w:w="10329"/>
          </w:cols>
          <w:pgMar w:left="731" w:top="497" w:right="839" w:bottom="644" w:gutter="0" w:footer="0" w:header="0"/>
        </w:sectPr>
      </w:pPr>
    </w:p>
    <w:bookmarkStart w:id="1" w:name="page2"/>
    <w:bookmarkEnd w:id="1"/>
    <w:p>
      <w:pPr>
        <w:ind w:left="512" w:hanging="512"/>
        <w:spacing w:after="0"/>
        <w:tabs>
          <w:tab w:leader="none" w:pos="512" w:val="left"/>
        </w:tabs>
        <w:numPr>
          <w:ilvl w:val="0"/>
          <w:numId w:val="6"/>
        </w:numPr>
        <w:rPr>
          <w:rFonts w:ascii="Arial" w:cs="Arial" w:eastAsia="Arial" w:hAnsi="Arial"/>
          <w:sz w:val="16"/>
          <w:szCs w:val="16"/>
          <w:color w:val="auto"/>
        </w:rPr>
      </w:pPr>
      <w:r>
        <w:rPr>
          <w:rFonts w:ascii="Arial" w:cs="Arial" w:eastAsia="Arial" w:hAnsi="Arial"/>
          <w:sz w:val="16"/>
          <w:szCs w:val="16"/>
          <w:color w:val="auto"/>
        </w:rPr>
        <w:t>Filing Party:</w:t>
      </w:r>
    </w:p>
    <w:p>
      <w:pPr>
        <w:spacing w:after="0" w:line="200" w:lineRule="exact"/>
        <w:rPr>
          <w:rFonts w:ascii="Arial" w:cs="Arial" w:eastAsia="Arial" w:hAnsi="Arial"/>
          <w:sz w:val="16"/>
          <w:szCs w:val="16"/>
          <w:color w:val="auto"/>
        </w:rPr>
      </w:pPr>
    </w:p>
    <w:p>
      <w:pPr>
        <w:spacing w:after="0" w:line="280" w:lineRule="exact"/>
        <w:rPr>
          <w:rFonts w:ascii="Arial" w:cs="Arial" w:eastAsia="Arial" w:hAnsi="Arial"/>
          <w:sz w:val="16"/>
          <w:szCs w:val="16"/>
          <w:color w:val="auto"/>
        </w:rPr>
      </w:pPr>
    </w:p>
    <w:p>
      <w:pPr>
        <w:ind w:left="512" w:hanging="512"/>
        <w:spacing w:after="0"/>
        <w:tabs>
          <w:tab w:leader="none" w:pos="512" w:val="left"/>
        </w:tabs>
        <w:numPr>
          <w:ilvl w:val="0"/>
          <w:numId w:val="6"/>
        </w:numPr>
        <w:rPr>
          <w:rFonts w:ascii="Arial" w:cs="Arial" w:eastAsia="Arial" w:hAnsi="Arial"/>
          <w:sz w:val="17"/>
          <w:szCs w:val="17"/>
          <w:color w:val="auto"/>
        </w:rPr>
      </w:pPr>
      <w:r>
        <w:rPr>
          <w:rFonts w:ascii="Arial" w:cs="Arial" w:eastAsia="Arial" w:hAnsi="Arial"/>
          <w:sz w:val="17"/>
          <w:szCs w:val="17"/>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324485</wp:posOffset>
            </wp:positionH>
            <wp:positionV relativeFrom="paragraph">
              <wp:posOffset>-132080</wp:posOffset>
            </wp:positionV>
            <wp:extent cx="595503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324485</wp:posOffset>
            </wp:positionH>
            <wp:positionV relativeFrom="paragraph">
              <wp:posOffset>289560</wp:posOffset>
            </wp:positionV>
            <wp:extent cx="595503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5955030" cy="8255"/>
                    </a:xfrm>
                    <a:prstGeom prst="rect">
                      <a:avLst/>
                    </a:prstGeom>
                    <a:noFill/>
                  </pic:spPr>
                </pic:pic>
              </a:graphicData>
            </a:graphic>
          </wp:anchor>
        </w:drawing>
        <w:drawing>
          <wp:anchor simplePos="0" relativeHeight="251657728" behindDoc="1" locked="0" layoutInCell="0" allowOverlap="1">
            <wp:simplePos x="0" y="0"/>
            <wp:positionH relativeFrom="column">
              <wp:posOffset>-340360</wp:posOffset>
            </wp:positionH>
            <wp:positionV relativeFrom="paragraph">
              <wp:posOffset>459740</wp:posOffset>
            </wp:positionV>
            <wp:extent cx="662051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20510" cy="8255"/>
                    </a:xfrm>
                    <a:prstGeom prst="rect">
                      <a:avLst/>
                    </a:prstGeom>
                    <a:noFill/>
                  </pic:spPr>
                </pic:pic>
              </a:graphicData>
            </a:graphic>
          </wp:anchor>
        </w:drawing>
        <w:drawing>
          <wp:anchor simplePos="0" relativeHeight="251657728" behindDoc="1" locked="0" layoutInCell="0" allowOverlap="1">
            <wp:simplePos x="0" y="0"/>
            <wp:positionH relativeFrom="column">
              <wp:posOffset>-340360</wp:posOffset>
            </wp:positionH>
            <wp:positionV relativeFrom="paragraph">
              <wp:posOffset>500380</wp:posOffset>
            </wp:positionV>
            <wp:extent cx="662051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20510" cy="8255"/>
                    </a:xfrm>
                    <a:prstGeom prst="rect">
                      <a:avLst/>
                    </a:prstGeom>
                    <a:noFill/>
                  </pic:spPr>
                </pic:pic>
              </a:graphicData>
            </a:graphic>
          </wp:anchor>
        </w:drawing>
      </w:r>
    </w:p>
    <w:p>
      <w:pPr>
        <w:sectPr>
          <w:pgSz w:w="11900" w:h="16838" w:orient="portrait"/>
          <w:cols w:equalWidth="0" w:num="1">
            <w:col w:w="9192"/>
          </w:cols>
          <w:pgMar w:left="1268" w:top="140" w:right="1440" w:bottom="1440"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204470</wp:posOffset>
            </wp:positionH>
            <wp:positionV relativeFrom="page">
              <wp:posOffset>88900</wp:posOffset>
            </wp:positionV>
            <wp:extent cx="7199630" cy="47059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99630" cy="470598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204470</wp:posOffset>
            </wp:positionH>
            <wp:positionV relativeFrom="page">
              <wp:posOffset>88900</wp:posOffset>
            </wp:positionV>
            <wp:extent cx="7199630" cy="4705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99630" cy="470598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4" w:name="page5"/>
    <w:bookmarkEnd w:id="4"/>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204470</wp:posOffset>
            </wp:positionH>
            <wp:positionV relativeFrom="page">
              <wp:posOffset>88900</wp:posOffset>
            </wp:positionV>
            <wp:extent cx="7199630" cy="4705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99630" cy="470598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5" w:name="page6"/>
    <w:bookmarkEnd w:id="5"/>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204470</wp:posOffset>
            </wp:positionH>
            <wp:positionV relativeFrom="page">
              <wp:posOffset>88900</wp:posOffset>
            </wp:positionV>
            <wp:extent cx="7199630" cy="47059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99630" cy="4705985"/>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2020-05-28T18:27:27Z</dcterms:created>
  <dcterms:modified xsi:type="dcterms:W3CDTF">2020-05-28T18:27:27Z</dcterms:modified>
</cp:coreProperties>
</file>