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2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5363845</wp:posOffset>
            </wp:positionH>
            <wp:positionV relativeFrom="paragraph">
              <wp:posOffset>-625475</wp:posOffset>
            </wp:positionV>
            <wp:extent cx="8255" cy="6261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4060825</wp:posOffset>
            </wp:positionH>
            <wp:positionV relativeFrom="paragraph">
              <wp:posOffset>-633730</wp:posOffset>
            </wp:positionV>
            <wp:extent cx="8255" cy="6343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4086225</wp:posOffset>
            </wp:positionH>
            <wp:positionV relativeFrom="paragraph">
              <wp:posOffset>-608330</wp:posOffset>
            </wp:positionV>
            <wp:extent cx="1260475" cy="5835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-1557020</wp:posOffset>
            </wp:positionH>
            <wp:positionV relativeFrom="paragraph">
              <wp:posOffset>32385</wp:posOffset>
            </wp:positionV>
            <wp:extent cx="69640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40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260"/>
            <w:col w:w="8620"/>
          </w:cols>
          <w:pgMar w:left="460" w:top="225" w:right="35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7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20" w:type="dxa"/>
            <w:vAlign w:val="bottom"/>
            <w:gridSpan w:val="10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</w:rPr>
                <w:t>HILL RICHARD</w:t>
              </w:r>
            </w:hyperlink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0" w:type="dxa"/>
            <w:vAlign w:val="bottom"/>
            <w:gridSpan w:val="8"/>
          </w:tcPr>
          <w:p>
            <w:pPr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4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</w:t>
              </w:r>
            </w:hyperlink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760" w:type="dxa"/>
            <w:vAlign w:val="bottom"/>
            <w:gridSpan w:val="5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  <w:gridSpan w:val="4"/>
            <w:vMerge w:val="restart"/>
          </w:tcPr>
          <w:p>
            <w:pPr>
              <w:spacing w:after="0" w:line="22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 xml:space="preserve">LTD 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00"/>
                </w:rPr>
                <w:t>[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 xml:space="preserve"> </w:t>
              </w:r>
              <w:r>
                <w:rPr>
                  <w:rFonts w:ascii="Arial" w:cs="Arial" w:eastAsia="Arial" w:hAnsi="Arial"/>
                  <w:sz w:val="17"/>
                  <w:szCs w:val="17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 xml:space="preserve"> 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00"/>
                </w:rPr>
                <w:t>]</w:t>
              </w:r>
            </w:hyperlink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760" w:type="dxa"/>
            <w:vAlign w:val="bottom"/>
            <w:gridSpan w:val="5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760" w:type="dxa"/>
            <w:vAlign w:val="bottom"/>
            <w:gridSpan w:val="5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20" w:type="dxa"/>
            <w:vAlign w:val="bottom"/>
            <w:gridSpan w:val="7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06/05/2020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0" w:type="dxa"/>
            <w:vAlign w:val="bottom"/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20" w:type="dxa"/>
            <w:vAlign w:val="bottom"/>
            <w:gridSpan w:val="10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  <w:gridSpan w:val="8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14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72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5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80" w:type="dxa"/>
            <w:vAlign w:val="bottom"/>
            <w:gridSpan w:val="7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7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60" w:type="dxa"/>
            <w:vAlign w:val="bottom"/>
            <w:gridSpan w:val="8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ind w:left="7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  <w:gridSpan w:val="3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2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06/05/2020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162</w:t>
            </w:r>
          </w:p>
        </w:tc>
        <w:tc>
          <w:tcPr>
            <w:tcW w:w="44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35.86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40,784</w:t>
            </w:r>
          </w:p>
        </w:tc>
        <w:tc>
          <w:tcPr>
            <w:tcW w:w="9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90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20" w:type="dxa"/>
            <w:vAlign w:val="bottom"/>
            <w:gridSpan w:val="16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3. Transaction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1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-2874010</wp:posOffset>
            </wp:positionV>
            <wp:extent cx="7031355" cy="291909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1355" cy="2919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5" w:right="359" w:bottom="1440" w:gutter="0" w:footer="0" w:header="0"/>
          <w:type w:val="continuous"/>
        </w:sectPr>
      </w:pPr>
    </w:p>
    <w:p>
      <w:pPr>
        <w:spacing w:after="0" w:line="9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8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Richard Hill by Blair Walters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-635</wp:posOffset>
            </wp:positionV>
            <wp:extent cx="12922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-12700</wp:posOffset>
            </wp:positionV>
            <wp:extent cx="85852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06/09/2020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5715</wp:posOffset>
            </wp:positionV>
            <wp:extent cx="50101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620" w:space="160"/>
            <w:col w:w="2300"/>
          </w:cols>
          <w:pgMar w:left="460" w:top="225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340" w:firstLine="7"/>
        <w:spacing w:after="0" w:line="319" w:lineRule="auto"/>
        <w:tabs>
          <w:tab w:leader="none" w:pos="18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5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3" Type="http://schemas.openxmlformats.org/officeDocument/2006/relationships/hyperlink" Target="http://www.sec.gov/cgi-bin/browse-edgar?action=getcompany&amp;CIK=0001185713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2020-06-09T12:52:35Z</dcterms:created>
  <dcterms:modified xsi:type="dcterms:W3CDTF">2020-06-09T12:52:35Z</dcterms:modified>
</cp:coreProperties>
</file>