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32385</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GAYNOR MITCHELL</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spacing w:after="0" w:line="250" w:lineRule="auto"/>
        <w:rPr>
          <w:rFonts w:ascii="Arial" w:cs="Arial" w:eastAsia="Arial" w:hAnsi="Arial"/>
          <w:sz w:val="21"/>
          <w:szCs w:val="21"/>
          <w:color w:val="0000EE"/>
        </w:rPr>
      </w:pPr>
      <w:hyperlink r:id="rId14">
        <w:r>
          <w:rPr>
            <w:rFonts w:ascii="Arial" w:cs="Arial" w:eastAsia="Arial" w:hAnsi="Arial"/>
            <w:sz w:val="21"/>
            <w:szCs w:val="21"/>
            <w:u w:val="single" w:color="auto"/>
            <w:color w:val="0000EE"/>
          </w:rPr>
          <w:t>MARVELL TECHNOLOGY GROUP</w:t>
        </w:r>
      </w:hyperlink>
      <w:r>
        <w:rPr>
          <w:rFonts w:ascii="Arial" w:cs="Arial" w:eastAsia="Arial" w:hAnsi="Arial"/>
          <w:sz w:val="21"/>
          <w:szCs w:val="21"/>
          <w:u w:val="single" w:color="auto"/>
          <w:color w:val="0000EE"/>
        </w:rPr>
        <w:t xml:space="preserve"> </w:t>
      </w:r>
      <w:hyperlink r:id="rId14">
        <w:r>
          <w:rPr>
            <w:rFonts w:ascii="Arial" w:cs="Arial" w:eastAsia="Arial" w:hAnsi="Arial"/>
            <w:sz w:val="21"/>
            <w:szCs w:val="21"/>
            <w:u w:val="single" w:color="auto"/>
            <w:color w:val="0000EE"/>
          </w:rPr>
          <w:t>LTD</w:t>
        </w:r>
        <w:r>
          <w:rPr>
            <w:rFonts w:ascii="Arial" w:cs="Arial" w:eastAsia="Arial" w:hAnsi="Arial"/>
            <w:sz w:val="21"/>
            <w:szCs w:val="21"/>
            <w:color w:val="0000EE"/>
          </w:rPr>
          <w:t xml:space="preserve">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p>
      <w:pPr>
        <w:spacing w:after="0" w:line="259"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06/17/2020</w:t>
      </w:r>
    </w:p>
    <w:p>
      <w:pPr>
        <w:spacing w:after="0" w:line="20" w:lineRule="exact"/>
        <w:rPr>
          <w:sz w:val="20"/>
          <w:szCs w:val="20"/>
          <w:color w:val="auto"/>
        </w:rPr>
      </w:pPr>
      <w:r>
        <w:rPr>
          <w:sz w:val="20"/>
          <w:szCs w:val="20"/>
          <w:color w:val="auto"/>
        </w:rPr>
        <w:br w:type="column"/>
      </w:r>
    </w:p>
    <w:p>
      <w:pPr>
        <w:spacing w:after="0" w:line="9" w:lineRule="exact"/>
        <w:rPr>
          <w:sz w:val="20"/>
          <w:szCs w:val="20"/>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0"/>
          <w:szCs w:val="20"/>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0"/>
          <w:szCs w:val="20"/>
          <w:color w:val="auto"/>
        </w:rPr>
      </w:pPr>
    </w:p>
    <w:p>
      <w:pPr>
        <w:ind w:left="1145"/>
        <w:spacing w:after="0"/>
        <w:rPr>
          <w:sz w:val="20"/>
          <w:szCs w:val="20"/>
          <w:color w:val="auto"/>
        </w:rPr>
      </w:pPr>
      <w:r>
        <w:rPr>
          <w:rFonts w:ascii="Arial" w:cs="Arial" w:eastAsia="Arial" w:hAnsi="Arial"/>
          <w:sz w:val="17"/>
          <w:szCs w:val="17"/>
          <w:color w:val="0000FF"/>
        </w:rPr>
        <w:t>EVP, CALO</w:t>
      </w:r>
    </w:p>
    <w:p>
      <w:pPr>
        <w:spacing w:after="0" w:line="387" w:lineRule="exact"/>
        <w:rPr>
          <w:sz w:val="20"/>
          <w:szCs w:val="20"/>
          <w:color w:val="auto"/>
        </w:rPr>
      </w:pPr>
    </w:p>
    <w:p>
      <w:pPr>
        <w:sectPr>
          <w:pgSz w:w="11900" w:h="16838" w:orient="portrait"/>
          <w:cols w:equalWidth="0" w:num="3">
            <w:col w:w="3200" w:space="720"/>
            <w:col w:w="3300" w:space="515"/>
            <w:col w:w="3345"/>
          </w:cols>
          <w:pgMar w:left="460" w:top="225" w:right="359" w:bottom="1440" w:gutter="0" w:footer="0" w:header="0"/>
          <w:type w:val="continuous"/>
        </w:sectPr>
      </w:pPr>
    </w:p>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8"/>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8"/>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7"/>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2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2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6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2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ind w:left="820"/>
              <w:spacing w:after="0"/>
              <w:rPr>
                <w:sz w:val="20"/>
                <w:szCs w:val="20"/>
                <w:color w:val="auto"/>
              </w:rPr>
            </w:pPr>
            <w:r>
              <w:rPr>
                <w:rFonts w:ascii="Arial" w:cs="Arial" w:eastAsia="Arial" w:hAnsi="Arial"/>
                <w:sz w:val="17"/>
                <w:szCs w:val="17"/>
                <w:color w:val="0000FF"/>
              </w:rPr>
              <w:t>06/17/2020</w:t>
            </w:r>
          </w:p>
        </w:tc>
        <w:tc>
          <w:tcPr>
            <w:tcW w:w="4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760" w:type="dxa"/>
            <w:vAlign w:val="bottom"/>
            <w:tcBorders>
              <w:bottom w:val="single" w:sz="8" w:color="2C2C2C"/>
            </w:tcBorders>
          </w:tcPr>
          <w:p>
            <w:pPr>
              <w:ind w:left="160"/>
              <w:spacing w:after="0"/>
              <w:rPr>
                <w:sz w:val="20"/>
                <w:szCs w:val="20"/>
                <w:color w:val="auto"/>
              </w:rPr>
            </w:pPr>
            <w:r>
              <w:rPr>
                <w:rFonts w:ascii="Arial" w:cs="Arial" w:eastAsia="Arial" w:hAnsi="Arial"/>
                <w:sz w:val="17"/>
                <w:szCs w:val="17"/>
                <w:color w:val="0000FF"/>
              </w:rPr>
              <w:t>30,000</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35.09</w:t>
            </w:r>
            <w:r>
              <w:rPr>
                <w:rFonts w:ascii="Arial" w:cs="Arial" w:eastAsia="Arial" w:hAnsi="Arial"/>
                <w:sz w:val="22"/>
                <w:szCs w:val="22"/>
                <w:color w:val="008000"/>
                <w:w w:val="94"/>
                <w:vertAlign w:val="superscript"/>
              </w:rPr>
              <w:t>(1)</w:t>
            </w:r>
          </w:p>
        </w:tc>
        <w:tc>
          <w:tcPr>
            <w:tcW w:w="1200" w:type="dxa"/>
            <w:vAlign w:val="bottom"/>
            <w:tcBorders>
              <w:bottom w:val="single" w:sz="8" w:color="2C2C2C"/>
            </w:tcBorders>
            <w:gridSpan w:val="2"/>
          </w:tcPr>
          <w:p>
            <w:pPr>
              <w:ind w:left="280"/>
              <w:spacing w:after="0"/>
              <w:rPr>
                <w:sz w:val="20"/>
                <w:szCs w:val="20"/>
                <w:color w:val="auto"/>
              </w:rPr>
            </w:pPr>
            <w:r>
              <w:rPr>
                <w:rFonts w:ascii="Arial" w:cs="Arial" w:eastAsia="Arial" w:hAnsi="Arial"/>
                <w:sz w:val="17"/>
                <w:szCs w:val="17"/>
                <w:color w:val="0000FF"/>
              </w:rPr>
              <w:t>70,708</w:t>
            </w:r>
            <w:r>
              <w:rPr>
                <w:rFonts w:ascii="Arial" w:cs="Arial" w:eastAsia="Arial" w:hAnsi="Arial"/>
                <w:sz w:val="22"/>
                <w:szCs w:val="22"/>
                <w:color w:val="008000"/>
                <w:vertAlign w:val="superscript"/>
              </w:rPr>
              <w:t>(2)</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-2874010</wp:posOffset>
            </wp:positionV>
            <wp:extent cx="7031355" cy="29190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2919095"/>
                    </a:xfrm>
                    <a:prstGeom prst="rect">
                      <a:avLst/>
                    </a:prstGeom>
                    <a:noFill/>
                  </pic:spPr>
                </pic:pic>
              </a:graphicData>
            </a:graphic>
          </wp:anchor>
        </w:drawing>
      </w:r>
    </w:p>
    <w:p>
      <w:pPr>
        <w:spacing w:after="0" w:line="7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20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$35.07 to $35.13,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Includes 1628 shares acquired under the Marvell 2000 Employee Stock Purchase Plan on June 5, 2020.</w:t>
      </w:r>
    </w:p>
    <w:p>
      <w:pPr>
        <w:spacing w:after="0" w:line="40"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Mitchell Gaynor by Blair</w:t>
            </w: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06/19/2020</w:t>
            </w:r>
          </w:p>
        </w:tc>
        <w:tc>
          <w:tcPr>
            <w:tcW w:w="0" w:type="dxa"/>
            <w:vAlign w:val="bottom"/>
          </w:tcPr>
          <w:p>
            <w:pPr>
              <w:spacing w:after="0"/>
              <w:rPr>
                <w:sz w:val="1"/>
                <w:szCs w:val="1"/>
                <w:color w:val="auto"/>
              </w:rPr>
            </w:pPr>
          </w:p>
        </w:tc>
      </w:tr>
      <w:tr>
        <w:trPr>
          <w:trHeight w:val="20"/>
        </w:trPr>
        <w:tc>
          <w:tcPr>
            <w:tcW w:w="1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193486"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2020-06-19T08:28:09Z</dcterms:created>
  <dcterms:modified xsi:type="dcterms:W3CDTF">2020-06-19T08:28:09Z</dcterms:modified>
</cp:coreProperties>
</file>