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July 23, 2020</w:t>
      </w:r>
    </w:p>
    <w:p>
      <w:pPr>
        <w:spacing w:after="0" w:line="1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4" w:space="720"/>
            <w:col w:w="27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ind w:left="4944"/>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ind w:left="4824"/>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ind w:left="4864"/>
        <w:spacing w:after="0"/>
        <w:rPr>
          <w:sz w:val="20"/>
          <w:szCs w:val="20"/>
          <w:color w:val="auto"/>
        </w:rPr>
      </w:pPr>
      <w:r>
        <w:rPr>
          <w:rFonts w:ascii="Arial" w:cs="Arial" w:eastAsia="Arial" w:hAnsi="Arial"/>
          <w:sz w:val="18"/>
          <w:szCs w:val="18"/>
          <w:b w:val="1"/>
          <w:bCs w:val="1"/>
          <w:color w:val="auto"/>
        </w:rPr>
        <w:t>Hamilton HM 12</w:t>
      </w:r>
      <w:r>
        <w:rPr>
          <w:rFonts w:ascii="Arial" w:cs="Arial" w:eastAsia="Arial" w:hAnsi="Arial"/>
          <w:sz w:val="18"/>
          <w:szCs w:val="18"/>
          <w:color w:val="FFFFFE"/>
        </w:rPr>
        <w:t>HM 12</w:t>
      </w:r>
    </w:p>
    <w:p>
      <w:pPr>
        <w:spacing w:after="0" w:line="9" w:lineRule="exact"/>
        <w:rPr>
          <w:sz w:val="24"/>
          <w:szCs w:val="24"/>
          <w:color w:val="auto"/>
        </w:rPr>
      </w:pPr>
    </w:p>
    <w:p>
      <w:pPr>
        <w:ind w:left="5144"/>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74"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56" w:lineRule="exact"/>
        <w:rPr>
          <w:sz w:val="24"/>
          <w:szCs w:val="24"/>
          <w:color w:val="auto"/>
        </w:rPr>
      </w:pPr>
    </w:p>
    <w:p>
      <w:pPr>
        <w:ind w:left="4"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left="4" w:right="540"/>
        <w:spacing w:after="0" w:line="277" w:lineRule="auto"/>
        <w:rPr>
          <w:sz w:val="20"/>
          <w:szCs w:val="20"/>
          <w:color w:val="auto"/>
        </w:rPr>
      </w:pPr>
      <w:r>
        <w:rPr>
          <w:rFonts w:ascii="Arial" w:cs="Arial" w:eastAsia="Arial" w:hAnsi="Arial"/>
          <w:sz w:val="18"/>
          <w:szCs w:val="18"/>
          <w:color w:val="auto"/>
        </w:rPr>
        <w:t>At the Company’s Annual General Meeting of Shareholders held on July 23, 2020, shareholders voted on the matters set forth below. Each issued common share was entitled to one vote on each of the proposals voted on at the meeting.</w:t>
      </w:r>
    </w:p>
    <w:p>
      <w:pPr>
        <w:spacing w:after="0" w:line="170" w:lineRule="exact"/>
        <w:rPr>
          <w:sz w:val="20"/>
          <w:szCs w:val="20"/>
          <w:color w:val="auto"/>
        </w:rPr>
      </w:pPr>
    </w:p>
    <w:p>
      <w:pPr>
        <w:ind w:left="4" w:right="20" w:hanging="4"/>
        <w:spacing w:after="0" w:line="277" w:lineRule="auto"/>
        <w:tabs>
          <w:tab w:leader="none" w:pos="316"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nominees for election to the Board were elected, each for a one-year term until the 2021 annual general meeting of shareholders, based upon the following votes:</w:t>
      </w:r>
    </w:p>
    <w:p>
      <w:pPr>
        <w:spacing w:after="0" w:line="180" w:lineRule="exact"/>
        <w:rPr>
          <w:sz w:val="20"/>
          <w:szCs w:val="20"/>
          <w:color w:val="auto"/>
        </w:rPr>
      </w:pPr>
    </w:p>
    <w:tbl>
      <w:tblPr>
        <w:tblLayout w:type="fixed"/>
        <w:tblInd w:w="884"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gridSpan w:val="2"/>
          </w:tcPr>
          <w:p>
            <w:pPr>
              <w:ind w:left="60"/>
              <w:spacing w:after="0"/>
              <w:rPr>
                <w:sz w:val="20"/>
                <w:szCs w:val="20"/>
                <w:color w:val="auto"/>
              </w:rPr>
            </w:pPr>
            <w:r>
              <w:rPr>
                <w:rFonts w:ascii="Arial" w:cs="Arial" w:eastAsia="Arial" w:hAnsi="Arial"/>
                <w:sz w:val="14"/>
                <w:szCs w:val="14"/>
                <w:color w:val="auto"/>
              </w:rPr>
              <w:t>Broker Non-</w:t>
            </w:r>
          </w:p>
        </w:tc>
      </w:tr>
      <w:tr>
        <w:trPr>
          <w:trHeight w:val="167"/>
        </w:trPr>
        <w:tc>
          <w:tcPr>
            <w:tcW w:w="4960" w:type="dxa"/>
            <w:vAlign w:val="bottom"/>
          </w:tcPr>
          <w:p>
            <w:pPr>
              <w:spacing w:after="0"/>
              <w:rPr>
                <w:sz w:val="14"/>
                <w:szCs w:val="14"/>
                <w:color w:val="auto"/>
              </w:rPr>
            </w:pPr>
          </w:p>
        </w:tc>
        <w:tc>
          <w:tcPr>
            <w:tcW w:w="118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1100" w:type="dxa"/>
            <w:vAlign w:val="bottom"/>
            <w:gridSpan w:val="2"/>
          </w:tcPr>
          <w:p>
            <w:pPr>
              <w:ind w:left="220"/>
              <w:spacing w:after="0"/>
              <w:rPr>
                <w:sz w:val="20"/>
                <w:szCs w:val="20"/>
                <w:color w:val="auto"/>
              </w:rPr>
            </w:pPr>
            <w:r>
              <w:rPr>
                <w:rFonts w:ascii="Arial" w:cs="Arial" w:eastAsia="Arial" w:hAnsi="Arial"/>
                <w:sz w:val="14"/>
                <w:szCs w:val="14"/>
                <w:color w:val="auto"/>
              </w:rPr>
              <w:t>Against</w:t>
            </w:r>
          </w:p>
        </w:tc>
        <w:tc>
          <w:tcPr>
            <w:tcW w:w="1100" w:type="dxa"/>
            <w:vAlign w:val="bottom"/>
            <w:gridSpan w:val="2"/>
          </w:tcPr>
          <w:p>
            <w:pPr>
              <w:ind w:left="200"/>
              <w:spacing w:after="0"/>
              <w:rPr>
                <w:sz w:val="20"/>
                <w:szCs w:val="20"/>
                <w:color w:val="auto"/>
              </w:rPr>
            </w:pPr>
            <w:r>
              <w:rPr>
                <w:rFonts w:ascii="Arial" w:cs="Arial" w:eastAsia="Arial" w:hAnsi="Arial"/>
                <w:sz w:val="14"/>
                <w:szCs w:val="14"/>
                <w:color w:val="auto"/>
              </w:rPr>
              <w:t>Abstain</w:t>
            </w:r>
          </w:p>
        </w:tc>
        <w:tc>
          <w:tcPr>
            <w:tcW w:w="920" w:type="dxa"/>
            <w:vAlign w:val="bottom"/>
            <w:gridSpan w:val="2"/>
          </w:tcPr>
          <w:p>
            <w:pPr>
              <w:ind w:left="260"/>
              <w:spacing w:after="0"/>
              <w:rPr>
                <w:sz w:val="20"/>
                <w:szCs w:val="20"/>
                <w:color w:val="auto"/>
              </w:rPr>
            </w:pPr>
            <w:r>
              <w:rPr>
                <w:rFonts w:ascii="Arial" w:cs="Arial" w:eastAsia="Arial" w:hAnsi="Arial"/>
                <w:sz w:val="14"/>
                <w:szCs w:val="14"/>
                <w:color w:val="auto"/>
              </w:rPr>
              <w:t>Votes</w:t>
            </w:r>
          </w:p>
        </w:tc>
      </w:tr>
      <w:tr>
        <w:trPr>
          <w:trHeight w:val="209"/>
        </w:trPr>
        <w:tc>
          <w:tcPr>
            <w:tcW w:w="4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William Tudor Brown</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511,399,596</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40,020,314</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522,291</w:t>
            </w:r>
          </w:p>
        </w:tc>
        <w:tc>
          <w:tcPr>
            <w:tcW w:w="2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Brad Buss</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550,979,951</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462,053</w:t>
            </w:r>
          </w:p>
        </w:tc>
        <w:tc>
          <w:tcPr>
            <w:tcW w:w="2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500,197</w:t>
            </w:r>
          </w:p>
        </w:tc>
        <w:tc>
          <w:tcPr>
            <w:tcW w:w="240" w:type="dxa"/>
            <w:vAlign w:val="bottom"/>
          </w:tcPr>
          <w:p>
            <w:pPr>
              <w:spacing w:after="0"/>
              <w:rPr>
                <w:sz w:val="18"/>
                <w:szCs w:val="18"/>
                <w:color w:val="auto"/>
              </w:rPr>
            </w:pPr>
          </w:p>
        </w:tc>
        <w:tc>
          <w:tcPr>
            <w:tcW w:w="860" w:type="dxa"/>
            <w:vAlign w:val="bottom"/>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Edward Frank</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521,350,028</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14,428,477</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16,163,696</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Richard S. Hill</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518,346,918</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3"/>
              </w:rPr>
              <w:t>30,054,904</w:t>
            </w:r>
          </w:p>
        </w:tc>
        <w:tc>
          <w:tcPr>
            <w:tcW w:w="2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3,540,379</w:t>
            </w:r>
          </w:p>
        </w:tc>
        <w:tc>
          <w:tcPr>
            <w:tcW w:w="240" w:type="dxa"/>
            <w:vAlign w:val="bottom"/>
          </w:tcPr>
          <w:p>
            <w:pPr>
              <w:spacing w:after="0"/>
              <w:rPr>
                <w:sz w:val="18"/>
                <w:szCs w:val="18"/>
                <w:color w:val="auto"/>
              </w:rPr>
            </w:pPr>
          </w:p>
        </w:tc>
        <w:tc>
          <w:tcPr>
            <w:tcW w:w="860" w:type="dxa"/>
            <w:vAlign w:val="bottom"/>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Bethany Mayer</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543,900,780</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7,484,804</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556,617</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Matthew J. Murphy</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551,119,064</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448,168</w:t>
            </w:r>
          </w:p>
        </w:tc>
        <w:tc>
          <w:tcPr>
            <w:tcW w:w="2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374,969</w:t>
            </w:r>
          </w:p>
        </w:tc>
        <w:tc>
          <w:tcPr>
            <w:tcW w:w="240" w:type="dxa"/>
            <w:vAlign w:val="bottom"/>
          </w:tcPr>
          <w:p>
            <w:pPr>
              <w:spacing w:after="0"/>
              <w:rPr>
                <w:sz w:val="18"/>
                <w:szCs w:val="18"/>
                <w:color w:val="auto"/>
              </w:rPr>
            </w:pPr>
          </w:p>
        </w:tc>
        <w:tc>
          <w:tcPr>
            <w:tcW w:w="860" w:type="dxa"/>
            <w:vAlign w:val="bottom"/>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550,885,574</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483,476</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573,151</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shd w:val="clear" w:color="auto" w:fill="CCEEFF"/>
          </w:tcPr>
          <w:p>
            <w:pPr>
              <w:spacing w:after="0"/>
              <w:rPr>
                <w:sz w:val="18"/>
                <w:szCs w:val="18"/>
                <w:color w:val="auto"/>
              </w:rPr>
            </w:pPr>
          </w:p>
        </w:tc>
      </w:tr>
      <w:tr>
        <w:trPr>
          <w:trHeight w:val="230"/>
        </w:trPr>
        <w:tc>
          <w:tcPr>
            <w:tcW w:w="4960" w:type="dxa"/>
            <w:vAlign w:val="bottom"/>
          </w:tcPr>
          <w:p>
            <w:pPr>
              <w:spacing w:after="0"/>
              <w:rPr>
                <w:sz w:val="20"/>
                <w:szCs w:val="20"/>
                <w:color w:val="auto"/>
              </w:rPr>
            </w:pPr>
            <w:r>
              <w:rPr>
                <w:rFonts w:ascii="Arial" w:cs="Arial" w:eastAsia="Arial" w:hAnsi="Arial"/>
                <w:sz w:val="18"/>
                <w:szCs w:val="18"/>
                <w:color w:val="auto"/>
              </w:rPr>
              <w:t>Robert E. Switz</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494,297,978</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3"/>
              </w:rPr>
              <w:t>57,140,830</w:t>
            </w:r>
          </w:p>
        </w:tc>
        <w:tc>
          <w:tcPr>
            <w:tcW w:w="2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503,393</w:t>
            </w:r>
          </w:p>
        </w:tc>
        <w:tc>
          <w:tcPr>
            <w:tcW w:w="240" w:type="dxa"/>
            <w:vAlign w:val="bottom"/>
          </w:tcPr>
          <w:p>
            <w:pPr>
              <w:spacing w:after="0"/>
              <w:rPr>
                <w:sz w:val="20"/>
                <w:szCs w:val="20"/>
                <w:color w:val="auto"/>
              </w:rPr>
            </w:pPr>
          </w:p>
        </w:tc>
        <w:tc>
          <w:tcPr>
            <w:tcW w:w="860" w:type="dxa"/>
            <w:vAlign w:val="bottom"/>
          </w:tcPr>
          <w:p>
            <w:pPr>
              <w:ind w:left="40"/>
              <w:spacing w:after="0"/>
              <w:rPr>
                <w:sz w:val="20"/>
                <w:szCs w:val="20"/>
                <w:color w:val="auto"/>
              </w:rPr>
            </w:pPr>
            <w:r>
              <w:rPr>
                <w:rFonts w:ascii="Arial" w:cs="Arial" w:eastAsia="Arial" w:hAnsi="Arial"/>
                <w:sz w:val="18"/>
                <w:szCs w:val="18"/>
                <w:color w:val="auto"/>
                <w:w w:val="88"/>
              </w:rPr>
              <w:t>63,344,396</w:t>
            </w:r>
          </w:p>
        </w:tc>
        <w:tc>
          <w:tcPr>
            <w:tcW w:w="60" w:type="dxa"/>
            <w:vAlign w:val="bottom"/>
          </w:tcPr>
          <w:p>
            <w:pPr>
              <w:spacing w:after="0"/>
              <w:rPr>
                <w:sz w:val="20"/>
                <w:szCs w:val="20"/>
                <w:color w:val="auto"/>
              </w:rPr>
            </w:pPr>
          </w:p>
        </w:tc>
      </w:tr>
    </w:tbl>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With respect to the election of each director, an “abstain” vote had the same effect as an “against” vote.</w:t>
      </w:r>
    </w:p>
    <w:p>
      <w:pPr>
        <w:spacing w:after="0" w:line="225" w:lineRule="exact"/>
        <w:rPr>
          <w:sz w:val="20"/>
          <w:szCs w:val="20"/>
          <w:color w:val="auto"/>
        </w:rPr>
      </w:pPr>
    </w:p>
    <w:p>
      <w:pPr>
        <w:ind w:left="4" w:right="280" w:hanging="4"/>
        <w:spacing w:after="0" w:line="277" w:lineRule="auto"/>
        <w:tabs>
          <w:tab w:leader="none" w:pos="316"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proposal to approve, on an advisory and non-binding basis, the compensation of the Company’s named executive officers, was not approved based upon the following votes:</w:t>
      </w:r>
    </w:p>
    <w:p>
      <w:pPr>
        <w:spacing w:after="0" w:line="193" w:lineRule="exact"/>
        <w:rPr>
          <w:sz w:val="20"/>
          <w:szCs w:val="20"/>
          <w:color w:val="auto"/>
        </w:rPr>
      </w:pPr>
    </w:p>
    <w:tbl>
      <w:tblPr>
        <w:tblLayout w:type="fixed"/>
        <w:tblInd w:w="4" w:type="dxa"/>
        <w:tblCellMar>
          <w:top w:w="0" w:type="dxa"/>
          <w:left w:w="0" w:type="dxa"/>
          <w:bottom w:w="0" w:type="dxa"/>
          <w:right w:w="0" w:type="dxa"/>
        </w:tblCellMar>
      </w:tblPr>
      <w:tr>
        <w:trPr>
          <w:trHeight w:val="181"/>
        </w:trPr>
        <w:tc>
          <w:tcPr>
            <w:tcW w:w="2780" w:type="dxa"/>
            <w:vAlign w:val="bottom"/>
            <w:gridSpan w:val="2"/>
          </w:tcPr>
          <w:p>
            <w:pPr>
              <w:jc w:val="center"/>
              <w:ind w:right="140"/>
              <w:spacing w:after="0"/>
              <w:rPr>
                <w:sz w:val="20"/>
                <w:szCs w:val="20"/>
                <w:color w:val="auto"/>
              </w:rPr>
            </w:pPr>
            <w:r>
              <w:rPr>
                <w:rFonts w:ascii="Arial" w:cs="Arial" w:eastAsia="Arial" w:hAnsi="Arial"/>
                <w:sz w:val="14"/>
                <w:szCs w:val="14"/>
                <w:color w:val="auto"/>
                <w:w w:val="95"/>
              </w:rPr>
              <w:t>For</w:t>
            </w:r>
          </w:p>
        </w:tc>
        <w:tc>
          <w:tcPr>
            <w:tcW w:w="2740" w:type="dxa"/>
            <w:vAlign w:val="bottom"/>
            <w:gridSpan w:val="2"/>
          </w:tcPr>
          <w:p>
            <w:pPr>
              <w:jc w:val="center"/>
              <w:ind w:right="120"/>
              <w:spacing w:after="0"/>
              <w:rPr>
                <w:sz w:val="20"/>
                <w:szCs w:val="20"/>
                <w:color w:val="auto"/>
              </w:rPr>
            </w:pPr>
            <w:r>
              <w:rPr>
                <w:rFonts w:ascii="Arial" w:cs="Arial" w:eastAsia="Arial" w:hAnsi="Arial"/>
                <w:sz w:val="14"/>
                <w:szCs w:val="14"/>
                <w:color w:val="auto"/>
                <w:w w:val="98"/>
              </w:rPr>
              <w:t>Against</w:t>
            </w:r>
          </w:p>
        </w:tc>
        <w:tc>
          <w:tcPr>
            <w:tcW w:w="28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Abstain</w:t>
            </w:r>
          </w:p>
        </w:tc>
        <w:tc>
          <w:tcPr>
            <w:tcW w:w="2640" w:type="dxa"/>
            <w:vAlign w:val="bottom"/>
          </w:tcPr>
          <w:p>
            <w:pPr>
              <w:jc w:val="center"/>
              <w:spacing w:after="0"/>
              <w:rPr>
                <w:sz w:val="20"/>
                <w:szCs w:val="20"/>
                <w:color w:val="auto"/>
              </w:rPr>
            </w:pPr>
            <w:r>
              <w:rPr>
                <w:rFonts w:ascii="Arial" w:cs="Arial" w:eastAsia="Arial" w:hAnsi="Arial"/>
                <w:sz w:val="14"/>
                <w:szCs w:val="14"/>
                <w:color w:val="auto"/>
                <w:w w:val="93"/>
              </w:rPr>
              <w:t>Broker Non-Votes</w:t>
            </w:r>
          </w:p>
        </w:tc>
      </w:tr>
      <w:tr>
        <w:trPr>
          <w:trHeight w:val="209"/>
        </w:trPr>
        <w:tc>
          <w:tcPr>
            <w:tcW w:w="2620" w:type="dxa"/>
            <w:vAlign w:val="bottom"/>
            <w:tcBorders>
              <w:top w:val="single" w:sz="8" w:color="auto"/>
            </w:tcBorders>
            <w:shd w:val="clear" w:color="auto" w:fill="CCEEFF"/>
          </w:tcPr>
          <w:p>
            <w:pPr>
              <w:jc w:val="right"/>
              <w:ind w:right="779"/>
              <w:spacing w:after="0"/>
              <w:rPr>
                <w:sz w:val="20"/>
                <w:szCs w:val="20"/>
                <w:color w:val="auto"/>
              </w:rPr>
            </w:pPr>
            <w:r>
              <w:rPr>
                <w:rFonts w:ascii="Arial" w:cs="Arial" w:eastAsia="Arial" w:hAnsi="Arial"/>
                <w:sz w:val="18"/>
                <w:szCs w:val="18"/>
                <w:color w:val="auto"/>
              </w:rPr>
              <w:t>241,650,376</w:t>
            </w:r>
          </w:p>
        </w:tc>
        <w:tc>
          <w:tcPr>
            <w:tcW w:w="160" w:type="dxa"/>
            <w:vAlign w:val="bottom"/>
            <w:tcBorders>
              <w:top w:val="single" w:sz="8" w:color="CCEEFF"/>
            </w:tcBorders>
            <w:shd w:val="clear" w:color="auto" w:fill="CCEEFF"/>
          </w:tcPr>
          <w:p>
            <w:pPr>
              <w:spacing w:after="0"/>
              <w:rPr>
                <w:sz w:val="18"/>
                <w:szCs w:val="18"/>
                <w:color w:val="auto"/>
              </w:rPr>
            </w:pPr>
          </w:p>
        </w:tc>
        <w:tc>
          <w:tcPr>
            <w:tcW w:w="2620" w:type="dxa"/>
            <w:vAlign w:val="bottom"/>
            <w:tcBorders>
              <w:top w:val="single" w:sz="8" w:color="auto"/>
            </w:tcBorders>
            <w:shd w:val="clear" w:color="auto" w:fill="CCEEFF"/>
          </w:tcPr>
          <w:p>
            <w:pPr>
              <w:jc w:val="right"/>
              <w:ind w:right="779"/>
              <w:spacing w:after="0"/>
              <w:rPr>
                <w:sz w:val="20"/>
                <w:szCs w:val="20"/>
                <w:color w:val="auto"/>
              </w:rPr>
            </w:pPr>
            <w:r>
              <w:rPr>
                <w:rFonts w:ascii="Arial" w:cs="Arial" w:eastAsia="Arial" w:hAnsi="Arial"/>
                <w:sz w:val="18"/>
                <w:szCs w:val="18"/>
                <w:color w:val="auto"/>
              </w:rPr>
              <w:t>309,537,451</w:t>
            </w:r>
          </w:p>
        </w:tc>
        <w:tc>
          <w:tcPr>
            <w:tcW w:w="120" w:type="dxa"/>
            <w:vAlign w:val="bottom"/>
            <w:tcBorders>
              <w:top w:val="single" w:sz="8" w:color="CCEEFF"/>
            </w:tcBorders>
            <w:shd w:val="clear" w:color="auto" w:fill="CCEEFF"/>
          </w:tcPr>
          <w:p>
            <w:pPr>
              <w:spacing w:after="0"/>
              <w:rPr>
                <w:sz w:val="18"/>
                <w:szCs w:val="18"/>
                <w:color w:val="auto"/>
              </w:rPr>
            </w:pPr>
          </w:p>
        </w:tc>
        <w:tc>
          <w:tcPr>
            <w:tcW w:w="276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754,374</w:t>
            </w:r>
          </w:p>
        </w:tc>
        <w:tc>
          <w:tcPr>
            <w:tcW w:w="100" w:type="dxa"/>
            <w:vAlign w:val="bottom"/>
            <w:tcBorders>
              <w:top w:val="single" w:sz="8" w:color="CCEEFF"/>
            </w:tcBorders>
            <w:shd w:val="clear" w:color="auto" w:fill="CCEEFF"/>
          </w:tcPr>
          <w:p>
            <w:pPr>
              <w:spacing w:after="0"/>
              <w:rPr>
                <w:sz w:val="18"/>
                <w:szCs w:val="18"/>
                <w:color w:val="auto"/>
              </w:rPr>
            </w:pPr>
          </w:p>
        </w:tc>
        <w:tc>
          <w:tcPr>
            <w:tcW w:w="2640" w:type="dxa"/>
            <w:vAlign w:val="bottom"/>
            <w:tcBorders>
              <w:top w:val="single" w:sz="8" w:color="auto"/>
            </w:tcBorders>
            <w:shd w:val="clear" w:color="auto" w:fill="CCEEFF"/>
          </w:tcPr>
          <w:p>
            <w:pPr>
              <w:jc w:val="right"/>
              <w:ind w:right="839"/>
              <w:spacing w:after="0"/>
              <w:rPr>
                <w:sz w:val="20"/>
                <w:szCs w:val="20"/>
                <w:color w:val="auto"/>
              </w:rPr>
            </w:pPr>
            <w:r>
              <w:rPr>
                <w:rFonts w:ascii="Arial" w:cs="Arial" w:eastAsia="Arial" w:hAnsi="Arial"/>
                <w:sz w:val="18"/>
                <w:szCs w:val="18"/>
                <w:color w:val="auto"/>
              </w:rPr>
              <w:t>63,344,396</w:t>
            </w:r>
          </w:p>
        </w:tc>
      </w:tr>
    </w:tbl>
    <w:p>
      <w:pPr>
        <w:spacing w:after="0" w:line="202" w:lineRule="exact"/>
        <w:rPr>
          <w:sz w:val="20"/>
          <w:szCs w:val="20"/>
          <w:color w:val="auto"/>
        </w:rPr>
      </w:pPr>
    </w:p>
    <w:p>
      <w:pPr>
        <w:ind w:left="4" w:right="100" w:hanging="4"/>
        <w:spacing w:after="0" w:line="311" w:lineRule="auto"/>
        <w:tabs>
          <w:tab w:leader="none" w:pos="316" w:val="left"/>
        </w:tabs>
        <w:numPr>
          <w:ilvl w:val="0"/>
          <w:numId w:val="4"/>
        </w:numPr>
        <w:rPr>
          <w:rFonts w:ascii="Arial" w:cs="Arial" w:eastAsia="Arial" w:hAnsi="Arial"/>
          <w:sz w:val="16"/>
          <w:szCs w:val="16"/>
          <w:color w:val="auto"/>
        </w:rPr>
      </w:pPr>
      <w:r>
        <w:rPr>
          <w:rFonts w:ascii="Arial" w:cs="Arial" w:eastAsia="Arial" w:hAnsi="Arial"/>
          <w:sz w:val="16"/>
          <w:szCs w:val="16"/>
          <w:color w:val="auto"/>
        </w:rPr>
        <w:t>The proposal to appoint Deloitte &amp; Touche LLP as the Company’s auditors and independent registered public accounting firm, and authorization of the audit committee, acting on behalf of the Company’s board of directors, to fix the remuneration of the auditors and independent registered public accounting firm, in both cases for the fiscal year ending January 30, 2021, was approved based upon the following votes:</w:t>
      </w:r>
    </w:p>
    <w:p>
      <w:pPr>
        <w:spacing w:after="0" w:line="171" w:lineRule="exact"/>
        <w:rPr>
          <w:sz w:val="20"/>
          <w:szCs w:val="20"/>
          <w:color w:val="auto"/>
        </w:rPr>
      </w:pPr>
    </w:p>
    <w:tbl>
      <w:tblPr>
        <w:tblLayout w:type="fixed"/>
        <w:tblInd w:w="4" w:type="dxa"/>
        <w:tblCellMar>
          <w:top w:w="0" w:type="dxa"/>
          <w:left w:w="0" w:type="dxa"/>
          <w:bottom w:w="0" w:type="dxa"/>
          <w:right w:w="0" w:type="dxa"/>
        </w:tblCellMar>
      </w:tblPr>
      <w:tr>
        <w:trPr>
          <w:trHeight w:val="181"/>
        </w:trPr>
        <w:tc>
          <w:tcPr>
            <w:tcW w:w="3860" w:type="dxa"/>
            <w:vAlign w:val="bottom"/>
            <w:gridSpan w:val="2"/>
          </w:tcPr>
          <w:p>
            <w:pPr>
              <w:jc w:val="center"/>
              <w:ind w:right="140"/>
              <w:spacing w:after="0"/>
              <w:rPr>
                <w:sz w:val="20"/>
                <w:szCs w:val="20"/>
                <w:color w:val="auto"/>
              </w:rPr>
            </w:pPr>
            <w:r>
              <w:rPr>
                <w:rFonts w:ascii="Arial" w:cs="Arial" w:eastAsia="Arial" w:hAnsi="Arial"/>
                <w:sz w:val="14"/>
                <w:szCs w:val="14"/>
                <w:color w:val="auto"/>
                <w:w w:val="95"/>
              </w:rPr>
              <w:t>For</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Against</w:t>
            </w:r>
          </w:p>
        </w:tc>
        <w:tc>
          <w:tcPr>
            <w:tcW w:w="3540" w:type="dxa"/>
            <w:vAlign w:val="bottom"/>
          </w:tcPr>
          <w:p>
            <w:pPr>
              <w:jc w:val="center"/>
              <w:spacing w:after="0"/>
              <w:rPr>
                <w:sz w:val="20"/>
                <w:szCs w:val="20"/>
                <w:color w:val="auto"/>
              </w:rPr>
            </w:pPr>
            <w:r>
              <w:rPr>
                <w:rFonts w:ascii="Arial" w:cs="Arial" w:eastAsia="Arial" w:hAnsi="Arial"/>
                <w:sz w:val="14"/>
                <w:szCs w:val="14"/>
                <w:color w:val="auto"/>
                <w:w w:val="98"/>
              </w:rPr>
              <w:t>Abstain</w:t>
            </w:r>
          </w:p>
        </w:tc>
      </w:tr>
      <w:tr>
        <w:trPr>
          <w:trHeight w:val="210"/>
        </w:trPr>
        <w:tc>
          <w:tcPr>
            <w:tcW w:w="3740" w:type="dxa"/>
            <w:vAlign w:val="bottom"/>
            <w:tcBorders>
              <w:top w:val="single" w:sz="8" w:color="auto"/>
            </w:tcBorders>
            <w:shd w:val="clear" w:color="auto" w:fill="CCEEFF"/>
          </w:tcPr>
          <w:p>
            <w:pPr>
              <w:jc w:val="right"/>
              <w:ind w:right="1339"/>
              <w:spacing w:after="0"/>
              <w:rPr>
                <w:sz w:val="20"/>
                <w:szCs w:val="20"/>
                <w:color w:val="auto"/>
              </w:rPr>
            </w:pPr>
            <w:r>
              <w:rPr>
                <w:rFonts w:ascii="Arial" w:cs="Arial" w:eastAsia="Arial" w:hAnsi="Arial"/>
                <w:sz w:val="18"/>
                <w:szCs w:val="18"/>
                <w:color w:val="auto"/>
              </w:rPr>
              <w:t>613,120,733</w:t>
            </w:r>
          </w:p>
        </w:tc>
        <w:tc>
          <w:tcPr>
            <w:tcW w:w="120" w:type="dxa"/>
            <w:vAlign w:val="bottom"/>
            <w:tcBorders>
              <w:top w:val="single" w:sz="8" w:color="CCEEFF"/>
            </w:tcBorders>
            <w:shd w:val="clear" w:color="auto" w:fill="CCEEFF"/>
          </w:tcPr>
          <w:p>
            <w:pPr>
              <w:spacing w:after="0"/>
              <w:rPr>
                <w:sz w:val="18"/>
                <w:szCs w:val="18"/>
                <w:color w:val="auto"/>
              </w:rPr>
            </w:pPr>
          </w:p>
        </w:tc>
        <w:tc>
          <w:tcPr>
            <w:tcW w:w="3520" w:type="dxa"/>
            <w:vAlign w:val="bottom"/>
            <w:tcBorders>
              <w:top w:val="single" w:sz="8" w:color="auto"/>
            </w:tcBorders>
            <w:shd w:val="clear" w:color="auto" w:fill="CCEEFF"/>
          </w:tcPr>
          <w:p>
            <w:pPr>
              <w:jc w:val="right"/>
              <w:ind w:right="1319"/>
              <w:spacing w:after="0"/>
              <w:rPr>
                <w:sz w:val="20"/>
                <w:szCs w:val="20"/>
                <w:color w:val="auto"/>
              </w:rPr>
            </w:pPr>
            <w:r>
              <w:rPr>
                <w:rFonts w:ascii="Arial" w:cs="Arial" w:eastAsia="Arial" w:hAnsi="Arial"/>
                <w:sz w:val="18"/>
                <w:szCs w:val="18"/>
                <w:color w:val="auto"/>
              </w:rPr>
              <w:t>1,369,512</w:t>
            </w:r>
          </w:p>
        </w:tc>
        <w:tc>
          <w:tcPr>
            <w:tcW w:w="100" w:type="dxa"/>
            <w:vAlign w:val="bottom"/>
            <w:tcBorders>
              <w:top w:val="single" w:sz="8" w:color="CCEEFF"/>
            </w:tcBorders>
            <w:shd w:val="clear" w:color="auto" w:fill="CCEEFF"/>
          </w:tcPr>
          <w:p>
            <w:pPr>
              <w:spacing w:after="0"/>
              <w:rPr>
                <w:sz w:val="18"/>
                <w:szCs w:val="18"/>
                <w:color w:val="auto"/>
              </w:rPr>
            </w:pPr>
          </w:p>
        </w:tc>
        <w:tc>
          <w:tcPr>
            <w:tcW w:w="3540" w:type="dxa"/>
            <w:vAlign w:val="bottom"/>
            <w:tcBorders>
              <w:top w:val="single" w:sz="8" w:color="auto"/>
            </w:tcBorders>
            <w:shd w:val="clear" w:color="auto" w:fill="CCEEFF"/>
          </w:tcPr>
          <w:p>
            <w:pPr>
              <w:jc w:val="right"/>
              <w:ind w:right="1399"/>
              <w:spacing w:after="0"/>
              <w:rPr>
                <w:sz w:val="20"/>
                <w:szCs w:val="20"/>
                <w:color w:val="auto"/>
              </w:rPr>
            </w:pPr>
            <w:r>
              <w:rPr>
                <w:rFonts w:ascii="Arial" w:cs="Arial" w:eastAsia="Arial" w:hAnsi="Arial"/>
                <w:sz w:val="18"/>
                <w:szCs w:val="18"/>
                <w:color w:val="auto"/>
              </w:rPr>
              <w:t>796,352</w:t>
            </w:r>
          </w:p>
        </w:tc>
      </w:tr>
    </w:tbl>
    <w:p>
      <w:pPr>
        <w:sectPr>
          <w:pgSz w:w="11900" w:h="16838" w:orient="portrait"/>
          <w:cols w:equalWidth="0" w:num="1">
            <w:col w:w="11024"/>
          </w:cols>
          <w:pgMar w:left="436" w:top="297" w:right="4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Date July 29, 2020</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11" w:lineRule="exact"/>
        <w:rPr>
          <w:sz w:val="20"/>
          <w:szCs w:val="20"/>
          <w:color w:val="auto"/>
        </w:rPr>
      </w:pPr>
    </w:p>
    <w:p>
      <w:pPr>
        <w:ind w:left="5620"/>
        <w:spacing w:after="0"/>
        <w:tabs>
          <w:tab w:leader="none" w:pos="60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Mitchell Gaynor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Administration and Legal Officer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Secretary</w:t>
      </w:r>
    </w:p>
    <w:sectPr>
      <w:pgSz w:w="11900" w:h="16838" w:orient="portrait"/>
      <w:cols w:equalWidth="0" w:num="1">
        <w:col w:w="10660"/>
      </w:cols>
      <w:pgMar w:left="440" w:top="297" w:right="7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2020-07-29T15:35:15Z</dcterms:created>
  <dcterms:modified xsi:type="dcterms:W3CDTF">2020-07-29T15:35:15Z</dcterms:modified>
</cp:coreProperties>
</file>