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 Group Ltd.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22 Victoria Street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Hamilton HM 12, Bermuda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(441) 296-6395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August 28, 2020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auto"/>
        </w:rPr>
        <w:t>VIA EDGAR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Securities and Exchange Commission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Office of Manufacturing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Washington, DC 20549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Attn: Erin Purnell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ind w:left="424"/>
        <w:spacing w:after="0"/>
        <w:tabs>
          <w:tab w:leader="none" w:pos="94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Marvell Technology Group Ltd.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8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RegistrationStatement on Form S-3 (File No. 333-237335)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8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Filed March 23, 2020; Amendment No. 1 Filed August 28, 2020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Ladies and Gentlemen: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4" w:right="20" w:firstLine="4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promulgated under the Securities Act of 1933, as amended, Marvell Technology Group Ltd. hereby respectfully requests that the effectiveness of its Registration Statement on Form S-3 (File No. 333-237335) be accelerated so that the Registration Statement will become effective at 9:00 a.m., Eastern Time, on September 1, 2020, or as soon thereafter as practicable.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Very truly yours,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 Group Ltd.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/s/ Jean Hu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4200525</wp:posOffset>
            </wp:positionH>
            <wp:positionV relativeFrom="paragraph">
              <wp:posOffset>14605</wp:posOffset>
            </wp:positionV>
            <wp:extent cx="2794635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Jean Hu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Chief Financial Officer</w:t>
      </w:r>
    </w:p>
    <w:p>
      <w:pPr>
        <w:spacing w:after="0" w:line="359" w:lineRule="exact"/>
        <w:rPr>
          <w:sz w:val="24"/>
          <w:szCs w:val="24"/>
          <w:color w:val="auto"/>
        </w:rPr>
      </w:pPr>
    </w:p>
    <w:p>
      <w:pPr>
        <w:ind w:left="424" w:hanging="424"/>
        <w:spacing w:after="0"/>
        <w:tabs>
          <w:tab w:leader="none" w:pos="424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Stewart McDowell, Gibson, Dunn &amp; Crutcher LLP</w:t>
      </w:r>
    </w:p>
    <w:sectPr>
      <w:pgSz w:w="11900" w:h="16838" w:orient="portrait"/>
      <w:cols w:equalWidth="0" w:num="1">
        <w:col w:w="11024"/>
      </w:cols>
      <w:pgMar w:left="436" w:top="233" w:right="4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2020-09-30T23:07:44Z</dcterms:created>
  <dcterms:modified xsi:type="dcterms:W3CDTF">2020-09-30T23:07:44Z</dcterms:modified>
</cp:coreProperties>
</file>