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7"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jc w:val="center"/>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210185</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53"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233680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1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CURRENT REPORT</w:t>
      </w:r>
    </w:p>
    <w:p>
      <w:pPr>
        <w:spacing w:after="0" w:line="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Pursuant to Section 13 or 15(d)</w:t>
      </w:r>
    </w:p>
    <w:p>
      <w:pPr>
        <w:jc w:val="center"/>
        <w:spacing w:after="0"/>
        <w:rPr>
          <w:sz w:val="20"/>
          <w:szCs w:val="20"/>
          <w:color w:val="auto"/>
        </w:rPr>
      </w:pPr>
      <w:r>
        <w:rPr>
          <w:rFonts w:ascii="Times New Roman" w:cs="Times New Roman" w:eastAsia="Times New Roman" w:hAnsi="Times New Roman"/>
          <w:sz w:val="22"/>
          <w:szCs w:val="22"/>
          <w:b w:val="1"/>
          <w:bCs w:val="1"/>
          <w:color w:val="auto"/>
        </w:rPr>
        <w:t>of the Securities Exchange Act of 1934</w:t>
      </w:r>
    </w:p>
    <w:p>
      <w:pPr>
        <w:spacing w:after="0" w:line="178" w:lineRule="exact"/>
        <w:rPr>
          <w:sz w:val="24"/>
          <w:szCs w:val="24"/>
          <w:color w:val="auto"/>
        </w:rPr>
      </w:pPr>
    </w:p>
    <w:p>
      <w:pPr>
        <w:ind w:left="3980"/>
        <w:spacing w:after="0"/>
        <w:rPr>
          <w:sz w:val="20"/>
          <w:szCs w:val="20"/>
          <w:color w:val="auto"/>
        </w:rPr>
      </w:pPr>
      <w:r>
        <w:rPr>
          <w:rFonts w:ascii="Times New Roman" w:cs="Times New Roman" w:eastAsia="Times New Roman" w:hAnsi="Times New Roman"/>
          <w:sz w:val="22"/>
          <w:szCs w:val="22"/>
          <w:b w:val="1"/>
          <w:bCs w:val="1"/>
          <w:color w:val="auto"/>
        </w:rPr>
        <w:t>Date of Report: October 29, 2020</w:t>
      </w:r>
    </w:p>
    <w:p>
      <w:pPr>
        <w:spacing w:after="0" w:line="18" w:lineRule="exact"/>
        <w:rPr>
          <w:sz w:val="24"/>
          <w:szCs w:val="24"/>
          <w:color w:val="auto"/>
        </w:rPr>
      </w:pPr>
    </w:p>
    <w:p>
      <w:pPr>
        <w:ind w:left="4040"/>
        <w:spacing w:after="0"/>
        <w:rPr>
          <w:sz w:val="20"/>
          <w:szCs w:val="20"/>
          <w:color w:val="auto"/>
        </w:rPr>
      </w:pPr>
      <w:r>
        <w:rPr>
          <w:rFonts w:ascii="Times New Roman" w:cs="Times New Roman" w:eastAsia="Times New Roman" w:hAnsi="Times New Roman"/>
          <w:sz w:val="22"/>
          <w:szCs w:val="22"/>
          <w:b w:val="1"/>
          <w:bCs w:val="1"/>
          <w:color w:val="auto"/>
        </w:rPr>
        <w:t>(Date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201295</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35"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42"/>
          <w:szCs w:val="42"/>
          <w:b w:val="1"/>
          <w:bCs w:val="1"/>
          <w:color w:val="auto"/>
        </w:rPr>
        <w:t>MARVELL TECHNOLOGY GROUP LTD.</w:t>
      </w:r>
    </w:p>
    <w:p>
      <w:pPr>
        <w:spacing w:after="0" w:line="70"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219075</wp:posOffset>
            </wp:positionV>
            <wp:extent cx="147447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ectPr>
          <w:pgSz w:w="11900" w:h="16838" w:orient="portrait"/>
          <w:cols w:equalWidth="0" w:num="1">
            <w:col w:w="11020"/>
          </w:cols>
          <w:pgMar w:left="440" w:top="362" w:right="439" w:bottom="1440" w:gutter="0" w:footer="0" w:header="0"/>
        </w:sectPr>
      </w:pPr>
    </w:p>
    <w:p>
      <w:pPr>
        <w:spacing w:after="0" w:line="200" w:lineRule="exact"/>
        <w:rPr>
          <w:sz w:val="24"/>
          <w:szCs w:val="24"/>
          <w:color w:val="auto"/>
        </w:rPr>
      </w:pPr>
    </w:p>
    <w:p>
      <w:pPr>
        <w:spacing w:after="0" w:line="379" w:lineRule="exact"/>
        <w:rPr>
          <w:sz w:val="24"/>
          <w:szCs w:val="24"/>
          <w:color w:val="auto"/>
        </w:rPr>
      </w:pPr>
    </w:p>
    <w:p>
      <w:pPr>
        <w:ind w:left="1500"/>
        <w:spacing w:after="0"/>
        <w:rPr>
          <w:sz w:val="20"/>
          <w:szCs w:val="20"/>
          <w:color w:val="auto"/>
        </w:rPr>
      </w:pPr>
      <w:r>
        <w:rPr>
          <w:rFonts w:ascii="Times New Roman" w:cs="Times New Roman" w:eastAsia="Times New Roman" w:hAnsi="Times New Roman"/>
          <w:sz w:val="18"/>
          <w:szCs w:val="18"/>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59" w:lineRule="exact"/>
        <w:rPr>
          <w:sz w:val="24"/>
          <w:szCs w:val="24"/>
          <w:color w:val="auto"/>
        </w:rPr>
      </w:pPr>
    </w:p>
    <w:p>
      <w:pPr>
        <w:jc w:val="center"/>
        <w:ind w:right="2180"/>
        <w:spacing w:after="0"/>
        <w:rPr>
          <w:sz w:val="20"/>
          <w:szCs w:val="20"/>
          <w:color w:val="auto"/>
        </w:rPr>
      </w:pPr>
      <w:r>
        <w:rPr>
          <w:rFonts w:ascii="Times New Roman" w:cs="Times New Roman" w:eastAsia="Times New Roman" w:hAnsi="Times New Roman"/>
          <w:sz w:val="17"/>
          <w:szCs w:val="17"/>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59"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b w:val="1"/>
          <w:bCs w:val="1"/>
          <w:color w:val="auto"/>
        </w:rPr>
        <w:t>77-0481679</w:t>
      </w:r>
    </w:p>
    <w:p>
      <w:pPr>
        <w:spacing w:after="0" w:line="23" w:lineRule="exact"/>
        <w:rPr>
          <w:sz w:val="24"/>
          <w:szCs w:val="24"/>
          <w:color w:val="auto"/>
        </w:rPr>
      </w:pPr>
    </w:p>
    <w:p>
      <w:pPr>
        <w:sectPr>
          <w:pgSz w:w="11900" w:h="16838" w:orient="portrait"/>
          <w:cols w:equalWidth="0" w:num="3">
            <w:col w:w="4600" w:space="720"/>
            <w:col w:w="2780" w:space="720"/>
            <w:col w:w="2200"/>
          </w:cols>
          <w:pgMar w:left="440" w:top="362" w:right="439" w:bottom="1440" w:gutter="0" w:footer="0" w:header="0"/>
          <w:type w:val="continuous"/>
        </w:sectPr>
      </w:pPr>
    </w:p>
    <w:p>
      <w:pPr>
        <w:jc w:val="center"/>
        <w:ind w:right="760"/>
        <w:spacing w:after="0"/>
        <w:rPr>
          <w:sz w:val="20"/>
          <w:szCs w:val="20"/>
          <w:color w:val="auto"/>
        </w:rPr>
      </w:pPr>
      <w:r>
        <w:rPr>
          <w:rFonts w:ascii="Times New Roman" w:cs="Times New Roman" w:eastAsia="Times New Roman" w:hAnsi="Times New Roman"/>
          <w:sz w:val="14"/>
          <w:szCs w:val="14"/>
          <w:b w:val="1"/>
          <w:bCs w:val="1"/>
          <w:color w:val="auto"/>
        </w:rPr>
        <w:t>(State or other jurisdiction</w:t>
      </w:r>
    </w:p>
    <w:p>
      <w:pPr>
        <w:jc w:val="center"/>
        <w:ind w:right="760"/>
        <w:spacing w:after="0"/>
        <w:rPr>
          <w:sz w:val="20"/>
          <w:szCs w:val="20"/>
          <w:color w:val="auto"/>
        </w:rPr>
      </w:pPr>
      <w:r>
        <w:rPr>
          <w:rFonts w:ascii="Times New Roman" w:cs="Times New Roman" w:eastAsia="Times New Roman" w:hAnsi="Times New Roman"/>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Times New Roman" w:cs="Times New Roman" w:eastAsia="Times New Roman" w:hAnsi="Times New Roman"/>
          <w:sz w:val="14"/>
          <w:szCs w:val="14"/>
          <w:b w:val="1"/>
          <w:bCs w:val="1"/>
          <w:color w:val="auto"/>
        </w:rPr>
        <w:t>(Commission</w:t>
      </w:r>
    </w:p>
    <w:p>
      <w:pPr>
        <w:spacing w:after="0"/>
        <w:rPr>
          <w:sz w:val="20"/>
          <w:szCs w:val="20"/>
          <w:color w:val="auto"/>
        </w:rPr>
      </w:pPr>
      <w:r>
        <w:rPr>
          <w:rFonts w:ascii="Times New Roman" w:cs="Times New Roman" w:eastAsia="Times New Roman" w:hAnsi="Times New Roman"/>
          <w:sz w:val="14"/>
          <w:szCs w:val="14"/>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Times New Roman" w:cs="Times New Roman" w:eastAsia="Times New Roman" w:hAnsi="Times New Roman"/>
          <w:sz w:val="14"/>
          <w:szCs w:val="14"/>
          <w:b w:val="1"/>
          <w:bCs w:val="1"/>
          <w:color w:val="auto"/>
        </w:rPr>
        <w:t>(IRS Employer</w:t>
      </w:r>
    </w:p>
    <w:p>
      <w:pPr>
        <w:jc w:val="center"/>
        <w:ind w:right="1200"/>
        <w:spacing w:after="0"/>
        <w:rPr>
          <w:sz w:val="20"/>
          <w:szCs w:val="20"/>
          <w:color w:val="auto"/>
        </w:rPr>
      </w:pPr>
      <w:r>
        <w:rPr>
          <w:rFonts w:ascii="Times New Roman" w:cs="Times New Roman" w:eastAsia="Times New Roman" w:hAnsi="Times New Roman"/>
          <w:sz w:val="14"/>
          <w:szCs w:val="14"/>
          <w:b w:val="1"/>
          <w:bCs w:val="1"/>
          <w:color w:val="auto"/>
        </w:rPr>
        <w:t>Identification No.)</w:t>
      </w:r>
    </w:p>
    <w:p>
      <w:pPr>
        <w:spacing w:after="0" w:line="200" w:lineRule="exact"/>
        <w:rPr>
          <w:sz w:val="24"/>
          <w:szCs w:val="24"/>
          <w:color w:val="auto"/>
        </w:rPr>
      </w:pPr>
    </w:p>
    <w:p>
      <w:pPr>
        <w:sectPr>
          <w:pgSz w:w="11900" w:h="16838" w:orient="portrait"/>
          <w:cols w:equalWidth="0" w:num="3">
            <w:col w:w="4480" w:space="720"/>
            <w:col w:w="2760" w:space="720"/>
            <w:col w:w="2340"/>
          </w:cols>
          <w:pgMar w:left="440" w:top="362" w:right="439" w:bottom="1440" w:gutter="0" w:footer="0" w:header="0"/>
          <w:type w:val="continuous"/>
        </w:sectPr>
      </w:pPr>
    </w:p>
    <w:p>
      <w:pPr>
        <w:spacing w:after="0" w:line="1" w:lineRule="exact"/>
        <w:rPr>
          <w:sz w:val="24"/>
          <w:szCs w:val="24"/>
          <w:color w:val="auto"/>
        </w:rPr>
      </w:pPr>
    </w:p>
    <w:p>
      <w:pPr>
        <w:ind w:left="4940"/>
        <w:spacing w:after="0"/>
        <w:rPr>
          <w:sz w:val="20"/>
          <w:szCs w:val="20"/>
          <w:color w:val="auto"/>
        </w:rPr>
      </w:pPr>
      <w:r>
        <w:rPr>
          <w:rFonts w:ascii="Times New Roman" w:cs="Times New Roman" w:eastAsia="Times New Roman" w:hAnsi="Times New Roman"/>
          <w:sz w:val="18"/>
          <w:szCs w:val="18"/>
          <w:b w:val="1"/>
          <w:bCs w:val="1"/>
          <w:color w:val="auto"/>
        </w:rPr>
        <w:t>Canon’s Court</w:t>
      </w:r>
    </w:p>
    <w:p>
      <w:pPr>
        <w:spacing w:after="0" w:line="31" w:lineRule="exact"/>
        <w:rPr>
          <w:sz w:val="24"/>
          <w:szCs w:val="24"/>
          <w:color w:val="auto"/>
        </w:rPr>
      </w:pPr>
    </w:p>
    <w:p>
      <w:pPr>
        <w:ind w:left="4820"/>
        <w:spacing w:after="0"/>
        <w:rPr>
          <w:sz w:val="20"/>
          <w:szCs w:val="20"/>
          <w:color w:val="auto"/>
        </w:rPr>
      </w:pPr>
      <w:r>
        <w:rPr>
          <w:rFonts w:ascii="Times New Roman" w:cs="Times New Roman" w:eastAsia="Times New Roman" w:hAnsi="Times New Roman"/>
          <w:sz w:val="18"/>
          <w:szCs w:val="18"/>
          <w:b w:val="1"/>
          <w:bCs w:val="1"/>
          <w:color w:val="auto"/>
        </w:rPr>
        <w:t>22 Victoria Street</w:t>
      </w:r>
    </w:p>
    <w:p>
      <w:pPr>
        <w:spacing w:after="0" w:line="9" w:lineRule="exact"/>
        <w:rPr>
          <w:sz w:val="24"/>
          <w:szCs w:val="24"/>
          <w:color w:val="auto"/>
        </w:rPr>
      </w:pPr>
    </w:p>
    <w:p>
      <w:pPr>
        <w:ind w:left="4800"/>
        <w:spacing w:after="0"/>
        <w:rPr>
          <w:sz w:val="20"/>
          <w:szCs w:val="20"/>
          <w:color w:val="auto"/>
        </w:rPr>
      </w:pPr>
      <w:r>
        <w:rPr>
          <w:rFonts w:ascii="Times New Roman" w:cs="Times New Roman" w:eastAsia="Times New Roman" w:hAnsi="Times New Roman"/>
          <w:sz w:val="18"/>
          <w:szCs w:val="18"/>
          <w:b w:val="1"/>
          <w:bCs w:val="1"/>
          <w:color w:val="auto"/>
        </w:rPr>
        <w:t>Hamilton HM 12</w:t>
      </w:r>
    </w:p>
    <w:p>
      <w:pPr>
        <w:spacing w:after="0" w:line="9" w:lineRule="exact"/>
        <w:rPr>
          <w:sz w:val="24"/>
          <w:szCs w:val="24"/>
          <w:color w:val="auto"/>
        </w:rPr>
      </w:pPr>
    </w:p>
    <w:p>
      <w:pPr>
        <w:ind w:left="5140"/>
        <w:spacing w:after="0"/>
        <w:rPr>
          <w:sz w:val="20"/>
          <w:szCs w:val="20"/>
          <w:color w:val="auto"/>
        </w:rPr>
      </w:pPr>
      <w:r>
        <w:rPr>
          <w:rFonts w:ascii="Times New Roman" w:cs="Times New Roman" w:eastAsia="Times New Roman" w:hAnsi="Times New Roman"/>
          <w:sz w:val="18"/>
          <w:szCs w:val="18"/>
          <w:b w:val="1"/>
          <w:bCs w:val="1"/>
          <w:color w:val="auto"/>
        </w:rPr>
        <w:t>Bermuda</w:t>
      </w:r>
    </w:p>
    <w:p>
      <w:pPr>
        <w:spacing w:after="0" w:line="2"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4"/>
          <w:szCs w:val="14"/>
          <w:b w:val="1"/>
          <w:bCs w:val="1"/>
          <w:color w:val="auto"/>
        </w:rPr>
        <w:t>(Address of principal executive offices, including Zip Code)</w:t>
      </w:r>
    </w:p>
    <w:p>
      <w:pPr>
        <w:spacing w:after="0" w:line="188"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8"/>
          <w:szCs w:val="18"/>
          <w:b w:val="1"/>
          <w:bCs w:val="1"/>
          <w:color w:val="auto"/>
        </w:rPr>
        <w:t>(441) 296-6395</w:t>
      </w:r>
    </w:p>
    <w:p>
      <w:pPr>
        <w:spacing w:after="0" w:line="25"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210820</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62" w:right="439" w:bottom="1440" w:gutter="0" w:footer="0" w:header="0"/>
          <w:type w:val="continuous"/>
        </w:sectPr>
      </w:pPr>
    </w:p>
    <w:p>
      <w:pPr>
        <w:spacing w:after="0" w:line="200" w:lineRule="exact"/>
        <w:rPr>
          <w:sz w:val="24"/>
          <w:szCs w:val="24"/>
          <w:color w:val="auto"/>
        </w:rPr>
      </w:pPr>
    </w:p>
    <w:p>
      <w:pPr>
        <w:spacing w:after="0" w:line="302" w:lineRule="exact"/>
        <w:rPr>
          <w:sz w:val="24"/>
          <w:szCs w:val="24"/>
          <w:color w:val="auto"/>
        </w:rPr>
      </w:pPr>
    </w:p>
    <w:p>
      <w:pPr>
        <w:ind w:right="480"/>
        <w:spacing w:after="0" w:line="282"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 of the registrant under any of the following provisions:</w:t>
      </w:r>
    </w:p>
    <w:p>
      <w:pPr>
        <w:spacing w:after="0" w:line="67"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Written communications pursuant to Rule 425 under the Securities Act (17 CFR 230.425)</w:t>
      </w:r>
    </w:p>
    <w:p>
      <w:pPr>
        <w:spacing w:after="0" w:line="131" w:lineRule="exact"/>
        <w:rPr>
          <w:sz w:val="24"/>
          <w:szCs w:val="24"/>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2"/>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13e-4(c) under the Exchange Act (17 CFR 240.13e-4(c))</w:t>
      </w:r>
    </w:p>
    <w:p>
      <w:pPr>
        <w:spacing w:after="0" w:line="22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Securities registered pursuant to Section 12(b) of the Act:</w:t>
      </w:r>
    </w:p>
    <w:p>
      <w:pPr>
        <w:spacing w:after="0" w:line="233"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Title of each class</w:t>
            </w:r>
          </w:p>
        </w:tc>
        <w:tc>
          <w:tcPr>
            <w:tcW w:w="3620" w:type="dxa"/>
            <w:vAlign w:val="bottom"/>
            <w:gridSpan w:val="2"/>
          </w:tcPr>
          <w:p>
            <w:pPr>
              <w:jc w:val="center"/>
              <w:ind w:right="100"/>
              <w:spacing w:after="0"/>
              <w:rPr>
                <w:sz w:val="20"/>
                <w:szCs w:val="20"/>
                <w:color w:val="auto"/>
              </w:rPr>
            </w:pPr>
            <w:r>
              <w:rPr>
                <w:rFonts w:ascii="Times New Roman" w:cs="Times New Roman" w:eastAsia="Times New Roman" w:hAnsi="Times New Roman"/>
                <w:sz w:val="14"/>
                <w:szCs w:val="14"/>
                <w:b w:val="1"/>
                <w:bCs w:val="1"/>
                <w:color w:val="auto"/>
                <w:w w:val="97"/>
              </w:rPr>
              <w:t>Trading</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Name of each exchange</w:t>
            </w:r>
          </w:p>
        </w:tc>
        <w:tc>
          <w:tcPr>
            <w:tcW w:w="0" w:type="dxa"/>
            <w:vAlign w:val="bottom"/>
          </w:tcPr>
          <w:p>
            <w:pPr>
              <w:spacing w:after="0"/>
              <w:rPr>
                <w:sz w:val="1"/>
                <w:szCs w:val="1"/>
                <w:color w:val="auto"/>
              </w:rPr>
            </w:pPr>
          </w:p>
        </w:tc>
      </w:tr>
      <w:tr>
        <w:trPr>
          <w:trHeight w:val="187"/>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Times New Roman" w:cs="Times New Roman" w:eastAsia="Times New Roman" w:hAnsi="Times New Roman"/>
                <w:sz w:val="14"/>
                <w:szCs w:val="14"/>
                <w:b w:val="1"/>
                <w:bCs w:val="1"/>
                <w:color w:val="auto"/>
              </w:rPr>
              <w:t>Symbol(s)</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on which registered</w:t>
            </w:r>
          </w:p>
        </w:tc>
        <w:tc>
          <w:tcPr>
            <w:tcW w:w="0" w:type="dxa"/>
            <w:vAlign w:val="bottom"/>
          </w:tcPr>
          <w:p>
            <w:pPr>
              <w:spacing w:after="0"/>
              <w:rPr>
                <w:sz w:val="1"/>
                <w:szCs w:val="1"/>
                <w:color w:val="auto"/>
              </w:rPr>
            </w:pPr>
          </w:p>
        </w:tc>
      </w:tr>
      <w:tr>
        <w:trPr>
          <w:trHeight w:val="232"/>
        </w:trPr>
        <w:tc>
          <w:tcPr>
            <w:tcW w:w="37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b w:val="1"/>
                <w:bCs w:val="1"/>
                <w:color w:val="auto"/>
                <w:w w:val="98"/>
              </w:rPr>
              <w:t>Common Shares</w:t>
            </w:r>
          </w:p>
        </w:tc>
        <w:tc>
          <w:tcPr>
            <w:tcW w:w="120" w:type="dxa"/>
            <w:vAlign w:val="bottom"/>
          </w:tcPr>
          <w:p>
            <w:pPr>
              <w:spacing w:after="0"/>
              <w:rPr>
                <w:sz w:val="20"/>
                <w:szCs w:val="20"/>
                <w:color w:val="auto"/>
              </w:rPr>
            </w:pPr>
          </w:p>
        </w:tc>
        <w:tc>
          <w:tcPr>
            <w:tcW w:w="352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b w:val="1"/>
                <w:bCs w:val="1"/>
                <w:color w:val="auto"/>
              </w:rPr>
              <w:t>MRVL</w:t>
            </w:r>
          </w:p>
        </w:tc>
        <w:tc>
          <w:tcPr>
            <w:tcW w:w="100" w:type="dxa"/>
            <w:vAlign w:val="bottom"/>
          </w:tcPr>
          <w:p>
            <w:pPr>
              <w:spacing w:after="0"/>
              <w:rPr>
                <w:sz w:val="20"/>
                <w:szCs w:val="20"/>
                <w:color w:val="auto"/>
              </w:rPr>
            </w:pPr>
          </w:p>
        </w:tc>
        <w:tc>
          <w:tcPr>
            <w:tcW w:w="35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b w:val="1"/>
                <w:bCs w:val="1"/>
                <w:color w:val="auto"/>
              </w:rPr>
              <w:t>The Nasdaq Stock Market, LLC</w:t>
            </w:r>
          </w:p>
        </w:tc>
        <w:tc>
          <w:tcPr>
            <w:tcW w:w="0" w:type="dxa"/>
            <w:vAlign w:val="bottom"/>
          </w:tcPr>
          <w:p>
            <w:pPr>
              <w:spacing w:after="0"/>
              <w:rPr>
                <w:sz w:val="1"/>
                <w:szCs w:val="1"/>
                <w:color w:val="auto"/>
              </w:rPr>
            </w:pPr>
          </w:p>
        </w:tc>
      </w:tr>
    </w:tbl>
    <w:p>
      <w:pPr>
        <w:spacing w:after="0" w:line="175" w:lineRule="exact"/>
        <w:rPr>
          <w:sz w:val="24"/>
          <w:szCs w:val="24"/>
          <w:color w:val="auto"/>
        </w:rPr>
      </w:pPr>
    </w:p>
    <w:p>
      <w:pPr>
        <w:ind w:right="300"/>
        <w:spacing w:after="0" w:line="235" w:lineRule="exact"/>
        <w:rPr>
          <w:sz w:val="20"/>
          <w:szCs w:val="20"/>
          <w:color w:val="auto"/>
        </w:rPr>
      </w:pPr>
      <w:r>
        <w:rPr>
          <w:rFonts w:ascii="Times New Roman" w:cs="Times New Roman" w:eastAsia="Times New Roman" w:hAnsi="Times New Roman"/>
          <w:sz w:val="18"/>
          <w:szCs w:val="18"/>
          <w:color w:val="auto"/>
        </w:rPr>
        <w:t xml:space="preserve">Indicate by check mark whether the registrant is an emerging growth company as defined in Rule 405 of the Securities Act of 1933 (§230.405 of this chapter) or Rule 12b-2 of the Securities Exchange Act of 1934 (§240.12b-2 of this chapter). Emerging growth company </w:t>
      </w:r>
      <w:r>
        <w:rPr>
          <w:rFonts w:ascii="MS PGothic" w:cs="MS PGothic" w:eastAsia="MS PGothic" w:hAnsi="MS PGothic"/>
          <w:sz w:val="18"/>
          <w:szCs w:val="18"/>
          <w:color w:val="auto"/>
        </w:rPr>
        <w:t>☐</w:t>
      </w:r>
    </w:p>
    <w:p>
      <w:pPr>
        <w:spacing w:after="0" w:line="179" w:lineRule="exact"/>
        <w:rPr>
          <w:sz w:val="24"/>
          <w:szCs w:val="24"/>
          <w:color w:val="auto"/>
        </w:rPr>
      </w:pPr>
    </w:p>
    <w:p>
      <w:pPr>
        <w:ind w:right="300"/>
        <w:spacing w:after="0" w:line="235" w:lineRule="exact"/>
        <w:rPr>
          <w:sz w:val="20"/>
          <w:szCs w:val="20"/>
          <w:color w:val="auto"/>
        </w:rPr>
      </w:pPr>
      <w:r>
        <w:rPr>
          <w:rFonts w:ascii="Times New Roman" w:cs="Times New Roman" w:eastAsia="Times New Roman" w:hAnsi="Times New Roman"/>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159385</wp:posOffset>
            </wp:positionV>
            <wp:extent cx="699516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202565</wp:posOffset>
            </wp:positionV>
            <wp:extent cx="6995160" cy="82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ectPr>
          <w:pgSz w:w="11900" w:h="16838" w:orient="portrait"/>
          <w:cols w:equalWidth="0" w:num="1">
            <w:col w:w="11020"/>
          </w:cols>
          <w:pgMar w:left="440" w:top="362" w:right="439" w:bottom="1440" w:gutter="0" w:footer="0" w:header="0"/>
          <w:type w:val="continuous"/>
        </w:sectPr>
      </w:pPr>
    </w:p>
    <w:bookmarkStart w:id="1" w:name="page2"/>
    <w:bookmarkEnd w:id="1"/>
    <w:p>
      <w:pPr>
        <w:spacing w:after="0"/>
        <w:tabs>
          <w:tab w:leader="none" w:pos="1180" w:val="left"/>
        </w:tabs>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431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49465" cy="43180"/>
                    </a:xfrm>
                    <a:prstGeom prst="rect">
                      <a:avLst/>
                    </a:prstGeom>
                    <a:noFill/>
                  </pic:spPr>
                </pic:pic>
              </a:graphicData>
            </a:graphic>
          </wp:anchor>
        </w:drawing>
        <w:t>Item 7.01</w:t>
      </w:r>
      <w:r>
        <w:rPr>
          <w:sz w:val="20"/>
          <w:szCs w:val="20"/>
          <w:color w:val="auto"/>
        </w:rPr>
        <w:tab/>
      </w:r>
      <w:r>
        <w:rPr>
          <w:rFonts w:ascii="Times New Roman" w:cs="Times New Roman" w:eastAsia="Times New Roman" w:hAnsi="Times New Roman"/>
          <w:sz w:val="17"/>
          <w:szCs w:val="17"/>
          <w:b w:val="1"/>
          <w:bCs w:val="1"/>
          <w:color w:val="auto"/>
        </w:rPr>
        <w:t>Regulation FD Disclosure.</w:t>
      </w:r>
    </w:p>
    <w:p>
      <w:pPr>
        <w:spacing w:after="0" w:line="121" w:lineRule="exact"/>
        <w:rPr>
          <w:sz w:val="20"/>
          <w:szCs w:val="20"/>
          <w:color w:val="auto"/>
        </w:rPr>
      </w:pPr>
    </w:p>
    <w:p>
      <w:pPr>
        <w:ind w:right="60"/>
        <w:spacing w:after="0" w:line="258" w:lineRule="auto"/>
        <w:rPr>
          <w:sz w:val="20"/>
          <w:szCs w:val="20"/>
          <w:color w:val="auto"/>
        </w:rPr>
      </w:pPr>
      <w:r>
        <w:rPr>
          <w:rFonts w:ascii="Times New Roman" w:cs="Times New Roman" w:eastAsia="Times New Roman" w:hAnsi="Times New Roman"/>
          <w:sz w:val="18"/>
          <w:szCs w:val="18"/>
          <w:color w:val="auto"/>
        </w:rPr>
        <w:t>On October 29, 2020, Marvell Technology Group Ltd. (“Marvell”) issued a joint press release with Inphi Corporation (“Inphi”) announcing the execution of an Agreement and Plan of Merger and Reorganization (the “Merger Agreement”), made and entered into as of October 29, 2020, by and among Marvell, Inphi, Maui HoldCo, Inc., Maui Acquisition Company Ltd. and Indigo Acquisition Corp., pursuant to which, subject to the terms and conditions of the Merger Agreement, Marvell will acquire Inphi in a cash and stock transaction. A copy of this press release is furnished as Exhibit 99.1 to this Current Report on Form 8-K.</w:t>
      </w:r>
    </w:p>
    <w:p>
      <w:pPr>
        <w:spacing w:after="0" w:line="183" w:lineRule="exact"/>
        <w:rPr>
          <w:sz w:val="20"/>
          <w:szCs w:val="20"/>
          <w:color w:val="auto"/>
        </w:rPr>
      </w:pPr>
    </w:p>
    <w:p>
      <w:pPr>
        <w:spacing w:after="0" w:line="258" w:lineRule="auto"/>
        <w:rPr>
          <w:sz w:val="20"/>
          <w:szCs w:val="20"/>
          <w:color w:val="auto"/>
        </w:rPr>
      </w:pPr>
      <w:r>
        <w:rPr>
          <w:rFonts w:ascii="Times New Roman" w:cs="Times New Roman" w:eastAsia="Times New Roman" w:hAnsi="Times New Roman"/>
          <w:sz w:val="18"/>
          <w:szCs w:val="18"/>
          <w:color w:val="auto"/>
        </w:rPr>
        <w:t>The information in Item 7.01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7.01 of this Current Report shall not be incorporated by reference into any registration statement or other document filed pursuant to the Securities Act of 1933, as amended (the “Securities Act”), or the Exchange Act, regardless of any general incorporation language contained in such filing.</w:t>
      </w:r>
    </w:p>
    <w:p>
      <w:pPr>
        <w:spacing w:after="0" w:line="28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u w:val="single" w:color="auto"/>
          <w:color w:val="auto"/>
        </w:rPr>
        <w:t>Additional Information and Where to Find It</w:t>
      </w:r>
    </w:p>
    <w:p>
      <w:pPr>
        <w:spacing w:after="0" w:line="121" w:lineRule="exact"/>
        <w:rPr>
          <w:sz w:val="20"/>
          <w:szCs w:val="20"/>
          <w:color w:val="auto"/>
        </w:rPr>
      </w:pPr>
    </w:p>
    <w:p>
      <w:pPr>
        <w:ind w:right="80"/>
        <w:spacing w:after="0" w:line="269" w:lineRule="auto"/>
        <w:rPr>
          <w:sz w:val="20"/>
          <w:szCs w:val="20"/>
          <w:color w:val="auto"/>
        </w:rPr>
      </w:pPr>
      <w:r>
        <w:rPr>
          <w:rFonts w:ascii="Times New Roman" w:cs="Times New Roman" w:eastAsia="Times New Roman" w:hAnsi="Times New Roman"/>
          <w:sz w:val="17"/>
          <w:szCs w:val="17"/>
          <w:color w:val="auto"/>
        </w:rPr>
        <w:t>This communication relates to a proposed transaction between Marvell and Inphi. In connection with the proposed transaction, Marvell and Inphi will cause the newly formed company which will become the holding company of Marvell and Inphi following the transaction (“HoldCo”) to file a registration statement on Form S-4 with the Securities and Exchange Commission (the “SEC”), which will include a document that serves as a joint proxy statement of Marvell and Inphi and a prospectus of HoldCo referred to as a joint proxy statement/prospectus. A joint proxy statement/prospectus will be sent to all Inphi stockholders and all Marvell shareholders. Each party also will file other documents regarding the proposed transaction with the</w:t>
      </w:r>
    </w:p>
    <w:p>
      <w:pPr>
        <w:spacing w:after="0" w:line="3"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SEC. BEFORE MAKING ANY VOTING DECISION, INVESTORS AND SECURITY HOLDERS OF INPHI AND INVESTORS AND SECURITY HOLDERS OF MARVELL ARE URGED TO READ THE REGISTRATION STATEMENT, JOINT PROXY STATEMENT/PROSPECTUS AND ALL OTHER RELEVANT DOCUMENTS FILED OR THAT WILL BE FILED WITH THE SEC IN CONNECTION WITH THE PROPOSED TRANSACTION AS THEY BECOME AVAILABLE BECAUSE THEY WILL CONTAIN IMPORTANT INFORMATION ABOUT THE PROPOSED TRANSACTION.</w:t>
      </w:r>
    </w:p>
    <w:p>
      <w:pPr>
        <w:spacing w:after="0" w:line="187" w:lineRule="exact"/>
        <w:rPr>
          <w:sz w:val="20"/>
          <w:szCs w:val="20"/>
          <w:color w:val="auto"/>
        </w:rPr>
      </w:pPr>
    </w:p>
    <w:p>
      <w:pPr>
        <w:ind w:right="480"/>
        <w:spacing w:after="0" w:line="312" w:lineRule="auto"/>
        <w:rPr>
          <w:sz w:val="20"/>
          <w:szCs w:val="20"/>
          <w:color w:val="auto"/>
        </w:rPr>
      </w:pPr>
      <w:r>
        <w:rPr>
          <w:rFonts w:ascii="Times New Roman" w:cs="Times New Roman" w:eastAsia="Times New Roman" w:hAnsi="Times New Roman"/>
          <w:sz w:val="17"/>
          <w:szCs w:val="17"/>
          <w:color w:val="auto"/>
        </w:rPr>
        <w:t xml:space="preserve">Investors, Marvell shareholders and Inphi stockholders may obtain free copies of the Joint Proxy Statement/Prospectus (when available) and other documents that are filed or will be filed with the SEC by Marvell, Inphi or HoldCo through the website maintained by the SEC at </w:t>
      </w:r>
      <w:r>
        <w:rPr>
          <w:rFonts w:ascii="Times New Roman" w:cs="Times New Roman" w:eastAsia="Times New Roman" w:hAnsi="Times New Roman"/>
          <w:sz w:val="17"/>
          <w:szCs w:val="17"/>
          <w:u w:val="single" w:color="auto"/>
          <w:color w:val="auto"/>
        </w:rPr>
        <w:t>www.sec.gov</w:t>
      </w:r>
      <w:r>
        <w:rPr>
          <w:rFonts w:ascii="Times New Roman" w:cs="Times New Roman" w:eastAsia="Times New Roman" w:hAnsi="Times New Roman"/>
          <w:sz w:val="17"/>
          <w:szCs w:val="17"/>
          <w:color w:val="auto"/>
        </w:rPr>
        <w:t>.</w:t>
      </w:r>
    </w:p>
    <w:p>
      <w:pPr>
        <w:spacing w:after="0" w:line="140" w:lineRule="exact"/>
        <w:rPr>
          <w:sz w:val="20"/>
          <w:szCs w:val="20"/>
          <w:color w:val="auto"/>
        </w:rPr>
      </w:pPr>
    </w:p>
    <w:p>
      <w:pPr>
        <w:ind w:right="120"/>
        <w:spacing w:after="0" w:line="282" w:lineRule="auto"/>
        <w:rPr>
          <w:sz w:val="20"/>
          <w:szCs w:val="20"/>
          <w:color w:val="auto"/>
        </w:rPr>
      </w:pPr>
      <w:r>
        <w:rPr>
          <w:rFonts w:ascii="Times New Roman" w:cs="Times New Roman" w:eastAsia="Times New Roman" w:hAnsi="Times New Roman"/>
          <w:sz w:val="18"/>
          <w:szCs w:val="18"/>
          <w:color w:val="auto"/>
        </w:rPr>
        <w:t>The documents filed by Marvell with the SEC also may be obtained free of charge at Marvell’s website at www.marvell.com or upon written request to Marvell Technology Group Ltd. at 5488 Marvell Lane, Santa Clara, CA 95054.</w:t>
      </w:r>
    </w:p>
    <w:p>
      <w:pPr>
        <w:spacing w:after="0" w:line="162" w:lineRule="exact"/>
        <w:rPr>
          <w:sz w:val="20"/>
          <w:szCs w:val="20"/>
          <w:color w:val="auto"/>
        </w:rPr>
      </w:pPr>
    </w:p>
    <w:p>
      <w:pPr>
        <w:ind w:right="260"/>
        <w:spacing w:after="0" w:line="282" w:lineRule="auto"/>
        <w:rPr>
          <w:sz w:val="20"/>
          <w:szCs w:val="20"/>
          <w:color w:val="auto"/>
        </w:rPr>
      </w:pPr>
      <w:r>
        <w:rPr>
          <w:rFonts w:ascii="Times New Roman" w:cs="Times New Roman" w:eastAsia="Times New Roman" w:hAnsi="Times New Roman"/>
          <w:sz w:val="18"/>
          <w:szCs w:val="18"/>
          <w:color w:val="auto"/>
        </w:rPr>
        <w:t>The documents filed by Inphi with the SEC also may be obtained free of charge at Inphi’s website at www.inphi.com or upon written request to Inphi Corporation at 110 Rio Robles, San Jose, California 95134.</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u w:val="single" w:color="auto"/>
          <w:color w:val="auto"/>
        </w:rPr>
        <w:t>Participants in the Solicitation</w:t>
      </w:r>
    </w:p>
    <w:p>
      <w:pPr>
        <w:spacing w:after="0" w:line="121" w:lineRule="exact"/>
        <w:rPr>
          <w:sz w:val="20"/>
          <w:szCs w:val="20"/>
          <w:color w:val="auto"/>
        </w:rPr>
      </w:pPr>
    </w:p>
    <w:p>
      <w:pPr>
        <w:ind w:right="60"/>
        <w:spacing w:after="0" w:line="254" w:lineRule="auto"/>
        <w:rPr>
          <w:sz w:val="20"/>
          <w:szCs w:val="20"/>
          <w:color w:val="auto"/>
        </w:rPr>
      </w:pPr>
      <w:r>
        <w:rPr>
          <w:rFonts w:ascii="Times New Roman" w:cs="Times New Roman" w:eastAsia="Times New Roman" w:hAnsi="Times New Roman"/>
          <w:sz w:val="18"/>
          <w:szCs w:val="18"/>
          <w:color w:val="auto"/>
        </w:rPr>
        <w:t>Marvell and Inphi and their respective directors and executive officers may be deemed to be participants in the solicitation of proxies from Inphi’s stockholders and from Marvell’s shareholders in connection with the proposed transaction. Information about Inphi’s directors and executive officers and their ownership of Inphi’s common stock is set forth in Inphi’s proxy statement for its 2020 Annual Meeting of Stockholders on Schedule 14A filed with the SEC on April 21, 2020. Information about Marvell’s directors and executive officers is set forth in Marvell’s proxy statement for its 2020 Annual General Meeting of Shareholders on Schedule 14A filed with the SEC on May 28, 2020. To the extent that holdings of Inphi’s or Marvell’s securities have changed since the amounts printed in Inphi’s or Marvell’s proxy statement, such changes have been or will be reflected on Statements of Change in Ownership on Form 4 filed with the SEC. Additional information regarding the interests of those persons and other persons who may be deemed participants in the proposed transaction may be obtained by reading the proxy statement/prospectus regarding the proposed transaction when it becomes available. You may obtain free copies of these documents as described in the preceding paragraph.</w:t>
      </w:r>
    </w:p>
    <w:p>
      <w:pPr>
        <w:sectPr>
          <w:pgSz w:w="11900" w:h="16838" w:orient="portrait"/>
          <w:cols w:equalWidth="0" w:num="1">
            <w:col w:w="11000"/>
          </w:cols>
          <w:pgMar w:left="440" w:top="293" w:right="459" w:bottom="1440" w:gutter="0" w:footer="0" w:header="0"/>
        </w:sectPr>
      </w:pPr>
    </w:p>
    <w:bookmarkStart w:id="2" w:name="page3"/>
    <w:bookmarkEnd w:id="2"/>
    <w:p>
      <w:pPr>
        <w:ind w:left="4"/>
        <w:spacing w:after="0"/>
        <w:rPr>
          <w:sz w:val="20"/>
          <w:szCs w:val="20"/>
          <w:color w:val="auto"/>
        </w:rPr>
      </w:pPr>
      <w:r>
        <w:rPr>
          <w:rFonts w:ascii="Times New Roman" w:cs="Times New Roman" w:eastAsia="Times New Roman" w:hAnsi="Times New Roman"/>
          <w:sz w:val="18"/>
          <w:szCs w:val="18"/>
          <w:b w:val="1"/>
          <w:bCs w:val="1"/>
          <w:u w:val="single" w:color="auto"/>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425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49465" cy="42545"/>
                    </a:xfrm>
                    <a:prstGeom prst="rect">
                      <a:avLst/>
                    </a:prstGeom>
                    <a:noFill/>
                  </pic:spPr>
                </pic:pic>
              </a:graphicData>
            </a:graphic>
          </wp:anchor>
        </w:drawing>
        <w:t>Cautionary Statement Regarding Forward Looking Statements</w:t>
      </w:r>
    </w:p>
    <w:p>
      <w:pPr>
        <w:spacing w:after="0" w:line="121" w:lineRule="exact"/>
        <w:rPr>
          <w:sz w:val="20"/>
          <w:szCs w:val="20"/>
          <w:color w:val="auto"/>
        </w:rPr>
      </w:pPr>
    </w:p>
    <w:p>
      <w:pPr>
        <w:ind w:left="4" w:right="60"/>
        <w:spacing w:after="0" w:line="251" w:lineRule="auto"/>
        <w:rPr>
          <w:sz w:val="20"/>
          <w:szCs w:val="20"/>
          <w:color w:val="auto"/>
        </w:rPr>
      </w:pPr>
      <w:r>
        <w:rPr>
          <w:rFonts w:ascii="Times New Roman" w:cs="Times New Roman" w:eastAsia="Times New Roman" w:hAnsi="Times New Roman"/>
          <w:sz w:val="18"/>
          <w:szCs w:val="18"/>
          <w:color w:val="auto"/>
        </w:rPr>
        <w:t>This communication contains certain forward-looking statements within the meaning of Section 27A of the Securities Act and Section 21E of the Exchange Act with respect to the proposed transaction between Marvell, Inphi and HoldCo, including statements regarding the benefits of the transaction, the anticipated timing of the transaction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press release, including but not limited to: (i) the completion of the proposed transaction on anticipated terms and timing, including obtaining shareholder and regulatory approvals, anticipated tax treatment, unforeseen liabilities and other conditions to the completion of the transaction; (ii) failure to realize the anticipated benefits of the proposed transaction, including as a result of delay in completing the transaction or HoldCo’s ability to integrate the businesses of Marvell and Inphi or due to unexpected costs, liabilities or delays; (iii) the ability of the parties to obtain or consummate financing or refinancing related to the transactions upon acceptable terms or at all; (iv) potential litigation relating to the proposed transaction that could be instituted against Marvell, HoldCo or Inphi or their respective directors; (v) the risk that disruptions from the proposed transaction will harm Marvell or Inphi’s business, including current plans and operations; (vi) the ability of Marvell or Inphi to retain and hire key personnel; (vii) potential adverse reactions or changes to business relationships resulting from the announcement or completion of the proposed transaction; (viii) risks relating to the value of the HoldCo shares to be issued in the transaction; (ix) risks associated with third party contracts containing consent and/or other provisions that may be triggered by the proposed transaction;</w:t>
      </w:r>
    </w:p>
    <w:p>
      <w:pPr>
        <w:spacing w:after="0" w:line="11" w:lineRule="exact"/>
        <w:rPr>
          <w:sz w:val="20"/>
          <w:szCs w:val="20"/>
          <w:color w:val="auto"/>
        </w:rPr>
      </w:pPr>
    </w:p>
    <w:p>
      <w:pPr>
        <w:ind w:left="4" w:right="220" w:hanging="4"/>
        <w:spacing w:after="0" w:line="265" w:lineRule="auto"/>
        <w:tabs>
          <w:tab w:leader="none" w:pos="259" w:val="left"/>
        </w:tabs>
        <w:numPr>
          <w:ilvl w:val="0"/>
          <w:numId w:val="3"/>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impact of public health crises, such as pandemics (including coronavirus (COVID-19)) and epidemics and any related company or government policies and actions to protect the health and safety of individuals or government policies or actions to maintain the functioning of national or global economies and markets; (xi) legislative, regulatory and economic developments affecting Marvell or Inphi’s businesses; (xii) general economic and market developments and conditions; (xiii) the evolving legal, regulatory and tax regimes under which Marvell, HoldCo and Inphi operate;</w:t>
      </w:r>
    </w:p>
    <w:p>
      <w:pPr>
        <w:jc w:val="both"/>
        <w:ind w:left="4" w:right="120" w:hanging="4"/>
        <w:spacing w:after="0" w:line="250" w:lineRule="auto"/>
        <w:tabs>
          <w:tab w:leader="none" w:pos="399"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potential business uncertainty, including changes to existing business relationships, during the pendency of the proposed transaction that could affect Marvell’s and/or Inphi’s financial performance; (xv) restrictions during the pendency of the proposed transaction that may impact Marvell’s or Inphi’s ability to pursue certain business opportunities or strategic transactions; (xvi) unpredictability and severity of catastrophic events, including, but not limited to, acts of terrorism or outbreak of war or hostilities, as well as Marvell’s and Inphi’s response to any of the aforementioned factors;</w:t>
      </w:r>
    </w:p>
    <w:p>
      <w:pPr>
        <w:spacing w:after="0" w:line="1" w:lineRule="exact"/>
        <w:rPr>
          <w:rFonts w:ascii="Times New Roman" w:cs="Times New Roman" w:eastAsia="Times New Roman" w:hAnsi="Times New Roman"/>
          <w:sz w:val="18"/>
          <w:szCs w:val="18"/>
          <w:color w:val="auto"/>
        </w:rPr>
      </w:pPr>
    </w:p>
    <w:p>
      <w:pPr>
        <w:ind w:left="4" w:hanging="4"/>
        <w:spacing w:after="0" w:line="251" w:lineRule="auto"/>
        <w:tabs>
          <w:tab w:leader="none" w:pos="449"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failure to receive the approval of the securityholders of Marvell and/or Inphi; and (xviii) the occurrence of any event, change or other circumstances that could give rise to the termination of the Merger Agreement. The foregoing list of factors is not exhaustive. You should carefully consider the foregoing factors and the other risks and uncertainties that affect the businesses of Marvell and Inphi described in the “Risk Factors” section of their respective Annual Reports on Form 10-K, Quarterly Reports on Form 10-Q and other documents filed by either of them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and Inphi assume no obligation and do not intend to update or revise these forward-looking statements, whether as a result of new information, future events or otherwise. Neither Marvell nor Inphi gives any assurance that either Marvell or Inphi will achieve its expectations.</w:t>
      </w:r>
    </w:p>
    <w:p>
      <w:pPr>
        <w:spacing w:after="0" w:line="297"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b w:val="1"/>
          <w:bCs w:val="1"/>
          <w:u w:val="single" w:color="auto"/>
          <w:color w:val="auto"/>
        </w:rPr>
        <w:t>No Offer or Solicitation</w:t>
      </w:r>
    </w:p>
    <w:p>
      <w:pPr>
        <w:spacing w:after="0" w:line="121" w:lineRule="exact"/>
        <w:rPr>
          <w:sz w:val="20"/>
          <w:szCs w:val="20"/>
          <w:color w:val="auto"/>
        </w:rPr>
      </w:pPr>
    </w:p>
    <w:p>
      <w:pPr>
        <w:ind w:left="4" w:right="80"/>
        <w:spacing w:after="0" w:line="261" w:lineRule="auto"/>
        <w:rPr>
          <w:sz w:val="20"/>
          <w:szCs w:val="20"/>
          <w:color w:val="auto"/>
        </w:rPr>
      </w:pPr>
      <w:r>
        <w:rPr>
          <w:rFonts w:ascii="Times New Roman" w:cs="Times New Roman" w:eastAsia="Times New Roman" w:hAnsi="Times New Roman"/>
          <w:sz w:val="18"/>
          <w:szCs w:val="18"/>
          <w:color w:val="auto"/>
        </w:rPr>
        <w:t>This communication is not intended to and shall not constitute an offer to sell or the solicitation of an offer to sell or the solicitation of an offer to buy any securities or a solicitation of any vote of approval, nor shall there be any sale of securities in any jurisdiction in which such offer, solicitation or sale would be unlawful prior to registration or qualification under the securities laws of any such jurisdiction. No offer of securities shall be made except by means of a prospectus meeting the requirements of Section 10 of the Securities Act.</w:t>
      </w:r>
    </w:p>
    <w:p>
      <w:pPr>
        <w:sectPr>
          <w:pgSz w:w="11900" w:h="16838" w:orient="portrait"/>
          <w:cols w:equalWidth="0" w:num="1">
            <w:col w:w="11024"/>
          </w:cols>
          <w:pgMar w:left="436" w:top="293" w:right="439" w:bottom="1440" w:gutter="0" w:footer="0" w:header="0"/>
        </w:sectPr>
      </w:pPr>
    </w:p>
    <w:bookmarkStart w:id="3" w:name="page4"/>
    <w:bookmarkEnd w:id="3"/>
    <w:p>
      <w:pPr>
        <w:spacing w:after="0"/>
        <w:tabs>
          <w:tab w:leader="none" w:pos="1180" w:val="left"/>
        </w:tabs>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4318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49465" cy="43180"/>
                    </a:xfrm>
                    <a:prstGeom prst="rect">
                      <a:avLst/>
                    </a:prstGeom>
                    <a:noFill/>
                  </pic:spPr>
                </pic:pic>
              </a:graphicData>
            </a:graphic>
          </wp:anchor>
        </w:drawing>
        <w:t>Item 9.01</w:t>
      </w:r>
      <w:r>
        <w:rPr>
          <w:sz w:val="20"/>
          <w:szCs w:val="20"/>
          <w:color w:val="auto"/>
        </w:rPr>
        <w:tab/>
      </w:r>
      <w:r>
        <w:rPr>
          <w:rFonts w:ascii="Times New Roman" w:cs="Times New Roman" w:eastAsia="Times New Roman" w:hAnsi="Times New Roman"/>
          <w:sz w:val="17"/>
          <w:szCs w:val="17"/>
          <w:b w:val="1"/>
          <w:bCs w:val="1"/>
          <w:color w:val="auto"/>
        </w:rPr>
        <w:t>Financial Statements and Exhibits.</w:t>
      </w:r>
    </w:p>
    <w:p>
      <w:pPr>
        <w:spacing w:after="0" w:line="121"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(d) Exhibits.</w:t>
      </w:r>
    </w:p>
    <w:p>
      <w:pPr>
        <w:spacing w:after="0" w:line="252" w:lineRule="exact"/>
        <w:rPr>
          <w:sz w:val="20"/>
          <w:szCs w:val="20"/>
          <w:color w:val="auto"/>
        </w:rPr>
      </w:pPr>
    </w:p>
    <w:p>
      <w:pPr>
        <w:spacing w:after="0"/>
        <w:tabs>
          <w:tab w:leader="none" w:pos="640" w:val="left"/>
        </w:tabs>
        <w:rPr>
          <w:rFonts w:ascii="Times New Roman" w:cs="Times New Roman" w:eastAsia="Times New Roman" w:hAnsi="Times New Roman"/>
          <w:sz w:val="17"/>
          <w:szCs w:val="17"/>
          <w:u w:val="single" w:color="auto"/>
          <w:color w:val="0000EE"/>
        </w:rPr>
      </w:pPr>
      <w:r>
        <w:rPr>
          <w:rFonts w:ascii="Times New Roman" w:cs="Times New Roman" w:eastAsia="Times New Roman" w:hAnsi="Times New Roman"/>
          <w:sz w:val="18"/>
          <w:szCs w:val="18"/>
          <w:color w:val="auto"/>
        </w:rPr>
        <w:t>99.1</w:t>
      </w:r>
      <w:r>
        <w:rPr>
          <w:sz w:val="20"/>
          <w:szCs w:val="20"/>
          <w:color w:val="auto"/>
        </w:rPr>
        <w:tab/>
      </w:r>
      <w:hyperlink w:anchor="page6">
        <w:r>
          <w:rPr>
            <w:rFonts w:ascii="Times New Roman" w:cs="Times New Roman" w:eastAsia="Times New Roman" w:hAnsi="Times New Roman"/>
            <w:sz w:val="17"/>
            <w:szCs w:val="17"/>
            <w:u w:val="single" w:color="auto"/>
            <w:color w:val="0000EE"/>
          </w:rPr>
          <w:t>Joint Press Release issued by Marvell Technology Group Ltd. and Inphi Corporation on October 29, 2020</w:t>
        </w:r>
      </w:hyperlink>
    </w:p>
    <w:p>
      <w:pPr>
        <w:spacing w:after="0" w:line="117" w:lineRule="exact"/>
        <w:rPr>
          <w:sz w:val="20"/>
          <w:szCs w:val="20"/>
          <w:color w:val="auto"/>
        </w:rPr>
      </w:pPr>
    </w:p>
    <w:p>
      <w:pPr>
        <w:spacing w:after="0"/>
        <w:tabs>
          <w:tab w:leader="none" w:pos="640" w:val="left"/>
        </w:tabs>
        <w:rPr>
          <w:sz w:val="20"/>
          <w:szCs w:val="20"/>
          <w:color w:val="auto"/>
        </w:rPr>
      </w:pPr>
      <w:r>
        <w:rPr>
          <w:rFonts w:ascii="Times New Roman" w:cs="Times New Roman" w:eastAsia="Times New Roman" w:hAnsi="Times New Roman"/>
          <w:sz w:val="18"/>
          <w:szCs w:val="18"/>
          <w:color w:val="auto"/>
        </w:rPr>
        <w:t>104</w:t>
      </w:r>
      <w:r>
        <w:rPr>
          <w:sz w:val="20"/>
          <w:szCs w:val="20"/>
          <w:color w:val="auto"/>
        </w:rPr>
        <w:tab/>
      </w:r>
      <w:r>
        <w:rPr>
          <w:rFonts w:ascii="Times New Roman" w:cs="Times New Roman" w:eastAsia="Times New Roman" w:hAnsi="Times New Roman"/>
          <w:sz w:val="18"/>
          <w:szCs w:val="18"/>
          <w:color w:val="auto"/>
        </w:rPr>
        <w:t>Cover Page Interactive Data File (the cover page XBRL tags are embedded within the Inline XBRL document)</w:t>
      </w:r>
    </w:p>
    <w:p>
      <w:pPr>
        <w:sectPr>
          <w:pgSz w:w="11900" w:h="16838" w:orient="portrait"/>
          <w:cols w:equalWidth="0" w:num="1">
            <w:col w:w="10019"/>
          </w:cols>
          <w:pgMar w:left="440" w:top="293" w:right="1440" w:bottom="1440" w:gutter="0" w:footer="0" w:header="0"/>
        </w:sectPr>
      </w:pPr>
    </w:p>
    <w:bookmarkStart w:id="4" w:name="page5"/>
    <w:bookmarkEnd w:id="4"/>
    <w:p>
      <w:pPr>
        <w:jc w:val="center"/>
        <w:ind w:right="-33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4318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49465" cy="43180"/>
                    </a:xfrm>
                    <a:prstGeom prst="rect">
                      <a:avLst/>
                    </a:prstGeom>
                    <a:noFill/>
                  </pic:spPr>
                </pic:pic>
              </a:graphicData>
            </a:graphic>
          </wp:anchor>
        </w:drawing>
        <w:t>SIGNATURE</w:t>
      </w:r>
    </w:p>
    <w:p>
      <w:pPr>
        <w:spacing w:after="0" w:line="229" w:lineRule="exact"/>
        <w:rPr>
          <w:sz w:val="20"/>
          <w:szCs w:val="20"/>
          <w:color w:val="auto"/>
        </w:rPr>
      </w:pPr>
    </w:p>
    <w:p>
      <w:pPr>
        <w:ind w:firstLine="440"/>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89"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18"/>
          <w:szCs w:val="18"/>
          <w:color w:val="auto"/>
        </w:rPr>
        <w:t>MARVELL TECHNOLOGY GROUP LTD.</w:t>
      </w:r>
    </w:p>
    <w:p>
      <w:pPr>
        <w:spacing w:after="0" w:line="225" w:lineRule="exact"/>
        <w:rPr>
          <w:sz w:val="20"/>
          <w:szCs w:val="20"/>
          <w:color w:val="auto"/>
        </w:rPr>
      </w:pPr>
    </w:p>
    <w:p>
      <w:pPr>
        <w:spacing w:after="0"/>
        <w:tabs>
          <w:tab w:leader="none" w:pos="5600" w:val="left"/>
          <w:tab w:leader="none" w:pos="6040" w:val="left"/>
        </w:tabs>
        <w:rPr>
          <w:sz w:val="20"/>
          <w:szCs w:val="20"/>
          <w:color w:val="auto"/>
        </w:rPr>
      </w:pPr>
      <w:r>
        <w:rPr>
          <w:rFonts w:ascii="Times New Roman" w:cs="Times New Roman" w:eastAsia="Times New Roman" w:hAnsi="Times New Roman"/>
          <w:sz w:val="18"/>
          <w:szCs w:val="18"/>
          <w:color w:val="auto"/>
        </w:rPr>
        <w:t>Date: October 29, 2020</w:t>
      </w:r>
      <w:r>
        <w:rPr>
          <w:sz w:val="20"/>
          <w:szCs w:val="20"/>
          <w:color w:val="auto"/>
        </w:rPr>
        <w:tab/>
      </w:r>
      <w:r>
        <w:rPr>
          <w:rFonts w:ascii="Times New Roman" w:cs="Times New Roman" w:eastAsia="Times New Roman" w:hAnsi="Times New Roman"/>
          <w:sz w:val="18"/>
          <w:szCs w:val="18"/>
          <w:color w:val="auto"/>
        </w:rPr>
        <w:t>By:</w:t>
      </w:r>
      <w:r>
        <w:rPr>
          <w:sz w:val="20"/>
          <w:szCs w:val="20"/>
          <w:color w:val="auto"/>
        </w:rPr>
        <w:tab/>
      </w:r>
      <w:r>
        <w:rPr>
          <w:rFonts w:ascii="Times New Roman" w:cs="Times New Roman" w:eastAsia="Times New Roman" w:hAnsi="Times New Roman"/>
          <w:sz w:val="17"/>
          <w:szCs w:val="17"/>
          <w:color w:val="auto"/>
        </w:rPr>
        <w:t>/s/ Mitchell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3846195</wp:posOffset>
            </wp:positionH>
            <wp:positionV relativeFrom="paragraph">
              <wp:posOffset>17145</wp:posOffset>
            </wp:positionV>
            <wp:extent cx="3145790" cy="825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3145790" cy="8255"/>
                    </a:xfrm>
                    <a:prstGeom prst="rect">
                      <a:avLst/>
                    </a:prstGeom>
                    <a:noFill/>
                  </pic:spPr>
                </pic:pic>
              </a:graphicData>
            </a:graphic>
          </wp:anchor>
        </w:drawing>
      </w:r>
    </w:p>
    <w:p>
      <w:pPr>
        <w:spacing w:after="0" w:line="34" w:lineRule="exact"/>
        <w:rPr>
          <w:sz w:val="20"/>
          <w:szCs w:val="20"/>
          <w:color w:val="auto"/>
        </w:rPr>
      </w:pPr>
    </w:p>
    <w:p>
      <w:pPr>
        <w:ind w:left="6060"/>
        <w:spacing w:after="0"/>
        <w:rPr>
          <w:sz w:val="20"/>
          <w:szCs w:val="20"/>
          <w:color w:val="auto"/>
        </w:rPr>
      </w:pPr>
      <w:r>
        <w:rPr>
          <w:rFonts w:ascii="Times New Roman" w:cs="Times New Roman" w:eastAsia="Times New Roman" w:hAnsi="Times New Roman"/>
          <w:sz w:val="18"/>
          <w:szCs w:val="18"/>
          <w:b w:val="1"/>
          <w:bCs w:val="1"/>
          <w:color w:val="auto"/>
        </w:rPr>
        <w:t>Mitchell Gaynor</w:t>
      </w:r>
    </w:p>
    <w:p>
      <w:pPr>
        <w:spacing w:after="0" w:line="9" w:lineRule="exact"/>
        <w:rPr>
          <w:sz w:val="20"/>
          <w:szCs w:val="20"/>
          <w:color w:val="auto"/>
        </w:rPr>
      </w:pPr>
    </w:p>
    <w:p>
      <w:pPr>
        <w:ind w:left="6060"/>
        <w:spacing w:after="0"/>
        <w:rPr>
          <w:sz w:val="20"/>
          <w:szCs w:val="20"/>
          <w:color w:val="auto"/>
        </w:rPr>
      </w:pPr>
      <w:r>
        <w:rPr>
          <w:rFonts w:ascii="Times New Roman" w:cs="Times New Roman" w:eastAsia="Times New Roman" w:hAnsi="Times New Roman"/>
          <w:sz w:val="18"/>
          <w:szCs w:val="18"/>
          <w:i w:val="1"/>
          <w:iCs w:val="1"/>
          <w:color w:val="auto"/>
        </w:rPr>
        <w:t>Chief Administration and Legal Officer and Secretary</w:t>
      </w:r>
    </w:p>
    <w:p>
      <w:pPr>
        <w:sectPr>
          <w:pgSz w:w="11900" w:h="16838" w:orient="portrait"/>
          <w:cols w:equalWidth="0" w:num="1">
            <w:col w:w="10660"/>
          </w:cols>
          <w:pgMar w:left="440" w:top="293" w:right="799" w:bottom="1440" w:gutter="0" w:footer="0" w:header="0"/>
        </w:sectPr>
      </w:pPr>
    </w:p>
    <w:bookmarkStart w:id="5" w:name="page6"/>
    <w:bookmarkEnd w:id="5"/>
    <w:p>
      <w:pPr>
        <w:jc w:val="right"/>
        <w:spacing w:after="0"/>
        <w:rPr>
          <w:sz w:val="20"/>
          <w:szCs w:val="20"/>
          <w:color w:val="auto"/>
        </w:rPr>
      </w:pPr>
      <w:r>
        <w:rPr>
          <w:rFonts w:ascii="Times New Roman" w:cs="Times New Roman" w:eastAsia="Times New Roman" w:hAnsi="Times New Roman"/>
          <w:sz w:val="18"/>
          <w:szCs w:val="18"/>
          <w:b w:val="1"/>
          <w:bCs w:val="1"/>
          <w:color w:val="auto"/>
        </w:rPr>
        <w:t>Exhibit 99.1</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Marvell to Acquire Inphi - Accelerating Growth and Leadership in</w:t>
      </w:r>
    </w:p>
    <w:p>
      <w:pPr>
        <w:spacing w:after="0" w:line="3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Cloud and 5G Infrastructure</w:t>
      </w:r>
    </w:p>
    <w:p>
      <w:pPr>
        <w:spacing w:after="0" w:line="112" w:lineRule="exact"/>
        <w:rPr>
          <w:sz w:val="20"/>
          <w:szCs w:val="20"/>
          <w:color w:val="auto"/>
        </w:rPr>
      </w:pPr>
    </w:p>
    <w:p>
      <w:pPr>
        <w:ind w:left="960" w:hanging="424"/>
        <w:spacing w:after="0"/>
        <w:tabs>
          <w:tab w:leader="none" w:pos="96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Creates a U.S. semiconductor powerhouse with an enterprise value of approximately $40 billion</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Positions Marvell for leadership in cloud; extends 5G opportunity</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Adds Inphi’s leading electro-optics interconnect platform in highly complementary transaction</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Expands Marvell’s addressable market to $23 billion and accelerates market growth to 12% CAGR</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Combination expected to double number of $100M+ cloud &amp; networking customers to eight</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Accretive to revenue growth, gross and operating margin; enhances long-term financial model</w:t>
      </w:r>
    </w:p>
    <w:p>
      <w:pPr>
        <w:spacing w:after="0" w:line="225" w:lineRule="exact"/>
        <w:rPr>
          <w:sz w:val="20"/>
          <w:szCs w:val="20"/>
          <w:color w:val="auto"/>
        </w:rPr>
      </w:pPr>
    </w:p>
    <w:p>
      <w:pPr>
        <w:ind w:right="80"/>
        <w:spacing w:after="0" w:line="258" w:lineRule="auto"/>
        <w:rPr>
          <w:sz w:val="20"/>
          <w:szCs w:val="20"/>
          <w:color w:val="auto"/>
        </w:rPr>
      </w:pPr>
      <w:r>
        <w:rPr>
          <w:rFonts w:ascii="Times New Roman" w:cs="Times New Roman" w:eastAsia="Times New Roman" w:hAnsi="Times New Roman"/>
          <w:sz w:val="18"/>
          <w:szCs w:val="18"/>
          <w:color w:val="auto"/>
        </w:rPr>
        <w:t>SANTA CLARA, Calif. and San Jose, Calif., October 29, 2020 /PRNewswire/: Marvell Technology Group Ltd. (NASDAQ: MRVL), a leader in infrastructure semiconductor solutions, and Inphi Corporation (NASDAQ: IPHI), a leader in high-speed data movement, today announced a definitive agreement, unanimously approved by the boards of directors of both companies, under which Marvell will acquire Inphi in a cash and stock transaction. In conjunction with the transaction, Marvell intends to reorganize so that the combined company will be domiciled in the United States, creating a U.S. semiconductor powerhouse with an enterprise value of approximately $40 billion.</w:t>
      </w:r>
    </w:p>
    <w:p>
      <w:pPr>
        <w:spacing w:after="0" w:line="183" w:lineRule="exact"/>
        <w:rPr>
          <w:sz w:val="20"/>
          <w:szCs w:val="20"/>
          <w:color w:val="auto"/>
        </w:rPr>
      </w:pPr>
    </w:p>
    <w:p>
      <w:pPr>
        <w:ind w:right="20"/>
        <w:spacing w:after="0" w:line="256" w:lineRule="auto"/>
        <w:rPr>
          <w:sz w:val="20"/>
          <w:szCs w:val="20"/>
          <w:color w:val="auto"/>
        </w:rPr>
      </w:pPr>
      <w:r>
        <w:rPr>
          <w:rFonts w:ascii="Times New Roman" w:cs="Times New Roman" w:eastAsia="Times New Roman" w:hAnsi="Times New Roman"/>
          <w:sz w:val="18"/>
          <w:szCs w:val="18"/>
          <w:color w:val="auto"/>
        </w:rPr>
        <w:t>Inphi has built a leading high-speed data interconnect platform uniquely suited to meet the insatiable demand for increased bandwidth and low power for the cloud data centers and global networks of the future. Inphi’s high-speed electro-optics portfolio provides the connectivity fabric for cloud data centers and wired and wireless carrier networks, just as Marvell’s copper physical layer portfolio does for enterprise and future in-vehicle networks. Combining Marvell’s storage, networking, processor, and security portfolio, with Inphi’s leading electro-optics interconnect platform, will position the combined company for end-to-end technology leadership in data infrastructure. This highly complementary transaction expands Marvell’s addressable market, strengthens customer base, and accelerates Marvell’s leadership in hyperscale cloud data centers and 5G wireless infrastructure.</w:t>
      </w:r>
    </w:p>
    <w:p>
      <w:pPr>
        <w:spacing w:after="0" w:line="187" w:lineRule="exact"/>
        <w:rPr>
          <w:sz w:val="20"/>
          <w:szCs w:val="20"/>
          <w:color w:val="auto"/>
        </w:rPr>
      </w:pPr>
    </w:p>
    <w:p>
      <w:pPr>
        <w:ind w:right="80"/>
        <w:spacing w:after="0" w:line="256" w:lineRule="auto"/>
        <w:rPr>
          <w:sz w:val="20"/>
          <w:szCs w:val="20"/>
          <w:color w:val="auto"/>
        </w:rPr>
      </w:pPr>
      <w:r>
        <w:rPr>
          <w:rFonts w:ascii="Times New Roman" w:cs="Times New Roman" w:eastAsia="Times New Roman" w:hAnsi="Times New Roman"/>
          <w:sz w:val="18"/>
          <w:szCs w:val="18"/>
          <w:color w:val="auto"/>
        </w:rPr>
        <w:t>Today’s machine learning and other data-driven workloads have expanded beyond the confines of the server and now span the entire cloud data center, making the software-defined data center the new computing paradigm. This trend drives hyper-connectivity within the data center, putting electro-optical interconnects at the heart of the cloud architecture. In addition, the need for bandwidth between data centers continues to grow at astounding rates. Combined with explosive Internet traffic growth and the rollout of new ultra-fast 5G wireless networks, the importance of Inphi’s high-speed data interconnect solutions will only accelerate. The combined company will be uniquely positioned to serve the data-driven world, addressing high growth, attractive end markets – cloud datacenter and 5G.</w:t>
      </w:r>
    </w:p>
    <w:p>
      <w:pPr>
        <w:spacing w:after="0" w:line="187" w:lineRule="exact"/>
        <w:rPr>
          <w:sz w:val="20"/>
          <w:szCs w:val="20"/>
          <w:color w:val="auto"/>
        </w:rPr>
      </w:pPr>
    </w:p>
    <w:p>
      <w:pPr>
        <w:ind w:right="140"/>
        <w:spacing w:after="0" w:line="266" w:lineRule="auto"/>
        <w:rPr>
          <w:sz w:val="20"/>
          <w:szCs w:val="20"/>
          <w:color w:val="auto"/>
        </w:rPr>
      </w:pPr>
      <w:r>
        <w:rPr>
          <w:rFonts w:ascii="Times New Roman" w:cs="Times New Roman" w:eastAsia="Times New Roman" w:hAnsi="Times New Roman"/>
          <w:sz w:val="18"/>
          <w:szCs w:val="18"/>
          <w:color w:val="auto"/>
        </w:rPr>
        <w:t>Our combined scale will provide more resources and capabilities to continue to invest and better manage the rapidly ramping process technology costs. The transaction is expected to generate annual run-rate synergies of $125 million to be realized within 18 months after the transaction closes and is expected to become accretive to Marvell’s non-GAAP earnings per share by the end of the first year after the transaction closes.</w:t>
      </w:r>
    </w:p>
    <w:p>
      <w:pPr>
        <w:sectPr>
          <w:pgSz w:w="11900" w:h="16838" w:orient="portrait"/>
          <w:cols w:equalWidth="0" w:num="1">
            <w:col w:w="11020"/>
          </w:cols>
          <w:pgMar w:left="440" w:top="117" w:right="439" w:bottom="1440" w:gutter="0" w:footer="0" w:header="0"/>
        </w:sectPr>
      </w:pPr>
    </w:p>
    <w:bookmarkStart w:id="6" w:name="page7"/>
    <w:bookmarkEnd w:id="6"/>
    <w:p>
      <w:pPr>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49465" cy="25400"/>
                    </a:xfrm>
                    <a:prstGeom prst="rect">
                      <a:avLst/>
                    </a:prstGeom>
                    <a:noFill/>
                  </pic:spPr>
                </pic:pic>
              </a:graphicData>
            </a:graphic>
          </wp:anchor>
        </w:drawing>
        <w:t>“Our acquisition of Inphi will fuel Marvell’s leadership in the cloud and extend our 5G position over the next decade,” said Matt Murphy, president and CEO of Marvell. “Inphi’s technologies are at the heart of cloud data center networks and they continue to extend their leadership with innovative new products, including 400G data center interconnect optical modules, which leverage their unique silicon photonics and DSP technologies. We believe that Inphi’s growing presence with cloud customers will also lead to additional opportunities for Marvell’s DPU and ASIC products.”</w:t>
      </w:r>
    </w:p>
    <w:p>
      <w:pPr>
        <w:spacing w:after="0" w:line="180" w:lineRule="exact"/>
        <w:rPr>
          <w:sz w:val="20"/>
          <w:szCs w:val="20"/>
          <w:color w:val="auto"/>
        </w:rPr>
      </w:pPr>
    </w:p>
    <w:p>
      <w:pPr>
        <w:ind w:right="180"/>
        <w:spacing w:after="0" w:line="261" w:lineRule="auto"/>
        <w:rPr>
          <w:sz w:val="20"/>
          <w:szCs w:val="20"/>
          <w:color w:val="auto"/>
        </w:rPr>
      </w:pPr>
      <w:r>
        <w:rPr>
          <w:rFonts w:ascii="Times New Roman" w:cs="Times New Roman" w:eastAsia="Times New Roman" w:hAnsi="Times New Roman"/>
          <w:sz w:val="18"/>
          <w:szCs w:val="18"/>
          <w:color w:val="auto"/>
        </w:rPr>
        <w:t>“Marvell and Inphi share a vision to enable the world’s data infrastructure and we have both transformed our respective businesses to benefit from the strong secular growth expected in the cloud data center and 5G wireless markets” said Ford Tamer, President and CEO of Inphi. “Combining with Marvell significantly increases our scale, accelerates our access to the next generations of process technology, and opens up new opportunities in 5G connectivity.”</w:t>
      </w:r>
    </w:p>
    <w:p>
      <w:pPr>
        <w:spacing w:after="0" w:line="1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Upon closing, Ford Tamer, Inphi’s President and CEO, will join Marvell’s Board of Directors.</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Transaction Structure and Terms</w:t>
      </w:r>
    </w:p>
    <w:p>
      <w:pPr>
        <w:spacing w:after="0" w:line="121" w:lineRule="exact"/>
        <w:rPr>
          <w:sz w:val="20"/>
          <w:szCs w:val="20"/>
          <w:color w:val="auto"/>
        </w:rPr>
      </w:pPr>
    </w:p>
    <w:p>
      <w:pPr>
        <w:ind w:right="100"/>
        <w:spacing w:after="0" w:line="266" w:lineRule="auto"/>
        <w:rPr>
          <w:sz w:val="20"/>
          <w:szCs w:val="20"/>
          <w:color w:val="auto"/>
        </w:rPr>
      </w:pPr>
      <w:r>
        <w:rPr>
          <w:rFonts w:ascii="Times New Roman" w:cs="Times New Roman" w:eastAsia="Times New Roman" w:hAnsi="Times New Roman"/>
          <w:sz w:val="18"/>
          <w:szCs w:val="18"/>
          <w:color w:val="auto"/>
        </w:rPr>
        <w:t>Under the terms of the definitive agreement, the transaction consideration will consist of $66 in cash and 2.323 shares of stock of the combined company for each Inphi share. Upon closing of the transaction, Marvell shareholders will own approximately 83% of the combined company and Inphi stockholders will own approximately 17% of the combined company.</w:t>
      </w:r>
    </w:p>
    <w:p>
      <w:pPr>
        <w:spacing w:after="0" w:line="176" w:lineRule="exact"/>
        <w:rPr>
          <w:sz w:val="20"/>
          <w:szCs w:val="20"/>
          <w:color w:val="auto"/>
        </w:rPr>
      </w:pPr>
    </w:p>
    <w:p>
      <w:pPr>
        <w:ind w:right="400"/>
        <w:spacing w:after="0" w:line="261" w:lineRule="auto"/>
        <w:rPr>
          <w:sz w:val="20"/>
          <w:szCs w:val="20"/>
          <w:color w:val="auto"/>
        </w:rPr>
      </w:pPr>
      <w:r>
        <w:rPr>
          <w:rFonts w:ascii="Times New Roman" w:cs="Times New Roman" w:eastAsia="Times New Roman" w:hAnsi="Times New Roman"/>
          <w:sz w:val="18"/>
          <w:szCs w:val="18"/>
          <w:color w:val="auto"/>
        </w:rPr>
        <w:t>Marvell intends to finance the transaction with cash on hand, and additional financing. Marvell has obtained debt financing commitments from JPMorgan Chase Bank, N.A. The transaction is not subject to any financing condition and is expected to close by the second half of calendar 2021, subject to the approval of Marvell shareholders and Inphi stockholders and the satisfaction of customary closing conditions, including applicable regulatory approvals.</w:t>
      </w:r>
    </w:p>
    <w:p>
      <w:pPr>
        <w:spacing w:after="0" w:line="28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Advisors</w:t>
      </w:r>
    </w:p>
    <w:p>
      <w:pPr>
        <w:spacing w:after="0" w:line="121" w:lineRule="exact"/>
        <w:rPr>
          <w:sz w:val="20"/>
          <w:szCs w:val="20"/>
          <w:color w:val="auto"/>
        </w:rPr>
      </w:pPr>
    </w:p>
    <w:p>
      <w:pPr>
        <w:ind w:right="120"/>
        <w:spacing w:after="0" w:line="266" w:lineRule="auto"/>
        <w:rPr>
          <w:sz w:val="20"/>
          <w:szCs w:val="20"/>
          <w:color w:val="auto"/>
        </w:rPr>
      </w:pPr>
      <w:r>
        <w:rPr>
          <w:rFonts w:ascii="Times New Roman" w:cs="Times New Roman" w:eastAsia="Times New Roman" w:hAnsi="Times New Roman"/>
          <w:sz w:val="18"/>
          <w:szCs w:val="18"/>
          <w:color w:val="auto"/>
        </w:rPr>
        <w:t>J.P. Morgan Securities LLC served as exclusive financial advisor to Marvell and also provided committed financing for the transaction and Hogan Lovells US LLP served as legal advisor. Qatalyst Partners LP served as exclusive financial advisor to Inphi and Pillsbury Winthrop Shaw Pittman LLP served as legal advisor.</w:t>
      </w:r>
    </w:p>
    <w:p>
      <w:pPr>
        <w:sectPr>
          <w:pgSz w:w="11900" w:h="16838" w:orient="portrait"/>
          <w:cols w:equalWidth="0" w:num="1">
            <w:col w:w="10980"/>
          </w:cols>
          <w:pgMar w:left="440" w:top="270" w:right="479" w:bottom="1440" w:gutter="0" w:footer="0" w:header="0"/>
        </w:sectPr>
      </w:pPr>
    </w:p>
    <w:bookmarkStart w:id="7" w:name="page8"/>
    <w:bookmarkEnd w:id="7"/>
    <w:p>
      <w:pP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49465" cy="25400"/>
                    </a:xfrm>
                    <a:prstGeom prst="rect">
                      <a:avLst/>
                    </a:prstGeom>
                    <a:noFill/>
                  </pic:spPr>
                </pic:pic>
              </a:graphicData>
            </a:graphic>
          </wp:anchor>
        </w:drawing>
        <w:t>Marvell Preliminary Third Fiscal Quarter 2021 Results</w:t>
      </w:r>
    </w:p>
    <w:p>
      <w:pPr>
        <w:spacing w:after="0" w:line="121" w:lineRule="exact"/>
        <w:rPr>
          <w:sz w:val="20"/>
          <w:szCs w:val="20"/>
          <w:color w:val="auto"/>
        </w:rPr>
      </w:pPr>
    </w:p>
    <w:p>
      <w:pPr>
        <w:ind w:right="40"/>
        <w:spacing w:after="0" w:line="255" w:lineRule="auto"/>
        <w:rPr>
          <w:sz w:val="20"/>
          <w:szCs w:val="20"/>
          <w:color w:val="auto"/>
        </w:rPr>
      </w:pPr>
      <w:r>
        <w:rPr>
          <w:rFonts w:ascii="Times New Roman" w:cs="Times New Roman" w:eastAsia="Times New Roman" w:hAnsi="Times New Roman"/>
          <w:sz w:val="18"/>
          <w:szCs w:val="18"/>
          <w:color w:val="auto"/>
        </w:rPr>
        <w:t>Based on preliminary financial information, Marvell expects its third quarter revenue to be in the range of $750 million +/- 2%. Further information regarding third fiscal quarter results will be released on December 3, 2020 at 1:45 p.m. Pacific Time. The preliminary revenue results are unaudited, based on information available to management as of the date of this release, and may be subject to further changes upon completion of Marvell’s standard quarter closing procedures. Actual results may differ materially from these preliminary results because of the completion of quarter-end closing procedures, final adjustments and other developments arising between now and the time that Marvell financial results are finalized. This update does not present all necessary information for an understanding of Marvell’s financial condition as of October 31, 2020, or its results of operations for the quarter ended October 31, 2020.</w:t>
      </w:r>
    </w:p>
    <w:p>
      <w:pPr>
        <w:spacing w:after="0" w:line="29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Call/Webcast to Discuss Transaction</w:t>
      </w:r>
    </w:p>
    <w:p>
      <w:pPr>
        <w:spacing w:after="0" w:line="121" w:lineRule="exact"/>
        <w:rPr>
          <w:sz w:val="20"/>
          <w:szCs w:val="20"/>
          <w:color w:val="auto"/>
        </w:rPr>
      </w:pPr>
    </w:p>
    <w:p>
      <w:pPr>
        <w:spacing w:after="0" w:line="266" w:lineRule="auto"/>
        <w:rPr>
          <w:sz w:val="20"/>
          <w:szCs w:val="20"/>
          <w:color w:val="auto"/>
        </w:rPr>
      </w:pPr>
      <w:r>
        <w:rPr>
          <w:rFonts w:ascii="Times New Roman" w:cs="Times New Roman" w:eastAsia="Times New Roman" w:hAnsi="Times New Roman"/>
          <w:sz w:val="18"/>
          <w:szCs w:val="18"/>
          <w:color w:val="auto"/>
        </w:rPr>
        <w:t>Interested parties may join a conference call Thursday, October 29, 2020 at 5:30 a.m. Pacific Time to discuss the transaction by dialing 1 (844) 647-5488 in the U.S. or +1 (615) 247-0258 internationally, with the conference ID 6784634. A webcast of the call can be accessed by visiting Marvell’s investor relations website. A replay will be available until November 5, 2020 by dialing 1 (855) 859-2056, replay ID 6784634.</w:t>
      </w:r>
    </w:p>
    <w:p>
      <w:pPr>
        <w:spacing w:after="0" w:line="2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About Marvell</w:t>
      </w:r>
    </w:p>
    <w:p>
      <w:pPr>
        <w:spacing w:after="0" w:line="121" w:lineRule="exact"/>
        <w:rPr>
          <w:sz w:val="20"/>
          <w:szCs w:val="20"/>
          <w:color w:val="auto"/>
        </w:rPr>
      </w:pPr>
    </w:p>
    <w:p>
      <w:pPr>
        <w:ind w:right="60"/>
        <w:spacing w:after="0" w:line="261" w:lineRule="auto"/>
        <w:rPr>
          <w:sz w:val="20"/>
          <w:szCs w:val="20"/>
          <w:color w:val="auto"/>
        </w:rPr>
      </w:pPr>
      <w:r>
        <w:rPr>
          <w:rFonts w:ascii="Times New Roman" w:cs="Times New Roman" w:eastAsia="Times New Roman" w:hAnsi="Times New Roman"/>
          <w:sz w:val="18"/>
          <w:szCs w:val="18"/>
          <w:color w:val="auto"/>
        </w:rPr>
        <w:t xml:space="preserve">Marvell first revolutionized the digital storage industry by moving information at speeds never thought possible. Today, that same breakthrough innovation remains at the heart of the company’s storage, processing, networking, security and connectivity solutions. With leading intellectual property and deep system-level knowledge, Marvell’s semiconductor solutions continue to transform the enterprise, cloud, automotive, industrial and consumer markets. To learn more, visit: </w:t>
      </w:r>
      <w:r>
        <w:rPr>
          <w:rFonts w:ascii="Times New Roman" w:cs="Times New Roman" w:eastAsia="Times New Roman" w:hAnsi="Times New Roman"/>
          <w:sz w:val="18"/>
          <w:szCs w:val="18"/>
          <w:u w:val="single" w:color="auto"/>
          <w:color w:val="auto"/>
        </w:rPr>
        <w:t>https://www.marvell.com</w:t>
      </w:r>
      <w:r>
        <w:rPr>
          <w:rFonts w:ascii="Times New Roman" w:cs="Times New Roman" w:eastAsia="Times New Roman" w:hAnsi="Times New Roman"/>
          <w:sz w:val="18"/>
          <w:szCs w:val="18"/>
          <w:color w:val="auto"/>
        </w:rPr>
        <w:t>.</w:t>
      </w:r>
    </w:p>
    <w:p>
      <w:pPr>
        <w:spacing w:after="0" w:line="180" w:lineRule="exact"/>
        <w:rPr>
          <w:sz w:val="20"/>
          <w:szCs w:val="20"/>
          <w:color w:val="auto"/>
        </w:rPr>
      </w:pPr>
    </w:p>
    <w:p>
      <w:pPr>
        <w:ind w:right="40"/>
        <w:spacing w:after="0" w:line="282" w:lineRule="auto"/>
        <w:rPr>
          <w:sz w:val="20"/>
          <w:szCs w:val="20"/>
          <w:color w:val="auto"/>
        </w:rPr>
      </w:pPr>
      <w:r>
        <w:rPr>
          <w:rFonts w:ascii="Times New Roman" w:cs="Times New Roman" w:eastAsia="Times New Roman" w:hAnsi="Times New Roman"/>
          <w:sz w:val="18"/>
          <w:szCs w:val="18"/>
          <w:color w:val="auto"/>
        </w:rPr>
        <w:t>Marvell and the M logo are registered trademarks of Marvell and/or its affiliates in the US and/or elsewhere. Other names and brands may be claimed as the property of others.</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About Inphi</w:t>
      </w:r>
    </w:p>
    <w:p>
      <w:pPr>
        <w:spacing w:after="0" w:line="121" w:lineRule="exact"/>
        <w:rPr>
          <w:sz w:val="20"/>
          <w:szCs w:val="20"/>
          <w:color w:val="auto"/>
        </w:rPr>
      </w:pPr>
    </w:p>
    <w:p>
      <w:pPr>
        <w:ind w:right="120"/>
        <w:spacing w:after="0" w:line="258" w:lineRule="auto"/>
        <w:rPr>
          <w:sz w:val="20"/>
          <w:szCs w:val="20"/>
          <w:color w:val="auto"/>
        </w:rPr>
      </w:pPr>
      <w:r>
        <w:rPr>
          <w:rFonts w:ascii="Times New Roman" w:cs="Times New Roman" w:eastAsia="Times New Roman" w:hAnsi="Times New Roman"/>
          <w:sz w:val="18"/>
          <w:szCs w:val="18"/>
          <w:color w:val="auto"/>
        </w:rPr>
        <w:t xml:space="preserve">Inphi corporation is a leader in high-speed data movement. We move big data fast, throughout the globe, between data centers, and inside data centers. Inphi’s expertise in signal integrity results in reliable data delivery, at high speeds, over a variety of distances. As data volumes ramp exponentially due to video streaming, social media, cloud-based services, and wireless infrastructure, the need for speed has never been greater. That’s where we come in. Customers rely on Inphi’s solutions to develop and build out the Service Provider and Cloud infrastructures, and data centers of tomorrow. To learn more about Inphi, visit </w:t>
      </w:r>
      <w:r>
        <w:rPr>
          <w:rFonts w:ascii="Times New Roman" w:cs="Times New Roman" w:eastAsia="Times New Roman" w:hAnsi="Times New Roman"/>
          <w:sz w:val="18"/>
          <w:szCs w:val="18"/>
          <w:u w:val="single" w:color="auto"/>
          <w:color w:val="auto"/>
        </w:rPr>
        <w:t>www.inphi.com</w:t>
      </w:r>
      <w:r>
        <w:rPr>
          <w:rFonts w:ascii="Times New Roman" w:cs="Times New Roman" w:eastAsia="Times New Roman" w:hAnsi="Times New Roman"/>
          <w:sz w:val="18"/>
          <w:szCs w:val="18"/>
          <w:color w:val="auto"/>
        </w:rPr>
        <w:t>.</w:t>
      </w:r>
    </w:p>
    <w:p>
      <w:pPr>
        <w:sectPr>
          <w:pgSz w:w="11900" w:h="16838" w:orient="portrait"/>
          <w:cols w:equalWidth="0" w:num="1">
            <w:col w:w="11020"/>
          </w:cols>
          <w:pgMar w:left="440" w:top="266" w:right="439" w:bottom="1440" w:gutter="0" w:footer="0" w:header="0"/>
        </w:sectPr>
      </w:pPr>
    </w:p>
    <w:bookmarkStart w:id="8" w:name="page9"/>
    <w:bookmarkEnd w:id="8"/>
    <w:p>
      <w:pPr>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49465" cy="25400"/>
                    </a:xfrm>
                    <a:prstGeom prst="rect">
                      <a:avLst/>
                    </a:prstGeom>
                    <a:noFill/>
                  </pic:spPr>
                </pic:pic>
              </a:graphicData>
            </a:graphic>
          </wp:anchor>
        </w:drawing>
        <w:t>Inphi, the Inphi logo and Think fast are registered trademarks of Inphi. All other trademarks used herein are the property of their respective owners.</w:t>
      </w: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Investor Contacts:</w:t>
      </w:r>
    </w:p>
    <w:p>
      <w:pPr>
        <w:spacing w:after="0" w:line="1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Marvell Investor Relations:</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Ashish Saran</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408-222-0777</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ir@Marvell.com</w:t>
      </w:r>
    </w:p>
    <w:p>
      <w:pPr>
        <w:spacing w:after="0" w:line="20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Inphi Corporate Contact:</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Vernon P. Essi, Jr.</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408-606-6524</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investors@inphi.com</w:t>
      </w:r>
    </w:p>
    <w:p>
      <w:pPr>
        <w:spacing w:after="0" w:line="31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Additional Information and Where to Find It</w:t>
      </w:r>
    </w:p>
    <w:p>
      <w:pPr>
        <w:spacing w:after="0" w:line="121" w:lineRule="exact"/>
        <w:rPr>
          <w:sz w:val="20"/>
          <w:szCs w:val="20"/>
          <w:color w:val="auto"/>
        </w:rPr>
      </w:pPr>
    </w:p>
    <w:p>
      <w:pPr>
        <w:ind w:right="80"/>
        <w:spacing w:after="0" w:line="269" w:lineRule="auto"/>
        <w:rPr>
          <w:sz w:val="20"/>
          <w:szCs w:val="20"/>
          <w:color w:val="auto"/>
        </w:rPr>
      </w:pPr>
      <w:r>
        <w:rPr>
          <w:rFonts w:ascii="Times New Roman" w:cs="Times New Roman" w:eastAsia="Times New Roman" w:hAnsi="Times New Roman"/>
          <w:sz w:val="17"/>
          <w:szCs w:val="17"/>
          <w:color w:val="auto"/>
        </w:rPr>
        <w:t>This communication relates to a proposed transaction between Marvell and Inphi. In connection with the proposed transaction, Marvell and Inphi will cause the newly formed company which will become the holding company of Marvell and Inphi following the transaction (“HoldCo”) to file a registration statement on Form S-4 with the Securities and Exchange Commission (the “SEC”), which will include a document that serves as a joint proxy statement of Marvell and Inphi and a prospectus of HoldCo referred to as a joint proxy statement/prospectus. A joint proxy statement/prospectus will be sent to all Inphi stockholders and all Marvell shareholders. Each party also will file other documents regarding the proposed transaction with the</w:t>
      </w:r>
    </w:p>
    <w:p>
      <w:pPr>
        <w:spacing w:after="0" w:line="3"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SEC. BEFORE MAKING ANY VOTING DECISION, INVESTORS AND SECURITY HOLDERS OF INPHI AND INVESTORS AND SECURITY HOLDERS OF MARVELL ARE URGED TO READ THE REGISTRATION STATEMENT, JOINT PROXY STATEMENT/PROSPECTUS AND ALL OTHER RELEVANT DOCUMENTS FILED OR THAT WILL BE FILED WITH THE SEC IN CONNECTION WITH THE PROPOSED TRANSACTION AS THEY BECOME AVAILABLE BECAUSE THEY WILL CONTAIN IMPORTANT INFORMATION ABOUT THE PROPOSED TRANSACTION.</w:t>
      </w:r>
    </w:p>
    <w:p>
      <w:pPr>
        <w:spacing w:after="0" w:line="187" w:lineRule="exact"/>
        <w:rPr>
          <w:sz w:val="20"/>
          <w:szCs w:val="20"/>
          <w:color w:val="auto"/>
        </w:rPr>
      </w:pPr>
    </w:p>
    <w:p>
      <w:pPr>
        <w:ind w:right="540"/>
        <w:spacing w:after="0" w:line="312" w:lineRule="auto"/>
        <w:rPr>
          <w:sz w:val="20"/>
          <w:szCs w:val="20"/>
          <w:color w:val="auto"/>
        </w:rPr>
      </w:pPr>
      <w:r>
        <w:rPr>
          <w:rFonts w:ascii="Times New Roman" w:cs="Times New Roman" w:eastAsia="Times New Roman" w:hAnsi="Times New Roman"/>
          <w:sz w:val="17"/>
          <w:szCs w:val="17"/>
          <w:color w:val="auto"/>
        </w:rPr>
        <w:t>Investors, Marvell shareholders and Inphi stockholders may obtain free copies of the joint proxy statement/prospectus (when available) and other documents that are filed or will be filed with the SEC by Marvell, Inphi or HoldCo through the website maintained by the SEC at www.sec.gov.</w:t>
      </w:r>
    </w:p>
    <w:p>
      <w:pPr>
        <w:spacing w:after="0" w:line="140" w:lineRule="exact"/>
        <w:rPr>
          <w:sz w:val="20"/>
          <w:szCs w:val="20"/>
          <w:color w:val="auto"/>
        </w:rPr>
      </w:pPr>
    </w:p>
    <w:p>
      <w:pPr>
        <w:ind w:right="120"/>
        <w:spacing w:after="0" w:line="282" w:lineRule="auto"/>
        <w:rPr>
          <w:sz w:val="20"/>
          <w:szCs w:val="20"/>
          <w:color w:val="auto"/>
        </w:rPr>
      </w:pPr>
      <w:r>
        <w:rPr>
          <w:rFonts w:ascii="Times New Roman" w:cs="Times New Roman" w:eastAsia="Times New Roman" w:hAnsi="Times New Roman"/>
          <w:sz w:val="18"/>
          <w:szCs w:val="18"/>
          <w:color w:val="auto"/>
        </w:rPr>
        <w:t>The documents filed by Marvell with the SEC also may be obtained free of charge at Marvell’s website at www.marvell.com or upon written request to Marvell Technology Group Ltd. at 5488 Marvell Lane, Santa Clara, CA 95054.</w:t>
      </w:r>
    </w:p>
    <w:p>
      <w:pPr>
        <w:sectPr>
          <w:pgSz w:w="11900" w:h="16838" w:orient="portrait"/>
          <w:cols w:equalWidth="0" w:num="1">
            <w:col w:w="11000"/>
          </w:cols>
          <w:pgMar w:left="440" w:top="270" w:right="459" w:bottom="1440" w:gutter="0" w:footer="0" w:header="0"/>
        </w:sectPr>
      </w:pPr>
    </w:p>
    <w:bookmarkStart w:id="9" w:name="page10"/>
    <w:bookmarkEnd w:id="9"/>
    <w:p>
      <w:pPr>
        <w:ind w:left="4" w:right="22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540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49465" cy="25400"/>
                    </a:xfrm>
                    <a:prstGeom prst="rect">
                      <a:avLst/>
                    </a:prstGeom>
                    <a:noFill/>
                  </pic:spPr>
                </pic:pic>
              </a:graphicData>
            </a:graphic>
          </wp:anchor>
        </w:drawing>
        <w:t>The documents filed by Inphi with the SEC also may be obtained free of charge at Inphi’s website at www.inphi.com or upon written request to Inphi Corporation at 110 Rio Robles, San Jose, California, 95134.</w:t>
      </w:r>
    </w:p>
    <w:p>
      <w:pPr>
        <w:spacing w:after="0" w:line="266"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b w:val="1"/>
          <w:bCs w:val="1"/>
          <w:color w:val="auto"/>
        </w:rPr>
        <w:t>Participants in the Solicitation</w:t>
      </w:r>
    </w:p>
    <w:p>
      <w:pPr>
        <w:spacing w:after="0" w:line="121" w:lineRule="exact"/>
        <w:rPr>
          <w:sz w:val="20"/>
          <w:szCs w:val="20"/>
          <w:color w:val="auto"/>
        </w:rPr>
      </w:pPr>
    </w:p>
    <w:p>
      <w:pPr>
        <w:ind w:left="4" w:right="20"/>
        <w:spacing w:after="0" w:line="254" w:lineRule="auto"/>
        <w:rPr>
          <w:sz w:val="20"/>
          <w:szCs w:val="20"/>
          <w:color w:val="auto"/>
        </w:rPr>
      </w:pPr>
      <w:r>
        <w:rPr>
          <w:rFonts w:ascii="Times New Roman" w:cs="Times New Roman" w:eastAsia="Times New Roman" w:hAnsi="Times New Roman"/>
          <w:sz w:val="18"/>
          <w:szCs w:val="18"/>
          <w:color w:val="auto"/>
        </w:rPr>
        <w:t>Marvell and Inphi and their respective directors and executive officers may be deemed to be participants in the solicitation of proxies from Inphi’s stockholders and from Marvell’s shareholders in connection with the proposed transaction. Information about Inphi’s directors and executive officers and their ownership of Inphi’s common stock is set forth in Inphi’s proxy statement for its 2020 Annual Meeting of Stockholders on Schedule 14A filed with the SEC on April 21, 2020. Information about Marvell’s directors and executive officers is set forth in Marvell’s proxy statement for its 2020 Annual General Meeting of Shareholders on Schedule 14A filed with the SEC on May 28, 2020. To the extent that holdings of Inphi’s or Marvell’s securities have changed since the amounts printed in Inphi’s or Marvell’s proxy statement, such changes have been or will be reflected on Statements of Change in Ownership on Form 4 filed with the SEC. Additional information regarding the interests of those persons and other persons who may be deemed participants in the proposed transaction may be obtained by reading the proxy statement/prospectus regarding the proposed transaction when it becomes available. You may obtain free copies of these documents as described in the preceding paragraph.</w:t>
      </w:r>
    </w:p>
    <w:p>
      <w:pPr>
        <w:spacing w:after="0" w:line="292"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b w:val="1"/>
          <w:bCs w:val="1"/>
          <w:color w:val="auto"/>
        </w:rPr>
        <w:t>Cautionary Statement Regarding Forward Looking Statements</w:t>
      </w:r>
    </w:p>
    <w:p>
      <w:pPr>
        <w:spacing w:after="0" w:line="121" w:lineRule="exact"/>
        <w:rPr>
          <w:sz w:val="20"/>
          <w:szCs w:val="20"/>
          <w:color w:val="auto"/>
        </w:rPr>
      </w:pPr>
    </w:p>
    <w:p>
      <w:pPr>
        <w:ind w:left="4"/>
        <w:spacing w:after="0" w:line="252" w:lineRule="auto"/>
        <w:rPr>
          <w:sz w:val="20"/>
          <w:szCs w:val="20"/>
          <w:color w:val="auto"/>
        </w:rPr>
      </w:pPr>
      <w:r>
        <w:rPr>
          <w:rFonts w:ascii="Times New Roman" w:cs="Times New Roman" w:eastAsia="Times New Roman" w:hAnsi="Times New Roman"/>
          <w:sz w:val="18"/>
          <w:szCs w:val="18"/>
          <w:color w:val="auto"/>
        </w:rPr>
        <w:t>This communication contains certain forward-looking statements within the meaning of Section 27A of the Securities Act of 1933, as amended, and Section 21E of the Securities Exchange Act of 1934, as amended, with respect to the proposed transaction between Marvell, Inphi and HoldCo, including statements regarding the benefits of the transaction, the anticipated timing of the transaction and the products and markets of each company. These forward-looking statements generally are identified by the words “believe,” “project,” “expect,” “anticipate,” “estimate,” “intend,” “strategy,” “future,” “opportunity,” “plan,” “may,” “should,” “will,” “would,” “will be,” “will continue,” “will likely result” and similar expressions. Forward-looking statements are predictions, projections and other statements about future events that are based on current expectations and assumptions and, as a result, are subject to risks and uncertainties. Many factors could cause actual future events to differ materially from the forward-looking statements in this press release, including but not limited to: (i) the completion of the proposed transaction on anticipated terms and timing, including obtaining shareholder and regulatory approvals, anticipated tax treatment, unforeseen liabilities and other conditions to the completion of the transaction;</w:t>
      </w:r>
    </w:p>
    <w:p>
      <w:pPr>
        <w:spacing w:after="0" w:line="6" w:lineRule="exact"/>
        <w:rPr>
          <w:sz w:val="20"/>
          <w:szCs w:val="20"/>
          <w:color w:val="auto"/>
        </w:rPr>
      </w:pPr>
    </w:p>
    <w:p>
      <w:pPr>
        <w:ind w:left="4" w:right="20" w:hanging="4"/>
        <w:spacing w:after="0" w:line="253" w:lineRule="auto"/>
        <w:tabs>
          <w:tab w:leader="none" w:pos="269"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failure to realize the anticipated benefits of the proposed transaction, including as a result of delay in completing the transaction or HoldCo’s ability to integrate the businesses of Marvell and Inphi or due to unexpected costs, liabilities or delays; (iii) the ability of the parties to obtain or consummate financing or refinancing related to the transactions upon acceptable terms or at all; (iv) potential litigation relating to the proposed transaction that could be instituted against Marvell, HoldCo or Inphi or their respective directors; (v) the risk that disruptions from the proposed transaction will</w:t>
      </w:r>
    </w:p>
    <w:p>
      <w:pPr>
        <w:sectPr>
          <w:pgSz w:w="11900" w:h="16838" w:orient="portrait"/>
          <w:cols w:equalWidth="0" w:num="1">
            <w:col w:w="10964"/>
          </w:cols>
          <w:pgMar w:left="436" w:top="270" w:right="499" w:bottom="1440" w:gutter="0" w:footer="0" w:header="0"/>
        </w:sectPr>
      </w:pPr>
    </w:p>
    <w:bookmarkStart w:id="10" w:name="page11"/>
    <w:bookmarkEnd w:id="10"/>
    <w:p>
      <w:pPr>
        <w:ind w:left="4"/>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208280</wp:posOffset>
            </wp:positionH>
            <wp:positionV relativeFrom="page">
              <wp:posOffset>88900</wp:posOffset>
            </wp:positionV>
            <wp:extent cx="7149465" cy="260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49465" cy="26035"/>
                    </a:xfrm>
                    <a:prstGeom prst="rect">
                      <a:avLst/>
                    </a:prstGeom>
                    <a:noFill/>
                  </pic:spPr>
                </pic:pic>
              </a:graphicData>
            </a:graphic>
          </wp:anchor>
        </w:drawing>
        <w:t>harm Marvell or Inphi’s business, including current plans and operations; (vi) the ability of Marvell or Inphi to retain and hire key personnel;</w:t>
      </w:r>
    </w:p>
    <w:p>
      <w:pPr>
        <w:spacing w:after="0" w:line="27" w:lineRule="exact"/>
        <w:rPr>
          <w:sz w:val="20"/>
          <w:szCs w:val="20"/>
          <w:color w:val="auto"/>
        </w:rPr>
      </w:pPr>
    </w:p>
    <w:p>
      <w:pPr>
        <w:ind w:left="364" w:hanging="364"/>
        <w:spacing w:after="0"/>
        <w:tabs>
          <w:tab w:leader="none" w:pos="364"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potential adverse reactions or changes to business relationships resulting from the announcement or completion of the proposed transaction;</w:t>
      </w:r>
    </w:p>
    <w:p>
      <w:pPr>
        <w:spacing w:after="0" w:line="9" w:lineRule="exact"/>
        <w:rPr>
          <w:rFonts w:ascii="Times New Roman" w:cs="Times New Roman" w:eastAsia="Times New Roman" w:hAnsi="Times New Roman"/>
          <w:sz w:val="18"/>
          <w:szCs w:val="18"/>
          <w:color w:val="auto"/>
        </w:rPr>
      </w:pPr>
    </w:p>
    <w:p>
      <w:pPr>
        <w:ind w:left="4" w:right="100" w:hanging="4"/>
        <w:spacing w:after="0" w:line="265" w:lineRule="auto"/>
        <w:tabs>
          <w:tab w:leader="none" w:pos="409" w:val="left"/>
        </w:tabs>
        <w:numPr>
          <w:ilvl w:val="0"/>
          <w:numId w:val="8"/>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risks relating to the value of the HoldCo shares to be issued in the transaction; (ix) risks associated with third party contracts containing consent and/or other provisions that may be triggered by the proposed transaction; (x) the impact of public health crises, such as pandemics (including coronavirus (COVID-19)) and epidemics and any related company or government policies and actions to protect the health and safety of individuals or government policies or actions to maintain the functioning of national or global economies and markets; (xi) legislative, regulatory and economic developments affecting Marvell or Inphi’s businesses; (xii) general economic and market developments and conditions; (xiii) the evolving legal, regulatory and tax regimes under which Marvell, HoldCo and Inphi operate; (xiv) potential business uncertainty, including changes to existing business relationships, during the pendency of the proposed transaction that could affect Marvell’s and/or Inphi’s financial performance; (xv) restrictions during the pendency of the proposed transaction that may impact Marvell’s or Inphi’s ability to pursue certain business opportunities or strategic transactions;</w:t>
      </w:r>
    </w:p>
    <w:p>
      <w:pPr>
        <w:spacing w:after="0" w:line="1" w:lineRule="exact"/>
        <w:rPr>
          <w:rFonts w:ascii="Times New Roman" w:cs="Times New Roman" w:eastAsia="Times New Roman" w:hAnsi="Times New Roman"/>
          <w:sz w:val="17"/>
          <w:szCs w:val="17"/>
          <w:color w:val="auto"/>
        </w:rPr>
      </w:pPr>
    </w:p>
    <w:p>
      <w:pPr>
        <w:ind w:left="404" w:hanging="404"/>
        <w:spacing w:after="0"/>
        <w:tabs>
          <w:tab w:leader="none" w:pos="404"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unpredictability and severity of catastrophic events, including, but not limited to, acts of terrorism or outbreak of war or hostilities, as well as</w:t>
      </w:r>
    </w:p>
    <w:p>
      <w:pPr>
        <w:spacing w:after="0" w:line="9" w:lineRule="exact"/>
        <w:rPr>
          <w:rFonts w:ascii="Times New Roman" w:cs="Times New Roman" w:eastAsia="Times New Roman" w:hAnsi="Times New Roman"/>
          <w:sz w:val="18"/>
          <w:szCs w:val="18"/>
          <w:color w:val="auto"/>
        </w:rPr>
      </w:pPr>
    </w:p>
    <w:p>
      <w:pPr>
        <w:ind w:left="4"/>
        <w:spacing w:after="0" w:line="251"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Marvell’s and Inphi’s response to any of the aforementioned factors; (xvii) failure to receive the approval of the securityholders of Marvell and/or Inphi; and (xviii) the occurrence of any event, change or other circumstances that could give rise to the termination of the merger agreement. The foregoing list of factors is not exhaustive. You should carefully consider the foregoing factors and the other risks and uncertainties that affect the businesses of Marvell and Inphi described in the “Risk Factors” section of their respective Annual Reports on Form 10-K, Quarterly Reports on Form 10-Q and other documents filed by either of them from time to time with the SEC. These filings identify and address other important risks and uncertainties that could cause actual events and results to differ materially from those contained in the forward-looking statements. Forward-looking statements speak only as of the date they are made. Readers are cautioned not to put undue reliance on forward-looking statements, and Marvell and Inphi assume no obligation and do not intend to update or revise these forward-looking statements, whether as a result of new information, future events or otherwise. Neither Marvell nor Inphi gives any assurance that either Marvell or Inphi will achieve its expectations.</w:t>
      </w:r>
    </w:p>
    <w:p>
      <w:pPr>
        <w:spacing w:after="0" w:line="297"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b w:val="1"/>
          <w:bCs w:val="1"/>
          <w:color w:val="auto"/>
        </w:rPr>
        <w:t>No Offer or Solicitation</w:t>
      </w:r>
    </w:p>
    <w:p>
      <w:pPr>
        <w:spacing w:after="0" w:line="121" w:lineRule="exact"/>
        <w:rPr>
          <w:sz w:val="20"/>
          <w:szCs w:val="20"/>
          <w:color w:val="auto"/>
        </w:rPr>
      </w:pPr>
    </w:p>
    <w:p>
      <w:pPr>
        <w:ind w:left="4" w:right="60"/>
        <w:spacing w:after="0" w:line="261" w:lineRule="auto"/>
        <w:rPr>
          <w:sz w:val="20"/>
          <w:szCs w:val="20"/>
          <w:color w:val="auto"/>
        </w:rPr>
      </w:pPr>
      <w:r>
        <w:rPr>
          <w:rFonts w:ascii="Times New Roman" w:cs="Times New Roman" w:eastAsia="Times New Roman" w:hAnsi="Times New Roman"/>
          <w:sz w:val="18"/>
          <w:szCs w:val="18"/>
          <w:color w:val="auto"/>
        </w:rPr>
        <w:t>This communication is not intended to and shall not constitute an offer to sell or the solicitation of an offer to sell or the solicitation of an offer to buy any securities or a solicitation of any vote of approval, nor shall there be any sale of securities in any jurisdiction in which such offer, solicitation or sale would be unlawful prior to registration or qualification under the securities laws of any such jurisdiction. No offer of securities shall be made except by means of a prospectus meeting the requirements of Section 10 of the Securities Act of 1933, as amended.</w:t>
      </w:r>
    </w:p>
    <w:sectPr>
      <w:pgSz w:w="11900" w:h="16838" w:orient="portrait"/>
      <w:cols w:equalWidth="0" w:num="1">
        <w:col w:w="11004"/>
      </w:cols>
      <w:pgMar w:left="436" w:top="270" w:right="4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46E87CCD"/>
    <w:multiLevelType w:val="hybridMultilevel"/>
    <w:lvl w:ilvl="0">
      <w:lvlJc w:val="left"/>
      <w:lvlText w:val="☒"/>
      <w:numFmt w:val="bullet"/>
      <w:start w:val="1"/>
    </w:lvl>
  </w:abstractNum>
  <w:abstractNum w:abstractNumId="1">
    <w:nsid w:val="3D1B58BA"/>
    <w:multiLevelType w:val="hybridMultilevel"/>
    <w:lvl w:ilvl="0">
      <w:lvlJc w:val="left"/>
      <w:lvlText w:val="☐"/>
      <w:numFmt w:val="bullet"/>
      <w:start w:val="1"/>
    </w:lvl>
  </w:abstractNum>
  <w:abstractNum w:abstractNumId="2">
    <w:nsid w:val="507ED7AB"/>
    <w:multiLevelType w:val="hybridMultilevel"/>
    <w:lvl w:ilvl="0">
      <w:lvlJc w:val="left"/>
      <w:lvlText w:val="(%1)"/>
      <w:numFmt w:val="lowerRoman"/>
      <w:start w:val="10"/>
    </w:lvl>
  </w:abstractNum>
  <w:abstractNum w:abstractNumId="3">
    <w:nsid w:val="2EB141F2"/>
    <w:multiLevelType w:val="hybridMultilevel"/>
    <w:lvl w:ilvl="0">
      <w:lvlJc w:val="left"/>
      <w:lvlText w:val="(%1)"/>
      <w:numFmt w:val="lowerRoman"/>
      <w:start w:val="14"/>
    </w:lvl>
  </w:abstractNum>
  <w:abstractNum w:abstractNumId="4">
    <w:nsid w:val="41B71EFB"/>
    <w:multiLevelType w:val="hybridMultilevel"/>
    <w:lvl w:ilvl="0">
      <w:lvlJc w:val="left"/>
      <w:lvlText w:val="(%1)"/>
      <w:numFmt w:val="lowerRoman"/>
      <w:start w:val="17"/>
    </w:lvl>
  </w:abstractNum>
  <w:abstractNum w:abstractNumId="5">
    <w:nsid w:val="79E2A9E3"/>
    <w:multiLevelType w:val="hybridMultilevel"/>
    <w:lvl w:ilvl="0">
      <w:lvlJc w:val="left"/>
      <w:lvlText w:val="•"/>
      <w:numFmt w:val="bullet"/>
      <w:start w:val="1"/>
    </w:lvl>
  </w:abstractNum>
  <w:abstractNum w:abstractNumId="6">
    <w:nsid w:val="7545E146"/>
    <w:multiLevelType w:val="hybridMultilevel"/>
    <w:lvl w:ilvl="0">
      <w:lvlJc w:val="left"/>
      <w:lvlText w:val="(%1)"/>
      <w:numFmt w:val="lowerRoman"/>
      <w:start w:val="2"/>
    </w:lvl>
  </w:abstractNum>
  <w:abstractNum w:abstractNumId="7">
    <w:nsid w:val="515F007C"/>
    <w:multiLevelType w:val="hybridMultilevel"/>
    <w:lvl w:ilvl="0">
      <w:lvlJc w:val="left"/>
      <w:lvlText w:val="(%1)"/>
      <w:numFmt w:val="lowerRoman"/>
      <w:start w:val="7"/>
    </w:lvl>
  </w:abstractNum>
  <w:abstractNum w:abstractNumId="8">
    <w:nsid w:val="5BD062C2"/>
    <w:multiLevelType w:val="hybridMultilevel"/>
    <w:lvl w:ilvl="0">
      <w:lvlJc w:val="left"/>
      <w:lvlText w:val="(%1)"/>
      <w:numFmt w:val="lowerRoman"/>
      <w:start w:val="16"/>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2020-10-29T06:25:03Z</dcterms:created>
  <dcterms:modified xsi:type="dcterms:W3CDTF">2020-10-29T06:25:03Z</dcterms:modified>
</cp:coreProperties>
</file>