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229870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Pursuant to Section 13 or 15(d)</w:t>
      </w:r>
    </w:p>
    <w:p>
      <w:pPr>
        <w:jc w:val="center"/>
        <w:ind w:right="20"/>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Date of Report: October 29, 2020</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43" w:lineRule="exact"/>
        <w:rPr>
          <w:sz w:val="24"/>
          <w:szCs w:val="24"/>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ind w:left="4940"/>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ind w:left="4820"/>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ind w:left="4800"/>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ind w:left="514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210820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06"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159385</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201930</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Item 7.01</w:t>
      </w:r>
      <w:r>
        <w:rPr>
          <w:sz w:val="20"/>
          <w:szCs w:val="20"/>
          <w:color w:val="auto"/>
        </w:rPr>
        <w:tab/>
      </w:r>
      <w:r>
        <w:rPr>
          <w:rFonts w:ascii="Arial" w:cs="Arial" w:eastAsia="Arial" w:hAnsi="Arial"/>
          <w:sz w:val="16"/>
          <w:szCs w:val="16"/>
          <w:b w:val="1"/>
          <w:bCs w:val="1"/>
          <w:color w:val="auto"/>
        </w:rPr>
        <w:t>Regulation FD Disclosure.</w:t>
      </w:r>
    </w:p>
    <w:p>
      <w:pPr>
        <w:spacing w:after="0" w:line="121"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On October 29, 2020, Marvell Technology Group Ltd. (“Marvell”) issued a joint press release with Inphi Corporation (“Inphi”) announcing the execution of an Agreement and Plan of Merger and Reorganization (the “Merger Agreement”), made and entered into as of October 29, 2020, by and among Marvell, Inphi, Maui HoldCo, Inc., Maui Acquisition Company Ltd. and Indigo Acquisition Corp., pursuant to which, subject to the terms and conditions of the Merger Agreement, Marvell will acquire Inphi in a cash and stock transaction. A copy of this press release is furnished as Exhibit 99.1 to this Current Report on Form 8-K.</w:t>
      </w:r>
    </w:p>
    <w:p>
      <w:pPr>
        <w:spacing w:after="0" w:line="188"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The information in Item 7.01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7.01 of this Current Report shall not be incorporated by reference into any registration statement or other document filed pursuant to the Securities Act of 1933, as amended (the “Securities Act”), or the Exchange Act, regardless of any general incorporation language contained in such filing.</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ind w:right="80"/>
        <w:spacing w:after="0" w:line="285" w:lineRule="auto"/>
        <w:rPr>
          <w:sz w:val="20"/>
          <w:szCs w:val="20"/>
          <w:color w:val="auto"/>
        </w:rPr>
      </w:pPr>
      <w:r>
        <w:rPr>
          <w:rFonts w:ascii="Arial" w:cs="Arial" w:eastAsia="Arial" w:hAnsi="Arial"/>
          <w:sz w:val="16"/>
          <w:szCs w:val="16"/>
          <w:color w:val="auto"/>
        </w:rPr>
        <w:t>This communication relates to a proposed transaction between Marvell and Inphi. In connection with the proposed transaction, Marvell and Inphi will cause the newly formed company which will become the holding company of Marvell and Inphi following the transaction (“HoldCo”) to file a registration statement on Form S-4 with the Securities and Exchange Commission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w:t>
      </w:r>
    </w:p>
    <w:p>
      <w:pPr>
        <w:spacing w:after="0" w:line="2"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SEC. BEFORE MAKING ANY VOTING DECISION, INVESTORS AND SECURITY HOLDERS OF INPHI AND 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91" w:lineRule="exact"/>
        <w:rPr>
          <w:sz w:val="20"/>
          <w:szCs w:val="20"/>
          <w:color w:val="auto"/>
        </w:rPr>
      </w:pPr>
    </w:p>
    <w:p>
      <w:pPr>
        <w:ind w:right="480"/>
        <w:spacing w:after="0" w:line="342" w:lineRule="auto"/>
        <w:rPr>
          <w:sz w:val="20"/>
          <w:szCs w:val="20"/>
          <w:color w:val="auto"/>
        </w:rPr>
      </w:pPr>
      <w:r>
        <w:rPr>
          <w:rFonts w:ascii="Arial" w:cs="Arial" w:eastAsia="Arial" w:hAnsi="Arial"/>
          <w:sz w:val="16"/>
          <w:szCs w:val="16"/>
          <w:color w:val="auto"/>
        </w:rPr>
        <w:t xml:space="preserve">Investors, Marvell shareholders and Inphi stockholders may obtain free copies of the Joint Proxy Statement/Prospectus (when available) and other documents that are filed or will be filed with the SEC by Marvell, Inphi or HoldCo through the website maintained by the SEC at </w:t>
      </w:r>
      <w:r>
        <w:rPr>
          <w:rFonts w:ascii="Arial" w:cs="Arial" w:eastAsia="Arial" w:hAnsi="Arial"/>
          <w:sz w:val="16"/>
          <w:szCs w:val="16"/>
          <w:u w:val="single" w:color="auto"/>
          <w:color w:val="auto"/>
        </w:rPr>
        <w:t>www.sec.gov</w:t>
      </w:r>
      <w:r>
        <w:rPr>
          <w:rFonts w:ascii="Arial" w:cs="Arial" w:eastAsia="Arial" w:hAnsi="Arial"/>
          <w:sz w:val="16"/>
          <w:szCs w:val="16"/>
          <w:color w:val="auto"/>
        </w:rPr>
        <w:t>.</w:t>
      </w:r>
    </w:p>
    <w:p>
      <w:pPr>
        <w:spacing w:after="0" w:line="124"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The documents filed by Marvell with the SEC also may be obtained free of charge at Marvell’s website at www.marvell.com or upon written request to Marvell Technology Group Ltd. at 5488 Marvell Lane, Santa Clara, CA 95054.</w:t>
      </w:r>
    </w:p>
    <w:p>
      <w:pPr>
        <w:spacing w:after="0" w:line="170"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The documents filed by Inphi with the SEC also may be obtained free of charge at Inphi’s website at www.inphi.com or upon written request to Inphi Corporation at 110 Rio Robles, San Jose, California 95134.</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Participants in the Solicitation</w:t>
      </w:r>
    </w:p>
    <w:p>
      <w:pPr>
        <w:spacing w:after="0" w:line="121" w:lineRule="exact"/>
        <w:rPr>
          <w:sz w:val="20"/>
          <w:szCs w:val="20"/>
          <w:color w:val="auto"/>
        </w:rPr>
      </w:pPr>
    </w:p>
    <w:p>
      <w:pPr>
        <w:ind w:right="60"/>
        <w:spacing w:after="0" w:line="289" w:lineRule="auto"/>
        <w:rPr>
          <w:sz w:val="20"/>
          <w:szCs w:val="20"/>
          <w:color w:val="auto"/>
        </w:rPr>
      </w:pPr>
      <w:r>
        <w:rPr>
          <w:rFonts w:ascii="Arial" w:cs="Arial" w:eastAsia="Arial" w:hAnsi="Arial"/>
          <w:sz w:val="16"/>
          <w:szCs w:val="16"/>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To the extent that holdings of Inphi’s or Marvell’s securities have changed since the amounts printed in Inphi’s or Marvell’s proxy statement, such changes have been or will be reflected on Statements of Change in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ectPr>
          <w:pgSz w:w="11900" w:h="16838" w:orient="portrait"/>
          <w:cols w:equalWidth="0" w:num="1">
            <w:col w:w="11000"/>
          </w:cols>
          <w:pgMar w:left="440" w:top="270" w:right="459" w:bottom="1440" w:gutter="0" w:footer="0" w:header="0"/>
        </w:sectPr>
      </w:pPr>
    </w:p>
    <w:bookmarkStart w:id="2" w:name="page3"/>
    <w:bookmarkEnd w:id="2"/>
    <w:p>
      <w:pPr>
        <w:ind w:left="4"/>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Cautionary Statement Regarding Forward Looking Statements</w:t>
      </w:r>
    </w:p>
    <w:p>
      <w:pPr>
        <w:spacing w:after="0" w:line="121" w:lineRule="exact"/>
        <w:rPr>
          <w:sz w:val="20"/>
          <w:szCs w:val="20"/>
          <w:color w:val="auto"/>
        </w:rPr>
      </w:pPr>
    </w:p>
    <w:p>
      <w:pPr>
        <w:ind w:left="4" w:right="60"/>
        <w:spacing w:after="0" w:line="282" w:lineRule="auto"/>
        <w:rPr>
          <w:sz w:val="20"/>
          <w:szCs w:val="20"/>
          <w:color w:val="auto"/>
        </w:rPr>
      </w:pPr>
      <w:r>
        <w:rPr>
          <w:rFonts w:ascii="Arial" w:cs="Arial" w:eastAsia="Arial" w:hAnsi="Arial"/>
          <w:sz w:val="16"/>
          <w:szCs w:val="16"/>
          <w:color w:val="auto"/>
        </w:rPr>
        <w:t>This communication contains certain forward-looking statements within the meaning of Section 27A of the Securities Act and Section 21E of the Exchange Act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 (ii) failure to realize the anticipated benefits of the proposed transaction, including as a result of delay in completing the transaction or 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HoldCo shares to be issued in the transaction; (ix) risks associated with third party contracts containing consent and/or other provisions that may be triggered by the proposed transaction;</w:t>
      </w:r>
    </w:p>
    <w:p>
      <w:pPr>
        <w:spacing w:after="0" w:line="11" w:lineRule="exact"/>
        <w:rPr>
          <w:sz w:val="20"/>
          <w:szCs w:val="20"/>
          <w:color w:val="auto"/>
        </w:rPr>
      </w:pPr>
    </w:p>
    <w:p>
      <w:pPr>
        <w:ind w:left="4" w:right="220" w:hanging="4"/>
        <w:spacing w:after="0" w:line="281" w:lineRule="auto"/>
        <w:tabs>
          <w:tab w:leader="none" w:pos="259"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w:t>
      </w:r>
    </w:p>
    <w:p>
      <w:pPr>
        <w:spacing w:after="0" w:line="2" w:lineRule="exact"/>
        <w:rPr>
          <w:rFonts w:ascii="Arial" w:cs="Arial" w:eastAsia="Arial" w:hAnsi="Arial"/>
          <w:sz w:val="16"/>
          <w:szCs w:val="16"/>
          <w:color w:val="auto"/>
        </w:rPr>
      </w:pPr>
    </w:p>
    <w:p>
      <w:pPr>
        <w:jc w:val="both"/>
        <w:ind w:left="4" w:right="120" w:hanging="4"/>
        <w:spacing w:after="0" w:line="281" w:lineRule="auto"/>
        <w:tabs>
          <w:tab w:leader="none" w:pos="399" w:val="left"/>
        </w:tabs>
        <w:numPr>
          <w:ilvl w:val="0"/>
          <w:numId w:val="4"/>
        </w:numPr>
        <w:rPr>
          <w:rFonts w:ascii="Arial" w:cs="Arial" w:eastAsia="Arial" w:hAnsi="Arial"/>
          <w:sz w:val="16"/>
          <w:szCs w:val="16"/>
          <w:color w:val="auto"/>
        </w:rPr>
      </w:pPr>
      <w:r>
        <w:rPr>
          <w:rFonts w:ascii="Arial" w:cs="Arial" w:eastAsia="Arial" w:hAnsi="Arial"/>
          <w:sz w:val="16"/>
          <w:szCs w:val="16"/>
          <w:color w:val="auto"/>
        </w:rPr>
        <w:t>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w:t>
      </w:r>
    </w:p>
    <w:p>
      <w:pPr>
        <w:spacing w:after="0" w:line="2" w:lineRule="exact"/>
        <w:rPr>
          <w:rFonts w:ascii="Arial" w:cs="Arial" w:eastAsia="Arial" w:hAnsi="Arial"/>
          <w:sz w:val="16"/>
          <w:szCs w:val="16"/>
          <w:color w:val="auto"/>
        </w:rPr>
      </w:pPr>
    </w:p>
    <w:p>
      <w:pPr>
        <w:ind w:left="4" w:hanging="4"/>
        <w:spacing w:after="0" w:line="251" w:lineRule="auto"/>
        <w:tabs>
          <w:tab w:leader="none" w:pos="449" w:val="left"/>
        </w:tabs>
        <w:numPr>
          <w:ilvl w:val="0"/>
          <w:numId w:val="5"/>
        </w:numPr>
        <w:rPr>
          <w:rFonts w:ascii="Arial" w:cs="Arial" w:eastAsia="Arial" w:hAnsi="Arial"/>
          <w:sz w:val="18"/>
          <w:szCs w:val="18"/>
          <w:color w:val="auto"/>
        </w:rPr>
      </w:pPr>
      <w:r>
        <w:rPr>
          <w:rFonts w:ascii="Arial" w:cs="Arial" w:eastAsia="Arial" w:hAnsi="Arial"/>
          <w:sz w:val="18"/>
          <w:szCs w:val="18"/>
          <w:color w:val="auto"/>
        </w:rPr>
        <w:t>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301" w:lineRule="exact"/>
        <w:rPr>
          <w:sz w:val="20"/>
          <w:szCs w:val="20"/>
          <w:color w:val="auto"/>
        </w:rPr>
      </w:pPr>
    </w:p>
    <w:p>
      <w:pPr>
        <w:ind w:left="4"/>
        <w:spacing w:after="0"/>
        <w:rPr>
          <w:sz w:val="20"/>
          <w:szCs w:val="20"/>
          <w:color w:val="auto"/>
        </w:rPr>
      </w:pPr>
      <w:r>
        <w:rPr>
          <w:rFonts w:ascii="Arial" w:cs="Arial" w:eastAsia="Arial" w:hAnsi="Arial"/>
          <w:sz w:val="18"/>
          <w:szCs w:val="18"/>
          <w:b w:val="1"/>
          <w:bCs w:val="1"/>
          <w:u w:val="single" w:color="auto"/>
          <w:color w:val="auto"/>
        </w:rPr>
        <w:t>No Offer or Solicitation</w:t>
      </w:r>
    </w:p>
    <w:p>
      <w:pPr>
        <w:spacing w:after="0" w:line="121" w:lineRule="exact"/>
        <w:rPr>
          <w:sz w:val="20"/>
          <w:szCs w:val="20"/>
          <w:color w:val="auto"/>
        </w:rPr>
      </w:pPr>
    </w:p>
    <w:p>
      <w:pPr>
        <w:ind w:left="4" w:right="80"/>
        <w:spacing w:after="0" w:line="259" w:lineRule="auto"/>
        <w:rPr>
          <w:sz w:val="20"/>
          <w:szCs w:val="20"/>
          <w:color w:val="auto"/>
        </w:rPr>
      </w:pPr>
      <w:r>
        <w:rPr>
          <w:rFonts w:ascii="Arial" w:cs="Arial" w:eastAsia="Arial" w:hAnsi="Arial"/>
          <w:sz w:val="18"/>
          <w:szCs w:val="18"/>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w:t>
      </w:r>
    </w:p>
    <w:p>
      <w:pPr>
        <w:sectPr>
          <w:pgSz w:w="11900" w:h="16838" w:orient="portrait"/>
          <w:cols w:equalWidth="0" w:num="1">
            <w:col w:w="11024"/>
          </w:cols>
          <w:pgMar w:left="436" w:top="270" w:right="439" w:bottom="1440" w:gutter="0" w:footer="0" w:header="0"/>
        </w:sectPr>
      </w:pPr>
    </w:p>
    <w:bookmarkStart w:id="3" w:name="page4"/>
    <w:bookmarkEnd w:id="3"/>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Joint Press Release issued by Marvell Technology Group Ltd. and Inphi Corporation on October 29, 2020</w:t>
      </w:r>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6"/>
          <w:szCs w:val="16"/>
          <w:color w:val="auto"/>
        </w:rPr>
        <w:t>104</w:t>
      </w:r>
      <w:r>
        <w:rPr>
          <w:sz w:val="20"/>
          <w:szCs w:val="20"/>
          <w:color w:val="auto"/>
        </w:rPr>
        <w:tab/>
      </w:r>
      <w:r>
        <w:rPr>
          <w:rFonts w:ascii="Arial" w:cs="Arial" w:eastAsia="Arial" w:hAnsi="Arial"/>
          <w:sz w:val="16"/>
          <w:szCs w:val="16"/>
          <w:color w:val="auto"/>
        </w:rPr>
        <w:t>Cover Page Interactive Data File (the cover page XBRL tags are embedded within the Inline XBRL document)</w:t>
      </w:r>
    </w:p>
    <w:p>
      <w:pPr>
        <w:sectPr>
          <w:pgSz w:w="11900" w:h="16838" w:orient="portrait"/>
          <w:cols w:equalWidth="0" w:num="1">
            <w:col w:w="10019"/>
          </w:cols>
          <w:pgMar w:left="440" w:top="270" w:right="1440" w:bottom="1440" w:gutter="0" w:footer="0" w:header="0"/>
        </w:sectPr>
      </w:pPr>
    </w:p>
    <w:bookmarkStart w:id="4" w:name="page5"/>
    <w:bookmarkEnd w:id="4"/>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October 29,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3145790" cy="8890"/>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Mitchell Gaynor</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Chief Administration and Legal Officer and Secretary</w:t>
      </w:r>
    </w:p>
    <w:p>
      <w:pPr>
        <w:sectPr>
          <w:pgSz w:w="11900" w:h="16838" w:orient="portrait"/>
          <w:cols w:equalWidth="0" w:num="1">
            <w:col w:w="10660"/>
          </w:cols>
          <w:pgMar w:left="440" w:top="270" w:right="799"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to Acquire Inphi - Accelerating Growth and Leadership in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Cloud and 5G Infrastructure</w:t>
      </w:r>
    </w:p>
    <w:p>
      <w:pPr>
        <w:spacing w:after="0" w:line="116" w:lineRule="exact"/>
        <w:rPr>
          <w:sz w:val="20"/>
          <w:szCs w:val="20"/>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Creates a U.S. semiconductor powerhouse with an enterprise value of approximately $40 billion</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Positions Marvell for leadership in cloud; extends 5G opportunity</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Adds Inphi’s leading electro-optics interconnect platform in highly complementary transaction</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Expands Marvell’s addressable market to $23 billion and accelerates market growth to 12% CAGR</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Combination expected to double number of $100M+ cloud &amp; networking customers to eight</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Accretive to revenue growth, gross and operating margin; enhances long-term financial model</w:t>
      </w:r>
    </w:p>
    <w:p>
      <w:pPr>
        <w:spacing w:after="0" w:line="225"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SANTA CLARA, Calif. and San Jose, Calif., October 29, 2020 /PRNewswire/: Marvell Technology Group Ltd. (NASDAQ: MRVL), a leader in infrastructure semiconductor solutions, and Inphi Corporation (NASDAQ: IPHI), a leader in high-speed data movement, today announced a definitive agreement, unanimously approved by the boards of directors of both companies, under which Marvell will acquire Inphi in a cash and stock transaction. In conjunction with the transaction, Marvell intends to reorganize so that the combined company will be domiciled in the United States, creating a U.S. semiconductor powerhouse with an enterprise value of approximately $40 billion.</w:t>
      </w:r>
    </w:p>
    <w:p>
      <w:pPr>
        <w:spacing w:after="0" w:line="188" w:lineRule="exact"/>
        <w:rPr>
          <w:sz w:val="20"/>
          <w:szCs w:val="20"/>
          <w:color w:val="auto"/>
        </w:rPr>
      </w:pPr>
    </w:p>
    <w:p>
      <w:pPr>
        <w:ind w:right="20"/>
        <w:spacing w:after="0" w:line="293" w:lineRule="auto"/>
        <w:rPr>
          <w:sz w:val="20"/>
          <w:szCs w:val="20"/>
          <w:color w:val="auto"/>
        </w:rPr>
      </w:pPr>
      <w:r>
        <w:rPr>
          <w:rFonts w:ascii="Arial" w:cs="Arial" w:eastAsia="Arial" w:hAnsi="Arial"/>
          <w:sz w:val="16"/>
          <w:szCs w:val="16"/>
          <w:color w:val="auto"/>
        </w:rPr>
        <w:t>Inphi has built a leading high-speed data interconnect platform uniquely suited to meet the insatiable demand for increased bandwidth and low power for the cloud data centers and global networks of the future. Inphi’s high-speed electro-optics portfolio provides the connectivity fabric for cloud data centers and wired and wireless carrier networks, just as Marvell’s copper physical layer portfolio does for enterprise and future in-vehicle networks. Combining Marvell’s storage, networking, processor, and security portfolio, with Inphi’s leading electro-optics interconnect platform, will position the combined company for end-to-end technology leadership in data infrastructure. This highly complementary transaction expands Marvell’s addressable market, strengthens customer base, and accelerates Marvell’s leadership in hyperscale cloud data centers and 5G wireless infrastructure.</w:t>
      </w:r>
    </w:p>
    <w:p>
      <w:pPr>
        <w:spacing w:after="0" w:line="164"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Today’s machine learning and other data-driven workloads have expanded beyond the confines of the server and now span the entire cloud data center, making the software-defined data center the new computing paradigm. This trend drives hyper-connectivity within the data center, putting electro-optical interconnects at the heart of the cloud architecture. In addition, the need for bandwidth between data centers continues to grow at astounding rates. Combined with explosive Internet traffic growth and the rollout of new ultra-fast 5G wireless networks, the importance of Inphi’s high-speed data interconnect solutions will only accelerate. The combined company will be uniquely positioned to serve the data-driven world, addressing high growth, attractive end markets – cloud datacenter and 5G.</w:t>
      </w:r>
    </w:p>
    <w:p>
      <w:pPr>
        <w:spacing w:after="0" w:line="192" w:lineRule="exact"/>
        <w:rPr>
          <w:sz w:val="20"/>
          <w:szCs w:val="20"/>
          <w:color w:val="auto"/>
        </w:rPr>
      </w:pPr>
    </w:p>
    <w:p>
      <w:pPr>
        <w:ind w:right="140"/>
        <w:spacing w:after="0" w:line="311" w:lineRule="auto"/>
        <w:rPr>
          <w:sz w:val="20"/>
          <w:szCs w:val="20"/>
          <w:color w:val="auto"/>
        </w:rPr>
      </w:pPr>
      <w:r>
        <w:rPr>
          <w:rFonts w:ascii="Arial" w:cs="Arial" w:eastAsia="Arial" w:hAnsi="Arial"/>
          <w:sz w:val="16"/>
          <w:szCs w:val="16"/>
          <w:color w:val="auto"/>
        </w:rPr>
        <w:t>Our combined scale will provide more resources and capabilities to continue to invest and better manage the rapidly ramping process technology costs. The transaction is expected to generate annual run-rate synergies of $125 million to be realized within 18 months after the transaction closes and is expected to become accretive to Marvell’s non-GAAP earnings per share by the end of the first year after the transaction closes.</w:t>
      </w:r>
    </w:p>
    <w:p>
      <w:pPr>
        <w:sectPr>
          <w:pgSz w:w="11900" w:h="16838" w:orient="portrait"/>
          <w:cols w:equalWidth="0" w:num="1">
            <w:col w:w="11020"/>
          </w:cols>
          <w:pgMar w:left="440" w:top="270" w:right="439" w:bottom="1440" w:gutter="0" w:footer="0" w:header="0"/>
        </w:sectPr>
      </w:pPr>
    </w:p>
    <w:bookmarkStart w:id="6" w:name="page7"/>
    <w:bookmarkEnd w:id="6"/>
    <w:p>
      <w:pPr>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“Our acquisition of Inphi will fuel Marvell’s leadership in the cloud and extend our 5G position over the next decade,” said Matt Murphy, president and CEO of Marvell. “Inphi’s technologies are at the heart of cloud data center networks and they continue to extend their leadership with innovative new products, including 400G data center interconnect optical modules, which leverage their unique silicon photonics and DSP technologies. We believe that Inphi’s growing presence with cloud customers will also lead to additional opportunities for Marvell’s DPU and ASIC products.”</w:t>
      </w:r>
    </w:p>
    <w:p>
      <w:pPr>
        <w:spacing w:after="0" w:line="157"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“Marvell and Inphi share a vision to enable the world’s data infrastructure and we have both transformed our respective businesses to benefit from the strong secular growth expected in the cloud data center and 5G wireless markets” said Ford Tamer, President and CEO of Inphi. “Combining with Marvell significantly increases our scale, accelerates our access to the next generations of process technology, and opens up new opportunities in 5G connectivity.”</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Upon closing, Ford Tamer, Inphi’s President and CEO, will join Marvell’s Board of Directors.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Transaction Structure and Terms</w:t>
      </w:r>
    </w:p>
    <w:p>
      <w:pPr>
        <w:spacing w:after="0" w:line="121"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Under the terms of the definitive agreement, the transaction consideration will consist of $66 in cash and 2.323 shares of stock of the combined company for each Inphi share. Upon closing of the transaction, Marvell shareholders will own approximately 83% of the combined company and Inphi stockholders will own approximately 17% of the combined company.</w:t>
      </w:r>
    </w:p>
    <w:p>
      <w:pPr>
        <w:spacing w:after="0" w:line="184" w:lineRule="exact"/>
        <w:rPr>
          <w:sz w:val="20"/>
          <w:szCs w:val="20"/>
          <w:color w:val="auto"/>
        </w:rPr>
      </w:pPr>
    </w:p>
    <w:p>
      <w:pPr>
        <w:ind w:right="400"/>
        <w:spacing w:after="0" w:line="259" w:lineRule="auto"/>
        <w:rPr>
          <w:sz w:val="20"/>
          <w:szCs w:val="20"/>
          <w:color w:val="auto"/>
        </w:rPr>
      </w:pPr>
      <w:r>
        <w:rPr>
          <w:rFonts w:ascii="Arial" w:cs="Arial" w:eastAsia="Arial" w:hAnsi="Arial"/>
          <w:sz w:val="18"/>
          <w:szCs w:val="18"/>
          <w:color w:val="auto"/>
        </w:rPr>
        <w:t>Marvell intends to finance the transaction with cash on hand, and additional financing. Marvell has obtained debt financing commitments from JPMorgan Chase Bank, N.A. The transaction is not subject to any financing condition and is expected to close by the second half of calendar 2021, subject to the approval of Marvell shareholders and Inphi stockholders and the satisfaction of customary closing conditions, including applicable regulatory approvals.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Advisors</w:t>
      </w:r>
    </w:p>
    <w:p>
      <w:pPr>
        <w:spacing w:after="0" w:line="121" w:lineRule="exact"/>
        <w:rPr>
          <w:sz w:val="20"/>
          <w:szCs w:val="20"/>
          <w:color w:val="auto"/>
        </w:rPr>
      </w:pPr>
    </w:p>
    <w:p>
      <w:pPr>
        <w:ind w:right="120"/>
        <w:spacing w:after="0" w:line="263" w:lineRule="auto"/>
        <w:rPr>
          <w:sz w:val="20"/>
          <w:szCs w:val="20"/>
          <w:color w:val="auto"/>
        </w:rPr>
      </w:pPr>
      <w:r>
        <w:rPr>
          <w:rFonts w:ascii="Arial" w:cs="Arial" w:eastAsia="Arial" w:hAnsi="Arial"/>
          <w:sz w:val="18"/>
          <w:szCs w:val="18"/>
          <w:color w:val="auto"/>
        </w:rPr>
        <w:t>J.P. Morgan Securities LLC served as exclusive financial advisor to Marvell and also provided committed financing for the transaction and Hogan Lovells US LLP served as legal advisor. Qatalyst Partners LP served as exclusive financial advisor to Inphi and Pillsbury Winthrop Shaw Pittman LLP served as legal advisor.</w:t>
      </w:r>
    </w:p>
    <w:p>
      <w:pPr>
        <w:sectPr>
          <w:pgSz w:w="11900" w:h="16838" w:orient="portrait"/>
          <w:cols w:equalWidth="0" w:num="1">
            <w:col w:w="10980"/>
          </w:cols>
          <w:pgMar w:left="440" w:top="274" w:right="47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Marvell Preliminary Third Fiscal Quarter 2021 Results</w:t>
      </w:r>
    </w:p>
    <w:p>
      <w:pPr>
        <w:spacing w:after="0" w:line="121" w:lineRule="exact"/>
        <w:rPr>
          <w:sz w:val="20"/>
          <w:szCs w:val="20"/>
          <w:color w:val="auto"/>
        </w:rPr>
      </w:pPr>
    </w:p>
    <w:p>
      <w:pPr>
        <w:ind w:right="40"/>
        <w:spacing w:after="0" w:line="254" w:lineRule="auto"/>
        <w:rPr>
          <w:sz w:val="20"/>
          <w:szCs w:val="20"/>
          <w:color w:val="auto"/>
        </w:rPr>
      </w:pPr>
      <w:r>
        <w:rPr>
          <w:rFonts w:ascii="Arial" w:cs="Arial" w:eastAsia="Arial" w:hAnsi="Arial"/>
          <w:sz w:val="18"/>
          <w:szCs w:val="18"/>
          <w:color w:val="auto"/>
        </w:rPr>
        <w:t>Based on preliminary financial information, Marvell expects its third quarter revenue to be in the range of $750 million +/- 2%. Further information regarding third fiscal quarter results will be released on December 3, 2020 at 1:45 p.m. Pacific Time. The preliminary revenue results are unaudited, based on information available to management as of the date of this release, and may be subject to further changes upon completion of Marvell’s standard quarter closing procedures. Actual results may differ materially from these preliminary results because of the completion of quarter-end closing procedures, final adjustments and other developments arising between now and the time that Marvell financial results are finalized. This update does not present all necessary information for an understanding of Marvell’s financial condition as of October 31, 2020, or its results of operations for the quarter ended October 31, 2020.</w:t>
      </w:r>
    </w:p>
    <w:p>
      <w:pPr>
        <w:spacing w:after="0" w:line="2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Call/Webcast to Discuss Transaction</w:t>
      </w:r>
    </w:p>
    <w:p>
      <w:pPr>
        <w:spacing w:after="0" w:line="121" w:lineRule="exact"/>
        <w:rPr>
          <w:sz w:val="20"/>
          <w:szCs w:val="20"/>
          <w:color w:val="auto"/>
        </w:rPr>
      </w:pPr>
    </w:p>
    <w:p>
      <w:pPr>
        <w:spacing w:after="0" w:line="286" w:lineRule="auto"/>
        <w:rPr>
          <w:sz w:val="20"/>
          <w:szCs w:val="20"/>
          <w:color w:val="auto"/>
        </w:rPr>
      </w:pPr>
      <w:r>
        <w:rPr>
          <w:rFonts w:ascii="Arial" w:cs="Arial" w:eastAsia="Arial" w:hAnsi="Arial"/>
          <w:sz w:val="17"/>
          <w:szCs w:val="17"/>
          <w:color w:val="auto"/>
        </w:rPr>
        <w:t>Interested parties may join a conference call Thursday, October 29, 2020 at 5:30 a.m. Pacific Time to discuss the transaction by dialing 1 (844) 647-5488 in the U.S. or +1 (615) 247-0258 internationally, with the conference ID 6784634. A webcast of the call can be accessed by visiting Marvell’s investor relations website. A replay will be available until November 5, 2020 by dialing 1 (855) 859-2056, replay ID 6784634.</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https://www.marvell.com</w:t>
      </w:r>
      <w:r>
        <w:rPr>
          <w:rFonts w:ascii="Arial" w:cs="Arial" w:eastAsia="Arial" w:hAnsi="Arial"/>
          <w:sz w:val="18"/>
          <w:szCs w:val="18"/>
          <w:color w:val="auto"/>
        </w:rPr>
        <w:t>.</w:t>
      </w:r>
    </w:p>
    <w:p>
      <w:pPr>
        <w:spacing w:after="0" w:line="187"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US and/or elsewhere. Other names and brands may be claimed as the property of others.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Inphi</w:t>
      </w:r>
    </w:p>
    <w:p>
      <w:pPr>
        <w:spacing w:after="0" w:line="121" w:lineRule="exact"/>
        <w:rPr>
          <w:sz w:val="20"/>
          <w:szCs w:val="20"/>
          <w:color w:val="auto"/>
        </w:rPr>
      </w:pPr>
    </w:p>
    <w:p>
      <w:pPr>
        <w:ind w:right="120"/>
        <w:spacing w:after="0" w:line="257" w:lineRule="auto"/>
        <w:rPr>
          <w:sz w:val="20"/>
          <w:szCs w:val="20"/>
          <w:color w:val="auto"/>
        </w:rPr>
      </w:pPr>
      <w:r>
        <w:rPr>
          <w:rFonts w:ascii="Arial" w:cs="Arial" w:eastAsia="Arial" w:hAnsi="Arial"/>
          <w:sz w:val="18"/>
          <w:szCs w:val="18"/>
          <w:color w:val="auto"/>
        </w:rPr>
        <w:t xml:space="preserve">Inphi corporation is a leader in high-speed data movement. We move big data fast, throughout the globe, between data centers, and inside data centers. Inphi’s expertise in signal integrity results in reliable data delivery, at high speeds, over a variety of distances. As data volumes ramp exponentially due to video streaming, social media, cloud-based services, and wireless infrastructure, the need for speed has never been greater. That’s where we come in. Customers rely on Inphi’s solutions to develop and build out the Service Provider and Cloud infrastructures, and data centers of tomorrow. To learn more about Inphi, visit </w:t>
      </w:r>
      <w:r>
        <w:rPr>
          <w:rFonts w:ascii="Arial" w:cs="Arial" w:eastAsia="Arial" w:hAnsi="Arial"/>
          <w:sz w:val="18"/>
          <w:szCs w:val="18"/>
          <w:u w:val="single" w:color="auto"/>
          <w:color w:val="auto"/>
        </w:rPr>
        <w:t>www.inphi.com</w:t>
      </w:r>
      <w:r>
        <w:rPr>
          <w:rFonts w:ascii="Arial" w:cs="Arial" w:eastAsia="Arial" w:hAnsi="Arial"/>
          <w:sz w:val="18"/>
          <w:szCs w:val="18"/>
          <w:color w:val="auto"/>
        </w:rPr>
        <w:t>.</w:t>
      </w:r>
    </w:p>
    <w:p>
      <w:pPr>
        <w:sectPr>
          <w:pgSz w:w="11900" w:h="16838" w:orient="portrait"/>
          <w:cols w:equalWidth="0" w:num="1">
            <w:col w:w="11020"/>
          </w:cols>
          <w:pgMar w:left="440" w:top="270" w:right="439" w:bottom="1440" w:gutter="0" w:footer="0" w:header="0"/>
        </w:sectPr>
      </w:pPr>
    </w:p>
    <w:bookmarkStart w:id="8" w:name="page9"/>
    <w:bookmarkEnd w:id="8"/>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Inphi, the Inphi logo and Think fast are registered trademarks of Inphi. All other trademarks used herein are the property of their respective owners.</w:t>
      </w:r>
    </w:p>
    <w:p>
      <w:pPr>
        <w:spacing w:after="0" w:line="3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Inphi Corporate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Vernon P. Essi, Jr.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408-606-6524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investors@inphi.com</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80"/>
        <w:spacing w:after="0" w:line="285" w:lineRule="auto"/>
        <w:rPr>
          <w:sz w:val="20"/>
          <w:szCs w:val="20"/>
          <w:color w:val="auto"/>
        </w:rPr>
      </w:pPr>
      <w:r>
        <w:rPr>
          <w:rFonts w:ascii="Arial" w:cs="Arial" w:eastAsia="Arial" w:hAnsi="Arial"/>
          <w:sz w:val="16"/>
          <w:szCs w:val="16"/>
          <w:color w:val="auto"/>
        </w:rPr>
        <w:t>This communication relates to a proposed transaction between Marvell and Inphi. In connection with the proposed transaction, Marvell and Inphi will cause the newly formed company which will become the holding company of Marvell and Inphi following the transaction (“HoldCo”) to file a registration statement on Form S-4 with the Securities and Exchange Commission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w:t>
      </w:r>
    </w:p>
    <w:p>
      <w:pPr>
        <w:spacing w:after="0" w:line="2"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SEC. BEFORE MAKING ANY VOTING DECISION, INVESTORS AND SECURITY HOLDERS OF INPHI AND 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91" w:lineRule="exact"/>
        <w:rPr>
          <w:sz w:val="20"/>
          <w:szCs w:val="20"/>
          <w:color w:val="auto"/>
        </w:rPr>
      </w:pPr>
    </w:p>
    <w:p>
      <w:pPr>
        <w:ind w:right="540"/>
        <w:spacing w:after="0" w:line="342" w:lineRule="auto"/>
        <w:rPr>
          <w:sz w:val="20"/>
          <w:szCs w:val="20"/>
          <w:color w:val="auto"/>
        </w:rPr>
      </w:pPr>
      <w:r>
        <w:rPr>
          <w:rFonts w:ascii="Arial" w:cs="Arial" w:eastAsia="Arial" w:hAnsi="Arial"/>
          <w:sz w:val="16"/>
          <w:szCs w:val="16"/>
          <w:color w:val="auto"/>
        </w:rPr>
        <w:t>Investors, Marvell shareholders and Inphi stockholders may obtain free copies of the joint proxy statement/prospectus (when available) and other documents that are filed or will be filed with the SEC by Marvell, Inphi or HoldCo through the website maintained by the SEC at www.sec.gov.</w:t>
      </w:r>
    </w:p>
    <w:p>
      <w:pPr>
        <w:spacing w:after="0" w:line="124"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The documents filed by Marvell with the SEC also may be obtained free of charge at Marvell’s website at www.marvell.com or upon written request to Marvell Technology Group Ltd. at 5488 Marvell Lane, Santa Clara, CA 95054.</w:t>
      </w:r>
    </w:p>
    <w:p>
      <w:pPr>
        <w:sectPr>
          <w:pgSz w:w="11900" w:h="16838" w:orient="portrait"/>
          <w:cols w:equalWidth="0" w:num="1">
            <w:col w:w="11000"/>
          </w:cols>
          <w:pgMar w:left="440" w:top="274" w:right="459" w:bottom="1440" w:gutter="0" w:footer="0" w:header="0"/>
        </w:sectPr>
      </w:pPr>
    </w:p>
    <w:bookmarkStart w:id="9" w:name="page10"/>
    <w:bookmarkEnd w:id="9"/>
    <w:p>
      <w:pPr>
        <w:ind w:left="4" w:right="2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documents filed by Inphi with the SEC also may be obtained free of charge at Inphi’s website at www.inphi.com or upon written request to Inphi Corporation at 110 Rio Robles, San Jose, California, 95134.</w:t>
      </w:r>
    </w:p>
    <w:p>
      <w:pPr>
        <w:spacing w:after="0" w:line="274"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Participants in the Solicitation</w:t>
      </w:r>
    </w:p>
    <w:p>
      <w:pPr>
        <w:spacing w:after="0" w:line="121" w:lineRule="exact"/>
        <w:rPr>
          <w:sz w:val="20"/>
          <w:szCs w:val="20"/>
          <w:color w:val="auto"/>
        </w:rPr>
      </w:pPr>
    </w:p>
    <w:p>
      <w:pPr>
        <w:ind w:left="4" w:right="20"/>
        <w:spacing w:after="0" w:line="289" w:lineRule="auto"/>
        <w:rPr>
          <w:sz w:val="20"/>
          <w:szCs w:val="20"/>
          <w:color w:val="auto"/>
        </w:rPr>
      </w:pPr>
      <w:r>
        <w:rPr>
          <w:rFonts w:ascii="Arial" w:cs="Arial" w:eastAsia="Arial" w:hAnsi="Arial"/>
          <w:sz w:val="16"/>
          <w:szCs w:val="16"/>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To the extent that holdings of Inphi’s or Marvell’s securities have changed since the amounts printed in Inphi’s or Marvell’s proxy statement, such changes have been or will be reflected on Statements of Change in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70"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121" w:lineRule="exact"/>
        <w:rPr>
          <w:sz w:val="20"/>
          <w:szCs w:val="20"/>
          <w:color w:val="auto"/>
        </w:rPr>
      </w:pPr>
    </w:p>
    <w:p>
      <w:pPr>
        <w:ind w:left="4"/>
        <w:spacing w:after="0" w:line="283" w:lineRule="auto"/>
        <w:rPr>
          <w:sz w:val="20"/>
          <w:szCs w:val="20"/>
          <w:color w:val="auto"/>
        </w:rPr>
      </w:pPr>
      <w:r>
        <w:rPr>
          <w:rFonts w:ascii="Arial" w:cs="Arial" w:eastAsia="Arial" w:hAnsi="Arial"/>
          <w:sz w:val="16"/>
          <w:szCs w:val="16"/>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w:t>
      </w:r>
    </w:p>
    <w:p>
      <w:pPr>
        <w:spacing w:after="0" w:line="6" w:lineRule="exact"/>
        <w:rPr>
          <w:sz w:val="20"/>
          <w:szCs w:val="20"/>
          <w:color w:val="auto"/>
        </w:rPr>
      </w:pPr>
    </w:p>
    <w:p>
      <w:pPr>
        <w:ind w:left="4" w:right="20" w:hanging="4"/>
        <w:spacing w:after="0" w:line="295" w:lineRule="auto"/>
        <w:tabs>
          <w:tab w:leader="none" w:pos="269" w:val="left"/>
        </w:tabs>
        <w:numPr>
          <w:ilvl w:val="0"/>
          <w:numId w:val="7"/>
        </w:numPr>
        <w:rPr>
          <w:rFonts w:ascii="Arial" w:cs="Arial" w:eastAsia="Arial" w:hAnsi="Arial"/>
          <w:sz w:val="16"/>
          <w:szCs w:val="16"/>
          <w:color w:val="auto"/>
        </w:rPr>
      </w:pPr>
      <w:r>
        <w:rPr>
          <w:rFonts w:ascii="Arial" w:cs="Arial" w:eastAsia="Arial" w:hAnsi="Arial"/>
          <w:sz w:val="16"/>
          <w:szCs w:val="16"/>
          <w:color w:val="auto"/>
        </w:rPr>
        <w:t>failure to realize the anticipated benefits of the proposed transaction, including as a result of delay in completing the transaction or 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w:t>
      </w:r>
    </w:p>
    <w:p>
      <w:pPr>
        <w:sectPr>
          <w:pgSz w:w="11900" w:h="16838" w:orient="portrait"/>
          <w:cols w:equalWidth="0" w:num="1">
            <w:col w:w="10964"/>
          </w:cols>
          <w:pgMar w:left="436" w:top="274" w:right="499" w:bottom="1440" w:gutter="0" w:footer="0" w:header="0"/>
        </w:sectPr>
      </w:pPr>
    </w:p>
    <w:bookmarkStart w:id="10" w:name="page11"/>
    <w:bookmarkEnd w:id="10"/>
    <w:p>
      <w:pPr>
        <w:ind w:left="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harm Marvell or Inphi’s business, including current plans and operations; (vi) the ability of Marvell or Inphi to retain and hire key personnel;</w:t>
      </w:r>
    </w:p>
    <w:p>
      <w:pPr>
        <w:spacing w:after="0" w:line="23" w:lineRule="exact"/>
        <w:rPr>
          <w:sz w:val="20"/>
          <w:szCs w:val="20"/>
          <w:color w:val="auto"/>
        </w:rPr>
      </w:pPr>
    </w:p>
    <w:p>
      <w:pPr>
        <w:ind w:left="364" w:hanging="364"/>
        <w:spacing w:after="0"/>
        <w:tabs>
          <w:tab w:leader="none" w:pos="364" w:val="left"/>
        </w:tabs>
        <w:numPr>
          <w:ilvl w:val="0"/>
          <w:numId w:val="8"/>
        </w:numPr>
        <w:rPr>
          <w:rFonts w:ascii="Arial" w:cs="Arial" w:eastAsia="Arial" w:hAnsi="Arial"/>
          <w:sz w:val="17"/>
          <w:szCs w:val="17"/>
          <w:color w:val="auto"/>
        </w:rPr>
      </w:pPr>
      <w:r>
        <w:rPr>
          <w:rFonts w:ascii="Arial" w:cs="Arial" w:eastAsia="Arial" w:hAnsi="Arial"/>
          <w:sz w:val="17"/>
          <w:szCs w:val="17"/>
          <w:color w:val="auto"/>
        </w:rPr>
        <w:t>potential adverse reactions or changes to business relationships resulting from the announcement or completion of the proposed transaction;</w:t>
      </w:r>
    </w:p>
    <w:p>
      <w:pPr>
        <w:spacing w:after="0" w:line="20" w:lineRule="exact"/>
        <w:rPr>
          <w:rFonts w:ascii="Arial" w:cs="Arial" w:eastAsia="Arial" w:hAnsi="Arial"/>
          <w:sz w:val="17"/>
          <w:szCs w:val="17"/>
          <w:color w:val="auto"/>
        </w:rPr>
      </w:pPr>
    </w:p>
    <w:p>
      <w:pPr>
        <w:ind w:left="4" w:right="100" w:hanging="4"/>
        <w:spacing w:after="0" w:line="281" w:lineRule="auto"/>
        <w:tabs>
          <w:tab w:leader="none" w:pos="409" w:val="left"/>
        </w:tabs>
        <w:numPr>
          <w:ilvl w:val="0"/>
          <w:numId w:val="8"/>
        </w:numPr>
        <w:rPr>
          <w:rFonts w:ascii="Arial" w:cs="Arial" w:eastAsia="Arial" w:hAnsi="Arial"/>
          <w:sz w:val="16"/>
          <w:szCs w:val="16"/>
          <w:color w:val="auto"/>
        </w:rPr>
      </w:pPr>
      <w:r>
        <w:rPr>
          <w:rFonts w:ascii="Arial" w:cs="Arial" w:eastAsia="Arial" w:hAnsi="Arial"/>
          <w:sz w:val="16"/>
          <w:szCs w:val="16"/>
          <w:color w:val="auto"/>
        </w:rPr>
        <w:t>risks relating to the value of the HoldCo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w:t>
      </w:r>
    </w:p>
    <w:p>
      <w:pPr>
        <w:spacing w:after="0" w:line="4" w:lineRule="exact"/>
        <w:rPr>
          <w:rFonts w:ascii="Arial" w:cs="Arial" w:eastAsia="Arial" w:hAnsi="Arial"/>
          <w:sz w:val="16"/>
          <w:szCs w:val="16"/>
          <w:color w:val="auto"/>
        </w:rPr>
      </w:pPr>
    </w:p>
    <w:p>
      <w:pPr>
        <w:ind w:left="404" w:hanging="404"/>
        <w:spacing w:after="0"/>
        <w:tabs>
          <w:tab w:leader="none" w:pos="404" w:val="left"/>
        </w:tabs>
        <w:numPr>
          <w:ilvl w:val="0"/>
          <w:numId w:val="9"/>
        </w:numPr>
        <w:rPr>
          <w:rFonts w:ascii="Arial" w:cs="Arial" w:eastAsia="Arial" w:hAnsi="Arial"/>
          <w:sz w:val="17"/>
          <w:szCs w:val="17"/>
          <w:color w:val="auto"/>
        </w:rPr>
      </w:pPr>
      <w:r>
        <w:rPr>
          <w:rFonts w:ascii="Arial" w:cs="Arial" w:eastAsia="Arial" w:hAnsi="Arial"/>
          <w:sz w:val="17"/>
          <w:szCs w:val="17"/>
          <w:color w:val="auto"/>
        </w:rPr>
        <w:t>unpredictability and severity of catastrophic events, including, but not limited to, acts of terrorism or outbreak of war or hostilities, as well as</w:t>
      </w:r>
    </w:p>
    <w:p>
      <w:pPr>
        <w:spacing w:after="0" w:line="20" w:lineRule="exact"/>
        <w:rPr>
          <w:rFonts w:ascii="Arial" w:cs="Arial" w:eastAsia="Arial" w:hAnsi="Arial"/>
          <w:sz w:val="17"/>
          <w:szCs w:val="17"/>
          <w:color w:val="auto"/>
        </w:rPr>
      </w:pPr>
    </w:p>
    <w:p>
      <w:pPr>
        <w:ind w:left="4"/>
        <w:spacing w:after="0" w:line="268" w:lineRule="auto"/>
        <w:rPr>
          <w:rFonts w:ascii="Arial" w:cs="Arial" w:eastAsia="Arial" w:hAnsi="Arial"/>
          <w:sz w:val="17"/>
          <w:szCs w:val="17"/>
          <w:color w:val="auto"/>
        </w:rPr>
      </w:pPr>
      <w:r>
        <w:rPr>
          <w:rFonts w:ascii="Arial" w:cs="Arial" w:eastAsia="Arial" w:hAnsi="Arial"/>
          <w:sz w:val="17"/>
          <w:szCs w:val="17"/>
          <w:color w:val="auto"/>
        </w:rPr>
        <w:t>Marvell’s and Inphi’s response to any of the aforementioned factors; (xvii) 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285"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No Offer or Solicitation</w:t>
      </w:r>
    </w:p>
    <w:p>
      <w:pPr>
        <w:spacing w:after="0" w:line="121" w:lineRule="exact"/>
        <w:rPr>
          <w:sz w:val="20"/>
          <w:szCs w:val="20"/>
          <w:color w:val="auto"/>
        </w:rPr>
      </w:pPr>
    </w:p>
    <w:p>
      <w:pPr>
        <w:ind w:left="4" w:right="60"/>
        <w:spacing w:after="0" w:line="279" w:lineRule="auto"/>
        <w:rPr>
          <w:sz w:val="20"/>
          <w:szCs w:val="20"/>
          <w:color w:val="auto"/>
        </w:rPr>
      </w:pPr>
      <w:r>
        <w:rPr>
          <w:rFonts w:ascii="Arial" w:cs="Arial" w:eastAsia="Arial" w:hAnsi="Arial"/>
          <w:sz w:val="17"/>
          <w:szCs w:val="17"/>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sectPr>
      <w:pgSz w:w="11900" w:h="16838" w:orient="portrait"/>
      <w:cols w:equalWidth="0" w:num="1">
        <w:col w:w="11004"/>
      </w:cols>
      <w:pgMar w:left="436" w:top="274"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6E87CCD"/>
    <w:multiLevelType w:val="hybridMultilevel"/>
    <w:lvl w:ilvl="0">
      <w:lvlJc w:val="left"/>
      <w:lvlText w:val="☒"/>
      <w:numFmt w:val="bullet"/>
      <w:start w:val="1"/>
    </w:lvl>
  </w:abstractNum>
  <w:abstractNum w:abstractNumId="1">
    <w:nsid w:val="3D1B58BA"/>
    <w:multiLevelType w:val="hybridMultilevel"/>
    <w:lvl w:ilvl="0">
      <w:lvlJc w:val="left"/>
      <w:lvlText w:val="☐"/>
      <w:numFmt w:val="bullet"/>
      <w:start w:val="1"/>
    </w:lvl>
  </w:abstractNum>
  <w:abstractNum w:abstractNumId="2">
    <w:nsid w:val="507ED7AB"/>
    <w:multiLevelType w:val="hybridMultilevel"/>
    <w:lvl w:ilvl="0">
      <w:lvlJc w:val="left"/>
      <w:lvlText w:val="(%1)"/>
      <w:numFmt w:val="lowerRoman"/>
      <w:start w:val="10"/>
    </w:lvl>
  </w:abstractNum>
  <w:abstractNum w:abstractNumId="3">
    <w:nsid w:val="2EB141F2"/>
    <w:multiLevelType w:val="hybridMultilevel"/>
    <w:lvl w:ilvl="0">
      <w:lvlJc w:val="left"/>
      <w:lvlText w:val="(%1)"/>
      <w:numFmt w:val="lowerRoman"/>
      <w:start w:val="14"/>
    </w:lvl>
  </w:abstractNum>
  <w:abstractNum w:abstractNumId="4">
    <w:nsid w:val="41B71EFB"/>
    <w:multiLevelType w:val="hybridMultilevel"/>
    <w:lvl w:ilvl="0">
      <w:lvlJc w:val="left"/>
      <w:lvlText w:val="(%1)"/>
      <w:numFmt w:val="lowerRoman"/>
      <w:start w:val="17"/>
    </w:lvl>
  </w:abstractNum>
  <w:abstractNum w:abstractNumId="5">
    <w:nsid w:val="79E2A9E3"/>
    <w:multiLevelType w:val="hybridMultilevel"/>
    <w:lvl w:ilvl="0">
      <w:lvlJc w:val="left"/>
      <w:lvlText w:val="•"/>
      <w:numFmt w:val="bullet"/>
      <w:start w:val="1"/>
    </w:lvl>
  </w:abstractNum>
  <w:abstractNum w:abstractNumId="6">
    <w:nsid w:val="7545E146"/>
    <w:multiLevelType w:val="hybridMultilevel"/>
    <w:lvl w:ilvl="0">
      <w:lvlJc w:val="left"/>
      <w:lvlText w:val="(%1)"/>
      <w:numFmt w:val="lowerRoman"/>
      <w:start w:val="2"/>
    </w:lvl>
  </w:abstractNum>
  <w:abstractNum w:abstractNumId="7">
    <w:nsid w:val="515F007C"/>
    <w:multiLevelType w:val="hybridMultilevel"/>
    <w:lvl w:ilvl="0">
      <w:lvlJc w:val="left"/>
      <w:lvlText w:val="(%1)"/>
      <w:numFmt w:val="lowerRoman"/>
      <w:start w:val="7"/>
    </w:lvl>
  </w:abstractNum>
  <w:abstractNum w:abstractNumId="8">
    <w:nsid w:val="5BD062C2"/>
    <w:multiLevelType w:val="hybridMultilevel"/>
    <w:lvl w:ilvl="0">
      <w:lvlJc w:val="left"/>
      <w:lvlText w:val="(%1)"/>
      <w:numFmt w:val="lowerRoman"/>
      <w:start w:val="16"/>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2020-10-29T06:26:09Z</dcterms:created>
  <dcterms:modified xsi:type="dcterms:W3CDTF">2020-10-29T06:26:09Z</dcterms:modified>
</cp:coreProperties>
</file>