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208280</wp:posOffset>
            </wp:positionH>
            <wp:positionV relativeFrom="page">
              <wp:posOffset>328930</wp:posOffset>
            </wp:positionV>
            <wp:extent cx="7132320" cy="254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2320" cy="25400"/>
                    </a:xfrm>
                    <a:prstGeom prst="rect">
                      <a:avLst/>
                    </a:prstGeom>
                    <a:noFill/>
                  </pic:spPr>
                </pic:pic>
              </a:graphicData>
            </a:graphic>
          </wp:anchor>
        </w:drawing>
        <w:drawing>
          <wp:anchor simplePos="0" relativeHeight="251657728" behindDoc="1" locked="0" layoutInCell="0" allowOverlap="1">
            <wp:simplePos x="0" y="0"/>
            <wp:positionH relativeFrom="page">
              <wp:posOffset>208280</wp:posOffset>
            </wp:positionH>
            <wp:positionV relativeFrom="page">
              <wp:posOffset>389255</wp:posOffset>
            </wp:positionV>
            <wp:extent cx="713232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8255"/>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19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2679700</wp:posOffset>
            </wp:positionH>
            <wp:positionV relativeFrom="paragraph">
              <wp:posOffset>188595</wp:posOffset>
            </wp:positionV>
            <wp:extent cx="178308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783080" cy="8255"/>
                    </a:xfrm>
                    <a:prstGeom prst="rect">
                      <a:avLst/>
                    </a:prstGeom>
                    <a:noFill/>
                  </pic:spPr>
                </pic:pic>
              </a:graphicData>
            </a:graphic>
          </wp:anchor>
        </w:drawing>
      </w:r>
    </w:p>
    <w:p>
      <w:pPr>
        <w:spacing w:after="0" w:line="200" w:lineRule="exact"/>
        <w:rPr>
          <w:sz w:val="24"/>
          <w:szCs w:val="24"/>
          <w:color w:val="auto"/>
        </w:rPr>
      </w:pPr>
    </w:p>
    <w:p>
      <w:pPr>
        <w:spacing w:after="0" w:line="320"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jc w:val="center"/>
        <w:ind w:right="-1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5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October 29, 2020</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INPHI CORPORATION</w:t>
      </w:r>
    </w:p>
    <w:p>
      <w:pPr>
        <w:spacing w:after="0" w:line="3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pacing w:after="0" w:line="205"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001-34942</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(Commission File Number)</w:t>
      </w:r>
    </w:p>
    <w:p>
      <w:pPr>
        <w:sectPr>
          <w:pgSz w:w="11900" w:h="16838" w:orient="portrait"/>
          <w:cols w:equalWidth="0" w:num="1">
            <w:col w:w="11240"/>
          </w:cols>
          <w:pgMar w:left="320" w:top="854" w:right="339" w:bottom="1440" w:gutter="0" w:footer="0" w:header="0"/>
        </w:sectPr>
      </w:pPr>
    </w:p>
    <w:p>
      <w:pPr>
        <w:spacing w:after="0" w:line="9" w:lineRule="exact"/>
        <w:rPr>
          <w:sz w:val="24"/>
          <w:szCs w:val="24"/>
          <w:color w:val="auto"/>
        </w:rPr>
      </w:pPr>
    </w:p>
    <w:p>
      <w:pPr>
        <w:jc w:val="center"/>
        <w:ind w:right="960"/>
        <w:spacing w:after="0"/>
        <w:rPr>
          <w:sz w:val="20"/>
          <w:szCs w:val="20"/>
          <w:color w:val="auto"/>
        </w:rPr>
      </w:pPr>
      <w:r>
        <w:rPr>
          <w:rFonts w:ascii="Arial" w:cs="Arial" w:eastAsia="Arial" w:hAnsi="Arial"/>
          <w:sz w:val="18"/>
          <w:szCs w:val="18"/>
          <w:b w:val="1"/>
          <w:bCs w:val="1"/>
          <w:color w:val="auto"/>
        </w:rPr>
        <w:t>Delaware</w:t>
      </w:r>
    </w:p>
    <w:p>
      <w:pPr>
        <w:spacing w:after="0" w:line="9" w:lineRule="exact"/>
        <w:rPr>
          <w:sz w:val="24"/>
          <w:szCs w:val="24"/>
          <w:color w:val="auto"/>
        </w:rPr>
      </w:pPr>
    </w:p>
    <w:p>
      <w:pPr>
        <w:jc w:val="center"/>
        <w:ind w:right="96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jc w:val="center"/>
        <w:ind w:right="96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jc w:val="center"/>
        <w:ind w:right="1460"/>
        <w:spacing w:after="0"/>
        <w:rPr>
          <w:sz w:val="20"/>
          <w:szCs w:val="20"/>
          <w:color w:val="auto"/>
        </w:rPr>
      </w:pPr>
      <w:r>
        <w:rPr>
          <w:rFonts w:ascii="Arial" w:cs="Arial" w:eastAsia="Arial" w:hAnsi="Arial"/>
          <w:sz w:val="18"/>
          <w:szCs w:val="18"/>
          <w:b w:val="1"/>
          <w:bCs w:val="1"/>
          <w:color w:val="auto"/>
        </w:rPr>
        <w:t>77-0557980</w:t>
      </w:r>
    </w:p>
    <w:p>
      <w:pPr>
        <w:spacing w:after="0" w:line="9" w:lineRule="exact"/>
        <w:rPr>
          <w:sz w:val="24"/>
          <w:szCs w:val="24"/>
          <w:color w:val="auto"/>
        </w:rPr>
      </w:pPr>
    </w:p>
    <w:p>
      <w:pPr>
        <w:jc w:val="center"/>
        <w:ind w:right="1460"/>
        <w:spacing w:after="0"/>
        <w:rPr>
          <w:sz w:val="20"/>
          <w:szCs w:val="20"/>
          <w:color w:val="auto"/>
        </w:rPr>
      </w:pPr>
      <w:r>
        <w:rPr>
          <w:rFonts w:ascii="Arial" w:cs="Arial" w:eastAsia="Arial" w:hAnsi="Arial"/>
          <w:sz w:val="17"/>
          <w:szCs w:val="17"/>
          <w:color w:val="auto"/>
        </w:rPr>
        <w:t>(I.R.S. Employer Identification No.)</w:t>
      </w:r>
    </w:p>
    <w:p>
      <w:pPr>
        <w:spacing w:after="0" w:line="427" w:lineRule="exact"/>
        <w:rPr>
          <w:sz w:val="24"/>
          <w:szCs w:val="24"/>
          <w:color w:val="auto"/>
        </w:rPr>
      </w:pPr>
    </w:p>
    <w:p>
      <w:pPr>
        <w:sectPr>
          <w:pgSz w:w="11900" w:h="16838" w:orient="portrait"/>
          <w:cols w:equalWidth="0" w:num="2">
            <w:col w:w="6440" w:space="720"/>
            <w:col w:w="4080"/>
          </w:cols>
          <w:pgMar w:left="320" w:top="854" w:right="339" w:bottom="1440" w:gutter="0" w:footer="0" w:header="0"/>
          <w:type w:val="continuous"/>
        </w:sectPr>
      </w:pPr>
    </w:p>
    <w:p>
      <w:pPr>
        <w:spacing w:after="0" w:line="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110 Rio Robles, San Jose, California 95134</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(Address of principal executive offices, with zip code)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217-7300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0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2953 Bunker Hill Lane, Suite 300</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00" w:lineRule="exact"/>
        <w:rPr>
          <w:sz w:val="24"/>
          <w:szCs w:val="24"/>
          <w:color w:val="auto"/>
        </w:rPr>
      </w:pPr>
    </w:p>
    <w:p>
      <w:pPr>
        <w:spacing w:after="0" w:line="227" w:lineRule="exact"/>
        <w:rPr>
          <w:sz w:val="24"/>
          <w:szCs w:val="24"/>
          <w:color w:val="auto"/>
        </w:rPr>
      </w:pPr>
    </w:p>
    <w:p>
      <w:pPr>
        <w:ind w:right="6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General Instruction A.2. below):</w:t>
      </w:r>
    </w:p>
    <w:p>
      <w:pPr>
        <w:spacing w:after="0" w:line="170" w:lineRule="exact"/>
        <w:rPr>
          <w:sz w:val="24"/>
          <w:szCs w:val="24"/>
          <w:color w:val="auto"/>
        </w:rPr>
      </w:pPr>
    </w:p>
    <w:p>
      <w:pPr>
        <w:ind w:left="660" w:hanging="328"/>
        <w:spacing w:after="0"/>
        <w:tabs>
          <w:tab w:leader="none" w:pos="6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52" w:lineRule="exact"/>
        <w:rPr>
          <w:sz w:val="24"/>
          <w:szCs w:val="24"/>
          <w:color w:val="auto"/>
        </w:rPr>
      </w:pPr>
    </w:p>
    <w:p>
      <w:pPr>
        <w:ind w:left="660" w:hanging="328"/>
        <w:spacing w:after="0"/>
        <w:tabs>
          <w:tab w:leader="none" w:pos="6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52" w:lineRule="exact"/>
        <w:rPr>
          <w:rFonts w:ascii="MS PGothic" w:cs="MS PGothic" w:eastAsia="MS PGothic" w:hAnsi="MS PGothic"/>
          <w:sz w:val="18"/>
          <w:szCs w:val="18"/>
          <w:color w:val="auto"/>
        </w:rPr>
      </w:pPr>
    </w:p>
    <w:p>
      <w:pPr>
        <w:ind w:left="660" w:hanging="328"/>
        <w:spacing w:after="0"/>
        <w:tabs>
          <w:tab w:leader="none" w:pos="6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52" w:lineRule="exact"/>
        <w:rPr>
          <w:rFonts w:ascii="MS PGothic" w:cs="MS PGothic" w:eastAsia="MS PGothic" w:hAnsi="MS PGothic"/>
          <w:sz w:val="18"/>
          <w:szCs w:val="18"/>
          <w:color w:val="auto"/>
        </w:rPr>
      </w:pPr>
    </w:p>
    <w:p>
      <w:pPr>
        <w:ind w:left="660" w:hanging="328"/>
        <w:spacing w:after="0"/>
        <w:tabs>
          <w:tab w:leader="none" w:pos="6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0" w:lineRule="exact"/>
        <w:rPr>
          <w:sz w:val="24"/>
          <w:szCs w:val="24"/>
          <w:color w:val="auto"/>
        </w:rPr>
      </w:pPr>
    </w:p>
    <w:p>
      <w:pPr>
        <w:spacing w:after="0" w:line="26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225" w:lineRule="exact"/>
        <w:rPr>
          <w:sz w:val="24"/>
          <w:szCs w:val="24"/>
          <w:color w:val="auto"/>
        </w:rPr>
      </w:pPr>
    </w:p>
    <w:tbl>
      <w:tblPr>
        <w:tblLayout w:type="fixed"/>
        <w:tblInd w:w="0" w:type="dxa"/>
        <w:tblCellMar>
          <w:top w:w="0" w:type="dxa"/>
          <w:left w:w="0" w:type="dxa"/>
          <w:bottom w:w="0" w:type="dxa"/>
          <w:right w:w="0" w:type="dxa"/>
        </w:tblCellMar>
      </w:tblPr>
      <w:tr>
        <w:trPr>
          <w:trHeight w:val="234"/>
        </w:trPr>
        <w:tc>
          <w:tcPr>
            <w:tcW w:w="4280" w:type="dxa"/>
            <w:vAlign w:val="bottom"/>
            <w:tcBorders>
              <w:bottom w:val="single" w:sz="8" w:color="auto"/>
            </w:tcBorders>
          </w:tcPr>
          <w:p>
            <w:pPr>
              <w:jc w:val="center"/>
              <w:ind w:right="10"/>
              <w:spacing w:after="0"/>
              <w:rPr>
                <w:sz w:val="20"/>
                <w:szCs w:val="20"/>
                <w:color w:val="auto"/>
              </w:rPr>
            </w:pPr>
            <w:r>
              <w:rPr>
                <w:rFonts w:ascii="Arial" w:cs="Arial" w:eastAsia="Arial" w:hAnsi="Arial"/>
                <w:sz w:val="18"/>
                <w:szCs w:val="18"/>
                <w:b w:val="1"/>
                <w:bCs w:val="1"/>
                <w:color w:val="auto"/>
                <w:w w:val="86"/>
              </w:rPr>
              <w:t>Title of each class</w:t>
            </w:r>
          </w:p>
        </w:tc>
        <w:tc>
          <w:tcPr>
            <w:tcW w:w="264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89"/>
              </w:rPr>
              <w:t>Trading Symbol(s)</w:t>
            </w:r>
          </w:p>
        </w:tc>
        <w:tc>
          <w:tcPr>
            <w:tcW w:w="4320" w:type="dxa"/>
            <w:vAlign w:val="bottom"/>
            <w:tcBorders>
              <w:bottom w:val="single" w:sz="8" w:color="auto"/>
            </w:tcBorders>
          </w:tcPr>
          <w:p>
            <w:pPr>
              <w:jc w:val="center"/>
              <w:ind w:left="90"/>
              <w:spacing w:after="0"/>
              <w:rPr>
                <w:sz w:val="20"/>
                <w:szCs w:val="20"/>
                <w:color w:val="auto"/>
              </w:rPr>
            </w:pPr>
            <w:r>
              <w:rPr>
                <w:rFonts w:ascii="Arial" w:cs="Arial" w:eastAsia="Arial" w:hAnsi="Arial"/>
                <w:sz w:val="18"/>
                <w:szCs w:val="18"/>
                <w:b w:val="1"/>
                <w:bCs w:val="1"/>
                <w:color w:val="auto"/>
                <w:w w:val="87"/>
              </w:rPr>
              <w:t>Name of each exchange on which registered</w:t>
            </w:r>
          </w:p>
        </w:tc>
      </w:tr>
      <w:tr>
        <w:trPr>
          <w:trHeight w:val="209"/>
        </w:trPr>
        <w:tc>
          <w:tcPr>
            <w:tcW w:w="4280" w:type="dxa"/>
            <w:vAlign w:val="bottom"/>
            <w:tcBorders>
              <w:bottom w:val="single" w:sz="8" w:color="auto"/>
            </w:tcBorders>
          </w:tcPr>
          <w:p>
            <w:pPr>
              <w:jc w:val="center"/>
              <w:ind w:right="30"/>
              <w:spacing w:after="0"/>
              <w:rPr>
                <w:sz w:val="20"/>
                <w:szCs w:val="20"/>
                <w:color w:val="auto"/>
              </w:rPr>
            </w:pPr>
            <w:r>
              <w:rPr>
                <w:rFonts w:ascii="Arial" w:cs="Arial" w:eastAsia="Arial" w:hAnsi="Arial"/>
                <w:sz w:val="18"/>
                <w:szCs w:val="18"/>
                <w:color w:val="auto"/>
                <w:w w:val="89"/>
              </w:rPr>
              <w:t>Common Stock, $0.001 par value per share</w:t>
            </w:r>
          </w:p>
        </w:tc>
        <w:tc>
          <w:tcPr>
            <w:tcW w:w="26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IPHI</w:t>
            </w:r>
          </w:p>
        </w:tc>
        <w:tc>
          <w:tcPr>
            <w:tcW w:w="4320" w:type="dxa"/>
            <w:vAlign w:val="bottom"/>
            <w:tcBorders>
              <w:bottom w:val="single" w:sz="8" w:color="auto"/>
            </w:tcBorders>
          </w:tcPr>
          <w:p>
            <w:pPr>
              <w:jc w:val="center"/>
              <w:ind w:left="90"/>
              <w:spacing w:after="0"/>
              <w:rPr>
                <w:sz w:val="20"/>
                <w:szCs w:val="20"/>
                <w:color w:val="auto"/>
              </w:rPr>
            </w:pPr>
            <w:r>
              <w:rPr>
                <w:rFonts w:ascii="Arial" w:cs="Arial" w:eastAsia="Arial" w:hAnsi="Arial"/>
                <w:sz w:val="18"/>
                <w:szCs w:val="18"/>
                <w:color w:val="auto"/>
                <w:w w:val="91"/>
              </w:rPr>
              <w:t>The Nasdaq Global Select Market</w:t>
            </w:r>
          </w:p>
        </w:tc>
      </w:tr>
    </w:tbl>
    <w:p>
      <w:pPr>
        <w:spacing w:after="0" w:line="200" w:lineRule="exact"/>
        <w:rPr>
          <w:sz w:val="24"/>
          <w:szCs w:val="24"/>
          <w:color w:val="auto"/>
        </w:rPr>
      </w:pPr>
    </w:p>
    <w:p>
      <w:pPr>
        <w:spacing w:after="0" w:line="218" w:lineRule="exact"/>
        <w:rPr>
          <w:sz w:val="24"/>
          <w:szCs w:val="24"/>
          <w:color w:val="auto"/>
        </w:rPr>
      </w:pPr>
    </w:p>
    <w:p>
      <w:pPr>
        <w:ind w:right="24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(17 CFR 230.405) or Rule 12b-2 of the Securities Exchange Act of 1934 (17 CFR 240.12b-2).</w:t>
      </w:r>
    </w:p>
    <w:p>
      <w:pPr>
        <w:spacing w:after="0" w:line="138"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58" w:lineRule="exact"/>
        <w:rPr>
          <w:sz w:val="24"/>
          <w:szCs w:val="24"/>
          <w:color w:val="auto"/>
        </w:rPr>
      </w:pPr>
    </w:p>
    <w:p>
      <w:pPr>
        <w:ind w:right="16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159385</wp:posOffset>
            </wp:positionV>
            <wp:extent cx="71323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323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201930</wp:posOffset>
            </wp:positionV>
            <wp:extent cx="7132320" cy="260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323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622300</wp:posOffset>
            </wp:positionV>
            <wp:extent cx="7132320" cy="171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854" w:right="339" w:bottom="1440" w:gutter="0" w:footer="0" w:header="0"/>
          <w:type w:val="continuous"/>
        </w:sectPr>
      </w:pPr>
    </w:p>
    <w:bookmarkStart w:id="1" w:name="page2"/>
    <w:bookmarkEnd w:id="1"/>
    <w:p>
      <w:pPr>
        <w:spacing w:after="0"/>
        <w:tabs>
          <w:tab w:leader="none" w:pos="940" w:val="left"/>
        </w:tabs>
        <w:rPr>
          <w:sz w:val="20"/>
          <w:szCs w:val="20"/>
          <w:color w:val="auto"/>
        </w:rPr>
      </w:pPr>
      <w:r>
        <w:rPr>
          <w:rFonts w:ascii="Arial" w:cs="Arial" w:eastAsia="Arial" w:hAnsi="Arial"/>
          <w:sz w:val="18"/>
          <w:szCs w:val="18"/>
          <w:b w:val="1"/>
          <w:bCs w:val="1"/>
          <w:color w:val="auto"/>
        </w:rPr>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229"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On October 29, 2020, Inphi Corporation (“Inphi”) issued a press release reporting its financial results for its third quarter ended September 30, 2020. The full text of the press release is furnished herewith as Exhibit 99.1.</w:t>
      </w:r>
    </w:p>
    <w:p>
      <w:pPr>
        <w:spacing w:after="0" w:line="170" w:lineRule="exact"/>
        <w:rPr>
          <w:sz w:val="20"/>
          <w:szCs w:val="20"/>
          <w:color w:val="auto"/>
        </w:rPr>
      </w:pPr>
    </w:p>
    <w:p>
      <w:pPr>
        <w:jc w:val="both"/>
        <w:spacing w:after="0" w:line="286" w:lineRule="auto"/>
        <w:rPr>
          <w:sz w:val="20"/>
          <w:szCs w:val="20"/>
          <w:color w:val="auto"/>
        </w:rPr>
      </w:pPr>
      <w:r>
        <w:rPr>
          <w:rFonts w:ascii="Arial" w:cs="Arial" w:eastAsia="Arial" w:hAnsi="Arial"/>
          <w:sz w:val="17"/>
          <w:szCs w:val="17"/>
          <w:color w:val="auto"/>
        </w:rPr>
        <w:t>The information in this Item 2.02 is being furnished and shall not be deemed “filed” for purposes of Section 18 of the Securities Exchange Act of 1934 (the “Exchange Act”), or otherwise subject to the liabilities of that Section. The information in this Item 2.02 shall not be incorporated by reference in any filing under the Securities Act of 1933 or the Exchange Act, except as shall be expressly set forth by specific reference in such a filing.</w:t>
      </w:r>
    </w:p>
    <w:p>
      <w:pPr>
        <w:spacing w:after="0" w:line="161" w:lineRule="exact"/>
        <w:rPr>
          <w:sz w:val="20"/>
          <w:szCs w:val="20"/>
          <w:color w:val="auto"/>
        </w:rPr>
      </w:pPr>
    </w:p>
    <w:p>
      <w:pPr>
        <w:spacing w:after="0"/>
        <w:tabs>
          <w:tab w:leader="none" w:pos="94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229" w:lineRule="exact"/>
        <w:rPr>
          <w:sz w:val="20"/>
          <w:szCs w:val="20"/>
          <w:color w:val="auto"/>
        </w:rPr>
      </w:pPr>
    </w:p>
    <w:p>
      <w:pPr>
        <w:ind w:right="100"/>
        <w:spacing w:after="0" w:line="259" w:lineRule="auto"/>
        <w:rPr>
          <w:sz w:val="20"/>
          <w:szCs w:val="20"/>
          <w:color w:val="auto"/>
        </w:rPr>
      </w:pPr>
      <w:r>
        <w:rPr>
          <w:rFonts w:ascii="Arial" w:cs="Arial" w:eastAsia="Arial" w:hAnsi="Arial"/>
          <w:sz w:val="18"/>
          <w:szCs w:val="18"/>
          <w:color w:val="auto"/>
        </w:rPr>
        <w:t>On October 29, 2020, Inphi issued a joint press release with Marvell Technology Group Ltd. (“Marvell”) announcing its entry into an Agreement and Plan of Merger and Reorganization, entered into on October 29, 2020, by and among Inphi, Marvell, Maui HoldCo, Inc., Maui Acquisition Company Ltd. and Indigo Acquisition Corp., pursuant to which, subject to the terms and conditions of such merger agreement, Marvell will acquire Inphi in a cash and stock transaction.</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A copy of the press release is attached hereto as Exhibit 99.2 and is incorporated herein by reference.</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229"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In connection with the proposed transaction between Marvell (“Marvell”) and Inphi (“Inphi”), Marvell and Inphi will file relevant materials with the Securities and Exchange Commission (the “SEC”) and will cause the newly formed company which will become the holding company of Marvell and Inphi following the transaction (“HoldCo”) to file a registration statement on Form S-4 that will include a joint proxy statement of Marvell and Inphi that also constitutes a prospectus of HoldCo referred to as a joint proxy statement/prospectus. A definitive joint proxy statement/prospectus will be mailed to shareholders of Marvell and stockholders of Inphi. INVESTORS AND SECURITY HOLDERS OF Marvell and Inphi ARE URGED TO READ THE REGISTRATION STATEMENT, THE JOINT PROXY STATEMENT/PROSPECTUS AND ALL OTHER RELEVANT DOCUMENTS FILED OR THAT WILL BE FILED WITH THE SEC CAREFULLY AND IN THEIR ENTIRETY BECAUSE THEY WILL CONTAIN IMPORTANT INFORMATION. Investors and security holders will be able to obtain free copies of the registration statement and the joint proxy statement/prospectus (when available) and other documents filed with the SEC by Marvell or Inphi through the website maintained by the SEC at http://www.sec.gov. Copies of the documents filed with the SEC by Marvell will be available free of charge on Marvell’s website at www.marvell.com or by contacting Marvell’s Investor Relations Department at ir@Marvell.com. Copies of the documents filed with the SEC by Inphi will be available free of charge on Inphi’s website at www.inphi.com or by contacting Inphi’s Investor Relations Department at (408) 217-7300.</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 Offer or Solicitation</w:t>
      </w:r>
    </w:p>
    <w:p>
      <w:pPr>
        <w:spacing w:after="0" w:line="229" w:lineRule="exact"/>
        <w:rPr>
          <w:sz w:val="20"/>
          <w:szCs w:val="20"/>
          <w:color w:val="auto"/>
        </w:rPr>
      </w:pPr>
    </w:p>
    <w:p>
      <w:pPr>
        <w:ind w:right="80"/>
        <w:spacing w:after="0" w:line="275" w:lineRule="auto"/>
        <w:rPr>
          <w:sz w:val="20"/>
          <w:szCs w:val="20"/>
          <w:color w:val="auto"/>
        </w:rPr>
      </w:pPr>
      <w:r>
        <w:rPr>
          <w:rFonts w:ascii="Arial" w:cs="Arial" w:eastAsia="Arial" w:hAnsi="Arial"/>
          <w:sz w:val="17"/>
          <w:szCs w:val="17"/>
          <w:color w:val="auto"/>
        </w:rPr>
        <w:t>This communication is for informational purposes only and not intended to and does not constitute an offer to subscribe for, buy or sell, the solicitation of an offer to subscribe for, buy or sell or an invitation to subscribe for, buy or sell any securities or the solicitation of any vote or approval in any jurisdiction pursuant to or in connection with the proposed transaction or otherwise, nor shall there be any sale, issuance or transfer of securities in any jurisdiction in contravention of applicable law. No offer of securities shall be made except by means of a prospectus meeting the requirements of Section 10 of the Securities Act of 1933, as amended (the “Securities Act”), and otherwise in accordance with applicable law.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343535</wp:posOffset>
            </wp:positionV>
            <wp:extent cx="71323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580" w:right="35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t>Participants in the Solicitation</w:t>
      </w:r>
    </w:p>
    <w:p>
      <w:pPr>
        <w:spacing w:after="0" w:line="229"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Marvell, Inphi, their respective directors and executive officers may be considered participants in the solicitation of proxies in connection with the proposed transaction. Information about the directors and executive officers of Marvell is set forth in its Annual Report on Form 10-K for the year ended December 31, 2019, which was filed with the SEC on March 23, 2020, and its proxy statement for its 2020 annual meeting of shareholders, which was filed with the SEC on May 28, 2020. Information about the directors and executive officers of Inphi is set forth in its Annual Report on Form 10-K for the year ended December 31, 2019, which was filed with the SEC on March 2, 2020, and its proxy statement for its 2020 annual meeting of stockholders, which was filed with the SEC on April 21, 2020. Other information regarding the participants in the proxy solicitations and a description of their direct and indirect interests, by security holdings or otherwise, will be contained in the joint proxy statement/prospectus and other relevant materials to be filed with the SEC when they become available.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229"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color w:val="auto"/>
        </w:rPr>
        <w:t>DISCLOSURE NOTICE: This document contains “forward-looking statements” within the meaning of Section 27A of the Securities Act and Section 21E of the Securities Exchange Act of 1934, as amended, related to Marvell, Inphi, and the proposed acquisition of Inphi by Marvell. All statements other than statements of historical fact are forward-looking statements for purposes of federal and state securities laws. These forward-looking statements involve uncertainties that could significantly affect the financial or operating results of Inphi, Marvell or the combined company. These forward-looking statements may be identified by terms such as anticipate, believe, foresee, expect, intend, plan, may, will, could and should and the negative of these terms or other similar expressions. Forward-looking statements in this document include, among other things, statements about the potential benefits of the proposed acquisition, including future financial and operating results, plans, objectives, expectations and intentions; the anticipated timing of closing of the acquisition; and the methods Marvell will use to finance the cash portion of the transaction. In addition, all statements that address operating performance, events or developments that we expect or anticipate will occur in the future — including statements relating to creating value for stockholders, benefits of the proposed transactions to customers, vendors, employees, stockholders and other constituents of the combined company, integrating our companies, cost savings and the expected timetable for completing the proposed transaction — are forward-looking statements. These forward-looking statements involve substantial risks and uncertainties that could cause actual results to differ materially from those expressed or implied by such statements. Risks and uncertainties include, among other things, risks related to the satisfaction of the conditions to closing the acquisition (including the failure to obtain necessary regulatory and stockholder approvals) in the anticipated timeframe or at all; risks related to the ability to realize the anticipated benefits of the acquisition, including the possibility that the expected benefits from the proposed acquisition will not be realized or will not be realized within the expected time period; the risk that the businesses will not be integrated successfully; disruption from the transaction making it more difficult to maintain business, contractual and operational relationships; the unfavorable outcome of any legal proceedings that have been or may be instituted against Marvell, Inphi or the combined company; the impact of the COVID-19 pandemic on Marvell and Inphi or on any of their customers or suppliers; the failure to protect proprietary or personally identifiable data against unauthorized access or unintended release; the ability to retain key personnel; negative effects of this announcement or the consummation of the proposed acquisition on the market price of the capital stock of Marvell and Inphi, and on Marvell’ and Inphi’s operating results; risks relating to the value of the HoldCo shares to be issued in the transaction; significant transaction costs, fees, expenses and charges; unknown liabilities; the risk of litigation and/or regulatory actions related to the proposed acquisition; the financing of the transaction; the occurrence of any event, change or other circumstances that could give rise to the termination of the merger agreement; other business effects, including the effects of industry, market, economic, political or regulatory conditions; future exchange and interest rates; changes in tax and other laws, regulations, rates and policies; future business combinations or disposals; and competitive developments.</w:t>
      </w:r>
    </w:p>
    <w:p>
      <w:pPr>
        <w:spacing w:after="0" w:line="391" w:lineRule="exact"/>
        <w:rPr>
          <w:sz w:val="20"/>
          <w:szCs w:val="20"/>
          <w:color w:val="auto"/>
        </w:rPr>
      </w:pPr>
    </w:p>
    <w:p>
      <w:pPr>
        <w:ind w:right="260"/>
        <w:spacing w:after="0" w:line="308" w:lineRule="auto"/>
        <w:rPr>
          <w:sz w:val="20"/>
          <w:szCs w:val="20"/>
          <w:color w:val="auto"/>
        </w:rPr>
      </w:pPr>
      <w:r>
        <w:rPr>
          <w:rFonts w:ascii="Arial" w:cs="Arial" w:eastAsia="Arial" w:hAnsi="Arial"/>
          <w:sz w:val="17"/>
          <w:szCs w:val="17"/>
          <w:color w:val="auto"/>
        </w:rPr>
        <w:t>A further description of risks and uncertainties relating to Marvell and Inphi can be found in their respective most recent Annual Reports on Form 10-K, Quarterly Reports on Form 10-Q and Current Reports on Form 8-K, all of which are filed with the SEC and available at www.sec.gov.</w:t>
      </w:r>
    </w:p>
    <w:p>
      <w:pPr>
        <w:spacing w:after="0" w:line="146"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Neither Marvell nor Inphi intends to update the forward-looking statements contained in this document as the result of new information or future events or developments, except as required by law.</w:t>
      </w:r>
    </w:p>
    <w:p>
      <w:pPr>
        <w:spacing w:after="0" w:line="3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080" w:type="dxa"/>
            <w:vAlign w:val="bottom"/>
          </w:tcPr>
          <w:p>
            <w:pPr>
              <w:spacing w:after="0"/>
              <w:rPr>
                <w:sz w:val="20"/>
                <w:szCs w:val="20"/>
                <w:color w:val="auto"/>
              </w:rPr>
            </w:pPr>
            <w:r>
              <w:rPr>
                <w:rFonts w:ascii="Arial" w:cs="Arial" w:eastAsia="Arial" w:hAnsi="Arial"/>
                <w:sz w:val="18"/>
                <w:szCs w:val="18"/>
                <w:color w:val="auto"/>
              </w:rPr>
              <w:t>(d) Exhibits.</w:t>
            </w:r>
          </w:p>
        </w:tc>
        <w:tc>
          <w:tcPr>
            <w:tcW w:w="280" w:type="dxa"/>
            <w:vAlign w:val="bottom"/>
          </w:tcPr>
          <w:p>
            <w:pPr>
              <w:spacing w:after="0"/>
              <w:rPr>
                <w:sz w:val="20"/>
                <w:szCs w:val="20"/>
                <w:color w:val="auto"/>
              </w:rPr>
            </w:pPr>
          </w:p>
        </w:tc>
        <w:tc>
          <w:tcPr>
            <w:tcW w:w="9880" w:type="dxa"/>
            <w:vAlign w:val="bottom"/>
          </w:tcPr>
          <w:p>
            <w:pPr>
              <w:spacing w:after="0"/>
              <w:rPr>
                <w:sz w:val="20"/>
                <w:szCs w:val="20"/>
                <w:color w:val="auto"/>
              </w:rPr>
            </w:pPr>
          </w:p>
        </w:tc>
      </w:tr>
      <w:tr>
        <w:trPr>
          <w:trHeight w:val="432"/>
        </w:trPr>
        <w:tc>
          <w:tcPr>
            <w:tcW w:w="108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rPr>
              <w:t>Exhibit No.</w:t>
            </w:r>
          </w:p>
        </w:tc>
        <w:tc>
          <w:tcPr>
            <w:tcW w:w="280" w:type="dxa"/>
            <w:vAlign w:val="bottom"/>
          </w:tcPr>
          <w:p>
            <w:pPr>
              <w:spacing w:after="0"/>
              <w:rPr>
                <w:sz w:val="24"/>
                <w:szCs w:val="24"/>
                <w:color w:val="auto"/>
              </w:rPr>
            </w:pPr>
          </w:p>
        </w:tc>
        <w:tc>
          <w:tcPr>
            <w:tcW w:w="9880" w:type="dxa"/>
            <w:vAlign w:val="bottom"/>
            <w:tcBorders>
              <w:bottom w:val="single" w:sz="8" w:color="auto"/>
            </w:tcBorders>
          </w:tcPr>
          <w:p>
            <w:pPr>
              <w:spacing w:after="0"/>
              <w:rPr>
                <w:sz w:val="20"/>
                <w:szCs w:val="20"/>
                <w:color w:val="auto"/>
              </w:rPr>
            </w:pPr>
            <w:r>
              <w:rPr>
                <w:rFonts w:ascii="Arial" w:cs="Arial" w:eastAsia="Arial" w:hAnsi="Arial"/>
                <w:sz w:val="18"/>
                <w:szCs w:val="18"/>
                <w:b w:val="1"/>
                <w:bCs w:val="1"/>
                <w:color w:val="auto"/>
              </w:rPr>
              <w:t>Description</w:t>
            </w:r>
          </w:p>
        </w:tc>
      </w:tr>
      <w:tr>
        <w:trPr>
          <w:trHeight w:val="411"/>
        </w:trPr>
        <w:tc>
          <w:tcPr>
            <w:tcW w:w="1080" w:type="dxa"/>
            <w:vAlign w:val="bottom"/>
          </w:tcPr>
          <w:p>
            <w:pPr>
              <w:spacing w:after="0"/>
              <w:rPr>
                <w:sz w:val="20"/>
                <w:szCs w:val="20"/>
                <w:color w:val="auto"/>
              </w:rPr>
            </w:pPr>
            <w:r>
              <w:rPr>
                <w:rFonts w:ascii="Arial" w:cs="Arial" w:eastAsia="Arial" w:hAnsi="Arial"/>
                <w:sz w:val="18"/>
                <w:szCs w:val="18"/>
                <w:color w:val="auto"/>
              </w:rPr>
              <w:t>99.1</w:t>
            </w:r>
          </w:p>
        </w:tc>
        <w:tc>
          <w:tcPr>
            <w:tcW w:w="280" w:type="dxa"/>
            <w:vAlign w:val="bottom"/>
          </w:tcPr>
          <w:p>
            <w:pPr>
              <w:spacing w:after="0"/>
              <w:rPr>
                <w:sz w:val="24"/>
                <w:szCs w:val="24"/>
                <w:color w:val="auto"/>
              </w:rPr>
            </w:pPr>
          </w:p>
        </w:tc>
        <w:tc>
          <w:tcPr>
            <w:tcW w:w="9880" w:type="dxa"/>
            <w:vAlign w:val="bottom"/>
          </w:tcPr>
          <w:p>
            <w:pPr>
              <w:spacing w:after="0"/>
              <w:rPr>
                <w:rFonts w:ascii="Arial" w:cs="Arial" w:eastAsia="Arial" w:hAnsi="Arial"/>
                <w:sz w:val="18"/>
                <w:szCs w:val="18"/>
                <w:u w:val="single" w:color="auto"/>
                <w:color w:val="0000EE"/>
              </w:rPr>
            </w:pPr>
            <w:hyperlink w:anchor="page5">
              <w:r>
                <w:rPr>
                  <w:rFonts w:ascii="Arial" w:cs="Arial" w:eastAsia="Arial" w:hAnsi="Arial"/>
                  <w:sz w:val="18"/>
                  <w:szCs w:val="18"/>
                  <w:u w:val="single" w:color="auto"/>
                  <w:color w:val="0000EE"/>
                </w:rPr>
                <w:t>Press release dated October 29, 2020.</w:t>
              </w:r>
            </w:hyperlink>
          </w:p>
        </w:tc>
      </w:tr>
      <w:tr>
        <w:trPr>
          <w:trHeight w:val="216"/>
        </w:trPr>
        <w:tc>
          <w:tcPr>
            <w:tcW w:w="1080" w:type="dxa"/>
            <w:vAlign w:val="bottom"/>
          </w:tcPr>
          <w:p>
            <w:pPr>
              <w:spacing w:after="0"/>
              <w:rPr>
                <w:sz w:val="20"/>
                <w:szCs w:val="20"/>
                <w:color w:val="auto"/>
              </w:rPr>
            </w:pPr>
            <w:r>
              <w:rPr>
                <w:rFonts w:ascii="Arial" w:cs="Arial" w:eastAsia="Arial" w:hAnsi="Arial"/>
                <w:sz w:val="18"/>
                <w:szCs w:val="18"/>
                <w:color w:val="auto"/>
              </w:rPr>
              <w:t>99.2</w:t>
            </w:r>
          </w:p>
        </w:tc>
        <w:tc>
          <w:tcPr>
            <w:tcW w:w="280" w:type="dxa"/>
            <w:vAlign w:val="bottom"/>
          </w:tcPr>
          <w:p>
            <w:pPr>
              <w:spacing w:after="0"/>
              <w:rPr>
                <w:sz w:val="18"/>
                <w:szCs w:val="18"/>
                <w:color w:val="auto"/>
              </w:rPr>
            </w:pPr>
          </w:p>
        </w:tc>
        <w:tc>
          <w:tcPr>
            <w:tcW w:w="9880" w:type="dxa"/>
            <w:vAlign w:val="bottom"/>
          </w:tcPr>
          <w:p>
            <w:pPr>
              <w:spacing w:after="0"/>
              <w:rPr>
                <w:rFonts w:ascii="Arial" w:cs="Arial" w:eastAsia="Arial" w:hAnsi="Arial"/>
                <w:sz w:val="18"/>
                <w:szCs w:val="18"/>
                <w:u w:val="single" w:color="auto"/>
                <w:color w:val="0000EE"/>
              </w:rPr>
            </w:pPr>
            <w:hyperlink w:anchor="page15">
              <w:r>
                <w:rPr>
                  <w:rFonts w:ascii="Arial" w:cs="Arial" w:eastAsia="Arial" w:hAnsi="Arial"/>
                  <w:sz w:val="18"/>
                  <w:szCs w:val="18"/>
                  <w:u w:val="single" w:color="auto"/>
                  <w:color w:val="0000EE"/>
                </w:rPr>
                <w:t>Joint Press Release dated October 29, 2020.</w:t>
              </w:r>
            </w:hyperlink>
          </w:p>
        </w:tc>
      </w:tr>
      <w:tr>
        <w:trPr>
          <w:trHeight w:val="230"/>
        </w:trPr>
        <w:tc>
          <w:tcPr>
            <w:tcW w:w="1080" w:type="dxa"/>
            <w:vAlign w:val="bottom"/>
          </w:tcPr>
          <w:p>
            <w:pPr>
              <w:spacing w:after="0"/>
              <w:rPr>
                <w:sz w:val="20"/>
                <w:szCs w:val="20"/>
                <w:color w:val="auto"/>
              </w:rPr>
            </w:pPr>
            <w:r>
              <w:rPr>
                <w:rFonts w:ascii="Arial" w:cs="Arial" w:eastAsia="Arial" w:hAnsi="Arial"/>
                <w:sz w:val="18"/>
                <w:szCs w:val="18"/>
                <w:color w:val="auto"/>
              </w:rPr>
              <w:t>104</w:t>
            </w:r>
          </w:p>
        </w:tc>
        <w:tc>
          <w:tcPr>
            <w:tcW w:w="280" w:type="dxa"/>
            <w:vAlign w:val="bottom"/>
          </w:tcPr>
          <w:p>
            <w:pPr>
              <w:spacing w:after="0"/>
              <w:rPr>
                <w:sz w:val="20"/>
                <w:szCs w:val="20"/>
                <w:color w:val="auto"/>
              </w:rPr>
            </w:pPr>
          </w:p>
        </w:tc>
        <w:tc>
          <w:tcPr>
            <w:tcW w:w="9880" w:type="dxa"/>
            <w:vAlign w:val="bottom"/>
          </w:tcPr>
          <w:p>
            <w:pPr>
              <w:spacing w:after="0"/>
              <w:rPr>
                <w:sz w:val="20"/>
                <w:szCs w:val="20"/>
                <w:color w:val="auto"/>
              </w:rPr>
            </w:pPr>
            <w:r>
              <w:rPr>
                <w:rFonts w:ascii="Arial" w:cs="Arial" w:eastAsia="Arial" w:hAnsi="Arial"/>
                <w:sz w:val="18"/>
                <w:szCs w:val="18"/>
                <w:color w:val="auto"/>
              </w:rPr>
              <w:t>Cover Page Interactive Data File (formatted as Inline XBRL).</w:t>
            </w:r>
          </w:p>
        </w:tc>
      </w:tr>
      <w:tr>
        <w:trPr>
          <w:trHeight w:val="469"/>
        </w:trPr>
        <w:tc>
          <w:tcPr>
            <w:tcW w:w="1080" w:type="dxa"/>
            <w:vAlign w:val="bottom"/>
          </w:tcPr>
          <w:p>
            <w:pPr>
              <w:spacing w:after="0"/>
              <w:rPr>
                <w:sz w:val="24"/>
                <w:szCs w:val="24"/>
                <w:color w:val="auto"/>
              </w:rPr>
            </w:pPr>
          </w:p>
        </w:tc>
        <w:tc>
          <w:tcPr>
            <w:tcW w:w="10160" w:type="dxa"/>
            <w:vAlign w:val="bottom"/>
            <w:gridSpan w:val="2"/>
          </w:tcPr>
          <w:p>
            <w:pPr>
              <w:jc w:val="right"/>
              <w:ind w:right="5470"/>
              <w:spacing w:after="0"/>
              <w:rPr>
                <w:sz w:val="20"/>
                <w:szCs w:val="20"/>
                <w:color w:val="auto"/>
              </w:rPr>
            </w:pPr>
            <w:r>
              <w:rPr>
                <w:rFonts w:ascii="Arial" w:cs="Arial" w:eastAsia="Arial" w:hAnsi="Arial"/>
                <w:sz w:val="22"/>
                <w:szCs w:val="22"/>
                <w:color w:val="auto"/>
              </w:rPr>
              <w:t>2</w:t>
            </w:r>
          </w:p>
        </w:tc>
      </w:tr>
      <w:tr>
        <w:trPr>
          <w:trHeight w:val="105"/>
        </w:trPr>
        <w:tc>
          <w:tcPr>
            <w:tcW w:w="1080" w:type="dxa"/>
            <w:vAlign w:val="bottom"/>
            <w:tcBorders>
              <w:bottom w:val="single" w:sz="8" w:color="auto"/>
            </w:tcBorders>
          </w:tcPr>
          <w:p>
            <w:pPr>
              <w:spacing w:after="0"/>
              <w:rPr>
                <w:sz w:val="9"/>
                <w:szCs w:val="9"/>
                <w:color w:val="auto"/>
              </w:rPr>
            </w:pPr>
          </w:p>
        </w:tc>
        <w:tc>
          <w:tcPr>
            <w:tcW w:w="280" w:type="dxa"/>
            <w:vAlign w:val="bottom"/>
            <w:tcBorders>
              <w:bottom w:val="single" w:sz="8" w:color="auto"/>
            </w:tcBorders>
          </w:tcPr>
          <w:p>
            <w:pPr>
              <w:spacing w:after="0"/>
              <w:rPr>
                <w:sz w:val="9"/>
                <w:szCs w:val="9"/>
                <w:color w:val="auto"/>
              </w:rPr>
            </w:pPr>
          </w:p>
        </w:tc>
        <w:tc>
          <w:tcPr>
            <w:tcW w:w="9880" w:type="dxa"/>
            <w:vAlign w:val="bottom"/>
            <w:tcBorders>
              <w:bottom w:val="single" w:sz="8" w:color="auto"/>
            </w:tcBorders>
          </w:tcPr>
          <w:p>
            <w:pPr>
              <w:spacing w:after="0"/>
              <w:rPr>
                <w:sz w:val="9"/>
                <w:szCs w:val="9"/>
                <w:color w:val="auto"/>
              </w:rPr>
            </w:pPr>
          </w:p>
        </w:tc>
      </w:tr>
    </w:tbl>
    <w:p>
      <w:pPr>
        <w:sectPr>
          <w:pgSz w:w="11900" w:h="16838" w:orient="portrait"/>
          <w:cols w:equalWidth="0" w:num="1">
            <w:col w:w="11240"/>
          </w:cols>
          <w:pgMar w:left="320" w:top="580" w:right="339" w:bottom="1440" w:gutter="0" w:footer="0" w:header="0"/>
        </w:sectPr>
      </w:pPr>
    </w:p>
    <w:bookmarkStart w:id="3" w:name="page4"/>
    <w:bookmarkEnd w:id="3"/>
    <w:p>
      <w:pPr>
        <w:jc w:val="center"/>
        <w:ind w:right="-539"/>
        <w:spacing w:after="0"/>
        <w:rPr>
          <w:sz w:val="20"/>
          <w:szCs w:val="20"/>
          <w:color w:val="auto"/>
        </w:rPr>
      </w:pPr>
      <w:r>
        <w:rPr>
          <w:rFonts w:ascii="Arial" w:cs="Arial" w:eastAsia="Arial" w:hAnsi="Arial"/>
          <w:sz w:val="18"/>
          <w:szCs w:val="18"/>
          <w:b w:val="1"/>
          <w:bCs w:val="1"/>
          <w:color w:val="auto"/>
        </w:rPr>
        <w:t>SIGNATURES</w:t>
      </w:r>
    </w:p>
    <w:p>
      <w:pPr>
        <w:spacing w:after="0" w:line="229" w:lineRule="exact"/>
        <w:rPr>
          <w:sz w:val="20"/>
          <w:szCs w:val="20"/>
          <w:color w:val="auto"/>
        </w:rPr>
      </w:pPr>
    </w:p>
    <w:p>
      <w:pPr>
        <w:ind w:firstLine="360"/>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6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00" w:type="dxa"/>
            <w:vAlign w:val="bottom"/>
          </w:tcPr>
          <w:p>
            <w:pPr>
              <w:spacing w:after="0"/>
              <w:rPr>
                <w:sz w:val="20"/>
                <w:szCs w:val="20"/>
                <w:color w:val="auto"/>
              </w:rPr>
            </w:pPr>
          </w:p>
        </w:tc>
        <w:tc>
          <w:tcPr>
            <w:tcW w:w="6840" w:type="dxa"/>
            <w:vAlign w:val="bottom"/>
            <w:gridSpan w:val="2"/>
          </w:tcPr>
          <w:p>
            <w:pPr>
              <w:ind w:left="1800"/>
              <w:spacing w:after="0"/>
              <w:rPr>
                <w:sz w:val="20"/>
                <w:szCs w:val="20"/>
                <w:color w:val="auto"/>
              </w:rPr>
            </w:pPr>
            <w:r>
              <w:rPr>
                <w:rFonts w:ascii="Arial" w:cs="Arial" w:eastAsia="Arial" w:hAnsi="Arial"/>
                <w:sz w:val="18"/>
                <w:szCs w:val="18"/>
                <w:b w:val="1"/>
                <w:bCs w:val="1"/>
                <w:color w:val="auto"/>
              </w:rPr>
              <w:t>INPHI CORPORATION</w:t>
            </w:r>
          </w:p>
        </w:tc>
      </w:tr>
      <w:tr>
        <w:trPr>
          <w:trHeight w:val="648"/>
        </w:trPr>
        <w:tc>
          <w:tcPr>
            <w:tcW w:w="3500" w:type="dxa"/>
            <w:vAlign w:val="bottom"/>
          </w:tcPr>
          <w:p>
            <w:pPr>
              <w:spacing w:after="0"/>
              <w:rPr>
                <w:sz w:val="20"/>
                <w:szCs w:val="20"/>
                <w:color w:val="auto"/>
              </w:rPr>
            </w:pPr>
            <w:r>
              <w:rPr>
                <w:rFonts w:ascii="Arial" w:cs="Arial" w:eastAsia="Arial" w:hAnsi="Arial"/>
                <w:sz w:val="18"/>
                <w:szCs w:val="18"/>
                <w:color w:val="auto"/>
              </w:rPr>
              <w:t>Date: October 29, 2020</w:t>
            </w:r>
          </w:p>
        </w:tc>
        <w:tc>
          <w:tcPr>
            <w:tcW w:w="6840" w:type="dxa"/>
            <w:vAlign w:val="bottom"/>
            <w:gridSpan w:val="2"/>
          </w:tcPr>
          <w:p>
            <w:pPr>
              <w:ind w:left="2340"/>
              <w:spacing w:after="0"/>
              <w:rPr>
                <w:sz w:val="20"/>
                <w:szCs w:val="20"/>
                <w:color w:val="auto"/>
              </w:rPr>
            </w:pPr>
            <w:r>
              <w:rPr>
                <w:rFonts w:ascii="Arial" w:cs="Arial" w:eastAsia="Arial" w:hAnsi="Arial"/>
                <w:sz w:val="18"/>
                <w:szCs w:val="18"/>
                <w:color w:val="auto"/>
              </w:rPr>
              <w:t>By:  /s/ John Edmunds</w:t>
            </w:r>
          </w:p>
        </w:tc>
      </w:tr>
      <w:tr>
        <w:trPr>
          <w:trHeight w:val="195"/>
        </w:trPr>
        <w:tc>
          <w:tcPr>
            <w:tcW w:w="3500" w:type="dxa"/>
            <w:vAlign w:val="bottom"/>
          </w:tcPr>
          <w:p>
            <w:pPr>
              <w:spacing w:after="0"/>
              <w:rPr>
                <w:sz w:val="16"/>
                <w:szCs w:val="16"/>
                <w:color w:val="auto"/>
              </w:rPr>
            </w:pPr>
          </w:p>
        </w:tc>
        <w:tc>
          <w:tcPr>
            <w:tcW w:w="2700" w:type="dxa"/>
            <w:vAlign w:val="bottom"/>
          </w:tcPr>
          <w:p>
            <w:pPr>
              <w:spacing w:after="0"/>
              <w:rPr>
                <w:sz w:val="16"/>
                <w:szCs w:val="16"/>
                <w:color w:val="auto"/>
              </w:rPr>
            </w:pPr>
          </w:p>
        </w:tc>
        <w:tc>
          <w:tcPr>
            <w:tcW w:w="414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John Edmunds</w:t>
            </w:r>
          </w:p>
        </w:tc>
      </w:tr>
      <w:tr>
        <w:trPr>
          <w:trHeight w:val="216"/>
        </w:trPr>
        <w:tc>
          <w:tcPr>
            <w:tcW w:w="3500" w:type="dxa"/>
            <w:vAlign w:val="bottom"/>
          </w:tcPr>
          <w:p>
            <w:pPr>
              <w:spacing w:after="0"/>
              <w:rPr>
                <w:sz w:val="18"/>
                <w:szCs w:val="18"/>
                <w:color w:val="auto"/>
              </w:rPr>
            </w:pPr>
          </w:p>
        </w:tc>
        <w:tc>
          <w:tcPr>
            <w:tcW w:w="6840" w:type="dxa"/>
            <w:vAlign w:val="bottom"/>
            <w:gridSpan w:val="2"/>
          </w:tcPr>
          <w:p>
            <w:pPr>
              <w:ind w:left="2700"/>
              <w:spacing w:after="0"/>
              <w:rPr>
                <w:sz w:val="20"/>
                <w:szCs w:val="20"/>
                <w:color w:val="auto"/>
              </w:rPr>
            </w:pPr>
            <w:r>
              <w:rPr>
                <w:rFonts w:ascii="Arial" w:cs="Arial" w:eastAsia="Arial" w:hAnsi="Arial"/>
                <w:sz w:val="18"/>
                <w:szCs w:val="18"/>
                <w:color w:val="auto"/>
              </w:rPr>
              <w:t>Chief Financial Officer and</w:t>
            </w:r>
          </w:p>
        </w:tc>
      </w:tr>
      <w:tr>
        <w:trPr>
          <w:trHeight w:val="230"/>
        </w:trPr>
        <w:tc>
          <w:tcPr>
            <w:tcW w:w="3500" w:type="dxa"/>
            <w:vAlign w:val="bottom"/>
          </w:tcPr>
          <w:p>
            <w:pPr>
              <w:spacing w:after="0"/>
              <w:rPr>
                <w:sz w:val="20"/>
                <w:szCs w:val="20"/>
                <w:color w:val="auto"/>
              </w:rPr>
            </w:pPr>
          </w:p>
        </w:tc>
        <w:tc>
          <w:tcPr>
            <w:tcW w:w="6840" w:type="dxa"/>
            <w:vAlign w:val="bottom"/>
            <w:gridSpan w:val="2"/>
          </w:tcPr>
          <w:p>
            <w:pPr>
              <w:ind w:left="2700"/>
              <w:spacing w:after="0"/>
              <w:rPr>
                <w:sz w:val="20"/>
                <w:szCs w:val="20"/>
                <w:color w:val="auto"/>
              </w:rPr>
            </w:pPr>
            <w:r>
              <w:rPr>
                <w:rFonts w:ascii="Arial" w:cs="Arial" w:eastAsia="Arial" w:hAnsi="Arial"/>
                <w:sz w:val="18"/>
                <w:szCs w:val="18"/>
                <w:color w:val="auto"/>
              </w:rPr>
              <w:t>Chief Accounting Officer</w:t>
            </w:r>
          </w:p>
        </w:tc>
      </w:tr>
    </w:tbl>
    <w:p>
      <w:pPr>
        <w:sectPr>
          <w:pgSz w:w="11900" w:h="16838" w:orient="portrait"/>
          <w:cols w:equalWidth="0" w:num="1">
            <w:col w:w="10700"/>
          </w:cols>
          <w:pgMar w:left="320" w:top="580" w:right="87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291465</wp:posOffset>
            </wp:positionV>
            <wp:extent cx="1440180" cy="5397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40180" cy="5397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Inphi Corporation Delivers Record Revenue in Q3 2020</w:t>
      </w:r>
    </w:p>
    <w:p>
      <w:pPr>
        <w:spacing w:after="0" w:line="14"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Strong year over year Growth Driven by both Cloud and Telecom</w:t>
      </w:r>
    </w:p>
    <w:p>
      <w:pPr>
        <w:spacing w:after="0" w:line="191" w:lineRule="exact"/>
        <w:rPr>
          <w:sz w:val="20"/>
          <w:szCs w:val="20"/>
          <w:color w:val="auto"/>
        </w:rPr>
      </w:pPr>
    </w:p>
    <w:p>
      <w:pPr>
        <w:ind w:right="60"/>
        <w:spacing w:after="0" w:line="266" w:lineRule="auto"/>
        <w:rPr>
          <w:sz w:val="20"/>
          <w:szCs w:val="20"/>
          <w:color w:val="auto"/>
        </w:rPr>
      </w:pPr>
      <w:r>
        <w:rPr>
          <w:rFonts w:ascii="Arial" w:cs="Arial" w:eastAsia="Arial" w:hAnsi="Arial"/>
          <w:sz w:val="18"/>
          <w:szCs w:val="18"/>
          <w:b w:val="1"/>
          <w:bCs w:val="1"/>
          <w:color w:val="auto"/>
        </w:rPr>
        <w:t xml:space="preserve">SANTA CLARA, Calif., October 29, 2020 </w:t>
      </w:r>
      <w:r>
        <w:rPr>
          <w:rFonts w:ascii="Arial" w:cs="Arial" w:eastAsia="Arial" w:hAnsi="Arial"/>
          <w:sz w:val="18"/>
          <w:szCs w:val="18"/>
          <w:color w:val="auto"/>
        </w:rPr>
        <w:t>– Inphi Corporation (NASDAQ: IPHI), a leader in high-speed data movement interconnects, today announced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its third quarter ended September 30, 2020. Inphi Corporation will not host a conference call to discuss its results for the third quarter of 2020 due to the proposed acquisition of Inphi Corporation by Marvell Technology Group Ltd. announced today.</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GAAP Results</w:t>
      </w:r>
    </w:p>
    <w:p>
      <w:pPr>
        <w:spacing w:after="0" w:line="229" w:lineRule="exact"/>
        <w:rPr>
          <w:sz w:val="20"/>
          <w:szCs w:val="20"/>
          <w:color w:val="auto"/>
        </w:rPr>
      </w:pPr>
    </w:p>
    <w:p>
      <w:pPr>
        <w:ind w:right="20"/>
        <w:spacing w:after="0" w:line="263" w:lineRule="auto"/>
        <w:rPr>
          <w:sz w:val="20"/>
          <w:szCs w:val="20"/>
          <w:color w:val="auto"/>
        </w:rPr>
      </w:pPr>
      <w:r>
        <w:rPr>
          <w:rFonts w:ascii="Arial" w:cs="Arial" w:eastAsia="Arial" w:hAnsi="Arial"/>
          <w:sz w:val="18"/>
          <w:szCs w:val="18"/>
          <w:color w:val="auto"/>
        </w:rPr>
        <w:t>Revenue in the third quarter of 2020 was a record $180.7 million on a U.S. generally accepted accounting principles (GAAP) basis, up 91.8% year-over-year, compared with $94.2 million in the third quarter of 2019. The increase was due to higher demand for Cloud and Telecommunications products as well as the inclusion of eSilicon revenues as a result of the acquisition that closed on January 10, 2020.</w:t>
      </w:r>
    </w:p>
    <w:p>
      <w:pPr>
        <w:spacing w:after="0" w:line="184"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Gross margin under GAAP in the third quarter of 2020 was 56.2%, compared with 57.8% in the third quarter of 2019. The decrease was mainly due to amortization of intangibles related to the eSilicon acquisition and product and revenue mix.</w:t>
      </w:r>
    </w:p>
    <w:p>
      <w:pPr>
        <w:spacing w:after="0" w:line="170" w:lineRule="exact"/>
        <w:rPr>
          <w:sz w:val="20"/>
          <w:szCs w:val="20"/>
          <w:color w:val="auto"/>
        </w:rPr>
      </w:pPr>
    </w:p>
    <w:p>
      <w:pPr>
        <w:jc w:val="both"/>
        <w:ind w:right="20"/>
        <w:spacing w:after="0" w:line="263" w:lineRule="auto"/>
        <w:rPr>
          <w:sz w:val="20"/>
          <w:szCs w:val="20"/>
          <w:color w:val="auto"/>
        </w:rPr>
      </w:pPr>
      <w:r>
        <w:rPr>
          <w:rFonts w:ascii="Arial" w:cs="Arial" w:eastAsia="Arial" w:hAnsi="Arial"/>
          <w:sz w:val="18"/>
          <w:szCs w:val="18"/>
          <w:color w:val="auto"/>
        </w:rPr>
        <w:t>GAAP operating income in the third quarter of 2020 was $6.2 million or 3.5% of revenue, compared to GAAP operating loss in the third quarter of 2019 of $10.9 million or (11.6%) of revenue. The decrease in operating loss was mainly due to higher gross profit, partially offset by higher operating expenses and interest expense.</w:t>
      </w:r>
    </w:p>
    <w:p>
      <w:pPr>
        <w:spacing w:after="0" w:line="184"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GAAP net loss for the third quarter of 2020 was $3.4 million or ($0.07) per diluted common share, compared with $16.2 million or ($0.36) per diluted common share in the third quarter of 2019.</w:t>
      </w:r>
    </w:p>
    <w:p>
      <w:pPr>
        <w:spacing w:after="0" w:line="170" w:lineRule="exact"/>
        <w:rPr>
          <w:sz w:val="20"/>
          <w:szCs w:val="20"/>
          <w:color w:val="auto"/>
        </w:rPr>
      </w:pPr>
    </w:p>
    <w:p>
      <w:pPr>
        <w:jc w:val="both"/>
        <w:ind w:right="140"/>
        <w:spacing w:after="0" w:line="311" w:lineRule="auto"/>
        <w:rPr>
          <w:sz w:val="20"/>
          <w:szCs w:val="20"/>
          <w:color w:val="auto"/>
        </w:rPr>
      </w:pPr>
      <w:r>
        <w:rPr>
          <w:rFonts w:ascii="Arial" w:cs="Arial" w:eastAsia="Arial" w:hAnsi="Arial"/>
          <w:sz w:val="16"/>
          <w:szCs w:val="16"/>
          <w:color w:val="auto"/>
        </w:rPr>
        <w:t>Inphi reports gross profit, operating expenses, operating income (loss), net income (loss), and earnings per share in accordance with GAAP and on a non-GAAP basis. A reconciliation of the GAAP to non-GAAP gross profit, operating expenses, operating income (loss), net income (loss), earnings per share, as well as a description of the items excluded from the non-GAAP calculations is included in the financial statements portion of this press release.</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Non-GAAP Results</w:t>
      </w:r>
    </w:p>
    <w:p>
      <w:pPr>
        <w:spacing w:after="0" w:line="229"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Gross margin on a non-GAAP basis in the third quarter of 2020 was 64.2%, compared with 70.2% in the third quarter of 2019. The decrease was due to product mix, mainly from the sale of eSilicon products that have a lower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340360</wp:posOffset>
            </wp:positionV>
            <wp:extent cx="7132320" cy="17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1" w:right="339" w:bottom="1440" w:gutter="0" w:footer="0" w:header="0"/>
        </w:sectPr>
      </w:pPr>
    </w:p>
    <w:bookmarkStart w:id="5" w:name="page6"/>
    <w:bookmarkEnd w:id="5"/>
    <w:p>
      <w:pPr>
        <w:ind w:right="240"/>
        <w:spacing w:after="0" w:line="308" w:lineRule="auto"/>
        <w:rPr>
          <w:sz w:val="20"/>
          <w:szCs w:val="20"/>
          <w:color w:val="auto"/>
        </w:rPr>
      </w:pPr>
      <w:r>
        <w:rPr>
          <w:rFonts w:ascii="Arial" w:cs="Arial" w:eastAsia="Arial" w:hAnsi="Arial"/>
          <w:sz w:val="17"/>
          <w:szCs w:val="17"/>
          <w:color w:val="auto"/>
        </w:rPr>
        <w:t>Non-GAAP operating income in the third quarter of 2020 was $53.3 million or 29.5% of revenue, compared with non-GAAP operating income of $21.4 million or 22.7% of revenue in the third quarter of 2019. The increase is primarily due to higher gross profit and higher operating leverage.</w:t>
      </w:r>
    </w:p>
    <w:p>
      <w:pPr>
        <w:spacing w:after="0" w:line="146"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Non-GAAP net income in the third quarter of 2020 was $47.9 million, or $0.88 per diluted common share. This compares with non-GAAP net income of $21.5 million, or $0.45 per diluted common share in the third quarter of 2019.</w:t>
      </w:r>
    </w:p>
    <w:p>
      <w:pPr>
        <w:spacing w:after="0" w:line="170" w:lineRule="exact"/>
        <w:rPr>
          <w:sz w:val="20"/>
          <w:szCs w:val="20"/>
          <w:color w:val="auto"/>
        </w:rPr>
      </w:pPr>
    </w:p>
    <w:p>
      <w:pPr>
        <w:spacing w:after="0" w:line="301" w:lineRule="auto"/>
        <w:rPr>
          <w:sz w:val="20"/>
          <w:szCs w:val="20"/>
          <w:color w:val="auto"/>
        </w:rPr>
      </w:pPr>
      <w:r>
        <w:rPr>
          <w:rFonts w:ascii="Arial" w:cs="Arial" w:eastAsia="Arial" w:hAnsi="Arial"/>
          <w:sz w:val="16"/>
          <w:szCs w:val="16"/>
          <w:color w:val="auto"/>
        </w:rPr>
        <w:t>“Despite unique macro challenges, Q3 of 2020 was another record revenue quarter for the Company. Our revenue grew 92% year over year for the quarter driven by strength in both our cloud data center and telecom markets. The organic portions of our business also grew an impressive 57% year over year for the third quarter,” said Ford Tamer, President and CEO of Inphi Corporation. “Our diversified product roadmap coupled with leading edge research development investments drove strong non-GAAP operating margin of 29.5% for the third quarter, further demonstrating leverage in our operating model.”</w:t>
      </w:r>
    </w:p>
    <w:p>
      <w:pPr>
        <w:spacing w:after="0" w:line="1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Nine Months 2020 Results</w:t>
      </w:r>
    </w:p>
    <w:p>
      <w:pPr>
        <w:spacing w:after="0" w:line="229" w:lineRule="exact"/>
        <w:rPr>
          <w:sz w:val="20"/>
          <w:szCs w:val="20"/>
          <w:color w:val="auto"/>
        </w:rPr>
      </w:pPr>
    </w:p>
    <w:p>
      <w:pPr>
        <w:ind w:right="160"/>
        <w:spacing w:after="0" w:line="279" w:lineRule="auto"/>
        <w:rPr>
          <w:sz w:val="20"/>
          <w:szCs w:val="20"/>
          <w:color w:val="auto"/>
        </w:rPr>
      </w:pPr>
      <w:r>
        <w:rPr>
          <w:rFonts w:ascii="Arial" w:cs="Arial" w:eastAsia="Arial" w:hAnsi="Arial"/>
          <w:sz w:val="17"/>
          <w:szCs w:val="17"/>
          <w:color w:val="auto"/>
        </w:rPr>
        <w:t>Revenue in the nine months ended September 30, 2020 was $495.4 million, compared with $262.7 million in the nine months ended September 30, 2019. GAAP net loss in the nine months ended September 30, 2020 was $47.7 million, or ($0.97) per diluted share, on approximately 49.0 million diluted weighted average common shares outstanding. This compares with GAAP net loss of $59.5 million, or ($1.32) per diluted share, on approximately 45.1 million diluted weighted average common shares outstanding in the nine months ended September 30, 2019.</w:t>
      </w:r>
    </w:p>
    <w:p>
      <w:pPr>
        <w:spacing w:after="0" w:line="171"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Non-GAAP net income in the nine months ended September 30, 2020 was $130.4 million, or $2.47 per diluted weighted average common share outstanding, on approximately 52.9 million diluted weighted average common shares outstanding. This compares with non-GAAP net income of $53.5 million in the nine months ended September 30, 2019, or $1.14 per diluted weighted average common share outstanding, on approximately 47.1 million diluted weighted average common shares outstanding.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350520</wp:posOffset>
            </wp:positionV>
            <wp:extent cx="7132320" cy="171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584" w:right="3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Business Outlook</w:t>
      </w:r>
    </w:p>
    <w:p>
      <w:pPr>
        <w:spacing w:after="0" w:line="229" w:lineRule="exact"/>
        <w:rPr>
          <w:sz w:val="20"/>
          <w:szCs w:val="20"/>
          <w:color w:val="auto"/>
        </w:rPr>
      </w:pPr>
    </w:p>
    <w:p>
      <w:pPr>
        <w:ind w:right="80"/>
        <w:spacing w:after="0" w:line="308" w:lineRule="auto"/>
        <w:rPr>
          <w:sz w:val="20"/>
          <w:szCs w:val="20"/>
          <w:color w:val="auto"/>
        </w:rPr>
      </w:pPr>
      <w:r>
        <w:rPr>
          <w:rFonts w:ascii="Arial" w:cs="Arial" w:eastAsia="Arial" w:hAnsi="Arial"/>
          <w:sz w:val="17"/>
          <w:szCs w:val="17"/>
          <w:color w:val="auto"/>
        </w:rPr>
        <w:t>The following statements are based on the Company’s current expectations for the fourth quarter of 2020. These statements are forward-looking and actual results may differ materially. A reconciliation between the GAAP and non-GAAP outlook is included at the end of this press release.</w:t>
      </w:r>
    </w:p>
    <w:p>
      <w:pPr>
        <w:spacing w:after="0" w:line="146"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Revenue in Q4 2020 is expected to be in the range of $185 million to $189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is expected to be in the range of approximately 55.8% to 57.0%.</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gross margin is expected to be in the range of approximately 63.7% to 64.7%.</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Stock-based compensation expense is expected to be in the range of $28.0 million to $30.0 million.</w:t>
      </w:r>
    </w:p>
    <w:p>
      <w:pPr>
        <w:spacing w:after="0" w:line="9" w:lineRule="exact"/>
        <w:rPr>
          <w:rFonts w:ascii="Arial" w:cs="Arial" w:eastAsia="Arial" w:hAnsi="Arial"/>
          <w:sz w:val="18"/>
          <w:szCs w:val="18"/>
          <w:color w:val="auto"/>
        </w:rPr>
      </w:pPr>
    </w:p>
    <w:p>
      <w:pPr>
        <w:ind w:left="660" w:right="440" w:hanging="328"/>
        <w:spacing w:after="0" w:line="250" w:lineRule="auto"/>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net loss is expected to be in range between $0.95 million to $2.65 million, or ($0.02) to ($0.05) per basic share, based on 52.4 million estimated weighted average basic shares outstanding.</w:t>
      </w:r>
    </w:p>
    <w:p>
      <w:pPr>
        <w:ind w:left="660" w:right="20" w:hanging="328"/>
        <w:spacing w:after="0" w:line="302" w:lineRule="auto"/>
        <w:tabs>
          <w:tab w:leader="none" w:pos="660" w:val="left"/>
        </w:tabs>
        <w:numPr>
          <w:ilvl w:val="0"/>
          <w:numId w:val="3"/>
        </w:numPr>
        <w:rPr>
          <w:rFonts w:ascii="Arial" w:cs="Arial" w:eastAsia="Arial" w:hAnsi="Arial"/>
          <w:sz w:val="16"/>
          <w:szCs w:val="16"/>
          <w:color w:val="auto"/>
        </w:rPr>
      </w:pPr>
      <w:r>
        <w:rPr>
          <w:rFonts w:ascii="Arial" w:cs="Arial" w:eastAsia="Arial" w:hAnsi="Arial"/>
          <w:sz w:val="16"/>
          <w:szCs w:val="16"/>
          <w:color w:val="auto"/>
        </w:rPr>
        <w:t>Non-GAAP net income, excluding stock-based compensation expense, acquisition expenses, amortization of intangibles and inventory fair value step up related to acquisitions and noncash interest on convertible debt, is expected to be in the range of $47.2 million to $50.6 million, or $0.85 to $0.91 per weighted average diluted share, based on 55.7 million estimated non-GAAP weighted average diluted shares outstanding.</w:t>
      </w:r>
    </w:p>
    <w:p>
      <w:pPr>
        <w:spacing w:after="0" w:line="3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Inphi</w:t>
      </w:r>
    </w:p>
    <w:p>
      <w:pPr>
        <w:spacing w:after="0" w:line="27" w:lineRule="exact"/>
        <w:rPr>
          <w:sz w:val="20"/>
          <w:szCs w:val="20"/>
          <w:color w:val="auto"/>
        </w:rPr>
      </w:pPr>
    </w:p>
    <w:p>
      <w:pPr>
        <w:jc w:val="both"/>
        <w:ind w:right="180"/>
        <w:spacing w:after="0" w:line="281" w:lineRule="auto"/>
        <w:rPr>
          <w:sz w:val="20"/>
          <w:szCs w:val="20"/>
          <w:color w:val="auto"/>
        </w:rPr>
      </w:pPr>
      <w:r>
        <w:rPr>
          <w:rFonts w:ascii="Arial" w:cs="Arial" w:eastAsia="Arial" w:hAnsi="Arial"/>
          <w:sz w:val="16"/>
          <w:szCs w:val="16"/>
          <w:color w:val="auto"/>
        </w:rPr>
        <w:t>Inphi Corporation is a leader in high-speed data movement. We move big data -- fast, throughout the globe, between data centers, and inside data centers. Inphi's expertise in signal integrity results in reliable data delivery, at high speeds, over a variety of distances. As data volumes ramp exponentially due to video streaming, social media, cloud-based services, and wireless infrastructure, the need for speed has never been greater. That's where we come in.</w:t>
      </w:r>
    </w:p>
    <w:p>
      <w:pPr>
        <w:spacing w:after="0" w:line="2" w:lineRule="exact"/>
        <w:rPr>
          <w:sz w:val="20"/>
          <w:szCs w:val="20"/>
          <w:color w:val="auto"/>
        </w:rPr>
      </w:pPr>
    </w:p>
    <w:p>
      <w:pPr>
        <w:ind w:right="220"/>
        <w:spacing w:after="0" w:line="260" w:lineRule="auto"/>
        <w:rPr>
          <w:sz w:val="20"/>
          <w:szCs w:val="20"/>
          <w:color w:val="auto"/>
        </w:rPr>
      </w:pPr>
      <w:r>
        <w:rPr>
          <w:rFonts w:ascii="Arial" w:cs="Arial" w:eastAsia="Arial" w:hAnsi="Arial"/>
          <w:sz w:val="18"/>
          <w:szCs w:val="18"/>
          <w:color w:val="auto"/>
        </w:rPr>
        <w:t>Customers rely on Inphi's solutions to develop and build out the Service Provider and Cloud infrastructures, and data centers of tomorrow. To learn more about Inphi, visit www.inphi.com.</w:t>
      </w:r>
    </w:p>
    <w:p>
      <w:pPr>
        <w:spacing w:after="0" w:line="1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 # #</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Note Concerning Forward-Looking Statements</w:t>
      </w:r>
    </w:p>
    <w:p>
      <w:pPr>
        <w:spacing w:after="0" w:line="27" w:lineRule="exact"/>
        <w:rPr>
          <w:sz w:val="20"/>
          <w:szCs w:val="20"/>
          <w:color w:val="auto"/>
        </w:rPr>
      </w:pPr>
    </w:p>
    <w:p>
      <w:pPr>
        <w:ind w:right="20"/>
        <w:spacing w:after="0" w:line="284" w:lineRule="auto"/>
        <w:rPr>
          <w:sz w:val="20"/>
          <w:szCs w:val="20"/>
          <w:color w:val="auto"/>
        </w:rPr>
      </w:pPr>
      <w:r>
        <w:rPr>
          <w:rFonts w:ascii="Arial" w:cs="Arial" w:eastAsia="Arial" w:hAnsi="Arial"/>
          <w:sz w:val="16"/>
          <w:szCs w:val="16"/>
          <w:color w:val="auto"/>
        </w:rPr>
        <w:t>This press release contains forward-looking statements within the meaning of the Private Securities Litigation Reform Act of 1995. These forward-looking statements may be identified by terms such as outlook, believe, expect, may, will, provide, continue, could, and should, and the negative of these terms or other similar expressions. These statements include statements relating to: the Company’s business outlook and current expectations for 2020, including with respect to the fourth quarter of 2020, revenue, gross margin, stock-based compensation expense, net income or loss, and earnings per share; the Company’s expectations regarding growth opportunities; strength in both our cloud data center and telecom markets, our operating model and the benefits of using non-GAAP financial measures. These statements are based on current expectations and assumptions that are subject to risks and uncertainties. Actual results could differ materially from those anticipated as a result of various factors, including: the Company’s ability to sustain profitable operations due to its history of losses and accumulated deficit; the proposed acquisition, dependence on a limited number of customers for a substantial portion of revenue and lack of long-term purchase commitments from customers; product defects; risk related to intellectual property matters, lengthy sales cycle and competitive selection process; lengthy and expensive qualification processes; ability to develop new or enhanced products in a timely manner; development of target markets; market demand for the Company’s products; reliance on third parties to manufacture, assemble and test products; ability to compete; the ability to effectively integrate eSilicon and other risks inherent in fabless semiconductor businesses. In addition, actual results could differ materially due to changes in tax rates or tax benefits available, changes in demand, including as a result of the impact of the COVID-19 pandemic, changes in government regulation, changes in claims that may or may not be asserted, as well as changes in pending litigation. For a discussion of these and other related risks, please refer to Inphi Corporation’s recent SEC filings, including its Annual Report on Form 10-K for the year ended December 31, 2019, which are available on the SEC’s website at www.sec.gov. Readers are cautioned not to place undue reliance on these forward-looking statements, which speak only as of the date thereof. Inphi Corporation undertakes no obligation to update forward-looking statements for any reason, except as required by law, even as new information becomes available or other events occur in the future.</w:t>
      </w:r>
    </w:p>
    <w:p>
      <w:pPr>
        <w:spacing w:after="0" w:line="171"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Inphi, the Inphi logo and Think fast are registered trademarks of Inphi Corporation. All other trademarks used herein are the property of their respective owners.</w:t>
      </w:r>
    </w:p>
    <w:p>
      <w:pPr>
        <w:spacing w:after="0" w:line="382"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3580" w:type="dxa"/>
            <w:vAlign w:val="bottom"/>
          </w:tcPr>
          <w:p>
            <w:pPr>
              <w:spacing w:after="0"/>
              <w:rPr>
                <w:sz w:val="20"/>
                <w:szCs w:val="20"/>
                <w:color w:val="auto"/>
              </w:rPr>
            </w:pPr>
            <w:r>
              <w:rPr>
                <w:rFonts w:ascii="Arial" w:cs="Arial" w:eastAsia="Arial" w:hAnsi="Arial"/>
                <w:sz w:val="18"/>
                <w:szCs w:val="18"/>
                <w:b w:val="1"/>
                <w:bCs w:val="1"/>
                <w:color w:val="auto"/>
              </w:rPr>
              <w:t>Corporate Contact:</w:t>
            </w:r>
          </w:p>
        </w:tc>
        <w:tc>
          <w:tcPr>
            <w:tcW w:w="7660" w:type="dxa"/>
            <w:vAlign w:val="bottom"/>
          </w:tcPr>
          <w:p>
            <w:pPr>
              <w:ind w:left="2060"/>
              <w:spacing w:after="0"/>
              <w:rPr>
                <w:sz w:val="20"/>
                <w:szCs w:val="20"/>
                <w:color w:val="auto"/>
              </w:rPr>
            </w:pPr>
            <w:r>
              <w:rPr>
                <w:rFonts w:ascii="Arial" w:cs="Arial" w:eastAsia="Arial" w:hAnsi="Arial"/>
                <w:sz w:val="18"/>
                <w:szCs w:val="18"/>
                <w:b w:val="1"/>
                <w:bCs w:val="1"/>
                <w:color w:val="auto"/>
              </w:rPr>
              <w:t>Investor Contact:</w:t>
            </w:r>
          </w:p>
        </w:tc>
      </w:tr>
      <w:tr>
        <w:trPr>
          <w:trHeight w:val="216"/>
        </w:trPr>
        <w:tc>
          <w:tcPr>
            <w:tcW w:w="3580" w:type="dxa"/>
            <w:vAlign w:val="bottom"/>
          </w:tcPr>
          <w:p>
            <w:pPr>
              <w:spacing w:after="0"/>
              <w:rPr>
                <w:sz w:val="20"/>
                <w:szCs w:val="20"/>
                <w:color w:val="auto"/>
              </w:rPr>
            </w:pPr>
            <w:r>
              <w:rPr>
                <w:rFonts w:ascii="Arial" w:cs="Arial" w:eastAsia="Arial" w:hAnsi="Arial"/>
                <w:sz w:val="18"/>
                <w:szCs w:val="18"/>
                <w:color w:val="auto"/>
              </w:rPr>
              <w:t>Kim Markle</w:t>
            </w:r>
          </w:p>
        </w:tc>
        <w:tc>
          <w:tcPr>
            <w:tcW w:w="7660" w:type="dxa"/>
            <w:vAlign w:val="bottom"/>
          </w:tcPr>
          <w:p>
            <w:pPr>
              <w:ind w:left="2060"/>
              <w:spacing w:after="0"/>
              <w:rPr>
                <w:sz w:val="20"/>
                <w:szCs w:val="20"/>
                <w:color w:val="auto"/>
              </w:rPr>
            </w:pPr>
            <w:r>
              <w:rPr>
                <w:rFonts w:ascii="Arial" w:cs="Arial" w:eastAsia="Arial" w:hAnsi="Arial"/>
                <w:sz w:val="18"/>
                <w:szCs w:val="18"/>
                <w:color w:val="auto"/>
              </w:rPr>
              <w:t>Vernon P. Essi, Jr.</w:t>
            </w:r>
          </w:p>
        </w:tc>
      </w:tr>
      <w:tr>
        <w:trPr>
          <w:trHeight w:val="216"/>
        </w:trPr>
        <w:tc>
          <w:tcPr>
            <w:tcW w:w="3580" w:type="dxa"/>
            <w:vAlign w:val="bottom"/>
          </w:tcPr>
          <w:p>
            <w:pPr>
              <w:spacing w:after="0"/>
              <w:rPr>
                <w:sz w:val="20"/>
                <w:szCs w:val="20"/>
                <w:color w:val="auto"/>
              </w:rPr>
            </w:pPr>
            <w:r>
              <w:rPr>
                <w:rFonts w:ascii="Arial" w:cs="Arial" w:eastAsia="Arial" w:hAnsi="Arial"/>
                <w:sz w:val="18"/>
                <w:szCs w:val="18"/>
                <w:color w:val="auto"/>
              </w:rPr>
              <w:t>408-217-7329</w:t>
            </w:r>
          </w:p>
        </w:tc>
        <w:tc>
          <w:tcPr>
            <w:tcW w:w="7660" w:type="dxa"/>
            <w:vAlign w:val="bottom"/>
          </w:tcPr>
          <w:p>
            <w:pPr>
              <w:ind w:left="2060"/>
              <w:spacing w:after="0"/>
              <w:rPr>
                <w:sz w:val="20"/>
                <w:szCs w:val="20"/>
                <w:color w:val="auto"/>
              </w:rPr>
            </w:pPr>
            <w:r>
              <w:rPr>
                <w:rFonts w:ascii="Arial" w:cs="Arial" w:eastAsia="Arial" w:hAnsi="Arial"/>
                <w:sz w:val="18"/>
                <w:szCs w:val="18"/>
                <w:color w:val="auto"/>
              </w:rPr>
              <w:t>408-606-6524</w:t>
            </w:r>
          </w:p>
        </w:tc>
      </w:tr>
      <w:tr>
        <w:trPr>
          <w:trHeight w:val="230"/>
        </w:trPr>
        <w:tc>
          <w:tcPr>
            <w:tcW w:w="3580" w:type="dxa"/>
            <w:vAlign w:val="bottom"/>
          </w:tcPr>
          <w:p>
            <w:pPr>
              <w:spacing w:after="0"/>
              <w:rPr>
                <w:sz w:val="20"/>
                <w:szCs w:val="20"/>
                <w:color w:val="auto"/>
              </w:rPr>
            </w:pPr>
            <w:r>
              <w:rPr>
                <w:rFonts w:ascii="Arial" w:cs="Arial" w:eastAsia="Arial" w:hAnsi="Arial"/>
                <w:sz w:val="18"/>
                <w:szCs w:val="18"/>
                <w:color w:val="auto"/>
              </w:rPr>
              <w:t>kmarkle@inphi.com</w:t>
            </w:r>
          </w:p>
        </w:tc>
        <w:tc>
          <w:tcPr>
            <w:tcW w:w="7660" w:type="dxa"/>
            <w:vAlign w:val="bottom"/>
          </w:tcPr>
          <w:p>
            <w:pPr>
              <w:ind w:left="2060"/>
              <w:spacing w:after="0"/>
              <w:rPr>
                <w:sz w:val="20"/>
                <w:szCs w:val="20"/>
                <w:color w:val="auto"/>
              </w:rPr>
            </w:pPr>
            <w:r>
              <w:rPr>
                <w:rFonts w:ascii="Arial" w:cs="Arial" w:eastAsia="Arial" w:hAnsi="Arial"/>
                <w:sz w:val="18"/>
                <w:szCs w:val="18"/>
                <w:color w:val="auto"/>
              </w:rPr>
              <w:t>investors@inphi.com</w:t>
            </w:r>
          </w:p>
        </w:tc>
      </w:tr>
      <w:tr>
        <w:trPr>
          <w:trHeight w:val="574"/>
        </w:trPr>
        <w:tc>
          <w:tcPr>
            <w:tcW w:w="3580" w:type="dxa"/>
            <w:vAlign w:val="bottom"/>
            <w:tcBorders>
              <w:bottom w:val="single" w:sz="8" w:color="auto"/>
            </w:tcBorders>
          </w:tcPr>
          <w:p>
            <w:pPr>
              <w:spacing w:after="0"/>
              <w:rPr>
                <w:sz w:val="24"/>
                <w:szCs w:val="24"/>
                <w:color w:val="auto"/>
              </w:rPr>
            </w:pPr>
          </w:p>
        </w:tc>
        <w:tc>
          <w:tcPr>
            <w:tcW w:w="7660" w:type="dxa"/>
            <w:vAlign w:val="bottom"/>
            <w:tcBorders>
              <w:bottom w:val="single" w:sz="8" w:color="auto"/>
            </w:tcBorders>
          </w:tcPr>
          <w:p>
            <w:pPr>
              <w:spacing w:after="0"/>
              <w:rPr>
                <w:sz w:val="24"/>
                <w:szCs w:val="24"/>
                <w:color w:val="auto"/>
              </w:rPr>
            </w:pPr>
          </w:p>
        </w:tc>
      </w:tr>
    </w:tbl>
    <w:p>
      <w:pPr>
        <w:sectPr>
          <w:pgSz w:w="11900" w:h="16838" w:orient="portrait"/>
          <w:cols w:equalWidth="0" w:num="1">
            <w:col w:w="11240"/>
          </w:cols>
          <w:pgMar w:left="320" w:top="580" w:right="33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INPHI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(in thousands of dollars, except share and per share amounts)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(Unaudited)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9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520" w:type="dxa"/>
            <w:vAlign w:val="bottom"/>
            <w:gridSpan w:val="5"/>
          </w:tcPr>
          <w:p>
            <w:pPr>
              <w:jc w:val="right"/>
              <w:ind w:right="660"/>
              <w:spacing w:after="0"/>
              <w:rPr>
                <w:sz w:val="20"/>
                <w:szCs w:val="20"/>
                <w:color w:val="auto"/>
              </w:rPr>
            </w:pPr>
            <w:r>
              <w:rPr>
                <w:rFonts w:ascii="Arial" w:cs="Arial" w:eastAsia="Arial" w:hAnsi="Arial"/>
                <w:sz w:val="18"/>
                <w:szCs w:val="18"/>
                <w:b w:val="1"/>
                <w:bCs w:val="1"/>
                <w:color w:val="auto"/>
              </w:rPr>
              <w:t>Three Months Ended</w:t>
            </w:r>
          </w:p>
        </w:tc>
        <w:tc>
          <w:tcPr>
            <w:tcW w:w="200" w:type="dxa"/>
            <w:vAlign w:val="bottom"/>
          </w:tcPr>
          <w:p>
            <w:pPr>
              <w:spacing w:after="0"/>
              <w:rPr>
                <w:sz w:val="18"/>
                <w:szCs w:val="18"/>
                <w:color w:val="auto"/>
              </w:rPr>
            </w:pPr>
          </w:p>
        </w:tc>
        <w:tc>
          <w:tcPr>
            <w:tcW w:w="2340" w:type="dxa"/>
            <w:vAlign w:val="bottom"/>
            <w:gridSpan w:val="5"/>
          </w:tcPr>
          <w:p>
            <w:pPr>
              <w:jc w:val="right"/>
              <w:ind w:right="560"/>
              <w:spacing w:after="0"/>
              <w:rPr>
                <w:sz w:val="20"/>
                <w:szCs w:val="20"/>
                <w:color w:val="auto"/>
              </w:rPr>
            </w:pPr>
            <w:r>
              <w:rPr>
                <w:rFonts w:ascii="Arial" w:cs="Arial" w:eastAsia="Arial" w:hAnsi="Arial"/>
                <w:sz w:val="18"/>
                <w:szCs w:val="18"/>
                <w:b w:val="1"/>
                <w:bCs w:val="1"/>
                <w:color w:val="auto"/>
              </w:rPr>
              <w:t>Nine Months Ended</w:t>
            </w:r>
          </w:p>
        </w:tc>
      </w:tr>
      <w:tr>
        <w:trPr>
          <w:trHeight w:val="234"/>
        </w:trPr>
        <w:tc>
          <w:tcPr>
            <w:tcW w:w="59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520" w:type="dxa"/>
            <w:vAlign w:val="bottom"/>
            <w:gridSpan w:val="5"/>
          </w:tcPr>
          <w:p>
            <w:pPr>
              <w:jc w:val="right"/>
              <w:ind w:right="920"/>
              <w:spacing w:after="0"/>
              <w:rPr>
                <w:sz w:val="20"/>
                <w:szCs w:val="20"/>
                <w:color w:val="auto"/>
              </w:rPr>
            </w:pPr>
            <w:r>
              <w:rPr>
                <w:rFonts w:ascii="Arial" w:cs="Arial" w:eastAsia="Arial" w:hAnsi="Arial"/>
                <w:sz w:val="18"/>
                <w:szCs w:val="18"/>
                <w:b w:val="1"/>
                <w:bCs w:val="1"/>
                <w:color w:val="auto"/>
              </w:rPr>
              <w:t>September 30,</w:t>
            </w:r>
          </w:p>
        </w:tc>
        <w:tc>
          <w:tcPr>
            <w:tcW w:w="200" w:type="dxa"/>
            <w:vAlign w:val="bottom"/>
          </w:tcPr>
          <w:p>
            <w:pPr>
              <w:spacing w:after="0"/>
              <w:rPr>
                <w:sz w:val="20"/>
                <w:szCs w:val="20"/>
                <w:color w:val="auto"/>
              </w:rPr>
            </w:pPr>
          </w:p>
        </w:tc>
        <w:tc>
          <w:tcPr>
            <w:tcW w:w="2340" w:type="dxa"/>
            <w:vAlign w:val="bottom"/>
            <w:gridSpan w:val="5"/>
          </w:tcPr>
          <w:p>
            <w:pPr>
              <w:jc w:val="right"/>
              <w:ind w:right="780"/>
              <w:spacing w:after="0"/>
              <w:rPr>
                <w:sz w:val="20"/>
                <w:szCs w:val="20"/>
                <w:color w:val="auto"/>
              </w:rPr>
            </w:pPr>
            <w:r>
              <w:rPr>
                <w:rFonts w:ascii="Arial" w:cs="Arial" w:eastAsia="Arial" w:hAnsi="Arial"/>
                <w:sz w:val="18"/>
                <w:szCs w:val="18"/>
                <w:b w:val="1"/>
                <w:bCs w:val="1"/>
                <w:color w:val="auto"/>
              </w:rPr>
              <w:t>September 30,</w:t>
            </w:r>
          </w:p>
        </w:tc>
      </w:tr>
      <w:tr>
        <w:trPr>
          <w:trHeight w:val="209"/>
        </w:trPr>
        <w:tc>
          <w:tcPr>
            <w:tcW w:w="5980" w:type="dxa"/>
            <w:vAlign w:val="bottom"/>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ind w:right="290"/>
              <w:spacing w:after="0"/>
              <w:rPr>
                <w:sz w:val="20"/>
                <w:szCs w:val="20"/>
                <w:color w:val="auto"/>
              </w:rPr>
            </w:pPr>
            <w:r>
              <w:rPr>
                <w:rFonts w:ascii="Arial" w:cs="Arial" w:eastAsia="Arial" w:hAnsi="Arial"/>
                <w:sz w:val="18"/>
                <w:szCs w:val="18"/>
                <w:b w:val="1"/>
                <w:bCs w:val="1"/>
                <w:color w:val="auto"/>
              </w:rPr>
              <w:t>2020</w:t>
            </w:r>
          </w:p>
        </w:tc>
        <w:tc>
          <w:tcPr>
            <w:tcW w:w="260" w:type="dxa"/>
            <w:vAlign w:val="bottom"/>
            <w:tcBorders>
              <w:top w:val="single" w:sz="8" w:color="auto"/>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ind w:right="290"/>
              <w:spacing w:after="0"/>
              <w:rPr>
                <w:sz w:val="20"/>
                <w:szCs w:val="20"/>
                <w:color w:val="auto"/>
              </w:rPr>
            </w:pPr>
            <w:r>
              <w:rPr>
                <w:rFonts w:ascii="Arial" w:cs="Arial" w:eastAsia="Arial" w:hAnsi="Arial"/>
                <w:sz w:val="18"/>
                <w:szCs w:val="18"/>
                <w:b w:val="1"/>
                <w:bCs w:val="1"/>
                <w:color w:val="auto"/>
              </w:rPr>
              <w:t>2019</w:t>
            </w:r>
          </w:p>
        </w:tc>
        <w:tc>
          <w:tcPr>
            <w:tcW w:w="220" w:type="dxa"/>
            <w:vAlign w:val="bottom"/>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ind w:right="270"/>
              <w:spacing w:after="0"/>
              <w:rPr>
                <w:sz w:val="20"/>
                <w:szCs w:val="20"/>
                <w:color w:val="auto"/>
              </w:rPr>
            </w:pPr>
            <w:r>
              <w:rPr>
                <w:rFonts w:ascii="Arial" w:cs="Arial" w:eastAsia="Arial" w:hAnsi="Arial"/>
                <w:sz w:val="18"/>
                <w:szCs w:val="18"/>
                <w:b w:val="1"/>
                <w:bCs w:val="1"/>
                <w:color w:val="auto"/>
              </w:rPr>
              <w:t>2020</w:t>
            </w:r>
          </w:p>
        </w:tc>
        <w:tc>
          <w:tcPr>
            <w:tcW w:w="220" w:type="dxa"/>
            <w:vAlign w:val="bottom"/>
            <w:tcBorders>
              <w:top w:val="single" w:sz="8" w:color="auto"/>
            </w:tcBorders>
          </w:tcPr>
          <w:p>
            <w:pPr>
              <w:spacing w:after="0"/>
              <w:rPr>
                <w:sz w:val="18"/>
                <w:szCs w:val="18"/>
                <w:color w:val="auto"/>
              </w:rPr>
            </w:pPr>
          </w:p>
        </w:tc>
        <w:tc>
          <w:tcPr>
            <w:tcW w:w="20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ind w:right="290"/>
              <w:spacing w:after="0"/>
              <w:rPr>
                <w:sz w:val="20"/>
                <w:szCs w:val="20"/>
                <w:color w:val="auto"/>
              </w:rPr>
            </w:pPr>
            <w:r>
              <w:rPr>
                <w:rFonts w:ascii="Arial" w:cs="Arial" w:eastAsia="Arial" w:hAnsi="Arial"/>
                <w:sz w:val="18"/>
                <w:szCs w:val="18"/>
                <w:b w:val="1"/>
                <w:bCs w:val="1"/>
                <w:color w:val="auto"/>
              </w:rPr>
              <w:t>2019</w:t>
            </w:r>
          </w:p>
        </w:tc>
        <w:tc>
          <w:tcPr>
            <w:tcW w:w="100" w:type="dxa"/>
            <w:vAlign w:val="bottom"/>
          </w:tcPr>
          <w:p>
            <w:pPr>
              <w:spacing w:after="0"/>
              <w:rPr>
                <w:sz w:val="18"/>
                <w:szCs w:val="18"/>
                <w:color w:val="auto"/>
              </w:rPr>
            </w:pPr>
          </w:p>
        </w:tc>
      </w:tr>
      <w:tr>
        <w:trPr>
          <w:trHeight w:val="209"/>
        </w:trPr>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200" w:type="dxa"/>
            <w:vAlign w:val="bottom"/>
            <w:shd w:val="clear" w:color="auto" w:fill="CCEEFF"/>
          </w:tcPr>
          <w:p>
            <w:pPr>
              <w:jc w:val="right"/>
              <w:ind w:right="47"/>
              <w:spacing w:after="0"/>
              <w:rPr>
                <w:sz w:val="20"/>
                <w:szCs w:val="20"/>
                <w:color w:val="auto"/>
              </w:rPr>
            </w:pPr>
            <w:r>
              <w:rPr>
                <w:rFonts w:ascii="Arial" w:cs="Arial" w:eastAsia="Arial" w:hAnsi="Arial"/>
                <w:sz w:val="15"/>
                <w:szCs w:val="15"/>
                <w:color w:val="auto"/>
                <w:w w:val="71"/>
              </w:rPr>
              <w:t>$</w:t>
            </w: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180,691</w:t>
            </w:r>
          </w:p>
        </w:tc>
        <w:tc>
          <w:tcPr>
            <w:tcW w:w="200" w:type="dxa"/>
            <w:vAlign w:val="bottom"/>
            <w:shd w:val="clear" w:color="auto" w:fill="CCEEFF"/>
          </w:tcPr>
          <w:p>
            <w:pPr>
              <w:jc w:val="right"/>
              <w:ind w:right="47"/>
              <w:spacing w:after="0"/>
              <w:rPr>
                <w:sz w:val="20"/>
                <w:szCs w:val="20"/>
                <w:color w:val="auto"/>
              </w:rPr>
            </w:pPr>
            <w:r>
              <w:rPr>
                <w:rFonts w:ascii="Arial" w:cs="Arial" w:eastAsia="Arial" w:hAnsi="Arial"/>
                <w:sz w:val="15"/>
                <w:szCs w:val="15"/>
                <w:color w:val="auto"/>
                <w:w w:val="71"/>
              </w:rPr>
              <w:t>$</w:t>
            </w: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94,231</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495,413</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262,739</w:t>
            </w:r>
          </w:p>
        </w:tc>
      </w:tr>
      <w:tr>
        <w:trPr>
          <w:trHeight w:val="216"/>
        </w:trPr>
        <w:tc>
          <w:tcPr>
            <w:tcW w:w="5980" w:type="dxa"/>
            <w:vAlign w:val="bottom"/>
          </w:tcPr>
          <w:p>
            <w:pPr>
              <w:spacing w:after="0"/>
              <w:rPr>
                <w:sz w:val="20"/>
                <w:szCs w:val="20"/>
                <w:color w:val="auto"/>
              </w:rPr>
            </w:pPr>
            <w:r>
              <w:rPr>
                <w:rFonts w:ascii="Arial" w:cs="Arial" w:eastAsia="Arial" w:hAnsi="Arial"/>
                <w:sz w:val="18"/>
                <w:szCs w:val="18"/>
                <w:color w:val="auto"/>
              </w:rPr>
              <w:t>Cost of revenue</w:t>
            </w:r>
          </w:p>
        </w:tc>
        <w:tc>
          <w:tcPr>
            <w:tcW w:w="200" w:type="dxa"/>
            <w:vAlign w:val="bottom"/>
          </w:tcPr>
          <w:p>
            <w:pPr>
              <w:spacing w:after="0"/>
              <w:rPr>
                <w:sz w:val="18"/>
                <w:szCs w:val="18"/>
                <w:color w:val="auto"/>
              </w:rPr>
            </w:pPr>
          </w:p>
        </w:tc>
        <w:tc>
          <w:tcPr>
            <w:tcW w:w="1180" w:type="dxa"/>
            <w:vAlign w:val="bottom"/>
            <w:gridSpan w:val="2"/>
          </w:tcPr>
          <w:p>
            <w:pPr>
              <w:jc w:val="right"/>
              <w:ind w:right="260"/>
              <w:spacing w:after="0"/>
              <w:rPr>
                <w:sz w:val="20"/>
                <w:szCs w:val="20"/>
                <w:color w:val="auto"/>
              </w:rPr>
            </w:pPr>
            <w:r>
              <w:rPr>
                <w:rFonts w:ascii="Arial" w:cs="Arial" w:eastAsia="Arial" w:hAnsi="Arial"/>
                <w:sz w:val="18"/>
                <w:szCs w:val="18"/>
                <w:color w:val="auto"/>
              </w:rPr>
              <w:t>79,151</w:t>
            </w:r>
          </w:p>
        </w:tc>
        <w:tc>
          <w:tcPr>
            <w:tcW w:w="200" w:type="dxa"/>
            <w:vAlign w:val="bottom"/>
          </w:tcPr>
          <w:p>
            <w:pPr>
              <w:spacing w:after="0"/>
              <w:rPr>
                <w:sz w:val="18"/>
                <w:szCs w:val="18"/>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39,749</w:t>
            </w:r>
          </w:p>
        </w:tc>
        <w:tc>
          <w:tcPr>
            <w:tcW w:w="20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227,244</w:t>
            </w:r>
          </w:p>
        </w:tc>
        <w:tc>
          <w:tcPr>
            <w:tcW w:w="2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111,517</w:t>
            </w:r>
          </w:p>
        </w:tc>
      </w:tr>
      <w:tr>
        <w:trPr>
          <w:trHeight w:val="20"/>
        </w:trPr>
        <w:tc>
          <w:tcPr>
            <w:tcW w:w="598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Gross margin</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101,540</w:t>
            </w:r>
          </w:p>
        </w:tc>
        <w:tc>
          <w:tcPr>
            <w:tcW w:w="2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54,482</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268,169</w:t>
            </w: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151,222</w:t>
            </w:r>
          </w:p>
        </w:tc>
      </w:tr>
      <w:tr>
        <w:trPr>
          <w:trHeight w:val="209"/>
        </w:trPr>
        <w:tc>
          <w:tcPr>
            <w:tcW w:w="5980" w:type="dxa"/>
            <w:vAlign w:val="bottom"/>
            <w:tcBorders>
              <w:top w:val="single" w:sz="8" w:color="CCEEFF"/>
            </w:tcBorders>
          </w:tcPr>
          <w:p>
            <w:pPr>
              <w:spacing w:after="0"/>
              <w:rPr>
                <w:sz w:val="20"/>
                <w:szCs w:val="20"/>
                <w:color w:val="auto"/>
              </w:rPr>
            </w:pPr>
            <w:r>
              <w:rPr>
                <w:rFonts w:ascii="Arial" w:cs="Arial" w:eastAsia="Arial" w:hAnsi="Arial"/>
                <w:sz w:val="18"/>
                <w:szCs w:val="18"/>
                <w:color w:val="auto"/>
              </w:rPr>
              <w:t>Operating expenses:</w:t>
            </w:r>
          </w:p>
        </w:tc>
        <w:tc>
          <w:tcPr>
            <w:tcW w:w="20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60" w:type="dxa"/>
            <w:vAlign w:val="bottom"/>
            <w:tcBorders>
              <w:top w:val="single" w:sz="8" w:color="CCEEFF"/>
            </w:tcBorders>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20" w:type="dxa"/>
            <w:vAlign w:val="bottom"/>
            <w:tcBorders>
              <w:top w:val="single" w:sz="8" w:color="CCEEFF"/>
            </w:tcBorders>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220" w:type="dxa"/>
            <w:vAlign w:val="bottom"/>
            <w:tcBorders>
              <w:top w:val="single" w:sz="8" w:color="CCEEFF"/>
            </w:tcBorders>
          </w:tcPr>
          <w:p>
            <w:pPr>
              <w:spacing w:after="0"/>
              <w:rPr>
                <w:sz w:val="18"/>
                <w:szCs w:val="18"/>
                <w:color w:val="auto"/>
              </w:rPr>
            </w:pPr>
          </w:p>
        </w:tc>
        <w:tc>
          <w:tcPr>
            <w:tcW w:w="20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100" w:type="dxa"/>
            <w:vAlign w:val="bottom"/>
            <w:tcBorders>
              <w:top w:val="single" w:sz="8" w:color="CCEEFF"/>
            </w:tcBorders>
          </w:tcPr>
          <w:p>
            <w:pPr>
              <w:spacing w:after="0"/>
              <w:rPr>
                <w:sz w:val="18"/>
                <w:szCs w:val="18"/>
                <w:color w:val="auto"/>
              </w:rPr>
            </w:pPr>
          </w:p>
        </w:tc>
      </w:tr>
      <w:tr>
        <w:trPr>
          <w:trHeight w:val="216"/>
        </w:trPr>
        <w:tc>
          <w:tcPr>
            <w:tcW w:w="5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Research and development</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66,832</w:t>
            </w:r>
          </w:p>
        </w:tc>
        <w:tc>
          <w:tcPr>
            <w:tcW w:w="2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44,895</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198,701</w:t>
            </w: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133,999</w:t>
            </w:r>
          </w:p>
        </w:tc>
      </w:tr>
      <w:tr>
        <w:trPr>
          <w:trHeight w:val="216"/>
        </w:trPr>
        <w:tc>
          <w:tcPr>
            <w:tcW w:w="5980" w:type="dxa"/>
            <w:vAlign w:val="bottom"/>
          </w:tcPr>
          <w:p>
            <w:pPr>
              <w:ind w:left="180"/>
              <w:spacing w:after="0"/>
              <w:rPr>
                <w:sz w:val="20"/>
                <w:szCs w:val="20"/>
                <w:color w:val="auto"/>
              </w:rPr>
            </w:pPr>
            <w:r>
              <w:rPr>
                <w:rFonts w:ascii="Arial" w:cs="Arial" w:eastAsia="Arial" w:hAnsi="Arial"/>
                <w:sz w:val="18"/>
                <w:szCs w:val="18"/>
                <w:color w:val="auto"/>
              </w:rPr>
              <w:t>Sales and marketing</w:t>
            </w:r>
          </w:p>
        </w:tc>
        <w:tc>
          <w:tcPr>
            <w:tcW w:w="200" w:type="dxa"/>
            <w:vAlign w:val="bottom"/>
          </w:tcPr>
          <w:p>
            <w:pPr>
              <w:spacing w:after="0"/>
              <w:rPr>
                <w:sz w:val="18"/>
                <w:szCs w:val="18"/>
                <w:color w:val="auto"/>
              </w:rPr>
            </w:pPr>
          </w:p>
        </w:tc>
        <w:tc>
          <w:tcPr>
            <w:tcW w:w="1180" w:type="dxa"/>
            <w:vAlign w:val="bottom"/>
            <w:gridSpan w:val="2"/>
          </w:tcPr>
          <w:p>
            <w:pPr>
              <w:jc w:val="right"/>
              <w:ind w:right="260"/>
              <w:spacing w:after="0"/>
              <w:rPr>
                <w:sz w:val="20"/>
                <w:szCs w:val="20"/>
                <w:color w:val="auto"/>
              </w:rPr>
            </w:pPr>
            <w:r>
              <w:rPr>
                <w:rFonts w:ascii="Arial" w:cs="Arial" w:eastAsia="Arial" w:hAnsi="Arial"/>
                <w:sz w:val="18"/>
                <w:szCs w:val="18"/>
                <w:color w:val="auto"/>
              </w:rPr>
              <w:t>15,341</w:t>
            </w:r>
          </w:p>
        </w:tc>
        <w:tc>
          <w:tcPr>
            <w:tcW w:w="200" w:type="dxa"/>
            <w:vAlign w:val="bottom"/>
          </w:tcPr>
          <w:p>
            <w:pPr>
              <w:spacing w:after="0"/>
              <w:rPr>
                <w:sz w:val="18"/>
                <w:szCs w:val="18"/>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12,311</w:t>
            </w:r>
          </w:p>
        </w:tc>
        <w:tc>
          <w:tcPr>
            <w:tcW w:w="20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45,274</w:t>
            </w:r>
          </w:p>
        </w:tc>
        <w:tc>
          <w:tcPr>
            <w:tcW w:w="2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35,344</w:t>
            </w:r>
          </w:p>
        </w:tc>
      </w:tr>
      <w:tr>
        <w:trPr>
          <w:trHeight w:val="216"/>
        </w:trPr>
        <w:tc>
          <w:tcPr>
            <w:tcW w:w="5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General and administrative</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13,125</w:t>
            </w:r>
          </w:p>
        </w:tc>
        <w:tc>
          <w:tcPr>
            <w:tcW w:w="2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8,165</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38,508</w:t>
            </w: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22,478</w:t>
            </w:r>
          </w:p>
        </w:tc>
      </w:tr>
      <w:tr>
        <w:trPr>
          <w:trHeight w:val="20"/>
        </w:trPr>
        <w:tc>
          <w:tcPr>
            <w:tcW w:w="598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r>
      <w:tr>
        <w:trPr>
          <w:trHeight w:val="209"/>
        </w:trPr>
        <w:tc>
          <w:tcPr>
            <w:tcW w:w="5980" w:type="dxa"/>
            <w:vAlign w:val="bottom"/>
          </w:tcPr>
          <w:p>
            <w:pPr>
              <w:spacing w:after="0"/>
              <w:rPr>
                <w:sz w:val="20"/>
                <w:szCs w:val="20"/>
                <w:color w:val="auto"/>
              </w:rPr>
            </w:pPr>
            <w:r>
              <w:rPr>
                <w:rFonts w:ascii="Arial" w:cs="Arial" w:eastAsia="Arial" w:hAnsi="Arial"/>
                <w:sz w:val="18"/>
                <w:szCs w:val="18"/>
                <w:color w:val="auto"/>
              </w:rPr>
              <w:t>Total operating expenses</w:t>
            </w:r>
          </w:p>
        </w:tc>
        <w:tc>
          <w:tcPr>
            <w:tcW w:w="200" w:type="dxa"/>
            <w:vAlign w:val="bottom"/>
          </w:tcPr>
          <w:p>
            <w:pPr>
              <w:spacing w:after="0"/>
              <w:rPr>
                <w:sz w:val="18"/>
                <w:szCs w:val="18"/>
                <w:color w:val="auto"/>
              </w:rPr>
            </w:pPr>
          </w:p>
        </w:tc>
        <w:tc>
          <w:tcPr>
            <w:tcW w:w="1180" w:type="dxa"/>
            <w:vAlign w:val="bottom"/>
            <w:gridSpan w:val="2"/>
          </w:tcPr>
          <w:p>
            <w:pPr>
              <w:jc w:val="right"/>
              <w:ind w:right="260"/>
              <w:spacing w:after="0"/>
              <w:rPr>
                <w:sz w:val="20"/>
                <w:szCs w:val="20"/>
                <w:color w:val="auto"/>
              </w:rPr>
            </w:pPr>
            <w:r>
              <w:rPr>
                <w:rFonts w:ascii="Arial" w:cs="Arial" w:eastAsia="Arial" w:hAnsi="Arial"/>
                <w:sz w:val="18"/>
                <w:szCs w:val="18"/>
                <w:color w:val="auto"/>
              </w:rPr>
              <w:t>95,298</w:t>
            </w:r>
          </w:p>
        </w:tc>
        <w:tc>
          <w:tcPr>
            <w:tcW w:w="200" w:type="dxa"/>
            <w:vAlign w:val="bottom"/>
          </w:tcPr>
          <w:p>
            <w:pPr>
              <w:spacing w:after="0"/>
              <w:rPr>
                <w:sz w:val="18"/>
                <w:szCs w:val="18"/>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65,371</w:t>
            </w:r>
          </w:p>
        </w:tc>
        <w:tc>
          <w:tcPr>
            <w:tcW w:w="20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282,483</w:t>
            </w:r>
          </w:p>
        </w:tc>
        <w:tc>
          <w:tcPr>
            <w:tcW w:w="2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191,821</w:t>
            </w:r>
          </w:p>
        </w:tc>
      </w:tr>
      <w:tr>
        <w:trPr>
          <w:trHeight w:val="20"/>
        </w:trPr>
        <w:tc>
          <w:tcPr>
            <w:tcW w:w="598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Income (loss) from operations</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6,242</w:t>
            </w:r>
          </w:p>
        </w:tc>
        <w:tc>
          <w:tcPr>
            <w:tcW w:w="2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(10,889)</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(14,314)</w:t>
            </w: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(40,599)</w:t>
            </w:r>
          </w:p>
        </w:tc>
      </w:tr>
      <w:tr>
        <w:trPr>
          <w:trHeight w:val="216"/>
        </w:trPr>
        <w:tc>
          <w:tcPr>
            <w:tcW w:w="5980" w:type="dxa"/>
            <w:vAlign w:val="bottom"/>
          </w:tcPr>
          <w:p>
            <w:pPr>
              <w:spacing w:after="0"/>
              <w:rPr>
                <w:sz w:val="20"/>
                <w:szCs w:val="20"/>
                <w:color w:val="auto"/>
              </w:rPr>
            </w:pPr>
            <w:r>
              <w:rPr>
                <w:rFonts w:ascii="Arial" w:cs="Arial" w:eastAsia="Arial" w:hAnsi="Arial"/>
                <w:sz w:val="18"/>
                <w:szCs w:val="18"/>
                <w:color w:val="auto"/>
              </w:rPr>
              <w:t>Loss on early extinguishment of convertible debt</w:t>
            </w:r>
          </w:p>
        </w:tc>
        <w:tc>
          <w:tcPr>
            <w:tcW w:w="200" w:type="dxa"/>
            <w:vAlign w:val="bottom"/>
          </w:tcPr>
          <w:p>
            <w:pPr>
              <w:spacing w:after="0"/>
              <w:rPr>
                <w:sz w:val="18"/>
                <w:szCs w:val="18"/>
                <w:color w:val="auto"/>
              </w:rPr>
            </w:pPr>
          </w:p>
        </w:tc>
        <w:tc>
          <w:tcPr>
            <w:tcW w:w="1180" w:type="dxa"/>
            <w:vAlign w:val="bottom"/>
            <w:gridSpan w:val="2"/>
          </w:tcPr>
          <w:p>
            <w:pPr>
              <w:jc w:val="right"/>
              <w:ind w:right="200"/>
              <w:spacing w:after="0"/>
              <w:rPr>
                <w:sz w:val="20"/>
                <w:szCs w:val="20"/>
                <w:color w:val="auto"/>
              </w:rPr>
            </w:pPr>
            <w:r>
              <w:rPr>
                <w:rFonts w:ascii="Arial" w:cs="Arial" w:eastAsia="Arial" w:hAnsi="Arial"/>
                <w:sz w:val="18"/>
                <w:szCs w:val="18"/>
                <w:color w:val="auto"/>
              </w:rPr>
              <w:t>(149)</w:t>
            </w:r>
          </w:p>
        </w:tc>
        <w:tc>
          <w:tcPr>
            <w:tcW w:w="200" w:type="dxa"/>
            <w:vAlign w:val="bottom"/>
          </w:tcPr>
          <w:p>
            <w:pPr>
              <w:spacing w:after="0"/>
              <w:rPr>
                <w:sz w:val="18"/>
                <w:szCs w:val="18"/>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(13,446)</w:t>
            </w:r>
          </w:p>
        </w:tc>
        <w:tc>
          <w:tcPr>
            <w:tcW w:w="2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r>
      <w:tr>
        <w:trPr>
          <w:trHeight w:val="216"/>
        </w:trPr>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Interest expense, net of other income</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(8,285)</w:t>
            </w:r>
          </w:p>
        </w:tc>
        <w:tc>
          <w:tcPr>
            <w:tcW w:w="2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(4,672)</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(18,475)</w:t>
            </w: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(17,652)</w:t>
            </w:r>
          </w:p>
        </w:tc>
      </w:tr>
      <w:tr>
        <w:trPr>
          <w:trHeight w:val="20"/>
        </w:trPr>
        <w:tc>
          <w:tcPr>
            <w:tcW w:w="598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r>
      <w:tr>
        <w:trPr>
          <w:trHeight w:val="209"/>
        </w:trPr>
        <w:tc>
          <w:tcPr>
            <w:tcW w:w="5980" w:type="dxa"/>
            <w:vAlign w:val="bottom"/>
          </w:tcPr>
          <w:p>
            <w:pPr>
              <w:spacing w:after="0"/>
              <w:rPr>
                <w:sz w:val="20"/>
                <w:szCs w:val="20"/>
                <w:color w:val="auto"/>
              </w:rPr>
            </w:pPr>
            <w:r>
              <w:rPr>
                <w:rFonts w:ascii="Arial" w:cs="Arial" w:eastAsia="Arial" w:hAnsi="Arial"/>
                <w:sz w:val="18"/>
                <w:szCs w:val="18"/>
                <w:color w:val="auto"/>
              </w:rPr>
              <w:t>Loss before income taxes</w:t>
            </w:r>
          </w:p>
        </w:tc>
        <w:tc>
          <w:tcPr>
            <w:tcW w:w="200" w:type="dxa"/>
            <w:vAlign w:val="bottom"/>
          </w:tcPr>
          <w:p>
            <w:pPr>
              <w:spacing w:after="0"/>
              <w:rPr>
                <w:sz w:val="18"/>
                <w:szCs w:val="18"/>
                <w:color w:val="auto"/>
              </w:rPr>
            </w:pPr>
          </w:p>
        </w:tc>
        <w:tc>
          <w:tcPr>
            <w:tcW w:w="1180" w:type="dxa"/>
            <w:vAlign w:val="bottom"/>
            <w:gridSpan w:val="2"/>
          </w:tcPr>
          <w:p>
            <w:pPr>
              <w:jc w:val="right"/>
              <w:ind w:right="200"/>
              <w:spacing w:after="0"/>
              <w:rPr>
                <w:sz w:val="20"/>
                <w:szCs w:val="20"/>
                <w:color w:val="auto"/>
              </w:rPr>
            </w:pPr>
            <w:r>
              <w:rPr>
                <w:rFonts w:ascii="Arial" w:cs="Arial" w:eastAsia="Arial" w:hAnsi="Arial"/>
                <w:sz w:val="18"/>
                <w:szCs w:val="18"/>
                <w:color w:val="auto"/>
              </w:rPr>
              <w:t>(2,192)</w:t>
            </w:r>
          </w:p>
        </w:tc>
        <w:tc>
          <w:tcPr>
            <w:tcW w:w="20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(15,561)</w:t>
            </w:r>
          </w:p>
        </w:tc>
        <w:tc>
          <w:tcPr>
            <w:tcW w:w="20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(46,235)</w:t>
            </w:r>
          </w:p>
        </w:tc>
        <w:tc>
          <w:tcPr>
            <w:tcW w:w="200" w:type="dxa"/>
            <w:vAlign w:val="bottom"/>
          </w:tcPr>
          <w:p>
            <w:pPr>
              <w:spacing w:after="0"/>
              <w:rPr>
                <w:sz w:val="18"/>
                <w:szCs w:val="18"/>
                <w:color w:val="auto"/>
              </w:rPr>
            </w:pP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(58,251)</w:t>
            </w:r>
          </w:p>
        </w:tc>
      </w:tr>
      <w:tr>
        <w:trPr>
          <w:trHeight w:val="216"/>
        </w:trPr>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Provision for income taxes</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1,188</w:t>
            </w:r>
          </w:p>
        </w:tc>
        <w:tc>
          <w:tcPr>
            <w:tcW w:w="2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619</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1,482</w:t>
            </w: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1,252</w:t>
            </w:r>
          </w:p>
        </w:tc>
      </w:tr>
      <w:tr>
        <w:trPr>
          <w:trHeight w:val="20"/>
        </w:trPr>
        <w:tc>
          <w:tcPr>
            <w:tcW w:w="598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6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100" w:type="dxa"/>
            <w:vAlign w:val="bottom"/>
            <w:shd w:val="clear" w:color="auto" w:fill="CCEEFF"/>
          </w:tcPr>
          <w:p>
            <w:pPr>
              <w:spacing w:after="0" w:line="20" w:lineRule="exact"/>
              <w:rPr>
                <w:sz w:val="1"/>
                <w:szCs w:val="1"/>
                <w:color w:val="auto"/>
              </w:rPr>
            </w:pPr>
          </w:p>
        </w:tc>
      </w:tr>
      <w:tr>
        <w:trPr>
          <w:trHeight w:val="210"/>
        </w:trPr>
        <w:tc>
          <w:tcPr>
            <w:tcW w:w="5980" w:type="dxa"/>
            <w:vAlign w:val="bottom"/>
          </w:tcPr>
          <w:p>
            <w:pPr>
              <w:spacing w:after="0"/>
              <w:rPr>
                <w:sz w:val="20"/>
                <w:szCs w:val="20"/>
                <w:color w:val="auto"/>
              </w:rPr>
            </w:pPr>
            <w:r>
              <w:rPr>
                <w:rFonts w:ascii="Arial" w:cs="Arial" w:eastAsia="Arial" w:hAnsi="Arial"/>
                <w:sz w:val="18"/>
                <w:szCs w:val="18"/>
                <w:color w:val="auto"/>
              </w:rPr>
              <w:t>Net loss</w:t>
            </w:r>
          </w:p>
        </w:tc>
        <w:tc>
          <w:tcPr>
            <w:tcW w:w="200" w:type="dxa"/>
            <w:vAlign w:val="bottom"/>
          </w:tcPr>
          <w:p>
            <w:pPr>
              <w:jc w:val="right"/>
              <w:ind w:right="47"/>
              <w:spacing w:after="0"/>
              <w:rPr>
                <w:sz w:val="20"/>
                <w:szCs w:val="20"/>
                <w:color w:val="auto"/>
              </w:rPr>
            </w:pPr>
            <w:r>
              <w:rPr>
                <w:rFonts w:ascii="Arial" w:cs="Arial" w:eastAsia="Arial" w:hAnsi="Arial"/>
                <w:sz w:val="15"/>
                <w:szCs w:val="15"/>
                <w:color w:val="auto"/>
                <w:w w:val="71"/>
              </w:rPr>
              <w:t>$</w:t>
            </w:r>
          </w:p>
        </w:tc>
        <w:tc>
          <w:tcPr>
            <w:tcW w:w="1180" w:type="dxa"/>
            <w:vAlign w:val="bottom"/>
            <w:gridSpan w:val="2"/>
          </w:tcPr>
          <w:p>
            <w:pPr>
              <w:jc w:val="right"/>
              <w:ind w:right="200"/>
              <w:spacing w:after="0"/>
              <w:rPr>
                <w:sz w:val="20"/>
                <w:szCs w:val="20"/>
                <w:color w:val="auto"/>
              </w:rPr>
            </w:pPr>
            <w:r>
              <w:rPr>
                <w:rFonts w:ascii="Arial" w:cs="Arial" w:eastAsia="Arial" w:hAnsi="Arial"/>
                <w:sz w:val="18"/>
                <w:szCs w:val="18"/>
                <w:color w:val="auto"/>
              </w:rPr>
              <w:t>(3,380)</w:t>
            </w:r>
          </w:p>
        </w:tc>
        <w:tc>
          <w:tcPr>
            <w:tcW w:w="200" w:type="dxa"/>
            <w:vAlign w:val="bottom"/>
          </w:tcPr>
          <w:p>
            <w:pPr>
              <w:jc w:val="right"/>
              <w:ind w:right="47"/>
              <w:spacing w:after="0"/>
              <w:rPr>
                <w:sz w:val="20"/>
                <w:szCs w:val="20"/>
                <w:color w:val="auto"/>
              </w:rPr>
            </w:pPr>
            <w:r>
              <w:rPr>
                <w:rFonts w:ascii="Arial" w:cs="Arial" w:eastAsia="Arial" w:hAnsi="Arial"/>
                <w:sz w:val="15"/>
                <w:szCs w:val="15"/>
                <w:color w:val="auto"/>
                <w:w w:val="71"/>
              </w:rPr>
              <w:t>$</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(16,180)</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(47,717)</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0"/>
              <w:spacing w:after="0"/>
              <w:rPr>
                <w:sz w:val="20"/>
                <w:szCs w:val="20"/>
                <w:color w:val="auto"/>
              </w:rPr>
            </w:pPr>
            <w:r>
              <w:rPr>
                <w:rFonts w:ascii="Arial" w:cs="Arial" w:eastAsia="Arial" w:hAnsi="Arial"/>
                <w:sz w:val="18"/>
                <w:szCs w:val="18"/>
                <w:color w:val="auto"/>
              </w:rPr>
              <w:t>(59,503)</w:t>
            </w:r>
          </w:p>
        </w:tc>
      </w:tr>
      <w:tr>
        <w:trPr>
          <w:trHeight w:val="20"/>
        </w:trPr>
        <w:tc>
          <w:tcPr>
            <w:tcW w:w="59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197"/>
        </w:trPr>
        <w:tc>
          <w:tcPr>
            <w:tcW w:w="59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5980" w:type="dxa"/>
            <w:vAlign w:val="bottom"/>
          </w:tcPr>
          <w:p>
            <w:pPr>
              <w:spacing w:after="0"/>
              <w:rPr>
                <w:sz w:val="20"/>
                <w:szCs w:val="20"/>
                <w:color w:val="auto"/>
              </w:rPr>
            </w:pPr>
            <w:r>
              <w:rPr>
                <w:rFonts w:ascii="Arial" w:cs="Arial" w:eastAsia="Arial" w:hAnsi="Arial"/>
                <w:sz w:val="18"/>
                <w:szCs w:val="18"/>
                <w:color w:val="auto"/>
              </w:rPr>
              <w:t>Earnings per share:</w:t>
            </w:r>
          </w:p>
        </w:tc>
        <w:tc>
          <w:tcPr>
            <w:tcW w:w="2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36"/>
        </w:trPr>
        <w:tc>
          <w:tcPr>
            <w:tcW w:w="5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Basic</w:t>
            </w:r>
          </w:p>
        </w:tc>
        <w:tc>
          <w:tcPr>
            <w:tcW w:w="200" w:type="dxa"/>
            <w:vAlign w:val="bottom"/>
            <w:shd w:val="clear" w:color="auto" w:fill="CCEEFF"/>
          </w:tcPr>
          <w:p>
            <w:pPr>
              <w:jc w:val="right"/>
              <w:ind w:right="47"/>
              <w:spacing w:after="0"/>
              <w:rPr>
                <w:sz w:val="20"/>
                <w:szCs w:val="20"/>
                <w:color w:val="auto"/>
              </w:rPr>
            </w:pPr>
            <w:r>
              <w:rPr>
                <w:rFonts w:ascii="Arial" w:cs="Arial" w:eastAsia="Arial" w:hAnsi="Arial"/>
                <w:sz w:val="15"/>
                <w:szCs w:val="15"/>
                <w:color w:val="auto"/>
                <w:w w:val="71"/>
              </w:rPr>
              <w:t>$</w:t>
            </w:r>
          </w:p>
        </w:tc>
        <w:tc>
          <w:tcPr>
            <w:tcW w:w="11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(0.07)</w:t>
            </w:r>
          </w:p>
        </w:tc>
        <w:tc>
          <w:tcPr>
            <w:tcW w:w="200" w:type="dxa"/>
            <w:vAlign w:val="bottom"/>
            <w:shd w:val="clear" w:color="auto" w:fill="CCEEFF"/>
          </w:tcPr>
          <w:p>
            <w:pPr>
              <w:jc w:val="right"/>
              <w:ind w:right="47"/>
              <w:spacing w:after="0"/>
              <w:rPr>
                <w:sz w:val="20"/>
                <w:szCs w:val="20"/>
                <w:color w:val="auto"/>
              </w:rPr>
            </w:pPr>
            <w:r>
              <w:rPr>
                <w:rFonts w:ascii="Arial" w:cs="Arial" w:eastAsia="Arial" w:hAnsi="Arial"/>
                <w:sz w:val="15"/>
                <w:szCs w:val="15"/>
                <w:color w:val="auto"/>
                <w:w w:val="71"/>
              </w:rPr>
              <w:t>$</w:t>
            </w: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(0.36)</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(0.97)</w:t>
            </w: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0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(1.32)</w:t>
            </w:r>
          </w:p>
        </w:tc>
      </w:tr>
      <w:tr>
        <w:trPr>
          <w:trHeight w:val="20"/>
        </w:trPr>
        <w:tc>
          <w:tcPr>
            <w:tcW w:w="5980" w:type="dxa"/>
            <w:vAlign w:val="bottom"/>
            <w:tcBorders>
              <w:top w:val="single" w:sz="8" w:color="CCEEFF"/>
            </w:tcBorders>
            <w:shd w:val="clear" w:color="auto" w:fill="CCEEFF"/>
          </w:tcPr>
          <w:p>
            <w:pPr>
              <w:spacing w:after="0" w:line="20" w:lineRule="exact"/>
              <w:rPr>
                <w:sz w:val="1"/>
                <w:szCs w:val="1"/>
                <w:color w:val="auto"/>
              </w:rPr>
            </w:pPr>
          </w:p>
        </w:tc>
        <w:tc>
          <w:tcPr>
            <w:tcW w:w="200" w:type="dxa"/>
            <w:vAlign w:val="bottom"/>
            <w:tcBorders>
              <w:top w:val="single" w:sz="8" w:color="auto"/>
            </w:tcBorders>
            <w:shd w:val="clear" w:color="auto" w:fill="000000"/>
          </w:tcPr>
          <w:p>
            <w:pPr>
              <w:spacing w:after="0" w:line="20" w:lineRule="exact"/>
              <w:rPr>
                <w:sz w:val="1"/>
                <w:szCs w:val="1"/>
                <w:color w:val="auto"/>
              </w:rPr>
            </w:pPr>
          </w:p>
        </w:tc>
        <w:tc>
          <w:tcPr>
            <w:tcW w:w="920" w:type="dxa"/>
            <w:vAlign w:val="bottom"/>
            <w:tcBorders>
              <w:top w:val="single" w:sz="8" w:color="auto"/>
            </w:tcBorders>
            <w:shd w:val="clear" w:color="auto" w:fill="000000"/>
          </w:tcPr>
          <w:p>
            <w:pPr>
              <w:spacing w:after="0" w:line="20" w:lineRule="exact"/>
              <w:rPr>
                <w:sz w:val="1"/>
                <w:szCs w:val="1"/>
                <w:color w:val="auto"/>
              </w:rPr>
            </w:pPr>
          </w:p>
        </w:tc>
        <w:tc>
          <w:tcPr>
            <w:tcW w:w="260" w:type="dxa"/>
            <w:vAlign w:val="bottom"/>
            <w:tcBorders>
              <w:top w:val="single" w:sz="8" w:color="CCEEFF"/>
            </w:tcBorders>
            <w:shd w:val="clear" w:color="auto" w:fill="CCEEFF"/>
          </w:tcPr>
          <w:p>
            <w:pPr>
              <w:spacing w:after="0" w:line="20" w:lineRule="exact"/>
              <w:rPr>
                <w:sz w:val="1"/>
                <w:szCs w:val="1"/>
                <w:color w:val="auto"/>
              </w:rPr>
            </w:pPr>
          </w:p>
        </w:tc>
        <w:tc>
          <w:tcPr>
            <w:tcW w:w="200" w:type="dxa"/>
            <w:vAlign w:val="bottom"/>
            <w:tcBorders>
              <w:top w:val="single" w:sz="8" w:color="auto"/>
            </w:tcBorders>
            <w:shd w:val="clear" w:color="auto" w:fill="000000"/>
          </w:tcPr>
          <w:p>
            <w:pPr>
              <w:spacing w:after="0" w:line="20" w:lineRule="exact"/>
              <w:rPr>
                <w:sz w:val="1"/>
                <w:szCs w:val="1"/>
                <w:color w:val="auto"/>
              </w:rPr>
            </w:pPr>
          </w:p>
        </w:tc>
        <w:tc>
          <w:tcPr>
            <w:tcW w:w="920" w:type="dxa"/>
            <w:vAlign w:val="bottom"/>
            <w:tcBorders>
              <w:top w:val="single" w:sz="8" w:color="auto"/>
            </w:tcBorders>
            <w:shd w:val="clear" w:color="auto" w:fill="000000"/>
          </w:tcPr>
          <w:p>
            <w:pPr>
              <w:spacing w:after="0" w:line="20" w:lineRule="exact"/>
              <w:rPr>
                <w:sz w:val="1"/>
                <w:szCs w:val="1"/>
                <w:color w:val="auto"/>
              </w:rPr>
            </w:pPr>
          </w:p>
        </w:tc>
        <w:tc>
          <w:tcPr>
            <w:tcW w:w="220" w:type="dxa"/>
            <w:vAlign w:val="bottom"/>
            <w:tcBorders>
              <w:top w:val="single" w:sz="8" w:color="CCEEFF"/>
            </w:tcBorders>
            <w:shd w:val="clear" w:color="auto" w:fill="CCEEFF"/>
          </w:tcPr>
          <w:p>
            <w:pPr>
              <w:spacing w:after="0" w:line="20" w:lineRule="exact"/>
              <w:rPr>
                <w:sz w:val="1"/>
                <w:szCs w:val="1"/>
                <w:color w:val="auto"/>
              </w:rPr>
            </w:pPr>
          </w:p>
        </w:tc>
        <w:tc>
          <w:tcPr>
            <w:tcW w:w="200" w:type="dxa"/>
            <w:vAlign w:val="bottom"/>
            <w:tcBorders>
              <w:top w:val="single" w:sz="8" w:color="auto"/>
            </w:tcBorders>
            <w:shd w:val="clear" w:color="auto" w:fill="000000"/>
          </w:tcPr>
          <w:p>
            <w:pPr>
              <w:spacing w:after="0" w:line="20" w:lineRule="exact"/>
              <w:rPr>
                <w:sz w:val="1"/>
                <w:szCs w:val="1"/>
                <w:color w:val="auto"/>
              </w:rPr>
            </w:pPr>
          </w:p>
        </w:tc>
        <w:tc>
          <w:tcPr>
            <w:tcW w:w="900" w:type="dxa"/>
            <w:vAlign w:val="bottom"/>
            <w:tcBorders>
              <w:top w:val="single" w:sz="8" w:color="auto"/>
            </w:tcBorders>
            <w:shd w:val="clear" w:color="auto" w:fill="000000"/>
          </w:tcPr>
          <w:p>
            <w:pPr>
              <w:spacing w:after="0" w:line="20" w:lineRule="exact"/>
              <w:rPr>
                <w:sz w:val="1"/>
                <w:szCs w:val="1"/>
                <w:color w:val="auto"/>
              </w:rPr>
            </w:pPr>
          </w:p>
        </w:tc>
        <w:tc>
          <w:tcPr>
            <w:tcW w:w="220" w:type="dxa"/>
            <w:vAlign w:val="bottom"/>
            <w:tcBorders>
              <w:top w:val="single" w:sz="8" w:color="CCEEFF"/>
            </w:tcBorders>
            <w:shd w:val="clear" w:color="auto" w:fill="CCEEFF"/>
          </w:tcPr>
          <w:p>
            <w:pPr>
              <w:spacing w:after="0" w:line="20" w:lineRule="exact"/>
              <w:rPr>
                <w:sz w:val="1"/>
                <w:szCs w:val="1"/>
                <w:color w:val="auto"/>
              </w:rPr>
            </w:pPr>
          </w:p>
        </w:tc>
        <w:tc>
          <w:tcPr>
            <w:tcW w:w="200" w:type="dxa"/>
            <w:vAlign w:val="bottom"/>
            <w:tcBorders>
              <w:top w:val="single" w:sz="8" w:color="auto"/>
            </w:tcBorders>
            <w:shd w:val="clear" w:color="auto" w:fill="000000"/>
          </w:tcPr>
          <w:p>
            <w:pPr>
              <w:spacing w:after="0" w:line="20" w:lineRule="exact"/>
              <w:rPr>
                <w:sz w:val="1"/>
                <w:szCs w:val="1"/>
                <w:color w:val="auto"/>
              </w:rPr>
            </w:pPr>
          </w:p>
        </w:tc>
        <w:tc>
          <w:tcPr>
            <w:tcW w:w="920" w:type="dxa"/>
            <w:vAlign w:val="bottom"/>
            <w:tcBorders>
              <w:top w:val="single" w:sz="8" w:color="auto"/>
            </w:tcBorders>
            <w:shd w:val="clear" w:color="auto" w:fill="000000"/>
          </w:tcPr>
          <w:p>
            <w:pPr>
              <w:spacing w:after="0" w:line="20" w:lineRule="exact"/>
              <w:rPr>
                <w:sz w:val="1"/>
                <w:szCs w:val="1"/>
                <w:color w:val="auto"/>
              </w:rPr>
            </w:pPr>
          </w:p>
        </w:tc>
        <w:tc>
          <w:tcPr>
            <w:tcW w:w="100" w:type="dxa"/>
            <w:vAlign w:val="bottom"/>
            <w:tcBorders>
              <w:top w:val="single" w:sz="8" w:color="CCEEFF"/>
            </w:tcBorders>
            <w:shd w:val="clear" w:color="auto" w:fill="CCEEFF"/>
          </w:tcPr>
          <w:p>
            <w:pPr>
              <w:spacing w:after="0" w:line="20" w:lineRule="exact"/>
              <w:rPr>
                <w:sz w:val="1"/>
                <w:szCs w:val="1"/>
                <w:color w:val="auto"/>
              </w:rPr>
            </w:pPr>
          </w:p>
        </w:tc>
      </w:tr>
      <w:tr>
        <w:trPr>
          <w:trHeight w:val="197"/>
        </w:trPr>
        <w:tc>
          <w:tcPr>
            <w:tcW w:w="5980" w:type="dxa"/>
            <w:vAlign w:val="bottom"/>
          </w:tcPr>
          <w:p>
            <w:pPr>
              <w:ind w:left="180"/>
              <w:spacing w:after="0" w:line="196" w:lineRule="exact"/>
              <w:rPr>
                <w:sz w:val="20"/>
                <w:szCs w:val="20"/>
                <w:color w:val="auto"/>
              </w:rPr>
            </w:pPr>
            <w:r>
              <w:rPr>
                <w:rFonts w:ascii="Arial" w:cs="Arial" w:eastAsia="Arial" w:hAnsi="Arial"/>
                <w:sz w:val="18"/>
                <w:szCs w:val="18"/>
                <w:color w:val="auto"/>
              </w:rPr>
              <w:t>Diluted</w:t>
            </w:r>
          </w:p>
        </w:tc>
        <w:tc>
          <w:tcPr>
            <w:tcW w:w="200" w:type="dxa"/>
            <w:vAlign w:val="bottom"/>
          </w:tcPr>
          <w:p>
            <w:pPr>
              <w:jc w:val="right"/>
              <w:ind w:right="47"/>
              <w:spacing w:after="0"/>
              <w:rPr>
                <w:sz w:val="20"/>
                <w:szCs w:val="20"/>
                <w:color w:val="auto"/>
              </w:rPr>
            </w:pPr>
            <w:r>
              <w:rPr>
                <w:rFonts w:ascii="Arial" w:cs="Arial" w:eastAsia="Arial" w:hAnsi="Arial"/>
                <w:sz w:val="15"/>
                <w:szCs w:val="15"/>
                <w:color w:val="auto"/>
                <w:w w:val="71"/>
              </w:rPr>
              <w:t>$</w:t>
            </w:r>
          </w:p>
        </w:tc>
        <w:tc>
          <w:tcPr>
            <w:tcW w:w="1180" w:type="dxa"/>
            <w:vAlign w:val="bottom"/>
            <w:gridSpan w:val="2"/>
          </w:tcPr>
          <w:p>
            <w:pPr>
              <w:jc w:val="right"/>
              <w:ind w:right="200"/>
              <w:spacing w:after="0" w:line="196" w:lineRule="exact"/>
              <w:rPr>
                <w:sz w:val="20"/>
                <w:szCs w:val="20"/>
                <w:color w:val="auto"/>
              </w:rPr>
            </w:pPr>
            <w:r>
              <w:rPr>
                <w:rFonts w:ascii="Arial" w:cs="Arial" w:eastAsia="Arial" w:hAnsi="Arial"/>
                <w:sz w:val="18"/>
                <w:szCs w:val="18"/>
                <w:color w:val="auto"/>
              </w:rPr>
              <w:t>(0.07)</w:t>
            </w:r>
          </w:p>
        </w:tc>
        <w:tc>
          <w:tcPr>
            <w:tcW w:w="200" w:type="dxa"/>
            <w:vAlign w:val="bottom"/>
          </w:tcPr>
          <w:p>
            <w:pPr>
              <w:jc w:val="right"/>
              <w:ind w:right="47"/>
              <w:spacing w:after="0"/>
              <w:rPr>
                <w:sz w:val="20"/>
                <w:szCs w:val="20"/>
                <w:color w:val="auto"/>
              </w:rPr>
            </w:pPr>
            <w:r>
              <w:rPr>
                <w:rFonts w:ascii="Arial" w:cs="Arial" w:eastAsia="Arial" w:hAnsi="Arial"/>
                <w:sz w:val="15"/>
                <w:szCs w:val="15"/>
                <w:color w:val="auto"/>
                <w:w w:val="71"/>
              </w:rPr>
              <w:t>$</w:t>
            </w:r>
          </w:p>
        </w:tc>
        <w:tc>
          <w:tcPr>
            <w:tcW w:w="1140" w:type="dxa"/>
            <w:vAlign w:val="bottom"/>
            <w:gridSpan w:val="2"/>
          </w:tcPr>
          <w:p>
            <w:pPr>
              <w:jc w:val="right"/>
              <w:ind w:right="160"/>
              <w:spacing w:after="0" w:line="196" w:lineRule="exact"/>
              <w:rPr>
                <w:sz w:val="20"/>
                <w:szCs w:val="20"/>
                <w:color w:val="auto"/>
              </w:rPr>
            </w:pPr>
            <w:r>
              <w:rPr>
                <w:rFonts w:ascii="Arial" w:cs="Arial" w:eastAsia="Arial" w:hAnsi="Arial"/>
                <w:sz w:val="18"/>
                <w:szCs w:val="18"/>
                <w:color w:val="auto"/>
              </w:rPr>
              <w:t>(0.36)</w:t>
            </w:r>
          </w:p>
        </w:tc>
        <w:tc>
          <w:tcPr>
            <w:tcW w:w="200" w:type="dxa"/>
            <w:vAlign w:val="bottom"/>
          </w:tcPr>
          <w:p>
            <w:pPr>
              <w:jc w:val="right"/>
              <w:ind w:right="10"/>
              <w:spacing w:after="0" w:line="196" w:lineRule="exact"/>
              <w:rPr>
                <w:sz w:val="20"/>
                <w:szCs w:val="20"/>
                <w:color w:val="auto"/>
              </w:rPr>
            </w:pPr>
            <w:r>
              <w:rPr>
                <w:rFonts w:ascii="Arial" w:cs="Arial" w:eastAsia="Arial" w:hAnsi="Arial"/>
                <w:sz w:val="18"/>
                <w:szCs w:val="18"/>
                <w:color w:val="auto"/>
                <w:w w:val="79"/>
              </w:rPr>
              <w:t>$</w:t>
            </w:r>
          </w:p>
        </w:tc>
        <w:tc>
          <w:tcPr>
            <w:tcW w:w="1120" w:type="dxa"/>
            <w:vAlign w:val="bottom"/>
            <w:gridSpan w:val="2"/>
          </w:tcPr>
          <w:p>
            <w:pPr>
              <w:jc w:val="right"/>
              <w:ind w:right="160"/>
              <w:spacing w:after="0" w:line="196" w:lineRule="exact"/>
              <w:rPr>
                <w:sz w:val="20"/>
                <w:szCs w:val="20"/>
                <w:color w:val="auto"/>
              </w:rPr>
            </w:pPr>
            <w:r>
              <w:rPr>
                <w:rFonts w:ascii="Arial" w:cs="Arial" w:eastAsia="Arial" w:hAnsi="Arial"/>
                <w:sz w:val="18"/>
                <w:szCs w:val="18"/>
                <w:color w:val="auto"/>
              </w:rPr>
              <w:t>(0.97)</w:t>
            </w:r>
          </w:p>
        </w:tc>
        <w:tc>
          <w:tcPr>
            <w:tcW w:w="200" w:type="dxa"/>
            <w:vAlign w:val="bottom"/>
          </w:tcPr>
          <w:p>
            <w:pPr>
              <w:jc w:val="right"/>
              <w:ind w:right="10"/>
              <w:spacing w:after="0" w:line="196" w:lineRule="exact"/>
              <w:rPr>
                <w:sz w:val="20"/>
                <w:szCs w:val="20"/>
                <w:color w:val="auto"/>
              </w:rPr>
            </w:pPr>
            <w:r>
              <w:rPr>
                <w:rFonts w:ascii="Arial" w:cs="Arial" w:eastAsia="Arial" w:hAnsi="Arial"/>
                <w:sz w:val="18"/>
                <w:szCs w:val="18"/>
                <w:color w:val="auto"/>
                <w:w w:val="79"/>
              </w:rPr>
              <w:t>$</w:t>
            </w:r>
          </w:p>
        </w:tc>
        <w:tc>
          <w:tcPr>
            <w:tcW w:w="1020" w:type="dxa"/>
            <w:vAlign w:val="bottom"/>
            <w:gridSpan w:val="2"/>
          </w:tcPr>
          <w:p>
            <w:pPr>
              <w:jc w:val="right"/>
              <w:ind w:right="40"/>
              <w:spacing w:after="0" w:line="196" w:lineRule="exact"/>
              <w:rPr>
                <w:sz w:val="20"/>
                <w:szCs w:val="20"/>
                <w:color w:val="auto"/>
              </w:rPr>
            </w:pPr>
            <w:r>
              <w:rPr>
                <w:rFonts w:ascii="Arial" w:cs="Arial" w:eastAsia="Arial" w:hAnsi="Arial"/>
                <w:sz w:val="18"/>
                <w:szCs w:val="18"/>
                <w:color w:val="auto"/>
              </w:rPr>
              <w:t>(1.32)</w:t>
            </w:r>
          </w:p>
        </w:tc>
      </w:tr>
      <w:tr>
        <w:trPr>
          <w:trHeight w:val="20"/>
        </w:trPr>
        <w:tc>
          <w:tcPr>
            <w:tcW w:w="59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196"/>
        </w:trPr>
        <w:tc>
          <w:tcPr>
            <w:tcW w:w="598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59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Weighted-average shares used in computing earnings per share:</w:t>
            </w: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5980" w:type="dxa"/>
            <w:vAlign w:val="bottom"/>
          </w:tcPr>
          <w:p>
            <w:pPr>
              <w:ind w:left="180"/>
              <w:spacing w:after="0"/>
              <w:rPr>
                <w:sz w:val="20"/>
                <w:szCs w:val="20"/>
                <w:color w:val="auto"/>
              </w:rPr>
            </w:pPr>
            <w:r>
              <w:rPr>
                <w:rFonts w:ascii="Arial" w:cs="Arial" w:eastAsia="Arial" w:hAnsi="Arial"/>
                <w:sz w:val="18"/>
                <w:szCs w:val="18"/>
                <w:color w:val="auto"/>
              </w:rPr>
              <w:t>Basic</w:t>
            </w:r>
          </w:p>
        </w:tc>
        <w:tc>
          <w:tcPr>
            <w:tcW w:w="200" w:type="dxa"/>
            <w:vAlign w:val="bottom"/>
          </w:tcPr>
          <w:p>
            <w:pPr>
              <w:spacing w:after="0"/>
              <w:rPr>
                <w:sz w:val="18"/>
                <w:szCs w:val="18"/>
                <w:color w:val="auto"/>
              </w:rPr>
            </w:pPr>
          </w:p>
        </w:tc>
        <w:tc>
          <w:tcPr>
            <w:tcW w:w="1180" w:type="dxa"/>
            <w:vAlign w:val="bottom"/>
            <w:gridSpan w:val="2"/>
          </w:tcPr>
          <w:p>
            <w:pPr>
              <w:jc w:val="right"/>
              <w:ind w:right="260"/>
              <w:spacing w:after="0"/>
              <w:rPr>
                <w:sz w:val="20"/>
                <w:szCs w:val="20"/>
                <w:color w:val="auto"/>
              </w:rPr>
            </w:pPr>
            <w:r>
              <w:rPr>
                <w:rFonts w:ascii="Arial" w:cs="Arial" w:eastAsia="Arial" w:hAnsi="Arial"/>
                <w:sz w:val="18"/>
                <w:szCs w:val="18"/>
                <w:color w:val="auto"/>
                <w:w w:val="99"/>
              </w:rPr>
              <w:t>51,971,621</w:t>
            </w:r>
          </w:p>
        </w:tc>
        <w:tc>
          <w:tcPr>
            <w:tcW w:w="200" w:type="dxa"/>
            <w:vAlign w:val="bottom"/>
          </w:tcPr>
          <w:p>
            <w:pPr>
              <w:spacing w:after="0"/>
              <w:rPr>
                <w:sz w:val="18"/>
                <w:szCs w:val="18"/>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w w:val="99"/>
              </w:rPr>
              <w:t>45,517,862</w:t>
            </w:r>
          </w:p>
        </w:tc>
        <w:tc>
          <w:tcPr>
            <w:tcW w:w="20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w w:val="97"/>
              </w:rPr>
              <w:t>48,986,248</w:t>
            </w:r>
          </w:p>
        </w:tc>
        <w:tc>
          <w:tcPr>
            <w:tcW w:w="200" w:type="dxa"/>
            <w:vAlign w:val="bottom"/>
          </w:tcPr>
          <w:p>
            <w:pPr>
              <w:spacing w:after="0"/>
              <w:rPr>
                <w:sz w:val="18"/>
                <w:szCs w:val="18"/>
                <w:color w:val="auto"/>
              </w:rPr>
            </w:pPr>
          </w:p>
        </w:tc>
        <w:tc>
          <w:tcPr>
            <w:tcW w:w="1020" w:type="dxa"/>
            <w:vAlign w:val="bottom"/>
            <w:gridSpan w:val="2"/>
          </w:tcPr>
          <w:p>
            <w:pPr>
              <w:jc w:val="right"/>
              <w:ind w:right="100"/>
              <w:spacing w:after="0"/>
              <w:rPr>
                <w:sz w:val="20"/>
                <w:szCs w:val="20"/>
                <w:color w:val="auto"/>
              </w:rPr>
            </w:pPr>
            <w:r>
              <w:rPr>
                <w:rFonts w:ascii="Arial" w:cs="Arial" w:eastAsia="Arial" w:hAnsi="Arial"/>
                <w:sz w:val="18"/>
                <w:szCs w:val="18"/>
                <w:color w:val="auto"/>
                <w:w w:val="99"/>
              </w:rPr>
              <w:t>45,057,539</w:t>
            </w:r>
          </w:p>
        </w:tc>
      </w:tr>
      <w:tr>
        <w:trPr>
          <w:trHeight w:val="216"/>
        </w:trPr>
        <w:tc>
          <w:tcPr>
            <w:tcW w:w="59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Diluted</w:t>
            </w:r>
          </w:p>
        </w:tc>
        <w:tc>
          <w:tcPr>
            <w:tcW w:w="2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w w:val="99"/>
              </w:rPr>
              <w:t>51,971,621</w:t>
            </w:r>
          </w:p>
        </w:tc>
        <w:tc>
          <w:tcPr>
            <w:tcW w:w="20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9"/>
              </w:rPr>
              <w:t>45,517,862</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7"/>
              </w:rPr>
              <w:t>48,986,248</w:t>
            </w:r>
          </w:p>
        </w:tc>
        <w:tc>
          <w:tcPr>
            <w:tcW w:w="20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9"/>
              </w:rPr>
              <w:t>45,057,539</w:t>
            </w:r>
          </w:p>
        </w:tc>
      </w:tr>
    </w:tbl>
    <w:p>
      <w:pPr>
        <w:spacing w:after="0" w:line="202" w:lineRule="exact"/>
        <w:rPr>
          <w:sz w:val="20"/>
          <w:szCs w:val="20"/>
          <w:color w:val="auto"/>
        </w:rPr>
      </w:pPr>
    </w:p>
    <w:p>
      <w:pPr>
        <w:jc w:val="both"/>
        <w:ind w:right="20"/>
        <w:spacing w:after="0" w:line="277" w:lineRule="auto"/>
        <w:rPr>
          <w:sz w:val="20"/>
          <w:szCs w:val="20"/>
          <w:color w:val="auto"/>
        </w:rPr>
      </w:pPr>
      <w:r>
        <w:rPr>
          <w:rFonts w:ascii="Arial" w:cs="Arial" w:eastAsia="Arial" w:hAnsi="Arial"/>
          <w:sz w:val="18"/>
          <w:szCs w:val="18"/>
          <w:color w:val="auto"/>
        </w:rPr>
        <w:t>The following table presents details of stock-based compensation expense included in each functional line item in the consolidated statements of operations above:</w:t>
      </w:r>
    </w:p>
    <w:p>
      <w:pPr>
        <w:spacing w:after="0" w:line="16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9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500" w:type="dxa"/>
            <w:vAlign w:val="bottom"/>
            <w:gridSpan w:val="5"/>
          </w:tcPr>
          <w:p>
            <w:pPr>
              <w:jc w:val="center"/>
              <w:ind w:right="440"/>
              <w:spacing w:after="0"/>
              <w:rPr>
                <w:sz w:val="20"/>
                <w:szCs w:val="20"/>
                <w:color w:val="auto"/>
              </w:rPr>
            </w:pPr>
            <w:r>
              <w:rPr>
                <w:rFonts w:ascii="Arial" w:cs="Arial" w:eastAsia="Arial" w:hAnsi="Arial"/>
                <w:sz w:val="18"/>
                <w:szCs w:val="18"/>
                <w:b w:val="1"/>
                <w:bCs w:val="1"/>
                <w:color w:val="auto"/>
                <w:w w:val="90"/>
              </w:rPr>
              <w:t>Three Months Ended</w:t>
            </w:r>
          </w:p>
        </w:tc>
        <w:tc>
          <w:tcPr>
            <w:tcW w:w="220" w:type="dxa"/>
            <w:vAlign w:val="bottom"/>
          </w:tcPr>
          <w:p>
            <w:pPr>
              <w:spacing w:after="0"/>
              <w:rPr>
                <w:sz w:val="18"/>
                <w:szCs w:val="18"/>
                <w:color w:val="auto"/>
              </w:rPr>
            </w:pPr>
          </w:p>
        </w:tc>
        <w:tc>
          <w:tcPr>
            <w:tcW w:w="2320" w:type="dxa"/>
            <w:vAlign w:val="bottom"/>
            <w:gridSpan w:val="5"/>
          </w:tcPr>
          <w:p>
            <w:pPr>
              <w:jc w:val="center"/>
              <w:ind w:right="340"/>
              <w:spacing w:after="0"/>
              <w:rPr>
                <w:sz w:val="20"/>
                <w:szCs w:val="20"/>
                <w:color w:val="auto"/>
              </w:rPr>
            </w:pPr>
            <w:r>
              <w:rPr>
                <w:rFonts w:ascii="Arial" w:cs="Arial" w:eastAsia="Arial" w:hAnsi="Arial"/>
                <w:sz w:val="18"/>
                <w:szCs w:val="18"/>
                <w:b w:val="1"/>
                <w:bCs w:val="1"/>
                <w:color w:val="auto"/>
                <w:w w:val="91"/>
              </w:rPr>
              <w:t>Nine Months Ended</w:t>
            </w:r>
          </w:p>
        </w:tc>
      </w:tr>
      <w:tr>
        <w:trPr>
          <w:trHeight w:val="234"/>
        </w:trPr>
        <w:tc>
          <w:tcPr>
            <w:tcW w:w="59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500" w:type="dxa"/>
            <w:vAlign w:val="bottom"/>
            <w:gridSpan w:val="5"/>
          </w:tcPr>
          <w:p>
            <w:pPr>
              <w:jc w:val="center"/>
              <w:ind w:right="440"/>
              <w:spacing w:after="0"/>
              <w:rPr>
                <w:sz w:val="20"/>
                <w:szCs w:val="20"/>
                <w:color w:val="auto"/>
              </w:rPr>
            </w:pPr>
            <w:r>
              <w:rPr>
                <w:rFonts w:ascii="Arial" w:cs="Arial" w:eastAsia="Arial" w:hAnsi="Arial"/>
                <w:sz w:val="18"/>
                <w:szCs w:val="18"/>
                <w:b w:val="1"/>
                <w:bCs w:val="1"/>
                <w:color w:val="auto"/>
                <w:w w:val="89"/>
              </w:rPr>
              <w:t>September 30,</w:t>
            </w:r>
          </w:p>
        </w:tc>
        <w:tc>
          <w:tcPr>
            <w:tcW w:w="220" w:type="dxa"/>
            <w:vAlign w:val="bottom"/>
          </w:tcPr>
          <w:p>
            <w:pPr>
              <w:spacing w:after="0"/>
              <w:rPr>
                <w:sz w:val="20"/>
                <w:szCs w:val="20"/>
                <w:color w:val="auto"/>
              </w:rPr>
            </w:pPr>
          </w:p>
        </w:tc>
        <w:tc>
          <w:tcPr>
            <w:tcW w:w="2320" w:type="dxa"/>
            <w:vAlign w:val="bottom"/>
            <w:gridSpan w:val="5"/>
          </w:tcPr>
          <w:p>
            <w:pPr>
              <w:jc w:val="center"/>
              <w:ind w:right="340"/>
              <w:spacing w:after="0"/>
              <w:rPr>
                <w:sz w:val="20"/>
                <w:szCs w:val="20"/>
                <w:color w:val="auto"/>
              </w:rPr>
            </w:pPr>
            <w:r>
              <w:rPr>
                <w:rFonts w:ascii="Arial" w:cs="Arial" w:eastAsia="Arial" w:hAnsi="Arial"/>
                <w:sz w:val="18"/>
                <w:szCs w:val="18"/>
                <w:b w:val="1"/>
                <w:bCs w:val="1"/>
                <w:color w:val="auto"/>
                <w:w w:val="89"/>
              </w:rPr>
              <w:t>September 30,</w:t>
            </w:r>
          </w:p>
        </w:tc>
      </w:tr>
      <w:tr>
        <w:trPr>
          <w:trHeight w:val="209"/>
        </w:trPr>
        <w:tc>
          <w:tcPr>
            <w:tcW w:w="5980" w:type="dxa"/>
            <w:vAlign w:val="bottom"/>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ind w:right="290"/>
              <w:spacing w:after="0"/>
              <w:rPr>
                <w:sz w:val="20"/>
                <w:szCs w:val="20"/>
                <w:color w:val="auto"/>
              </w:rPr>
            </w:pPr>
            <w:r>
              <w:rPr>
                <w:rFonts w:ascii="Arial" w:cs="Arial" w:eastAsia="Arial" w:hAnsi="Arial"/>
                <w:sz w:val="18"/>
                <w:szCs w:val="18"/>
                <w:b w:val="1"/>
                <w:bCs w:val="1"/>
                <w:color w:val="auto"/>
              </w:rPr>
              <w:t>2020</w:t>
            </w:r>
          </w:p>
        </w:tc>
        <w:tc>
          <w:tcPr>
            <w:tcW w:w="260" w:type="dxa"/>
            <w:vAlign w:val="bottom"/>
            <w:tcBorders>
              <w:top w:val="single" w:sz="8" w:color="auto"/>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780" w:type="dxa"/>
            <w:vAlign w:val="bottom"/>
            <w:tcBorders>
              <w:top w:val="single" w:sz="8" w:color="auto"/>
              <w:bottom w:val="single" w:sz="8" w:color="auto"/>
            </w:tcBorders>
          </w:tcPr>
          <w:p>
            <w:pPr>
              <w:jc w:val="right"/>
              <w:ind w:right="290"/>
              <w:spacing w:after="0"/>
              <w:rPr>
                <w:sz w:val="20"/>
                <w:szCs w:val="20"/>
                <w:color w:val="auto"/>
              </w:rPr>
            </w:pPr>
            <w:r>
              <w:rPr>
                <w:rFonts w:ascii="Arial" w:cs="Arial" w:eastAsia="Arial" w:hAnsi="Arial"/>
                <w:sz w:val="18"/>
                <w:szCs w:val="18"/>
                <w:b w:val="1"/>
                <w:bCs w:val="1"/>
                <w:color w:val="auto"/>
                <w:w w:val="94"/>
              </w:rPr>
              <w:t>2019</w:t>
            </w:r>
          </w:p>
        </w:tc>
        <w:tc>
          <w:tcPr>
            <w:tcW w:w="220" w:type="dxa"/>
            <w:vAlign w:val="bottom"/>
          </w:tcPr>
          <w:p>
            <w:pPr>
              <w:spacing w:after="0"/>
              <w:rPr>
                <w:sz w:val="18"/>
                <w:szCs w:val="18"/>
                <w:color w:val="auto"/>
              </w:rPr>
            </w:pPr>
          </w:p>
        </w:tc>
        <w:tc>
          <w:tcPr>
            <w:tcW w:w="220" w:type="dxa"/>
            <w:vAlign w:val="bottom"/>
            <w:tcBorders>
              <w:top w:val="single" w:sz="8" w:color="auto"/>
              <w:bottom w:val="single" w:sz="8" w:color="auto"/>
            </w:tcBorders>
          </w:tcPr>
          <w:p>
            <w:pPr>
              <w:spacing w:after="0"/>
              <w:rPr>
                <w:sz w:val="18"/>
                <w:szCs w:val="18"/>
                <w:color w:val="auto"/>
              </w:rPr>
            </w:pPr>
          </w:p>
        </w:tc>
        <w:tc>
          <w:tcPr>
            <w:tcW w:w="880" w:type="dxa"/>
            <w:vAlign w:val="bottom"/>
            <w:tcBorders>
              <w:top w:val="single" w:sz="8" w:color="auto"/>
              <w:bottom w:val="single" w:sz="8" w:color="auto"/>
            </w:tcBorders>
          </w:tcPr>
          <w:p>
            <w:pPr>
              <w:jc w:val="right"/>
              <w:ind w:right="270"/>
              <w:spacing w:after="0"/>
              <w:rPr>
                <w:sz w:val="20"/>
                <w:szCs w:val="20"/>
                <w:color w:val="auto"/>
              </w:rPr>
            </w:pPr>
            <w:r>
              <w:rPr>
                <w:rFonts w:ascii="Arial" w:cs="Arial" w:eastAsia="Arial" w:hAnsi="Arial"/>
                <w:sz w:val="18"/>
                <w:szCs w:val="18"/>
                <w:b w:val="1"/>
                <w:bCs w:val="1"/>
                <w:color w:val="auto"/>
              </w:rPr>
              <w:t>2020</w:t>
            </w:r>
          </w:p>
        </w:tc>
        <w:tc>
          <w:tcPr>
            <w:tcW w:w="220" w:type="dxa"/>
            <w:vAlign w:val="bottom"/>
            <w:tcBorders>
              <w:top w:val="single" w:sz="8" w:color="auto"/>
            </w:tcBorders>
          </w:tcPr>
          <w:p>
            <w:pPr>
              <w:spacing w:after="0"/>
              <w:rPr>
                <w:sz w:val="18"/>
                <w:szCs w:val="18"/>
                <w:color w:val="auto"/>
              </w:rPr>
            </w:pPr>
          </w:p>
        </w:tc>
        <w:tc>
          <w:tcPr>
            <w:tcW w:w="360" w:type="dxa"/>
            <w:vAlign w:val="bottom"/>
            <w:tcBorders>
              <w:top w:val="single" w:sz="8" w:color="auto"/>
              <w:bottom w:val="single" w:sz="8" w:color="auto"/>
            </w:tcBorders>
          </w:tcPr>
          <w:p>
            <w:pPr>
              <w:spacing w:after="0"/>
              <w:rPr>
                <w:sz w:val="18"/>
                <w:szCs w:val="18"/>
                <w:color w:val="auto"/>
              </w:rPr>
            </w:pPr>
          </w:p>
        </w:tc>
        <w:tc>
          <w:tcPr>
            <w:tcW w:w="760" w:type="dxa"/>
            <w:vAlign w:val="bottom"/>
            <w:tcBorders>
              <w:top w:val="single" w:sz="8" w:color="auto"/>
              <w:bottom w:val="single" w:sz="8" w:color="auto"/>
            </w:tcBorders>
          </w:tcPr>
          <w:p>
            <w:pPr>
              <w:jc w:val="right"/>
              <w:ind w:right="290"/>
              <w:spacing w:after="0"/>
              <w:rPr>
                <w:sz w:val="20"/>
                <w:szCs w:val="20"/>
                <w:color w:val="auto"/>
              </w:rPr>
            </w:pPr>
            <w:r>
              <w:rPr>
                <w:rFonts w:ascii="Arial" w:cs="Arial" w:eastAsia="Arial" w:hAnsi="Arial"/>
                <w:sz w:val="18"/>
                <w:szCs w:val="18"/>
                <w:b w:val="1"/>
                <w:bCs w:val="1"/>
                <w:color w:val="auto"/>
                <w:w w:val="89"/>
              </w:rPr>
              <w:t>2019</w:t>
            </w:r>
          </w:p>
        </w:tc>
        <w:tc>
          <w:tcPr>
            <w:tcW w:w="100" w:type="dxa"/>
            <w:vAlign w:val="bottom"/>
          </w:tcPr>
          <w:p>
            <w:pPr>
              <w:spacing w:after="0"/>
              <w:rPr>
                <w:sz w:val="18"/>
                <w:szCs w:val="18"/>
                <w:color w:val="auto"/>
              </w:rPr>
            </w:pPr>
          </w:p>
        </w:tc>
      </w:tr>
      <w:tr>
        <w:trPr>
          <w:trHeight w:val="195"/>
        </w:trPr>
        <w:tc>
          <w:tcPr>
            <w:tcW w:w="59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500" w:type="dxa"/>
            <w:vAlign w:val="bottom"/>
            <w:gridSpan w:val="5"/>
          </w:tcPr>
          <w:p>
            <w:pPr>
              <w:jc w:val="center"/>
              <w:ind w:right="440"/>
              <w:spacing w:after="0" w:line="195" w:lineRule="exact"/>
              <w:rPr>
                <w:sz w:val="20"/>
                <w:szCs w:val="20"/>
                <w:color w:val="auto"/>
              </w:rPr>
            </w:pPr>
            <w:r>
              <w:rPr>
                <w:rFonts w:ascii="Arial" w:cs="Arial" w:eastAsia="Arial" w:hAnsi="Arial"/>
                <w:sz w:val="18"/>
                <w:szCs w:val="18"/>
                <w:color w:val="auto"/>
                <w:w w:val="90"/>
              </w:rPr>
              <w:t>(in thousands of dollars)</w:t>
            </w:r>
          </w:p>
        </w:tc>
        <w:tc>
          <w:tcPr>
            <w:tcW w:w="220" w:type="dxa"/>
            <w:vAlign w:val="bottom"/>
          </w:tcPr>
          <w:p>
            <w:pPr>
              <w:spacing w:after="0"/>
              <w:rPr>
                <w:sz w:val="16"/>
                <w:szCs w:val="16"/>
                <w:color w:val="auto"/>
              </w:rPr>
            </w:pPr>
          </w:p>
        </w:tc>
        <w:tc>
          <w:tcPr>
            <w:tcW w:w="2320" w:type="dxa"/>
            <w:vAlign w:val="bottom"/>
            <w:gridSpan w:val="5"/>
          </w:tcPr>
          <w:p>
            <w:pPr>
              <w:jc w:val="center"/>
              <w:ind w:right="320"/>
              <w:spacing w:after="0" w:line="195" w:lineRule="exact"/>
              <w:rPr>
                <w:sz w:val="20"/>
                <w:szCs w:val="20"/>
                <w:color w:val="auto"/>
              </w:rPr>
            </w:pPr>
            <w:r>
              <w:rPr>
                <w:rFonts w:ascii="Arial" w:cs="Arial" w:eastAsia="Arial" w:hAnsi="Arial"/>
                <w:sz w:val="18"/>
                <w:szCs w:val="18"/>
                <w:color w:val="auto"/>
                <w:w w:val="91"/>
              </w:rPr>
              <w:t>(in thousands of dollars)</w:t>
            </w:r>
          </w:p>
        </w:tc>
      </w:tr>
      <w:tr>
        <w:trPr>
          <w:trHeight w:val="230"/>
        </w:trPr>
        <w:tc>
          <w:tcPr>
            <w:tcW w:w="59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500" w:type="dxa"/>
            <w:vAlign w:val="bottom"/>
            <w:gridSpan w:val="3"/>
          </w:tcPr>
          <w:p>
            <w:pPr>
              <w:jc w:val="center"/>
              <w:ind w:left="470"/>
              <w:spacing w:after="0"/>
              <w:rPr>
                <w:sz w:val="20"/>
                <w:szCs w:val="20"/>
                <w:color w:val="auto"/>
              </w:rPr>
            </w:pPr>
            <w:r>
              <w:rPr>
                <w:rFonts w:ascii="Arial" w:cs="Arial" w:eastAsia="Arial" w:hAnsi="Arial"/>
                <w:sz w:val="18"/>
                <w:szCs w:val="18"/>
                <w:color w:val="auto"/>
                <w:w w:val="91"/>
              </w:rPr>
              <w:t>(Unaudited)</w:t>
            </w:r>
          </w:p>
        </w:tc>
        <w:tc>
          <w:tcPr>
            <w:tcW w:w="7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460" w:type="dxa"/>
            <w:vAlign w:val="bottom"/>
            <w:gridSpan w:val="3"/>
          </w:tcPr>
          <w:p>
            <w:pPr>
              <w:jc w:val="center"/>
              <w:ind w:left="450"/>
              <w:spacing w:after="0"/>
              <w:rPr>
                <w:sz w:val="20"/>
                <w:szCs w:val="20"/>
                <w:color w:val="auto"/>
              </w:rPr>
            </w:pPr>
            <w:r>
              <w:rPr>
                <w:rFonts w:ascii="Arial" w:cs="Arial" w:eastAsia="Arial" w:hAnsi="Arial"/>
                <w:sz w:val="18"/>
                <w:szCs w:val="18"/>
                <w:color w:val="auto"/>
                <w:w w:val="93"/>
              </w:rPr>
              <w:t>(Unaudited)</w:t>
            </w:r>
          </w:p>
        </w:tc>
        <w:tc>
          <w:tcPr>
            <w:tcW w:w="760" w:type="dxa"/>
            <w:vAlign w:val="bottom"/>
          </w:tcPr>
          <w:p>
            <w:pPr>
              <w:spacing w:after="0"/>
              <w:rPr>
                <w:sz w:val="20"/>
                <w:szCs w:val="20"/>
                <w:color w:val="auto"/>
              </w:rPr>
            </w:pPr>
          </w:p>
        </w:tc>
        <w:tc>
          <w:tcPr>
            <w:tcW w:w="100" w:type="dxa"/>
            <w:vAlign w:val="bottom"/>
          </w:tcPr>
          <w:p>
            <w:pPr>
              <w:spacing w:after="0"/>
              <w:rPr>
                <w:sz w:val="20"/>
                <w:szCs w:val="20"/>
                <w:color w:val="auto"/>
              </w:rPr>
            </w:pPr>
          </w:p>
        </w:tc>
      </w:tr>
      <w:tr>
        <w:trPr>
          <w:trHeight w:val="216"/>
        </w:trPr>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Cost of revenue</w:t>
            </w:r>
          </w:p>
        </w:tc>
        <w:tc>
          <w:tcPr>
            <w:tcW w:w="220" w:type="dxa"/>
            <w:vAlign w:val="bottom"/>
            <w:shd w:val="clear" w:color="auto" w:fill="CCEEFF"/>
          </w:tcPr>
          <w:p>
            <w:pPr>
              <w:jc w:val="right"/>
              <w:ind w:right="67"/>
              <w:spacing w:after="0"/>
              <w:rPr>
                <w:sz w:val="20"/>
                <w:szCs w:val="20"/>
                <w:color w:val="auto"/>
              </w:rPr>
            </w:pPr>
            <w:r>
              <w:rPr>
                <w:rFonts w:ascii="Arial" w:cs="Arial" w:eastAsia="Arial" w:hAnsi="Arial"/>
                <w:sz w:val="15"/>
                <w:szCs w:val="15"/>
                <w:color w:val="auto"/>
                <w:w w:val="71"/>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2,136</w:t>
            </w:r>
          </w:p>
        </w:tc>
        <w:tc>
          <w:tcPr>
            <w:tcW w:w="260" w:type="dxa"/>
            <w:vAlign w:val="bottom"/>
            <w:shd w:val="clear" w:color="auto" w:fill="CCEEFF"/>
          </w:tcPr>
          <w:p>
            <w:pPr>
              <w:spacing w:after="0"/>
              <w:rPr>
                <w:sz w:val="18"/>
                <w:szCs w:val="18"/>
                <w:color w:val="auto"/>
              </w:rPr>
            </w:pPr>
          </w:p>
        </w:tc>
        <w:tc>
          <w:tcPr>
            <w:tcW w:w="340" w:type="dxa"/>
            <w:vAlign w:val="bottom"/>
            <w:shd w:val="clear" w:color="auto" w:fill="CCEEFF"/>
          </w:tcPr>
          <w:p>
            <w:pPr>
              <w:jc w:val="right"/>
              <w:ind w:right="187"/>
              <w:spacing w:after="0"/>
              <w:rPr>
                <w:sz w:val="20"/>
                <w:szCs w:val="20"/>
                <w:color w:val="auto"/>
              </w:rPr>
            </w:pPr>
            <w:r>
              <w:rPr>
                <w:rFonts w:ascii="Arial" w:cs="Arial" w:eastAsia="Arial" w:hAnsi="Arial"/>
                <w:sz w:val="15"/>
                <w:szCs w:val="15"/>
                <w:color w:val="auto"/>
                <w:w w:val="71"/>
              </w:rPr>
              <w:t>$</w:t>
            </w: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1,953</w:t>
            </w: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6,033</w:t>
            </w:r>
          </w:p>
        </w:tc>
        <w:tc>
          <w:tcPr>
            <w:tcW w:w="360" w:type="dxa"/>
            <w:vAlign w:val="bottom"/>
            <w:shd w:val="clear" w:color="auto" w:fill="CCEEFF"/>
          </w:tcPr>
          <w:p>
            <w:pPr>
              <w:jc w:val="right"/>
              <w:ind w:right="170"/>
              <w:spacing w:after="0"/>
              <w:rPr>
                <w:sz w:val="20"/>
                <w:szCs w:val="20"/>
                <w:color w:val="auto"/>
              </w:rPr>
            </w:pPr>
            <w:r>
              <w:rPr>
                <w:rFonts w:ascii="Arial" w:cs="Arial" w:eastAsia="Arial" w:hAnsi="Arial"/>
                <w:sz w:val="18"/>
                <w:szCs w:val="18"/>
                <w:color w:val="auto"/>
                <w:w w:val="79"/>
              </w:rPr>
              <w:t>$</w:t>
            </w: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4,432</w:t>
            </w:r>
          </w:p>
        </w:tc>
      </w:tr>
      <w:tr>
        <w:trPr>
          <w:trHeight w:val="216"/>
        </w:trPr>
        <w:tc>
          <w:tcPr>
            <w:tcW w:w="598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16,484</w:t>
            </w:r>
          </w:p>
        </w:tc>
        <w:tc>
          <w:tcPr>
            <w:tcW w:w="2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10,297</w:t>
            </w:r>
          </w:p>
        </w:tc>
        <w:tc>
          <w:tcPr>
            <w:tcW w:w="220" w:type="dxa"/>
            <w:vAlign w:val="bottom"/>
          </w:tcPr>
          <w:p>
            <w:pPr>
              <w:spacing w:after="0"/>
              <w:rPr>
                <w:sz w:val="18"/>
                <w:szCs w:val="18"/>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45,995</w:t>
            </w:r>
          </w:p>
        </w:tc>
        <w:tc>
          <w:tcPr>
            <w:tcW w:w="36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30,954</w:t>
            </w:r>
          </w:p>
        </w:tc>
      </w:tr>
      <w:tr>
        <w:trPr>
          <w:trHeight w:val="216"/>
        </w:trPr>
        <w:tc>
          <w:tcPr>
            <w:tcW w:w="5980" w:type="dxa"/>
            <w:vAlign w:val="bottom"/>
            <w:shd w:val="clear" w:color="auto" w:fill="CCEEFF"/>
          </w:tcPr>
          <w:p>
            <w:pPr>
              <w:spacing w:after="0"/>
              <w:rPr>
                <w:sz w:val="20"/>
                <w:szCs w:val="20"/>
                <w:color w:val="auto"/>
              </w:rPr>
            </w:pPr>
            <w:r>
              <w:rPr>
                <w:rFonts w:ascii="Arial" w:cs="Arial" w:eastAsia="Arial" w:hAnsi="Arial"/>
                <w:sz w:val="18"/>
                <w:szCs w:val="18"/>
                <w:color w:val="auto"/>
              </w:rPr>
              <w:t>Sales and marketing</w:t>
            </w:r>
          </w:p>
        </w:tc>
        <w:tc>
          <w:tcPr>
            <w:tcW w:w="22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5,858</w:t>
            </w:r>
          </w:p>
        </w:tc>
        <w:tc>
          <w:tcPr>
            <w:tcW w:w="26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0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4,312</w:t>
            </w:r>
          </w:p>
        </w:tc>
        <w:tc>
          <w:tcPr>
            <w:tcW w:w="2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16,320</w:t>
            </w:r>
          </w:p>
        </w:tc>
        <w:tc>
          <w:tcPr>
            <w:tcW w:w="36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11,729</w:t>
            </w:r>
          </w:p>
        </w:tc>
      </w:tr>
      <w:tr>
        <w:trPr>
          <w:trHeight w:val="216"/>
        </w:trPr>
        <w:tc>
          <w:tcPr>
            <w:tcW w:w="598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2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4,568</w:t>
            </w:r>
          </w:p>
        </w:tc>
        <w:tc>
          <w:tcPr>
            <w:tcW w:w="2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3,316</w:t>
            </w:r>
          </w:p>
        </w:tc>
        <w:tc>
          <w:tcPr>
            <w:tcW w:w="220" w:type="dxa"/>
            <w:vAlign w:val="bottom"/>
          </w:tcPr>
          <w:p>
            <w:pPr>
              <w:spacing w:after="0"/>
              <w:rPr>
                <w:sz w:val="18"/>
                <w:szCs w:val="18"/>
                <w:color w:val="auto"/>
              </w:rPr>
            </w:pP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12,953</w:t>
            </w:r>
          </w:p>
        </w:tc>
        <w:tc>
          <w:tcPr>
            <w:tcW w:w="360" w:type="dxa"/>
            <w:vAlign w:val="bottom"/>
          </w:tcPr>
          <w:p>
            <w:pPr>
              <w:spacing w:after="0"/>
              <w:rPr>
                <w:sz w:val="18"/>
                <w:szCs w:val="18"/>
                <w:color w:val="auto"/>
              </w:rPr>
            </w:pP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9,482</w:t>
            </w:r>
          </w:p>
        </w:tc>
      </w:tr>
      <w:tr>
        <w:trPr>
          <w:trHeight w:val="210"/>
        </w:trPr>
        <w:tc>
          <w:tcPr>
            <w:tcW w:w="5980" w:type="dxa"/>
            <w:vAlign w:val="bottom"/>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340" w:type="dxa"/>
            <w:vAlign w:val="bottom"/>
            <w:tcBorders>
              <w:top w:val="single" w:sz="8" w:color="auto"/>
            </w:tcBorders>
            <w:shd w:val="clear" w:color="auto" w:fill="CCEEFF"/>
          </w:tcPr>
          <w:p>
            <w:pPr>
              <w:spacing w:after="0"/>
              <w:rPr>
                <w:sz w:val="18"/>
                <w:szCs w:val="18"/>
                <w:color w:val="auto"/>
              </w:rPr>
            </w:pPr>
          </w:p>
        </w:tc>
        <w:tc>
          <w:tcPr>
            <w:tcW w:w="78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360" w:type="dxa"/>
            <w:vAlign w:val="bottom"/>
            <w:tcBorders>
              <w:top w:val="single" w:sz="8" w:color="auto"/>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5980" w:type="dxa"/>
            <w:vAlign w:val="bottom"/>
          </w:tcPr>
          <w:p>
            <w:pPr>
              <w:spacing w:after="0"/>
              <w:rPr>
                <w:sz w:val="18"/>
                <w:szCs w:val="18"/>
                <w:color w:val="auto"/>
              </w:rPr>
            </w:pPr>
          </w:p>
        </w:tc>
        <w:tc>
          <w:tcPr>
            <w:tcW w:w="220" w:type="dxa"/>
            <w:vAlign w:val="bottom"/>
          </w:tcPr>
          <w:p>
            <w:pPr>
              <w:jc w:val="right"/>
              <w:ind w:right="67"/>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29,046</w:t>
            </w:r>
          </w:p>
        </w:tc>
        <w:tc>
          <w:tcPr>
            <w:tcW w:w="260" w:type="dxa"/>
            <w:vAlign w:val="bottom"/>
          </w:tcPr>
          <w:p>
            <w:pPr>
              <w:spacing w:after="0"/>
              <w:rPr>
                <w:sz w:val="18"/>
                <w:szCs w:val="18"/>
                <w:color w:val="auto"/>
              </w:rPr>
            </w:pPr>
          </w:p>
        </w:tc>
        <w:tc>
          <w:tcPr>
            <w:tcW w:w="340" w:type="dxa"/>
            <w:vAlign w:val="bottom"/>
          </w:tcPr>
          <w:p>
            <w:pPr>
              <w:jc w:val="right"/>
              <w:ind w:right="187"/>
              <w:spacing w:after="0"/>
              <w:rPr>
                <w:sz w:val="20"/>
                <w:szCs w:val="20"/>
                <w:color w:val="auto"/>
              </w:rPr>
            </w:pPr>
            <w:r>
              <w:rPr>
                <w:rFonts w:ascii="Arial" w:cs="Arial" w:eastAsia="Arial" w:hAnsi="Arial"/>
                <w:sz w:val="15"/>
                <w:szCs w:val="15"/>
                <w:color w:val="auto"/>
                <w:w w:val="71"/>
              </w:rPr>
              <w:t>$</w:t>
            </w:r>
          </w:p>
        </w:tc>
        <w:tc>
          <w:tcPr>
            <w:tcW w:w="1000" w:type="dxa"/>
            <w:vAlign w:val="bottom"/>
            <w:gridSpan w:val="2"/>
          </w:tcPr>
          <w:p>
            <w:pPr>
              <w:jc w:val="right"/>
              <w:ind w:right="220"/>
              <w:spacing w:after="0"/>
              <w:rPr>
                <w:sz w:val="20"/>
                <w:szCs w:val="20"/>
                <w:color w:val="auto"/>
              </w:rPr>
            </w:pPr>
            <w:r>
              <w:rPr>
                <w:rFonts w:ascii="Arial" w:cs="Arial" w:eastAsia="Arial" w:hAnsi="Arial"/>
                <w:sz w:val="18"/>
                <w:szCs w:val="18"/>
                <w:color w:val="auto"/>
              </w:rPr>
              <w:t>19,878</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00" w:type="dxa"/>
            <w:vAlign w:val="bottom"/>
            <w:gridSpan w:val="2"/>
          </w:tcPr>
          <w:p>
            <w:pPr>
              <w:jc w:val="right"/>
              <w:ind w:right="220"/>
              <w:spacing w:after="0"/>
              <w:rPr>
                <w:sz w:val="20"/>
                <w:szCs w:val="20"/>
                <w:color w:val="auto"/>
              </w:rPr>
            </w:pPr>
            <w:r>
              <w:rPr>
                <w:rFonts w:ascii="Arial" w:cs="Arial" w:eastAsia="Arial" w:hAnsi="Arial"/>
                <w:sz w:val="18"/>
                <w:szCs w:val="18"/>
                <w:color w:val="auto"/>
              </w:rPr>
              <w:t>81,301</w:t>
            </w:r>
          </w:p>
        </w:tc>
        <w:tc>
          <w:tcPr>
            <w:tcW w:w="360" w:type="dxa"/>
            <w:vAlign w:val="bottom"/>
          </w:tcPr>
          <w:p>
            <w:pPr>
              <w:jc w:val="right"/>
              <w:ind w:right="170"/>
              <w:spacing w:after="0"/>
              <w:rPr>
                <w:sz w:val="20"/>
                <w:szCs w:val="20"/>
                <w:color w:val="auto"/>
              </w:rPr>
            </w:pPr>
            <w:r>
              <w:rPr>
                <w:rFonts w:ascii="Arial" w:cs="Arial" w:eastAsia="Arial" w:hAnsi="Arial"/>
                <w:sz w:val="18"/>
                <w:szCs w:val="18"/>
                <w:color w:val="auto"/>
                <w:w w:val="79"/>
              </w:rPr>
              <w:t>$</w:t>
            </w:r>
          </w:p>
        </w:tc>
        <w:tc>
          <w:tcPr>
            <w:tcW w:w="860" w:type="dxa"/>
            <w:vAlign w:val="bottom"/>
            <w:gridSpan w:val="2"/>
          </w:tcPr>
          <w:p>
            <w:pPr>
              <w:jc w:val="right"/>
              <w:ind w:right="100"/>
              <w:spacing w:after="0"/>
              <w:rPr>
                <w:sz w:val="20"/>
                <w:szCs w:val="20"/>
                <w:color w:val="auto"/>
              </w:rPr>
            </w:pPr>
            <w:r>
              <w:rPr>
                <w:rFonts w:ascii="Arial" w:cs="Arial" w:eastAsia="Arial" w:hAnsi="Arial"/>
                <w:sz w:val="18"/>
                <w:szCs w:val="18"/>
                <w:color w:val="auto"/>
              </w:rPr>
              <w:t>56,597</w:t>
            </w:r>
          </w:p>
        </w:tc>
      </w:tr>
      <w:tr>
        <w:trPr>
          <w:trHeight w:val="20"/>
        </w:trPr>
        <w:tc>
          <w:tcPr>
            <w:tcW w:w="598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7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555"/>
        </w:trPr>
        <w:tc>
          <w:tcPr>
            <w:tcW w:w="598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9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340" w:type="dxa"/>
            <w:vAlign w:val="bottom"/>
            <w:tcBorders>
              <w:bottom w:val="single" w:sz="8" w:color="auto"/>
            </w:tcBorders>
          </w:tcPr>
          <w:p>
            <w:pPr>
              <w:spacing w:after="0"/>
              <w:rPr>
                <w:sz w:val="24"/>
                <w:szCs w:val="24"/>
                <w:color w:val="auto"/>
              </w:rPr>
            </w:pPr>
          </w:p>
        </w:tc>
        <w:tc>
          <w:tcPr>
            <w:tcW w:w="78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r>
    </w:tbl>
    <w:p>
      <w:pPr>
        <w:sectPr>
          <w:pgSz w:w="11900" w:h="16838" w:orient="portrait"/>
          <w:cols w:equalWidth="0" w:num="1">
            <w:col w:w="11240"/>
          </w:cols>
          <w:pgMar w:left="320" w:top="580" w:right="33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INPHI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(in thousands of dollars)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(Unaudited)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80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40" w:type="dxa"/>
            <w:vAlign w:val="bottom"/>
            <w:gridSpan w:val="2"/>
          </w:tcPr>
          <w:p>
            <w:pPr>
              <w:ind w:left="40"/>
              <w:spacing w:after="0"/>
              <w:rPr>
                <w:sz w:val="20"/>
                <w:szCs w:val="20"/>
                <w:color w:val="auto"/>
              </w:rPr>
            </w:pPr>
            <w:r>
              <w:rPr>
                <w:rFonts w:ascii="Arial" w:cs="Arial" w:eastAsia="Arial" w:hAnsi="Arial"/>
                <w:sz w:val="18"/>
                <w:szCs w:val="18"/>
                <w:b w:val="1"/>
                <w:bCs w:val="1"/>
                <w:color w:val="auto"/>
              </w:rPr>
              <w:t>September 30,</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0" w:type="dxa"/>
            <w:vAlign w:val="bottom"/>
            <w:gridSpan w:val="2"/>
          </w:tcPr>
          <w:p>
            <w:pPr>
              <w:ind w:left="40"/>
              <w:spacing w:after="0"/>
              <w:rPr>
                <w:sz w:val="20"/>
                <w:szCs w:val="20"/>
                <w:color w:val="auto"/>
              </w:rPr>
            </w:pPr>
            <w:r>
              <w:rPr>
                <w:rFonts w:ascii="Arial" w:cs="Arial" w:eastAsia="Arial" w:hAnsi="Arial"/>
                <w:sz w:val="18"/>
                <w:szCs w:val="18"/>
                <w:b w:val="1"/>
                <w:bCs w:val="1"/>
                <w:color w:val="auto"/>
              </w:rPr>
              <w:t>December 31,</w:t>
            </w:r>
          </w:p>
        </w:tc>
      </w:tr>
      <w:tr>
        <w:trPr>
          <w:trHeight w:val="234"/>
        </w:trPr>
        <w:tc>
          <w:tcPr>
            <w:tcW w:w="8000" w:type="dxa"/>
            <w:vAlign w:val="bottom"/>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1340" w:type="dxa"/>
            <w:vAlign w:val="bottom"/>
            <w:tcBorders>
              <w:bottom w:val="single" w:sz="8" w:color="auto"/>
            </w:tcBorders>
          </w:tcPr>
          <w:p>
            <w:pPr>
              <w:jc w:val="right"/>
              <w:ind w:right="470"/>
              <w:spacing w:after="0"/>
              <w:rPr>
                <w:sz w:val="20"/>
                <w:szCs w:val="20"/>
                <w:color w:val="auto"/>
              </w:rPr>
            </w:pPr>
            <w:r>
              <w:rPr>
                <w:rFonts w:ascii="Arial" w:cs="Arial" w:eastAsia="Arial" w:hAnsi="Arial"/>
                <w:sz w:val="18"/>
                <w:szCs w:val="18"/>
                <w:b w:val="1"/>
                <w:bCs w:val="1"/>
                <w:color w:val="auto"/>
              </w:rPr>
              <w:t>2020</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60" w:type="dxa"/>
            <w:vAlign w:val="bottom"/>
            <w:tcBorders>
              <w:bottom w:val="single" w:sz="8" w:color="auto"/>
            </w:tcBorders>
          </w:tcPr>
          <w:p>
            <w:pPr>
              <w:spacing w:after="0"/>
              <w:rPr>
                <w:sz w:val="20"/>
                <w:szCs w:val="20"/>
                <w:color w:val="auto"/>
              </w:rPr>
            </w:pPr>
          </w:p>
        </w:tc>
        <w:tc>
          <w:tcPr>
            <w:tcW w:w="1300" w:type="dxa"/>
            <w:vAlign w:val="bottom"/>
            <w:tcBorders>
              <w:bottom w:val="single" w:sz="8" w:color="auto"/>
            </w:tcBorders>
          </w:tcPr>
          <w:p>
            <w:pPr>
              <w:jc w:val="right"/>
              <w:ind w:right="470"/>
              <w:spacing w:after="0"/>
              <w:rPr>
                <w:sz w:val="20"/>
                <w:szCs w:val="20"/>
                <w:color w:val="auto"/>
              </w:rPr>
            </w:pPr>
            <w:r>
              <w:rPr>
                <w:rFonts w:ascii="Arial" w:cs="Arial" w:eastAsia="Arial" w:hAnsi="Arial"/>
                <w:sz w:val="18"/>
                <w:szCs w:val="18"/>
                <w:b w:val="1"/>
                <w:bCs w:val="1"/>
                <w:color w:val="auto"/>
              </w:rPr>
              <w:t>2019</w:t>
            </w:r>
          </w:p>
        </w:tc>
        <w:tc>
          <w:tcPr>
            <w:tcW w:w="100" w:type="dxa"/>
            <w:vAlign w:val="bottom"/>
          </w:tcPr>
          <w:p>
            <w:pPr>
              <w:spacing w:after="0"/>
              <w:rPr>
                <w:sz w:val="20"/>
                <w:szCs w:val="20"/>
                <w:color w:val="auto"/>
              </w:rPr>
            </w:pPr>
          </w:p>
        </w:tc>
      </w:tr>
      <w:tr>
        <w:trPr>
          <w:trHeight w:val="209"/>
        </w:trPr>
        <w:tc>
          <w:tcPr>
            <w:tcW w:w="80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Assets</w:t>
            </w:r>
          </w:p>
        </w:tc>
        <w:tc>
          <w:tcPr>
            <w:tcW w:w="1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8000" w:type="dxa"/>
            <w:vAlign w:val="bottom"/>
          </w:tcPr>
          <w:p>
            <w:pPr>
              <w:spacing w:after="0"/>
              <w:rPr>
                <w:sz w:val="20"/>
                <w:szCs w:val="20"/>
                <w:color w:val="auto"/>
              </w:rPr>
            </w:pPr>
            <w:r>
              <w:rPr>
                <w:rFonts w:ascii="Arial" w:cs="Arial" w:eastAsia="Arial" w:hAnsi="Arial"/>
                <w:sz w:val="18"/>
                <w:szCs w:val="18"/>
                <w:color w:val="auto"/>
              </w:rPr>
              <w:t>Current assets:</w:t>
            </w:r>
          </w:p>
        </w:tc>
        <w:tc>
          <w:tcPr>
            <w:tcW w:w="1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8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Cash and cash equivalents</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4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147,907</w:t>
            </w:r>
          </w:p>
        </w:tc>
        <w:tc>
          <w:tcPr>
            <w:tcW w:w="2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282,723</w:t>
            </w:r>
          </w:p>
        </w:tc>
      </w:tr>
      <w:tr>
        <w:trPr>
          <w:trHeight w:val="216"/>
        </w:trPr>
        <w:tc>
          <w:tcPr>
            <w:tcW w:w="8000" w:type="dxa"/>
            <w:vAlign w:val="bottom"/>
          </w:tcPr>
          <w:p>
            <w:pPr>
              <w:ind w:left="180"/>
              <w:spacing w:after="0"/>
              <w:rPr>
                <w:sz w:val="20"/>
                <w:szCs w:val="20"/>
                <w:color w:val="auto"/>
              </w:rPr>
            </w:pPr>
            <w:r>
              <w:rPr>
                <w:rFonts w:ascii="Arial" w:cs="Arial" w:eastAsia="Arial" w:hAnsi="Arial"/>
                <w:sz w:val="18"/>
                <w:szCs w:val="18"/>
                <w:color w:val="auto"/>
              </w:rPr>
              <w:t>Investments in marketable securities</w:t>
            </w:r>
          </w:p>
        </w:tc>
        <w:tc>
          <w:tcPr>
            <w:tcW w:w="140" w:type="dxa"/>
            <w:vAlign w:val="bottom"/>
          </w:tcPr>
          <w:p>
            <w:pPr>
              <w:spacing w:after="0"/>
              <w:rPr>
                <w:sz w:val="18"/>
                <w:szCs w:val="18"/>
                <w:color w:val="auto"/>
              </w:rPr>
            </w:pPr>
          </w:p>
        </w:tc>
        <w:tc>
          <w:tcPr>
            <w:tcW w:w="1440" w:type="dxa"/>
            <w:vAlign w:val="bottom"/>
            <w:gridSpan w:val="2"/>
          </w:tcPr>
          <w:p>
            <w:pPr>
              <w:jc w:val="right"/>
              <w:ind w:right="100"/>
              <w:spacing w:after="0"/>
              <w:rPr>
                <w:sz w:val="20"/>
                <w:szCs w:val="20"/>
                <w:color w:val="auto"/>
              </w:rPr>
            </w:pPr>
            <w:r>
              <w:rPr>
                <w:rFonts w:ascii="Arial" w:cs="Arial" w:eastAsia="Arial" w:hAnsi="Arial"/>
                <w:sz w:val="18"/>
                <w:szCs w:val="18"/>
                <w:color w:val="auto"/>
              </w:rPr>
              <w:t>75,077</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140,131</w:t>
            </w:r>
          </w:p>
        </w:tc>
      </w:tr>
      <w:tr>
        <w:trPr>
          <w:trHeight w:val="216"/>
        </w:trPr>
        <w:tc>
          <w:tcPr>
            <w:tcW w:w="8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receivable, net</w:t>
            </w:r>
          </w:p>
        </w:tc>
        <w:tc>
          <w:tcPr>
            <w:tcW w:w="140" w:type="dxa"/>
            <w:vAlign w:val="bottom"/>
            <w:shd w:val="clear" w:color="auto" w:fill="CCEEFF"/>
          </w:tcPr>
          <w:p>
            <w:pPr>
              <w:spacing w:after="0"/>
              <w:rPr>
                <w:sz w:val="18"/>
                <w:szCs w:val="18"/>
                <w:color w:val="auto"/>
              </w:rPr>
            </w:pPr>
          </w:p>
        </w:tc>
        <w:tc>
          <w:tcPr>
            <w:tcW w:w="14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95,239</w:t>
            </w: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60,295</w:t>
            </w:r>
          </w:p>
        </w:tc>
      </w:tr>
      <w:tr>
        <w:trPr>
          <w:trHeight w:val="216"/>
        </w:trPr>
        <w:tc>
          <w:tcPr>
            <w:tcW w:w="8000" w:type="dxa"/>
            <w:vAlign w:val="bottom"/>
          </w:tcPr>
          <w:p>
            <w:pPr>
              <w:ind w:left="180"/>
              <w:spacing w:after="0"/>
              <w:rPr>
                <w:sz w:val="20"/>
                <w:szCs w:val="20"/>
                <w:color w:val="auto"/>
              </w:rPr>
            </w:pPr>
            <w:r>
              <w:rPr>
                <w:rFonts w:ascii="Arial" w:cs="Arial" w:eastAsia="Arial" w:hAnsi="Arial"/>
                <w:sz w:val="18"/>
                <w:szCs w:val="18"/>
                <w:color w:val="auto"/>
              </w:rPr>
              <w:t>Inventories</w:t>
            </w:r>
          </w:p>
        </w:tc>
        <w:tc>
          <w:tcPr>
            <w:tcW w:w="140" w:type="dxa"/>
            <w:vAlign w:val="bottom"/>
          </w:tcPr>
          <w:p>
            <w:pPr>
              <w:spacing w:after="0"/>
              <w:rPr>
                <w:sz w:val="18"/>
                <w:szCs w:val="18"/>
                <w:color w:val="auto"/>
              </w:rPr>
            </w:pPr>
          </w:p>
        </w:tc>
        <w:tc>
          <w:tcPr>
            <w:tcW w:w="1440" w:type="dxa"/>
            <w:vAlign w:val="bottom"/>
            <w:gridSpan w:val="2"/>
          </w:tcPr>
          <w:p>
            <w:pPr>
              <w:jc w:val="right"/>
              <w:ind w:right="100"/>
              <w:spacing w:after="0"/>
              <w:rPr>
                <w:sz w:val="20"/>
                <w:szCs w:val="20"/>
                <w:color w:val="auto"/>
              </w:rPr>
            </w:pPr>
            <w:r>
              <w:rPr>
                <w:rFonts w:ascii="Arial" w:cs="Arial" w:eastAsia="Arial" w:hAnsi="Arial"/>
                <w:sz w:val="18"/>
                <w:szCs w:val="18"/>
                <w:color w:val="auto"/>
              </w:rPr>
              <w:t>108,565</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55,013</w:t>
            </w:r>
          </w:p>
        </w:tc>
      </w:tr>
      <w:tr>
        <w:trPr>
          <w:trHeight w:val="216"/>
        </w:trPr>
        <w:tc>
          <w:tcPr>
            <w:tcW w:w="8000" w:type="dxa"/>
            <w:vAlign w:val="bottom"/>
            <w:tcBorders>
              <w:bottom w:val="single" w:sz="8" w:color="CCEEFF"/>
            </w:tcBorders>
            <w:shd w:val="clear" w:color="auto" w:fill="CCEEFF"/>
          </w:tcPr>
          <w:p>
            <w:pPr>
              <w:ind w:left="180"/>
              <w:spacing w:after="0"/>
              <w:rPr>
                <w:sz w:val="20"/>
                <w:szCs w:val="20"/>
                <w:color w:val="auto"/>
              </w:rPr>
            </w:pPr>
            <w:r>
              <w:rPr>
                <w:rFonts w:ascii="Arial" w:cs="Arial" w:eastAsia="Arial" w:hAnsi="Arial"/>
                <w:sz w:val="18"/>
                <w:szCs w:val="18"/>
                <w:color w:val="auto"/>
              </w:rPr>
              <w:t>Prepaid expenses and other current assets</w:t>
            </w:r>
          </w:p>
        </w:tc>
        <w:tc>
          <w:tcPr>
            <w:tcW w:w="140" w:type="dxa"/>
            <w:vAlign w:val="bottom"/>
            <w:tcBorders>
              <w:bottom w:val="single" w:sz="8" w:color="auto"/>
            </w:tcBorders>
            <w:shd w:val="clear" w:color="auto" w:fill="CCEEFF"/>
          </w:tcPr>
          <w:p>
            <w:pPr>
              <w:spacing w:after="0"/>
              <w:rPr>
                <w:sz w:val="18"/>
                <w:szCs w:val="18"/>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16,046</w:t>
            </w:r>
          </w:p>
        </w:tc>
        <w:tc>
          <w:tcPr>
            <w:tcW w:w="100" w:type="dxa"/>
            <w:vAlign w:val="bottom"/>
            <w:tcBorders>
              <w:bottom w:val="single" w:sz="8" w:color="CCEEFF"/>
            </w:tcBorders>
            <w:shd w:val="clear" w:color="auto" w:fill="CCEEFF"/>
          </w:tcPr>
          <w:p>
            <w:pPr>
              <w:spacing w:after="0"/>
              <w:rPr>
                <w:sz w:val="18"/>
                <w:szCs w:val="18"/>
                <w:color w:val="auto"/>
              </w:rPr>
            </w:pPr>
          </w:p>
        </w:tc>
        <w:tc>
          <w:tcPr>
            <w:tcW w:w="100" w:type="dxa"/>
            <w:vAlign w:val="bottom"/>
            <w:tcBorders>
              <w:bottom w:val="single" w:sz="8" w:color="CCEEFF"/>
            </w:tcBorders>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17,463</w:t>
            </w:r>
          </w:p>
        </w:tc>
        <w:tc>
          <w:tcPr>
            <w:tcW w:w="100" w:type="dxa"/>
            <w:vAlign w:val="bottom"/>
            <w:tcBorders>
              <w:bottom w:val="single" w:sz="8" w:color="CCEEFF"/>
            </w:tcBorders>
            <w:shd w:val="clear" w:color="auto" w:fill="CCEEFF"/>
          </w:tcPr>
          <w:p>
            <w:pPr>
              <w:spacing w:after="0"/>
              <w:rPr>
                <w:sz w:val="18"/>
                <w:szCs w:val="18"/>
                <w:color w:val="auto"/>
              </w:rPr>
            </w:pPr>
          </w:p>
        </w:tc>
      </w:tr>
      <w:tr>
        <w:trPr>
          <w:trHeight w:val="209"/>
        </w:trPr>
        <w:tc>
          <w:tcPr>
            <w:tcW w:w="8000" w:type="dxa"/>
            <w:vAlign w:val="bottom"/>
          </w:tcPr>
          <w:p>
            <w:pPr>
              <w:ind w:left="340"/>
              <w:spacing w:after="0"/>
              <w:rPr>
                <w:sz w:val="20"/>
                <w:szCs w:val="20"/>
                <w:color w:val="auto"/>
              </w:rPr>
            </w:pPr>
            <w:r>
              <w:rPr>
                <w:rFonts w:ascii="Arial" w:cs="Arial" w:eastAsia="Arial" w:hAnsi="Arial"/>
                <w:sz w:val="18"/>
                <w:szCs w:val="18"/>
                <w:color w:val="auto"/>
              </w:rPr>
              <w:t>Total current assets</w:t>
            </w:r>
          </w:p>
        </w:tc>
        <w:tc>
          <w:tcPr>
            <w:tcW w:w="140" w:type="dxa"/>
            <w:vAlign w:val="bottom"/>
          </w:tcPr>
          <w:p>
            <w:pPr>
              <w:spacing w:after="0"/>
              <w:rPr>
                <w:sz w:val="18"/>
                <w:szCs w:val="18"/>
                <w:color w:val="auto"/>
              </w:rPr>
            </w:pPr>
          </w:p>
        </w:tc>
        <w:tc>
          <w:tcPr>
            <w:tcW w:w="1440" w:type="dxa"/>
            <w:vAlign w:val="bottom"/>
            <w:gridSpan w:val="2"/>
          </w:tcPr>
          <w:p>
            <w:pPr>
              <w:jc w:val="right"/>
              <w:ind w:right="100"/>
              <w:spacing w:after="0"/>
              <w:rPr>
                <w:sz w:val="20"/>
                <w:szCs w:val="20"/>
                <w:color w:val="auto"/>
              </w:rPr>
            </w:pPr>
            <w:r>
              <w:rPr>
                <w:rFonts w:ascii="Arial" w:cs="Arial" w:eastAsia="Arial" w:hAnsi="Arial"/>
                <w:sz w:val="18"/>
                <w:szCs w:val="18"/>
                <w:color w:val="auto"/>
              </w:rPr>
              <w:t>442,834</w:t>
            </w: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0" w:type="dxa"/>
            <w:vAlign w:val="bottom"/>
            <w:gridSpan w:val="2"/>
          </w:tcPr>
          <w:p>
            <w:pPr>
              <w:jc w:val="right"/>
              <w:ind w:right="100"/>
              <w:spacing w:after="0"/>
              <w:rPr>
                <w:sz w:val="20"/>
                <w:szCs w:val="20"/>
                <w:color w:val="auto"/>
              </w:rPr>
            </w:pPr>
            <w:r>
              <w:rPr>
                <w:rFonts w:ascii="Arial" w:cs="Arial" w:eastAsia="Arial" w:hAnsi="Arial"/>
                <w:sz w:val="18"/>
                <w:szCs w:val="18"/>
                <w:color w:val="auto"/>
              </w:rPr>
              <w:t>555,625</w:t>
            </w:r>
          </w:p>
        </w:tc>
      </w:tr>
      <w:tr>
        <w:trPr>
          <w:trHeight w:val="216"/>
        </w:trPr>
        <w:tc>
          <w:tcPr>
            <w:tcW w:w="80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bl>
    <w:p>
      <w:pPr>
        <w:spacing w:after="0" w:line="1" w:lineRule="exact"/>
        <w:rPr>
          <w:sz w:val="20"/>
          <w:szCs w:val="20"/>
          <w:color w:val="auto"/>
        </w:rPr>
      </w:pPr>
    </w:p>
    <w:p>
      <w:pPr>
        <w:sectPr>
          <w:pgSz w:w="11900" w:h="16838" w:orient="portrait"/>
          <w:cols w:equalWidth="0" w:num="1">
            <w:col w:w="11240"/>
          </w:cols>
          <w:pgMar w:left="320" w:top="580" w:right="339" w:bottom="1440" w:gutter="0" w:footer="0" w:header="0"/>
        </w:sectPr>
      </w:pPr>
    </w:p>
    <w:p>
      <w:pPr>
        <w:spacing w:after="0"/>
        <w:rPr>
          <w:sz w:val="20"/>
          <w:szCs w:val="20"/>
          <w:color w:val="auto"/>
        </w:rPr>
      </w:pPr>
      <w:r>
        <w:rPr>
          <w:rFonts w:ascii="Arial" w:cs="Arial" w:eastAsia="Arial" w:hAnsi="Arial"/>
          <w:sz w:val="16"/>
          <w:szCs w:val="16"/>
          <w:color w:val="auto"/>
        </w:rPr>
        <w:t>Property and equipment, net</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Goodwill</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Intangible assets, net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Right of use asset, net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Other assets, net</w:t>
      </w:r>
    </w:p>
    <w:p>
      <w:pPr>
        <w:spacing w:after="0" w:line="49" w:lineRule="exact"/>
        <w:rPr>
          <w:sz w:val="20"/>
          <w:szCs w:val="20"/>
          <w:color w:val="auto"/>
        </w:rPr>
      </w:pPr>
    </w:p>
    <w:p>
      <w:pPr>
        <w:spacing w:after="0"/>
        <w:rPr>
          <w:sz w:val="20"/>
          <w:szCs w:val="20"/>
          <w:color w:val="auto"/>
        </w:rPr>
      </w:pPr>
      <w:r>
        <w:rPr>
          <w:rFonts w:ascii="Arial" w:cs="Arial" w:eastAsia="Arial" w:hAnsi="Arial"/>
          <w:sz w:val="18"/>
          <w:szCs w:val="18"/>
          <w:color w:val="auto"/>
        </w:rPr>
        <w:t>Total assets</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02"/>
        </w:trPr>
        <w:tc>
          <w:tcPr>
            <w:tcW w:w="420" w:type="dxa"/>
            <w:vAlign w:val="bottom"/>
          </w:tcPr>
          <w:p>
            <w:pPr>
              <w:spacing w:after="0"/>
              <w:rPr>
                <w:sz w:val="17"/>
                <w:szCs w:val="17"/>
                <w:color w:val="auto"/>
              </w:rPr>
            </w:pPr>
          </w:p>
        </w:tc>
        <w:tc>
          <w:tcPr>
            <w:tcW w:w="1060" w:type="dxa"/>
            <w:vAlign w:val="bottom"/>
          </w:tcPr>
          <w:p>
            <w:pPr>
              <w:jc w:val="right"/>
              <w:spacing w:after="0" w:line="201" w:lineRule="exact"/>
              <w:rPr>
                <w:sz w:val="20"/>
                <w:szCs w:val="20"/>
                <w:color w:val="auto"/>
              </w:rPr>
            </w:pPr>
            <w:r>
              <w:rPr>
                <w:rFonts w:ascii="Arial" w:cs="Arial" w:eastAsia="Arial" w:hAnsi="Arial"/>
                <w:sz w:val="18"/>
                <w:szCs w:val="18"/>
                <w:color w:val="auto"/>
              </w:rPr>
              <w:t>126,177</w:t>
            </w:r>
          </w:p>
        </w:tc>
        <w:tc>
          <w:tcPr>
            <w:tcW w:w="2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000" w:type="dxa"/>
            <w:vAlign w:val="bottom"/>
            <w:gridSpan w:val="2"/>
          </w:tcPr>
          <w:p>
            <w:pPr>
              <w:jc w:val="right"/>
              <w:ind w:right="20"/>
              <w:spacing w:after="0" w:line="201" w:lineRule="exact"/>
              <w:rPr>
                <w:sz w:val="20"/>
                <w:szCs w:val="20"/>
                <w:color w:val="auto"/>
              </w:rPr>
            </w:pPr>
            <w:r>
              <w:rPr>
                <w:rFonts w:ascii="Arial" w:cs="Arial" w:eastAsia="Arial" w:hAnsi="Arial"/>
                <w:sz w:val="18"/>
                <w:szCs w:val="18"/>
                <w:color w:val="auto"/>
              </w:rPr>
              <w:t>79,563</w:t>
            </w:r>
          </w:p>
        </w:tc>
      </w:tr>
      <w:tr>
        <w:trPr>
          <w:trHeight w:val="216"/>
        </w:trPr>
        <w:tc>
          <w:tcPr>
            <w:tcW w:w="4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181,688</w:t>
            </w: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104,502</w:t>
            </w:r>
          </w:p>
        </w:tc>
      </w:tr>
      <w:tr>
        <w:trPr>
          <w:trHeight w:val="216"/>
        </w:trPr>
        <w:tc>
          <w:tcPr>
            <w:tcW w:w="4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256,170</w:t>
            </w: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168,290</w:t>
            </w:r>
          </w:p>
        </w:tc>
      </w:tr>
      <w:tr>
        <w:trPr>
          <w:trHeight w:val="216"/>
        </w:trPr>
        <w:tc>
          <w:tcPr>
            <w:tcW w:w="4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32,263</w:t>
            </w:r>
          </w:p>
        </w:tc>
        <w:tc>
          <w:tcPr>
            <w:tcW w:w="2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33,576</w:t>
            </w:r>
          </w:p>
        </w:tc>
      </w:tr>
      <w:tr>
        <w:trPr>
          <w:trHeight w:val="230"/>
        </w:trPr>
        <w:tc>
          <w:tcPr>
            <w:tcW w:w="420" w:type="dxa"/>
            <w:vAlign w:val="bottom"/>
          </w:tcPr>
          <w:p>
            <w:pPr>
              <w:spacing w:after="0"/>
              <w:rPr>
                <w:sz w:val="20"/>
                <w:szCs w:val="20"/>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31,549</w:t>
            </w:r>
          </w:p>
        </w:tc>
        <w:tc>
          <w:tcPr>
            <w:tcW w:w="2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1000" w:type="dxa"/>
            <w:vAlign w:val="bottom"/>
            <w:gridSpan w:val="2"/>
          </w:tcPr>
          <w:p>
            <w:pPr>
              <w:jc w:val="right"/>
              <w:ind w:right="20"/>
              <w:spacing w:after="0"/>
              <w:rPr>
                <w:sz w:val="20"/>
                <w:szCs w:val="20"/>
                <w:color w:val="auto"/>
              </w:rPr>
            </w:pPr>
            <w:r>
              <w:rPr>
                <w:rFonts w:ascii="Arial" w:cs="Arial" w:eastAsia="Arial" w:hAnsi="Arial"/>
                <w:sz w:val="18"/>
                <w:szCs w:val="18"/>
                <w:color w:val="auto"/>
              </w:rPr>
              <w:t>34,450</w:t>
            </w:r>
          </w:p>
        </w:tc>
      </w:tr>
      <w:tr>
        <w:trPr>
          <w:trHeight w:val="210"/>
        </w:trPr>
        <w:tc>
          <w:tcPr>
            <w:tcW w:w="420" w:type="dxa"/>
            <w:vAlign w:val="bottom"/>
            <w:tcBorders>
              <w:top w:val="single" w:sz="8" w:color="auto"/>
              <w:bottom w:val="single" w:sz="8" w:color="auto"/>
            </w:tcBorders>
          </w:tcPr>
          <w:p>
            <w:pPr>
              <w:jc w:val="right"/>
              <w:ind w:right="230"/>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1,070,681</w:t>
            </w:r>
          </w:p>
        </w:tc>
        <w:tc>
          <w:tcPr>
            <w:tcW w:w="200" w:type="dxa"/>
            <w:vAlign w:val="bottom"/>
          </w:tcPr>
          <w:p>
            <w:pPr>
              <w:spacing w:after="0"/>
              <w:rPr>
                <w:sz w:val="18"/>
                <w:szCs w:val="18"/>
                <w:color w:val="auto"/>
              </w:rPr>
            </w:pPr>
          </w:p>
        </w:tc>
        <w:tc>
          <w:tcPr>
            <w:tcW w:w="480" w:type="dxa"/>
            <w:vAlign w:val="bottom"/>
            <w:tcBorders>
              <w:top w:val="single" w:sz="8" w:color="auto"/>
              <w:bottom w:val="single" w:sz="8" w:color="auto"/>
            </w:tcBorders>
          </w:tcPr>
          <w:p>
            <w:pPr>
              <w:jc w:val="right"/>
              <w:ind w:right="2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976,006</w:t>
            </w:r>
          </w:p>
        </w:tc>
        <w:tc>
          <w:tcPr>
            <w:tcW w:w="20" w:type="dxa"/>
            <w:vAlign w:val="bottom"/>
          </w:tcPr>
          <w:p>
            <w:pPr>
              <w:spacing w:after="0"/>
              <w:rPr>
                <w:sz w:val="18"/>
                <w:szCs w:val="18"/>
                <w:color w:val="auto"/>
              </w:rPr>
            </w:pPr>
          </w:p>
        </w:tc>
      </w:tr>
      <w:tr>
        <w:trPr>
          <w:trHeight w:val="20"/>
        </w:trPr>
        <w:tc>
          <w:tcPr>
            <w:tcW w:w="42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-5074285</wp:posOffset>
            </wp:positionH>
            <wp:positionV relativeFrom="paragraph">
              <wp:posOffset>-719455</wp:posOffset>
            </wp:positionV>
            <wp:extent cx="7132320" cy="13716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2320" cy="137160"/>
                    </a:xfrm>
                    <a:prstGeom prst="rect">
                      <a:avLst/>
                    </a:prstGeom>
                    <a:noFill/>
                  </pic:spPr>
                </pic:pic>
              </a:graphicData>
            </a:graphic>
          </wp:anchor>
        </w:drawing>
        <w:drawing>
          <wp:anchor simplePos="0" relativeHeight="251657728" behindDoc="1" locked="0" layoutInCell="0" allowOverlap="1">
            <wp:simplePos x="0" y="0"/>
            <wp:positionH relativeFrom="column">
              <wp:posOffset>-5074285</wp:posOffset>
            </wp:positionH>
            <wp:positionV relativeFrom="paragraph">
              <wp:posOffset>-445135</wp:posOffset>
            </wp:positionV>
            <wp:extent cx="7132320" cy="13716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2320" cy="137160"/>
                    </a:xfrm>
                    <a:prstGeom prst="rect">
                      <a:avLst/>
                    </a:prstGeom>
                    <a:noFill/>
                  </pic:spPr>
                </pic:pic>
              </a:graphicData>
            </a:graphic>
          </wp:anchor>
        </w:drawing>
        <w:drawing>
          <wp:anchor simplePos="0" relativeHeight="251657728" behindDoc="1" locked="0" layoutInCell="0" allowOverlap="1">
            <wp:simplePos x="0" y="0"/>
            <wp:positionH relativeFrom="column">
              <wp:posOffset>-5074285</wp:posOffset>
            </wp:positionH>
            <wp:positionV relativeFrom="paragraph">
              <wp:posOffset>-161925</wp:posOffset>
            </wp:positionV>
            <wp:extent cx="7132320" cy="16256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2320" cy="16256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7280" w:space="720"/>
            <w:col w:w="3240"/>
          </w:cols>
          <w:pgMar w:left="320" w:top="580" w:right="339" w:bottom="1440" w:gutter="0" w:footer="0" w:header="0"/>
          <w:type w:val="continuous"/>
        </w:sectPr>
      </w:pPr>
    </w:p>
    <w:p>
      <w:pPr>
        <w:spacing w:after="0" w:line="1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80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Stockholders’ Equity</w:t>
            </w:r>
          </w:p>
        </w:tc>
        <w:tc>
          <w:tcPr>
            <w:tcW w:w="42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0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8000" w:type="dxa"/>
            <w:vAlign w:val="bottom"/>
          </w:tcPr>
          <w:p>
            <w:pPr>
              <w:spacing w:after="0"/>
              <w:rPr>
                <w:sz w:val="20"/>
                <w:szCs w:val="20"/>
                <w:color w:val="auto"/>
              </w:rPr>
            </w:pPr>
            <w:r>
              <w:rPr>
                <w:rFonts w:ascii="Arial" w:cs="Arial" w:eastAsia="Arial" w:hAnsi="Arial"/>
                <w:sz w:val="18"/>
                <w:szCs w:val="18"/>
                <w:color w:val="auto"/>
              </w:rPr>
              <w:t>Current liabilities:</w:t>
            </w: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8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Accounts payable</w:t>
            </w:r>
          </w:p>
        </w:tc>
        <w:tc>
          <w:tcPr>
            <w:tcW w:w="420" w:type="dxa"/>
            <w:vAlign w:val="bottom"/>
            <w:shd w:val="clear" w:color="auto" w:fill="CCEEFF"/>
          </w:tcPr>
          <w:p>
            <w:pPr>
              <w:jc w:val="right"/>
              <w:ind w:right="230"/>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43,863</w:t>
            </w:r>
          </w:p>
        </w:tc>
        <w:tc>
          <w:tcPr>
            <w:tcW w:w="12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18,771</w:t>
            </w:r>
          </w:p>
        </w:tc>
      </w:tr>
      <w:tr>
        <w:trPr>
          <w:trHeight w:val="216"/>
        </w:trPr>
        <w:tc>
          <w:tcPr>
            <w:tcW w:w="8000" w:type="dxa"/>
            <w:vAlign w:val="bottom"/>
          </w:tcPr>
          <w:p>
            <w:pPr>
              <w:ind w:left="180"/>
              <w:spacing w:after="0"/>
              <w:rPr>
                <w:sz w:val="20"/>
                <w:szCs w:val="20"/>
                <w:color w:val="auto"/>
              </w:rPr>
            </w:pPr>
            <w:r>
              <w:rPr>
                <w:rFonts w:ascii="Arial" w:cs="Arial" w:eastAsia="Arial" w:hAnsi="Arial"/>
                <w:sz w:val="18"/>
                <w:szCs w:val="18"/>
                <w:color w:val="auto"/>
              </w:rPr>
              <w:t>Accrued expenses and other current liabilities</w:t>
            </w:r>
          </w:p>
        </w:tc>
        <w:tc>
          <w:tcPr>
            <w:tcW w:w="4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77,834</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51,820</w:t>
            </w:r>
          </w:p>
        </w:tc>
      </w:tr>
      <w:tr>
        <w:trPr>
          <w:trHeight w:val="216"/>
        </w:trPr>
        <w:tc>
          <w:tcPr>
            <w:tcW w:w="8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Deferred revenue</w:t>
            </w:r>
          </w:p>
        </w:tc>
        <w:tc>
          <w:tcPr>
            <w:tcW w:w="4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3,238</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3,719</w:t>
            </w:r>
          </w:p>
        </w:tc>
      </w:tr>
      <w:tr>
        <w:trPr>
          <w:trHeight w:val="216"/>
        </w:trPr>
        <w:tc>
          <w:tcPr>
            <w:tcW w:w="8000" w:type="dxa"/>
            <w:vAlign w:val="bottom"/>
          </w:tcPr>
          <w:p>
            <w:pPr>
              <w:ind w:left="180"/>
              <w:spacing w:after="0"/>
              <w:rPr>
                <w:sz w:val="20"/>
                <w:szCs w:val="20"/>
                <w:color w:val="auto"/>
              </w:rPr>
            </w:pPr>
            <w:r>
              <w:rPr>
                <w:rFonts w:ascii="Arial" w:cs="Arial" w:eastAsia="Arial" w:hAnsi="Arial"/>
                <w:sz w:val="18"/>
                <w:szCs w:val="18"/>
                <w:color w:val="auto"/>
              </w:rPr>
              <w:t>Convertible debt</w:t>
            </w:r>
          </w:p>
        </w:tc>
        <w:tc>
          <w:tcPr>
            <w:tcW w:w="42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107,699</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217,467</w:t>
            </w:r>
          </w:p>
        </w:tc>
        <w:tc>
          <w:tcPr>
            <w:tcW w:w="100" w:type="dxa"/>
            <w:vAlign w:val="bottom"/>
          </w:tcPr>
          <w:p>
            <w:pPr>
              <w:spacing w:after="0"/>
              <w:rPr>
                <w:sz w:val="18"/>
                <w:szCs w:val="18"/>
                <w:color w:val="auto"/>
              </w:rPr>
            </w:pPr>
          </w:p>
        </w:tc>
      </w:tr>
      <w:tr>
        <w:trPr>
          <w:trHeight w:val="210"/>
        </w:trPr>
        <w:tc>
          <w:tcPr>
            <w:tcW w:w="80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Total current liabilities</w:t>
            </w:r>
          </w:p>
        </w:tc>
        <w:tc>
          <w:tcPr>
            <w:tcW w:w="4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232,634</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291,777</w:t>
            </w:r>
          </w:p>
        </w:tc>
      </w:tr>
      <w:tr>
        <w:trPr>
          <w:trHeight w:val="216"/>
        </w:trPr>
        <w:tc>
          <w:tcPr>
            <w:tcW w:w="8000" w:type="dxa"/>
            <w:vAlign w:val="bottom"/>
          </w:tcPr>
          <w:p>
            <w:pPr>
              <w:spacing w:after="0"/>
              <w:rPr>
                <w:sz w:val="20"/>
                <w:szCs w:val="20"/>
                <w:color w:val="auto"/>
              </w:rPr>
            </w:pPr>
            <w:r>
              <w:rPr>
                <w:rFonts w:ascii="Arial" w:cs="Arial" w:eastAsia="Arial" w:hAnsi="Arial"/>
                <w:sz w:val="18"/>
                <w:szCs w:val="18"/>
                <w:color w:val="auto"/>
              </w:rPr>
              <w:t>Convertible debt</w:t>
            </w:r>
          </w:p>
        </w:tc>
        <w:tc>
          <w:tcPr>
            <w:tcW w:w="4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400,426</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258,711</w:t>
            </w:r>
          </w:p>
        </w:tc>
      </w:tr>
      <w:tr>
        <w:trPr>
          <w:trHeight w:val="216"/>
        </w:trPr>
        <w:tc>
          <w:tcPr>
            <w:tcW w:w="80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Other liabilities</w:t>
            </w:r>
          </w:p>
        </w:tc>
        <w:tc>
          <w:tcPr>
            <w:tcW w:w="42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64,940</w:t>
            </w:r>
          </w:p>
        </w:tc>
        <w:tc>
          <w:tcPr>
            <w:tcW w:w="12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46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78,917</w:t>
            </w:r>
          </w:p>
        </w:tc>
        <w:tc>
          <w:tcPr>
            <w:tcW w:w="100" w:type="dxa"/>
            <w:vAlign w:val="bottom"/>
            <w:tcBorders>
              <w:bottom w:val="single" w:sz="8" w:color="CCEEFF"/>
            </w:tcBorders>
            <w:shd w:val="clear" w:color="auto" w:fill="CCEEFF"/>
          </w:tcPr>
          <w:p>
            <w:pPr>
              <w:spacing w:after="0"/>
              <w:rPr>
                <w:sz w:val="18"/>
                <w:szCs w:val="18"/>
                <w:color w:val="auto"/>
              </w:rPr>
            </w:pPr>
          </w:p>
        </w:tc>
      </w:tr>
      <w:tr>
        <w:trPr>
          <w:trHeight w:val="210"/>
        </w:trPr>
        <w:tc>
          <w:tcPr>
            <w:tcW w:w="8000" w:type="dxa"/>
            <w:vAlign w:val="bottom"/>
          </w:tcPr>
          <w:p>
            <w:pPr>
              <w:ind w:left="340"/>
              <w:spacing w:after="0"/>
              <w:rPr>
                <w:sz w:val="20"/>
                <w:szCs w:val="20"/>
                <w:color w:val="auto"/>
              </w:rPr>
            </w:pPr>
            <w:r>
              <w:rPr>
                <w:rFonts w:ascii="Arial" w:cs="Arial" w:eastAsia="Arial" w:hAnsi="Arial"/>
                <w:sz w:val="18"/>
                <w:szCs w:val="18"/>
                <w:color w:val="auto"/>
              </w:rPr>
              <w:t>Total liabilities</w:t>
            </w:r>
          </w:p>
        </w:tc>
        <w:tc>
          <w:tcPr>
            <w:tcW w:w="4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698,000</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629,405</w:t>
            </w:r>
          </w:p>
        </w:tc>
      </w:tr>
      <w:tr>
        <w:trPr>
          <w:trHeight w:val="209"/>
        </w:trPr>
        <w:tc>
          <w:tcPr>
            <w:tcW w:w="8000" w:type="dxa"/>
            <w:vAlign w:val="bottom"/>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106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60" w:type="dxa"/>
            <w:vAlign w:val="bottom"/>
            <w:tcBorders>
              <w:top w:val="single" w:sz="8" w:color="auto"/>
            </w:tcBorders>
            <w:shd w:val="clear" w:color="auto" w:fill="CCEEFF"/>
          </w:tcPr>
          <w:p>
            <w:pPr>
              <w:spacing w:after="0"/>
              <w:rPr>
                <w:sz w:val="18"/>
                <w:szCs w:val="18"/>
                <w:color w:val="auto"/>
              </w:rPr>
            </w:pPr>
          </w:p>
        </w:tc>
        <w:tc>
          <w:tcPr>
            <w:tcW w:w="1000" w:type="dxa"/>
            <w:vAlign w:val="bottom"/>
            <w:tcBorders>
              <w:top w:val="single" w:sz="8" w:color="auto"/>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8000" w:type="dxa"/>
            <w:vAlign w:val="bottom"/>
          </w:tcPr>
          <w:p>
            <w:pPr>
              <w:spacing w:after="0"/>
              <w:rPr>
                <w:sz w:val="20"/>
                <w:szCs w:val="20"/>
                <w:color w:val="auto"/>
              </w:rPr>
            </w:pPr>
            <w:r>
              <w:rPr>
                <w:rFonts w:ascii="Arial" w:cs="Arial" w:eastAsia="Arial" w:hAnsi="Arial"/>
                <w:sz w:val="18"/>
                <w:szCs w:val="18"/>
                <w:color w:val="auto"/>
              </w:rPr>
              <w:t>Stockholders’ equity:</w:t>
            </w: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8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Common stock</w:t>
            </w:r>
          </w:p>
        </w:tc>
        <w:tc>
          <w:tcPr>
            <w:tcW w:w="4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46</w:t>
            </w:r>
          </w:p>
        </w:tc>
      </w:tr>
      <w:tr>
        <w:trPr>
          <w:trHeight w:val="216"/>
        </w:trPr>
        <w:tc>
          <w:tcPr>
            <w:tcW w:w="8000" w:type="dxa"/>
            <w:vAlign w:val="bottom"/>
          </w:tcPr>
          <w:p>
            <w:pPr>
              <w:ind w:left="180"/>
              <w:spacing w:after="0"/>
              <w:rPr>
                <w:sz w:val="20"/>
                <w:szCs w:val="20"/>
                <w:color w:val="auto"/>
              </w:rPr>
            </w:pPr>
            <w:r>
              <w:rPr>
                <w:rFonts w:ascii="Arial" w:cs="Arial" w:eastAsia="Arial" w:hAnsi="Arial"/>
                <w:sz w:val="18"/>
                <w:szCs w:val="18"/>
                <w:color w:val="auto"/>
              </w:rPr>
              <w:t>Additional paid-in capital</w:t>
            </w:r>
          </w:p>
        </w:tc>
        <w:tc>
          <w:tcPr>
            <w:tcW w:w="42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661,586</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587,862</w:t>
            </w:r>
          </w:p>
        </w:tc>
      </w:tr>
      <w:tr>
        <w:trPr>
          <w:trHeight w:val="216"/>
        </w:trPr>
        <w:tc>
          <w:tcPr>
            <w:tcW w:w="800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Accumulated deficit</w:t>
            </w:r>
          </w:p>
        </w:tc>
        <w:tc>
          <w:tcPr>
            <w:tcW w:w="4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(290,524)</w:t>
            </w: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(242,807)</w:t>
            </w:r>
          </w:p>
        </w:tc>
      </w:tr>
      <w:tr>
        <w:trPr>
          <w:trHeight w:val="216"/>
        </w:trPr>
        <w:tc>
          <w:tcPr>
            <w:tcW w:w="8000" w:type="dxa"/>
            <w:vAlign w:val="bottom"/>
          </w:tcPr>
          <w:p>
            <w:pPr>
              <w:ind w:left="180"/>
              <w:spacing w:after="0"/>
              <w:rPr>
                <w:sz w:val="20"/>
                <w:szCs w:val="20"/>
                <w:color w:val="auto"/>
              </w:rPr>
            </w:pPr>
            <w:r>
              <w:rPr>
                <w:rFonts w:ascii="Arial" w:cs="Arial" w:eastAsia="Arial" w:hAnsi="Arial"/>
                <w:sz w:val="18"/>
                <w:szCs w:val="18"/>
                <w:color w:val="auto"/>
              </w:rPr>
              <w:t>Accumulated other comprehensive income</w:t>
            </w:r>
          </w:p>
        </w:tc>
        <w:tc>
          <w:tcPr>
            <w:tcW w:w="42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1,567</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1,500</w:t>
            </w:r>
          </w:p>
        </w:tc>
        <w:tc>
          <w:tcPr>
            <w:tcW w:w="100" w:type="dxa"/>
            <w:vAlign w:val="bottom"/>
          </w:tcPr>
          <w:p>
            <w:pPr>
              <w:spacing w:after="0"/>
              <w:rPr>
                <w:sz w:val="18"/>
                <w:szCs w:val="18"/>
                <w:color w:val="auto"/>
              </w:rPr>
            </w:pPr>
          </w:p>
        </w:tc>
      </w:tr>
      <w:tr>
        <w:trPr>
          <w:trHeight w:val="210"/>
        </w:trPr>
        <w:tc>
          <w:tcPr>
            <w:tcW w:w="8000" w:type="dxa"/>
            <w:vAlign w:val="bottom"/>
            <w:tcBorders>
              <w:bottom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stockholders’ equity</w:t>
            </w:r>
          </w:p>
        </w:tc>
        <w:tc>
          <w:tcPr>
            <w:tcW w:w="42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372,681</w:t>
            </w:r>
          </w:p>
        </w:tc>
        <w:tc>
          <w:tcPr>
            <w:tcW w:w="120" w:type="dxa"/>
            <w:vAlign w:val="bottom"/>
            <w:tcBorders>
              <w:bottom w:val="single" w:sz="8" w:color="CCEEFF"/>
            </w:tcBorders>
            <w:shd w:val="clear" w:color="auto" w:fill="CCEEFF"/>
          </w:tcPr>
          <w:p>
            <w:pPr>
              <w:spacing w:after="0"/>
              <w:rPr>
                <w:sz w:val="18"/>
                <w:szCs w:val="18"/>
                <w:color w:val="auto"/>
              </w:rPr>
            </w:pPr>
          </w:p>
        </w:tc>
        <w:tc>
          <w:tcPr>
            <w:tcW w:w="80" w:type="dxa"/>
            <w:vAlign w:val="bottom"/>
            <w:tcBorders>
              <w:bottom w:val="single" w:sz="8" w:color="CCEEFF"/>
            </w:tcBorders>
            <w:shd w:val="clear" w:color="auto" w:fill="CCEEFF"/>
          </w:tcPr>
          <w:p>
            <w:pPr>
              <w:spacing w:after="0"/>
              <w:rPr>
                <w:sz w:val="18"/>
                <w:szCs w:val="18"/>
                <w:color w:val="auto"/>
              </w:rPr>
            </w:pPr>
          </w:p>
        </w:tc>
        <w:tc>
          <w:tcPr>
            <w:tcW w:w="46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346,601</w:t>
            </w:r>
          </w:p>
        </w:tc>
        <w:tc>
          <w:tcPr>
            <w:tcW w:w="100" w:type="dxa"/>
            <w:vAlign w:val="bottom"/>
            <w:tcBorders>
              <w:bottom w:val="single" w:sz="8" w:color="CCEEFF"/>
            </w:tcBorders>
            <w:shd w:val="clear" w:color="auto" w:fill="CCEEFF"/>
          </w:tcPr>
          <w:p>
            <w:pPr>
              <w:spacing w:after="0"/>
              <w:rPr>
                <w:sz w:val="18"/>
                <w:szCs w:val="18"/>
                <w:color w:val="auto"/>
              </w:rPr>
            </w:pPr>
          </w:p>
        </w:tc>
      </w:tr>
      <w:tr>
        <w:trPr>
          <w:trHeight w:val="210"/>
        </w:trPr>
        <w:tc>
          <w:tcPr>
            <w:tcW w:w="8000" w:type="dxa"/>
            <w:vAlign w:val="bottom"/>
          </w:tcPr>
          <w:p>
            <w:pPr>
              <w:spacing w:after="0"/>
              <w:rPr>
                <w:sz w:val="20"/>
                <w:szCs w:val="20"/>
                <w:color w:val="auto"/>
              </w:rPr>
            </w:pPr>
            <w:r>
              <w:rPr>
                <w:rFonts w:ascii="Arial" w:cs="Arial" w:eastAsia="Arial" w:hAnsi="Arial"/>
                <w:sz w:val="18"/>
                <w:szCs w:val="18"/>
                <w:color w:val="auto"/>
              </w:rPr>
              <w:t>Total liabilities and stockholders’ equity</w:t>
            </w:r>
          </w:p>
        </w:tc>
        <w:tc>
          <w:tcPr>
            <w:tcW w:w="420" w:type="dxa"/>
            <w:vAlign w:val="bottom"/>
          </w:tcPr>
          <w:p>
            <w:pPr>
              <w:jc w:val="right"/>
              <w:ind w:right="230"/>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1,070,681</w:t>
            </w:r>
          </w:p>
        </w:tc>
        <w:tc>
          <w:tcPr>
            <w:tcW w:w="120" w:type="dxa"/>
            <w:vAlign w:val="bottom"/>
          </w:tcPr>
          <w:p>
            <w:pPr>
              <w:spacing w:after="0"/>
              <w:rPr>
                <w:sz w:val="18"/>
                <w:szCs w:val="18"/>
                <w:color w:val="auto"/>
              </w:rPr>
            </w:pPr>
          </w:p>
        </w:tc>
        <w:tc>
          <w:tcPr>
            <w:tcW w:w="540" w:type="dxa"/>
            <w:vAlign w:val="bottom"/>
            <w:gridSpan w:val="2"/>
          </w:tcPr>
          <w:p>
            <w:pPr>
              <w:jc w:val="right"/>
              <w:ind w:right="360"/>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100"/>
              <w:spacing w:after="0"/>
              <w:rPr>
                <w:sz w:val="20"/>
                <w:szCs w:val="20"/>
                <w:color w:val="auto"/>
              </w:rPr>
            </w:pPr>
            <w:r>
              <w:rPr>
                <w:rFonts w:ascii="Arial" w:cs="Arial" w:eastAsia="Arial" w:hAnsi="Arial"/>
                <w:sz w:val="18"/>
                <w:szCs w:val="18"/>
                <w:color w:val="auto"/>
              </w:rPr>
              <w:t>976,006</w:t>
            </w:r>
          </w:p>
        </w:tc>
      </w:tr>
      <w:tr>
        <w:trPr>
          <w:trHeight w:val="20"/>
        </w:trPr>
        <w:tc>
          <w:tcPr>
            <w:tcW w:w="800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554"/>
        </w:trPr>
        <w:tc>
          <w:tcPr>
            <w:tcW w:w="800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10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10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r>
    </w:tbl>
    <w:p>
      <w:pPr>
        <w:sectPr>
          <w:pgSz w:w="11900" w:h="16838" w:orient="portrait"/>
          <w:cols w:equalWidth="0" w:num="1">
            <w:col w:w="11240"/>
          </w:cols>
          <w:pgMar w:left="320" w:top="580" w:right="339" w:bottom="1440" w:gutter="0" w:footer="0" w:header="0"/>
          <w:type w:val="continuous"/>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INPHI CORPORATION</w:t>
      </w:r>
    </w:p>
    <w:p>
      <w:pPr>
        <w:spacing w:after="0" w:line="27" w:lineRule="exact"/>
        <w:rPr>
          <w:sz w:val="20"/>
          <w:szCs w:val="20"/>
          <w:color w:val="auto"/>
        </w:rPr>
      </w:pPr>
    </w:p>
    <w:p>
      <w:pPr>
        <w:jc w:val="center"/>
        <w:ind w:right="80"/>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(in thousands of dollars)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(Unaudited)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58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2480" w:type="dxa"/>
            <w:vAlign w:val="bottom"/>
            <w:gridSpan w:val="6"/>
          </w:tcPr>
          <w:p>
            <w:pPr>
              <w:jc w:val="right"/>
              <w:ind w:right="660"/>
              <w:spacing w:after="0"/>
              <w:rPr>
                <w:sz w:val="20"/>
                <w:szCs w:val="20"/>
                <w:color w:val="auto"/>
              </w:rPr>
            </w:pPr>
            <w:r>
              <w:rPr>
                <w:rFonts w:ascii="Arial" w:cs="Arial" w:eastAsia="Arial" w:hAnsi="Arial"/>
                <w:sz w:val="18"/>
                <w:szCs w:val="18"/>
                <w:b w:val="1"/>
                <w:bCs w:val="1"/>
                <w:color w:val="auto"/>
              </w:rPr>
              <w:t>Three Months Ended</w:t>
            </w:r>
          </w:p>
        </w:tc>
        <w:tc>
          <w:tcPr>
            <w:tcW w:w="240" w:type="dxa"/>
            <w:vAlign w:val="bottom"/>
          </w:tcPr>
          <w:p>
            <w:pPr>
              <w:spacing w:after="0"/>
              <w:rPr>
                <w:sz w:val="18"/>
                <w:szCs w:val="18"/>
                <w:color w:val="auto"/>
              </w:rPr>
            </w:pPr>
          </w:p>
        </w:tc>
        <w:tc>
          <w:tcPr>
            <w:tcW w:w="2460" w:type="dxa"/>
            <w:vAlign w:val="bottom"/>
            <w:gridSpan w:val="5"/>
          </w:tcPr>
          <w:p>
            <w:pPr>
              <w:jc w:val="right"/>
              <w:ind w:right="640"/>
              <w:spacing w:after="0"/>
              <w:rPr>
                <w:sz w:val="20"/>
                <w:szCs w:val="20"/>
                <w:color w:val="auto"/>
              </w:rPr>
            </w:pPr>
            <w:r>
              <w:rPr>
                <w:rFonts w:ascii="Arial" w:cs="Arial" w:eastAsia="Arial" w:hAnsi="Arial"/>
                <w:sz w:val="18"/>
                <w:szCs w:val="18"/>
                <w:b w:val="1"/>
                <w:bCs w:val="1"/>
                <w:color w:val="auto"/>
              </w:rPr>
              <w:t>Nine Months Ended</w:t>
            </w:r>
          </w:p>
        </w:tc>
      </w:tr>
      <w:tr>
        <w:trPr>
          <w:trHeight w:val="234"/>
        </w:trPr>
        <w:tc>
          <w:tcPr>
            <w:tcW w:w="58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480" w:type="dxa"/>
            <w:vAlign w:val="bottom"/>
            <w:gridSpan w:val="6"/>
          </w:tcPr>
          <w:p>
            <w:pPr>
              <w:jc w:val="right"/>
              <w:ind w:right="920"/>
              <w:spacing w:after="0"/>
              <w:rPr>
                <w:sz w:val="20"/>
                <w:szCs w:val="20"/>
                <w:color w:val="auto"/>
              </w:rPr>
            </w:pPr>
            <w:r>
              <w:rPr>
                <w:rFonts w:ascii="Arial" w:cs="Arial" w:eastAsia="Arial" w:hAnsi="Arial"/>
                <w:sz w:val="18"/>
                <w:szCs w:val="18"/>
                <w:b w:val="1"/>
                <w:bCs w:val="1"/>
                <w:color w:val="auto"/>
              </w:rPr>
              <w:t>September 30,</w:t>
            </w:r>
          </w:p>
        </w:tc>
        <w:tc>
          <w:tcPr>
            <w:tcW w:w="240" w:type="dxa"/>
            <w:vAlign w:val="bottom"/>
          </w:tcPr>
          <w:p>
            <w:pPr>
              <w:spacing w:after="0"/>
              <w:rPr>
                <w:sz w:val="20"/>
                <w:szCs w:val="20"/>
                <w:color w:val="auto"/>
              </w:rPr>
            </w:pPr>
          </w:p>
        </w:tc>
        <w:tc>
          <w:tcPr>
            <w:tcW w:w="2460" w:type="dxa"/>
            <w:vAlign w:val="bottom"/>
            <w:gridSpan w:val="5"/>
          </w:tcPr>
          <w:p>
            <w:pPr>
              <w:jc w:val="right"/>
              <w:ind w:right="860"/>
              <w:spacing w:after="0"/>
              <w:rPr>
                <w:sz w:val="20"/>
                <w:szCs w:val="20"/>
                <w:color w:val="auto"/>
              </w:rPr>
            </w:pPr>
            <w:r>
              <w:rPr>
                <w:rFonts w:ascii="Arial" w:cs="Arial" w:eastAsia="Arial" w:hAnsi="Arial"/>
                <w:sz w:val="18"/>
                <w:szCs w:val="18"/>
                <w:b w:val="1"/>
                <w:bCs w:val="1"/>
                <w:color w:val="auto"/>
              </w:rPr>
              <w:t>September 30,</w:t>
            </w:r>
          </w:p>
        </w:tc>
      </w:tr>
      <w:tr>
        <w:trPr>
          <w:trHeight w:val="209"/>
        </w:trPr>
        <w:tc>
          <w:tcPr>
            <w:tcW w:w="5820" w:type="dxa"/>
            <w:vAlign w:val="bottom"/>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ind w:right="310"/>
              <w:spacing w:after="0"/>
              <w:rPr>
                <w:sz w:val="20"/>
                <w:szCs w:val="20"/>
                <w:color w:val="auto"/>
              </w:rPr>
            </w:pPr>
            <w:r>
              <w:rPr>
                <w:rFonts w:ascii="Arial" w:cs="Arial" w:eastAsia="Arial" w:hAnsi="Arial"/>
                <w:sz w:val="18"/>
                <w:szCs w:val="18"/>
                <w:b w:val="1"/>
                <w:bCs w:val="1"/>
                <w:color w:val="auto"/>
              </w:rPr>
              <w:t>2020</w:t>
            </w:r>
          </w:p>
        </w:tc>
        <w:tc>
          <w:tcPr>
            <w:tcW w:w="140" w:type="dxa"/>
            <w:vAlign w:val="bottom"/>
            <w:tcBorders>
              <w:top w:val="single" w:sz="8" w:color="auto"/>
            </w:tcBorders>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900" w:type="dxa"/>
            <w:vAlign w:val="bottom"/>
            <w:tcBorders>
              <w:top w:val="single" w:sz="8" w:color="auto"/>
              <w:bottom w:val="single" w:sz="8" w:color="auto"/>
            </w:tcBorders>
          </w:tcPr>
          <w:p>
            <w:pPr>
              <w:jc w:val="right"/>
              <w:ind w:right="290"/>
              <w:spacing w:after="0"/>
              <w:rPr>
                <w:sz w:val="20"/>
                <w:szCs w:val="20"/>
                <w:color w:val="auto"/>
              </w:rPr>
            </w:pPr>
            <w:r>
              <w:rPr>
                <w:rFonts w:ascii="Arial" w:cs="Arial" w:eastAsia="Arial" w:hAnsi="Arial"/>
                <w:sz w:val="18"/>
                <w:szCs w:val="18"/>
                <w:b w:val="1"/>
                <w:bCs w:val="1"/>
                <w:color w:val="auto"/>
              </w:rPr>
              <w:t>2019</w:t>
            </w:r>
          </w:p>
        </w:tc>
        <w:tc>
          <w:tcPr>
            <w:tcW w:w="220" w:type="dxa"/>
            <w:vAlign w:val="bottom"/>
          </w:tcPr>
          <w:p>
            <w:pPr>
              <w:spacing w:after="0"/>
              <w:rPr>
                <w:sz w:val="18"/>
                <w:szCs w:val="18"/>
                <w:color w:val="auto"/>
              </w:rPr>
            </w:pPr>
          </w:p>
        </w:tc>
        <w:tc>
          <w:tcPr>
            <w:tcW w:w="240" w:type="dxa"/>
            <w:vAlign w:val="bottom"/>
            <w:tcBorders>
              <w:top w:val="single" w:sz="8" w:color="auto"/>
              <w:bottom w:val="single" w:sz="8" w:color="auto"/>
            </w:tcBorders>
          </w:tcPr>
          <w:p>
            <w:pPr>
              <w:spacing w:after="0"/>
              <w:rPr>
                <w:sz w:val="18"/>
                <w:szCs w:val="18"/>
                <w:color w:val="auto"/>
              </w:rPr>
            </w:pPr>
          </w:p>
        </w:tc>
        <w:tc>
          <w:tcPr>
            <w:tcW w:w="920" w:type="dxa"/>
            <w:vAlign w:val="bottom"/>
            <w:tcBorders>
              <w:top w:val="single" w:sz="8" w:color="auto"/>
              <w:bottom w:val="single" w:sz="8" w:color="auto"/>
            </w:tcBorders>
          </w:tcPr>
          <w:p>
            <w:pPr>
              <w:jc w:val="right"/>
              <w:ind w:right="310"/>
              <w:spacing w:after="0"/>
              <w:rPr>
                <w:sz w:val="20"/>
                <w:szCs w:val="20"/>
                <w:color w:val="auto"/>
              </w:rPr>
            </w:pPr>
            <w:r>
              <w:rPr>
                <w:rFonts w:ascii="Arial" w:cs="Arial" w:eastAsia="Arial" w:hAnsi="Arial"/>
                <w:sz w:val="18"/>
                <w:szCs w:val="18"/>
                <w:b w:val="1"/>
                <w:bCs w:val="1"/>
                <w:color w:val="auto"/>
              </w:rPr>
              <w:t>2020</w:t>
            </w:r>
          </w:p>
        </w:tc>
        <w:tc>
          <w:tcPr>
            <w:tcW w:w="220" w:type="dxa"/>
            <w:vAlign w:val="bottom"/>
            <w:tcBorders>
              <w:top w:val="single" w:sz="8" w:color="auto"/>
            </w:tcBorders>
          </w:tcPr>
          <w:p>
            <w:pPr>
              <w:spacing w:after="0"/>
              <w:rPr>
                <w:sz w:val="18"/>
                <w:szCs w:val="18"/>
                <w:color w:val="auto"/>
              </w:rPr>
            </w:pPr>
          </w:p>
        </w:tc>
        <w:tc>
          <w:tcPr>
            <w:tcW w:w="26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ind w:right="330"/>
              <w:spacing w:after="0"/>
              <w:rPr>
                <w:sz w:val="20"/>
                <w:szCs w:val="20"/>
                <w:color w:val="auto"/>
              </w:rPr>
            </w:pPr>
            <w:r>
              <w:rPr>
                <w:rFonts w:ascii="Arial" w:cs="Arial" w:eastAsia="Arial" w:hAnsi="Arial"/>
                <w:sz w:val="18"/>
                <w:szCs w:val="18"/>
                <w:b w:val="1"/>
                <w:bCs w:val="1"/>
                <w:color w:val="auto"/>
              </w:rPr>
              <w:t>2019</w:t>
            </w:r>
          </w:p>
        </w:tc>
        <w:tc>
          <w:tcPr>
            <w:tcW w:w="120" w:type="dxa"/>
            <w:vAlign w:val="bottom"/>
          </w:tcPr>
          <w:p>
            <w:pPr>
              <w:spacing w:after="0"/>
              <w:rPr>
                <w:sz w:val="18"/>
                <w:szCs w:val="18"/>
                <w:color w:val="auto"/>
              </w:rPr>
            </w:pPr>
          </w:p>
        </w:tc>
      </w:tr>
      <w:tr>
        <w:trPr>
          <w:trHeight w:val="209"/>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operating activities:</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5820" w:type="dxa"/>
            <w:vAlign w:val="bottom"/>
          </w:tcPr>
          <w:p>
            <w:pPr>
              <w:spacing w:after="0"/>
              <w:rPr>
                <w:sz w:val="20"/>
                <w:szCs w:val="20"/>
                <w:color w:val="auto"/>
              </w:rPr>
            </w:pPr>
            <w:r>
              <w:rPr>
                <w:rFonts w:ascii="Arial" w:cs="Arial" w:eastAsia="Arial" w:hAnsi="Arial"/>
                <w:sz w:val="18"/>
                <w:szCs w:val="18"/>
                <w:color w:val="auto"/>
              </w:rPr>
              <w:t>Net loss</w:t>
            </w:r>
          </w:p>
        </w:tc>
        <w:tc>
          <w:tcPr>
            <w:tcW w:w="240" w:type="dxa"/>
            <w:vAlign w:val="bottom"/>
          </w:tcPr>
          <w:p>
            <w:pPr>
              <w:jc w:val="right"/>
              <w:ind w:right="87"/>
              <w:spacing w:after="0"/>
              <w:rPr>
                <w:sz w:val="20"/>
                <w:szCs w:val="20"/>
                <w:color w:val="auto"/>
              </w:rPr>
            </w:pPr>
            <w:r>
              <w:rPr>
                <w:rFonts w:ascii="Arial" w:cs="Arial" w:eastAsia="Arial" w:hAnsi="Arial"/>
                <w:sz w:val="15"/>
                <w:szCs w:val="15"/>
                <w:color w:val="auto"/>
                <w:w w:val="71"/>
              </w:rPr>
              <w:t>$</w:t>
            </w: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(3,380)</w:t>
            </w:r>
          </w:p>
        </w:tc>
        <w:tc>
          <w:tcPr>
            <w:tcW w:w="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(16,180)</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(47,717)</w:t>
            </w:r>
          </w:p>
        </w:tc>
        <w:tc>
          <w:tcPr>
            <w:tcW w:w="260" w:type="dxa"/>
            <w:vAlign w:val="bottom"/>
          </w:tcPr>
          <w:p>
            <w:pPr>
              <w:jc w:val="right"/>
              <w:ind w:right="107"/>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(59,503)</w:t>
            </w: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w w:val="94"/>
              </w:rPr>
              <w:t>Adjustments to reconcile net loss to net cash provided by operating activities:</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5820" w:type="dxa"/>
            <w:vAlign w:val="bottom"/>
          </w:tcPr>
          <w:p>
            <w:pPr>
              <w:ind w:left="340"/>
              <w:spacing w:after="0"/>
              <w:rPr>
                <w:sz w:val="20"/>
                <w:szCs w:val="20"/>
                <w:color w:val="auto"/>
              </w:rPr>
            </w:pPr>
            <w:r>
              <w:rPr>
                <w:rFonts w:ascii="Arial" w:cs="Arial" w:eastAsia="Arial" w:hAnsi="Arial"/>
                <w:sz w:val="18"/>
                <w:szCs w:val="18"/>
                <w:color w:val="auto"/>
              </w:rPr>
              <w:t>Depreciation, amortization and stock-based compensation</w:t>
            </w:r>
          </w:p>
        </w:tc>
        <w:tc>
          <w:tcPr>
            <w:tcW w:w="2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59,871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44,718</w:t>
            </w:r>
          </w:p>
        </w:tc>
        <w:tc>
          <w:tcPr>
            <w:tcW w:w="240" w:type="dxa"/>
            <w:vAlign w:val="bottom"/>
          </w:tcPr>
          <w:p>
            <w:pPr>
              <w:spacing w:after="0"/>
              <w:rPr>
                <w:sz w:val="18"/>
                <w:szCs w:val="18"/>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174,536</w:t>
            </w:r>
          </w:p>
        </w:tc>
        <w:tc>
          <w:tcPr>
            <w:tcW w:w="26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129,955</w:t>
            </w:r>
          </w:p>
        </w:tc>
      </w:tr>
      <w:tr>
        <w:trPr>
          <w:trHeight w:val="216"/>
        </w:trPr>
        <w:tc>
          <w:tcPr>
            <w:tcW w:w="5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Amortization and accretion related to debt</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7,210</w:t>
            </w: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22,584</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21,015</w:t>
            </w:r>
          </w:p>
        </w:tc>
      </w:tr>
      <w:tr>
        <w:trPr>
          <w:trHeight w:val="216"/>
        </w:trPr>
        <w:tc>
          <w:tcPr>
            <w:tcW w:w="5820" w:type="dxa"/>
            <w:vAlign w:val="bottom"/>
          </w:tcPr>
          <w:p>
            <w:pPr>
              <w:ind w:left="340"/>
              <w:spacing w:after="0"/>
              <w:rPr>
                <w:sz w:val="20"/>
                <w:szCs w:val="20"/>
                <w:color w:val="auto"/>
              </w:rPr>
            </w:pPr>
            <w:r>
              <w:rPr>
                <w:rFonts w:ascii="Arial" w:cs="Arial" w:eastAsia="Arial" w:hAnsi="Arial"/>
                <w:sz w:val="18"/>
                <w:szCs w:val="18"/>
                <w:color w:val="auto"/>
              </w:rPr>
              <w:t>Loss on early extinguishment of debt</w:t>
            </w:r>
          </w:p>
        </w:tc>
        <w:tc>
          <w:tcPr>
            <w:tcW w:w="2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149</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13,446</w:t>
            </w:r>
          </w:p>
        </w:tc>
        <w:tc>
          <w:tcPr>
            <w:tcW w:w="26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r>
      <w:tr>
        <w:trPr>
          <w:trHeight w:val="216"/>
        </w:trPr>
        <w:tc>
          <w:tcPr>
            <w:tcW w:w="5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Deferred income taxes</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914</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490</w:t>
            </w: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1,158</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936</w:t>
            </w:r>
          </w:p>
        </w:tc>
      </w:tr>
      <w:tr>
        <w:trPr>
          <w:trHeight w:val="216"/>
        </w:trPr>
        <w:tc>
          <w:tcPr>
            <w:tcW w:w="5820" w:type="dxa"/>
            <w:vAlign w:val="bottom"/>
          </w:tcPr>
          <w:p>
            <w:pPr>
              <w:ind w:left="340"/>
              <w:spacing w:after="0"/>
              <w:rPr>
                <w:sz w:val="20"/>
                <w:szCs w:val="20"/>
                <w:color w:val="auto"/>
              </w:rPr>
            </w:pPr>
            <w:r>
              <w:rPr>
                <w:rFonts w:ascii="Arial" w:cs="Arial" w:eastAsia="Arial" w:hAnsi="Arial"/>
                <w:sz w:val="18"/>
                <w:szCs w:val="18"/>
                <w:color w:val="auto"/>
              </w:rPr>
              <w:t>Net unrealized gain on equity investments</w:t>
            </w:r>
          </w:p>
        </w:tc>
        <w:tc>
          <w:tcPr>
            <w:tcW w:w="240" w:type="dxa"/>
            <w:vAlign w:val="bottom"/>
          </w:tcPr>
          <w:p>
            <w:pPr>
              <w:spacing w:after="0"/>
              <w:rPr>
                <w:sz w:val="18"/>
                <w:szCs w:val="18"/>
                <w:color w:val="auto"/>
              </w:rPr>
            </w:pP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(199)</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(2,152)</w:t>
            </w:r>
          </w:p>
        </w:tc>
        <w:tc>
          <w:tcPr>
            <w:tcW w:w="24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(1,943)</w:t>
            </w:r>
          </w:p>
        </w:tc>
        <w:tc>
          <w:tcPr>
            <w:tcW w:w="26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(2,077)</w:t>
            </w:r>
          </w:p>
        </w:tc>
      </w:tr>
      <w:tr>
        <w:trPr>
          <w:trHeight w:val="216"/>
        </w:trPr>
        <w:tc>
          <w:tcPr>
            <w:tcW w:w="5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Realized gain from investment</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(4,999)</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r>
      <w:tr>
        <w:trPr>
          <w:trHeight w:val="216"/>
        </w:trPr>
        <w:tc>
          <w:tcPr>
            <w:tcW w:w="5820" w:type="dxa"/>
            <w:vAlign w:val="bottom"/>
          </w:tcPr>
          <w:p>
            <w:pPr>
              <w:ind w:left="340"/>
              <w:spacing w:after="0"/>
              <w:rPr>
                <w:sz w:val="20"/>
                <w:szCs w:val="20"/>
                <w:color w:val="auto"/>
              </w:rPr>
            </w:pPr>
            <w:r>
              <w:rPr>
                <w:rFonts w:ascii="Arial" w:cs="Arial" w:eastAsia="Arial" w:hAnsi="Arial"/>
                <w:sz w:val="18"/>
                <w:szCs w:val="18"/>
                <w:color w:val="auto"/>
              </w:rPr>
              <w:t>Loss on termination of software lease contracts</w:t>
            </w:r>
          </w:p>
        </w:tc>
        <w:tc>
          <w:tcPr>
            <w:tcW w:w="2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3,370</w:t>
            </w:r>
          </w:p>
        </w:tc>
        <w:tc>
          <w:tcPr>
            <w:tcW w:w="26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r>
      <w:tr>
        <w:trPr>
          <w:trHeight w:val="216"/>
        </w:trPr>
        <w:tc>
          <w:tcPr>
            <w:tcW w:w="582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noncash items</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543</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(319)</w:t>
            </w: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173</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(533)</w:t>
            </w:r>
          </w:p>
        </w:tc>
      </w:tr>
      <w:tr>
        <w:trPr>
          <w:trHeight w:val="216"/>
        </w:trPr>
        <w:tc>
          <w:tcPr>
            <w:tcW w:w="5820" w:type="dxa"/>
            <w:vAlign w:val="bottom"/>
          </w:tcPr>
          <w:p>
            <w:pPr>
              <w:ind w:left="340"/>
              <w:spacing w:after="0"/>
              <w:rPr>
                <w:sz w:val="20"/>
                <w:szCs w:val="20"/>
                <w:color w:val="auto"/>
              </w:rPr>
            </w:pPr>
            <w:r>
              <w:rPr>
                <w:rFonts w:ascii="Arial" w:cs="Arial" w:eastAsia="Arial" w:hAnsi="Arial"/>
                <w:sz w:val="18"/>
                <w:szCs w:val="18"/>
                <w:color w:val="auto"/>
              </w:rPr>
              <w:t>Changes in assets and liabilities, net of acquisition</w:t>
            </w:r>
          </w:p>
        </w:tc>
        <w:tc>
          <w:tcPr>
            <w:tcW w:w="240" w:type="dxa"/>
            <w:vAlign w:val="bottom"/>
          </w:tcPr>
          <w:p>
            <w:pPr>
              <w:spacing w:after="0"/>
              <w:rPr>
                <w:sz w:val="18"/>
                <w:szCs w:val="18"/>
                <w:color w:val="auto"/>
              </w:rPr>
            </w:pP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(26,533)</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(8,180)</w:t>
            </w:r>
          </w:p>
        </w:tc>
        <w:tc>
          <w:tcPr>
            <w:tcW w:w="24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(49,665)</w:t>
            </w:r>
          </w:p>
        </w:tc>
        <w:tc>
          <w:tcPr>
            <w:tcW w:w="26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(14,804)</w:t>
            </w:r>
          </w:p>
        </w:tc>
      </w:tr>
      <w:tr>
        <w:trPr>
          <w:trHeight w:val="20"/>
        </w:trPr>
        <w:tc>
          <w:tcPr>
            <w:tcW w:w="58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210"/>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Net cash provided by operating activities</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38,018</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25,587</w:t>
            </w: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110,943</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74,989</w:t>
            </w:r>
          </w:p>
        </w:tc>
      </w:tr>
      <w:tr>
        <w:trPr>
          <w:trHeight w:val="209"/>
        </w:trPr>
        <w:tc>
          <w:tcPr>
            <w:tcW w:w="5820" w:type="dxa"/>
            <w:vAlign w:val="bottom"/>
            <w:tcBorders>
              <w:top w:val="single" w:sz="8" w:color="CCEEFF"/>
            </w:tcBorders>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140" w:type="dxa"/>
            <w:vAlign w:val="bottom"/>
            <w:tcBorders>
              <w:top w:val="single" w:sz="8" w:color="CCEEFF"/>
            </w:tcBorders>
          </w:tcPr>
          <w:p>
            <w:pPr>
              <w:spacing w:after="0"/>
              <w:rPr>
                <w:sz w:val="18"/>
                <w:szCs w:val="18"/>
                <w:color w:val="auto"/>
              </w:rPr>
            </w:pPr>
          </w:p>
        </w:tc>
        <w:tc>
          <w:tcPr>
            <w:tcW w:w="80" w:type="dxa"/>
            <w:vAlign w:val="bottom"/>
            <w:tcBorders>
              <w:top w:val="single" w:sz="8" w:color="CCEEFF"/>
            </w:tcBorders>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220" w:type="dxa"/>
            <w:vAlign w:val="bottom"/>
            <w:tcBorders>
              <w:top w:val="single" w:sz="8" w:color="CCEEFF"/>
            </w:tcBorders>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20" w:type="dxa"/>
            <w:vAlign w:val="bottom"/>
            <w:tcBorders>
              <w:top w:val="single" w:sz="8" w:color="CCEEFF"/>
            </w:tcBorders>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120" w:type="dxa"/>
            <w:vAlign w:val="bottom"/>
            <w:tcBorders>
              <w:top w:val="single" w:sz="8" w:color="CCEEFF"/>
            </w:tcBorders>
          </w:tcPr>
          <w:p>
            <w:pPr>
              <w:spacing w:after="0"/>
              <w:rPr>
                <w:sz w:val="18"/>
                <w:szCs w:val="18"/>
                <w:color w:val="auto"/>
              </w:rPr>
            </w:pP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Cash flows from investing activities:</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5820" w:type="dxa"/>
            <w:vAlign w:val="bottom"/>
          </w:tcPr>
          <w:p>
            <w:pPr>
              <w:spacing w:after="0"/>
              <w:rPr>
                <w:sz w:val="20"/>
                <w:szCs w:val="20"/>
                <w:color w:val="auto"/>
              </w:rPr>
            </w:pPr>
            <w:r>
              <w:rPr>
                <w:rFonts w:ascii="Arial" w:cs="Arial" w:eastAsia="Arial" w:hAnsi="Arial"/>
                <w:sz w:val="18"/>
                <w:szCs w:val="18"/>
                <w:color w:val="auto"/>
              </w:rPr>
              <w:t>Purchases of property and equipment</w:t>
            </w:r>
          </w:p>
        </w:tc>
        <w:tc>
          <w:tcPr>
            <w:tcW w:w="240" w:type="dxa"/>
            <w:vAlign w:val="bottom"/>
          </w:tcPr>
          <w:p>
            <w:pPr>
              <w:spacing w:after="0"/>
              <w:rPr>
                <w:sz w:val="18"/>
                <w:szCs w:val="18"/>
                <w:color w:val="auto"/>
              </w:rPr>
            </w:pP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(24,666)</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(4,617)</w:t>
            </w:r>
          </w:p>
        </w:tc>
        <w:tc>
          <w:tcPr>
            <w:tcW w:w="24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(52,515)</w:t>
            </w:r>
          </w:p>
        </w:tc>
        <w:tc>
          <w:tcPr>
            <w:tcW w:w="26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(17,227)</w:t>
            </w: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Net sale or maturities (purchases) of marketable securities</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12,669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(19,496)</w:t>
            </w: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65,403</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(36,879)</w:t>
            </w:r>
          </w:p>
        </w:tc>
      </w:tr>
      <w:tr>
        <w:trPr>
          <w:trHeight w:val="216"/>
        </w:trPr>
        <w:tc>
          <w:tcPr>
            <w:tcW w:w="5820" w:type="dxa"/>
            <w:vAlign w:val="bottom"/>
          </w:tcPr>
          <w:p>
            <w:pPr>
              <w:spacing w:after="0"/>
              <w:rPr>
                <w:sz w:val="20"/>
                <w:szCs w:val="20"/>
                <w:color w:val="auto"/>
              </w:rPr>
            </w:pPr>
            <w:r>
              <w:rPr>
                <w:rFonts w:ascii="Arial" w:cs="Arial" w:eastAsia="Arial" w:hAnsi="Arial"/>
                <w:sz w:val="18"/>
                <w:szCs w:val="18"/>
                <w:color w:val="auto"/>
              </w:rPr>
              <w:t>Purchases of intangible assets</w:t>
            </w:r>
          </w:p>
        </w:tc>
        <w:tc>
          <w:tcPr>
            <w:tcW w:w="240" w:type="dxa"/>
            <w:vAlign w:val="bottom"/>
          </w:tcPr>
          <w:p>
            <w:pPr>
              <w:spacing w:after="0"/>
              <w:rPr>
                <w:sz w:val="18"/>
                <w:szCs w:val="18"/>
                <w:color w:val="auto"/>
              </w:rPr>
            </w:pP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(351)</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(687)</w:t>
            </w:r>
          </w:p>
        </w:tc>
        <w:tc>
          <w:tcPr>
            <w:tcW w:w="24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(628)</w:t>
            </w:r>
          </w:p>
        </w:tc>
        <w:tc>
          <w:tcPr>
            <w:tcW w:w="26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(1,137)</w:t>
            </w: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w w:val="97"/>
              </w:rPr>
              <w:t>Acquisitions of business and equity investments, net of cash and proceeds</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(3,000)</w:t>
            </w: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(214,731)</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(3,000)</w:t>
            </w:r>
          </w:p>
        </w:tc>
      </w:tr>
      <w:tr>
        <w:trPr>
          <w:trHeight w:val="20"/>
        </w:trPr>
        <w:tc>
          <w:tcPr>
            <w:tcW w:w="5820" w:type="dxa"/>
            <w:vAlign w:val="bottom"/>
            <w:shd w:val="clear" w:color="auto" w:fill="CCEEFF"/>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140" w:type="dxa"/>
            <w:vAlign w:val="bottom"/>
            <w:shd w:val="clear" w:color="auto" w:fill="CCEEFF"/>
          </w:tcPr>
          <w:p>
            <w:pPr>
              <w:spacing w:after="0" w:line="20" w:lineRule="exact"/>
              <w:rPr>
                <w:sz w:val="1"/>
                <w:szCs w:val="1"/>
                <w:color w:val="auto"/>
              </w:rPr>
            </w:pPr>
          </w:p>
        </w:tc>
        <w:tc>
          <w:tcPr>
            <w:tcW w:w="80" w:type="dxa"/>
            <w:vAlign w:val="bottom"/>
            <w:shd w:val="clear" w:color="auto" w:fill="CCEEFF"/>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20" w:type="dxa"/>
            <w:vAlign w:val="bottom"/>
            <w:shd w:val="clear" w:color="auto" w:fill="CCEEFF"/>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r>
      <w:tr>
        <w:trPr>
          <w:trHeight w:val="210"/>
        </w:trPr>
        <w:tc>
          <w:tcPr>
            <w:tcW w:w="5820" w:type="dxa"/>
            <w:vAlign w:val="bottom"/>
          </w:tcPr>
          <w:p>
            <w:pPr>
              <w:spacing w:after="0"/>
              <w:rPr>
                <w:sz w:val="20"/>
                <w:szCs w:val="20"/>
                <w:color w:val="auto"/>
              </w:rPr>
            </w:pPr>
            <w:r>
              <w:rPr>
                <w:rFonts w:ascii="Arial" w:cs="Arial" w:eastAsia="Arial" w:hAnsi="Arial"/>
                <w:sz w:val="18"/>
                <w:szCs w:val="18"/>
                <w:color w:val="auto"/>
              </w:rPr>
              <w:t>Net cash used in investing activities</w:t>
            </w:r>
          </w:p>
        </w:tc>
        <w:tc>
          <w:tcPr>
            <w:tcW w:w="240" w:type="dxa"/>
            <w:vAlign w:val="bottom"/>
          </w:tcPr>
          <w:p>
            <w:pPr>
              <w:spacing w:after="0"/>
              <w:rPr>
                <w:sz w:val="18"/>
                <w:szCs w:val="18"/>
                <w:color w:val="auto"/>
              </w:rPr>
            </w:pP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(12,348)</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(27,800)</w:t>
            </w:r>
          </w:p>
        </w:tc>
        <w:tc>
          <w:tcPr>
            <w:tcW w:w="24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(202,471)</w:t>
            </w:r>
          </w:p>
        </w:tc>
        <w:tc>
          <w:tcPr>
            <w:tcW w:w="260" w:type="dxa"/>
            <w:vAlign w:val="bottom"/>
          </w:tcPr>
          <w:p>
            <w:pPr>
              <w:spacing w:after="0"/>
              <w:rPr>
                <w:sz w:val="18"/>
                <w:szCs w:val="18"/>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(58,243)</w:t>
            </w:r>
          </w:p>
        </w:tc>
      </w:tr>
      <w:tr>
        <w:trPr>
          <w:trHeight w:val="210"/>
        </w:trPr>
        <w:tc>
          <w:tcPr>
            <w:tcW w:w="5820" w:type="dxa"/>
            <w:vAlign w:val="bottom"/>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5820" w:type="dxa"/>
            <w:vAlign w:val="bottom"/>
          </w:tcPr>
          <w:p>
            <w:pPr>
              <w:spacing w:after="0"/>
              <w:rPr>
                <w:sz w:val="20"/>
                <w:szCs w:val="20"/>
                <w:color w:val="auto"/>
              </w:rPr>
            </w:pPr>
            <w:r>
              <w:rPr>
                <w:rFonts w:ascii="Arial" w:cs="Arial" w:eastAsia="Arial" w:hAnsi="Arial"/>
                <w:sz w:val="18"/>
                <w:szCs w:val="18"/>
                <w:color w:val="auto"/>
              </w:rPr>
              <w:t>Cash flows from financing activities:</w:t>
            </w:r>
          </w:p>
        </w:tc>
        <w:tc>
          <w:tcPr>
            <w:tcW w:w="2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Proceeds from exercise of stock options and ESPP</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4,059</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3,672</w:t>
            </w: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10,070</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8,281</w:t>
            </w:r>
          </w:p>
        </w:tc>
      </w:tr>
      <w:tr>
        <w:trPr>
          <w:trHeight w:val="202"/>
        </w:trPr>
        <w:tc>
          <w:tcPr>
            <w:tcW w:w="5820" w:type="dxa"/>
            <w:vAlign w:val="bottom"/>
          </w:tcPr>
          <w:p>
            <w:pPr>
              <w:spacing w:after="0" w:line="201" w:lineRule="exact"/>
              <w:rPr>
                <w:sz w:val="20"/>
                <w:szCs w:val="20"/>
                <w:color w:val="auto"/>
              </w:rPr>
            </w:pPr>
            <w:r>
              <w:rPr>
                <w:rFonts w:ascii="Arial" w:cs="Arial" w:eastAsia="Arial" w:hAnsi="Arial"/>
                <w:sz w:val="18"/>
                <w:szCs w:val="18"/>
                <w:color w:val="auto"/>
              </w:rPr>
              <w:t>Minimum tax withholding paid on behalf of employees for net share</w:t>
            </w:r>
          </w:p>
        </w:tc>
        <w:tc>
          <w:tcPr>
            <w:tcW w:w="2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0"/>
        </w:trPr>
        <w:tc>
          <w:tcPr>
            <w:tcW w:w="5820" w:type="dxa"/>
            <w:vAlign w:val="bottom"/>
          </w:tcPr>
          <w:p>
            <w:pPr>
              <w:spacing w:after="0"/>
              <w:rPr>
                <w:sz w:val="20"/>
                <w:szCs w:val="20"/>
                <w:color w:val="auto"/>
              </w:rPr>
            </w:pPr>
            <w:r>
              <w:rPr>
                <w:rFonts w:ascii="Arial" w:cs="Arial" w:eastAsia="Arial" w:hAnsi="Arial"/>
                <w:sz w:val="18"/>
                <w:szCs w:val="18"/>
                <w:color w:val="auto"/>
              </w:rPr>
              <w:t>settlement</w:t>
            </w:r>
          </w:p>
        </w:tc>
        <w:tc>
          <w:tcPr>
            <w:tcW w:w="240" w:type="dxa"/>
            <w:vAlign w:val="bottom"/>
          </w:tcPr>
          <w:p>
            <w:pPr>
              <w:spacing w:after="0"/>
              <w:rPr>
                <w:sz w:val="20"/>
                <w:szCs w:val="20"/>
                <w:color w:val="auto"/>
              </w:rPr>
            </w:pPr>
          </w:p>
        </w:tc>
        <w:tc>
          <w:tcPr>
            <w:tcW w:w="1040" w:type="dxa"/>
            <w:vAlign w:val="bottom"/>
            <w:gridSpan w:val="2"/>
          </w:tcPr>
          <w:p>
            <w:pPr>
              <w:jc w:val="right"/>
              <w:ind w:right="80"/>
              <w:spacing w:after="0"/>
              <w:rPr>
                <w:sz w:val="20"/>
                <w:szCs w:val="20"/>
                <w:color w:val="auto"/>
              </w:rPr>
            </w:pPr>
            <w:r>
              <w:rPr>
                <w:rFonts w:ascii="Arial" w:cs="Arial" w:eastAsia="Arial" w:hAnsi="Arial"/>
                <w:sz w:val="18"/>
                <w:szCs w:val="18"/>
                <w:color w:val="auto"/>
              </w:rPr>
              <w:t>(6,111)</w:t>
            </w: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120" w:type="dxa"/>
            <w:vAlign w:val="bottom"/>
            <w:gridSpan w:val="2"/>
          </w:tcPr>
          <w:p>
            <w:pPr>
              <w:jc w:val="right"/>
              <w:ind w:right="160"/>
              <w:spacing w:after="0"/>
              <w:rPr>
                <w:sz w:val="20"/>
                <w:szCs w:val="20"/>
                <w:color w:val="auto"/>
              </w:rPr>
            </w:pPr>
            <w:r>
              <w:rPr>
                <w:rFonts w:ascii="Arial" w:cs="Arial" w:eastAsia="Arial" w:hAnsi="Arial"/>
                <w:sz w:val="18"/>
                <w:szCs w:val="18"/>
                <w:color w:val="auto"/>
              </w:rPr>
              <w:t>(3,132)</w:t>
            </w:r>
          </w:p>
        </w:tc>
        <w:tc>
          <w:tcPr>
            <w:tcW w:w="240" w:type="dxa"/>
            <w:vAlign w:val="bottom"/>
          </w:tcPr>
          <w:p>
            <w:pPr>
              <w:spacing w:after="0"/>
              <w:rPr>
                <w:sz w:val="20"/>
                <w:szCs w:val="20"/>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(49,170)</w:t>
            </w:r>
          </w:p>
        </w:tc>
        <w:tc>
          <w:tcPr>
            <w:tcW w:w="260" w:type="dxa"/>
            <w:vAlign w:val="bottom"/>
          </w:tcPr>
          <w:p>
            <w:pPr>
              <w:spacing w:after="0"/>
              <w:rPr>
                <w:sz w:val="20"/>
                <w:szCs w:val="20"/>
                <w:color w:val="auto"/>
              </w:rPr>
            </w:pP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(25,698)</w:t>
            </w:r>
          </w:p>
        </w:tc>
      </w:tr>
      <w:tr>
        <w:trPr>
          <w:trHeight w:val="202"/>
        </w:trPr>
        <w:tc>
          <w:tcPr>
            <w:tcW w:w="582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w w:val="91"/>
              </w:rPr>
              <w:t>Payments of obligations related to purchase of intangible assets and equipment</w:t>
            </w:r>
          </w:p>
        </w:tc>
        <w:tc>
          <w:tcPr>
            <w:tcW w:w="2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9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30"/>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financing</w:t>
            </w:r>
          </w:p>
        </w:tc>
        <w:tc>
          <w:tcPr>
            <w:tcW w:w="240" w:type="dxa"/>
            <w:vAlign w:val="bottom"/>
            <w:shd w:val="clear" w:color="auto" w:fill="CCEEFF"/>
          </w:tcPr>
          <w:p>
            <w:pPr>
              <w:spacing w:after="0"/>
              <w:rPr>
                <w:sz w:val="20"/>
                <w:szCs w:val="20"/>
                <w:color w:val="auto"/>
              </w:rPr>
            </w:pPr>
          </w:p>
        </w:tc>
        <w:tc>
          <w:tcPr>
            <w:tcW w:w="10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(7,476)</w:t>
            </w:r>
          </w:p>
        </w:tc>
        <w:tc>
          <w:tcPr>
            <w:tcW w:w="8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(6,833)</w:t>
            </w:r>
          </w:p>
        </w:tc>
        <w:tc>
          <w:tcPr>
            <w:tcW w:w="240" w:type="dxa"/>
            <w:vAlign w:val="bottom"/>
            <w:shd w:val="clear" w:color="auto" w:fill="CCEEFF"/>
          </w:tcPr>
          <w:p>
            <w:pPr>
              <w:spacing w:after="0"/>
              <w:rPr>
                <w:sz w:val="20"/>
                <w:szCs w:val="20"/>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(31,269)</w:t>
            </w:r>
          </w:p>
        </w:tc>
        <w:tc>
          <w:tcPr>
            <w:tcW w:w="260" w:type="dxa"/>
            <w:vAlign w:val="bottom"/>
            <w:shd w:val="clear" w:color="auto" w:fill="CCEEFF"/>
          </w:tcPr>
          <w:p>
            <w:pPr>
              <w:spacing w:after="0"/>
              <w:rPr>
                <w:sz w:val="20"/>
                <w:szCs w:val="20"/>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(20,229)</w:t>
            </w:r>
          </w:p>
        </w:tc>
      </w:tr>
      <w:tr>
        <w:trPr>
          <w:trHeight w:val="216"/>
        </w:trPr>
        <w:tc>
          <w:tcPr>
            <w:tcW w:w="5820" w:type="dxa"/>
            <w:vAlign w:val="bottom"/>
          </w:tcPr>
          <w:p>
            <w:pPr>
              <w:spacing w:after="0"/>
              <w:rPr>
                <w:sz w:val="20"/>
                <w:szCs w:val="20"/>
                <w:color w:val="auto"/>
              </w:rPr>
            </w:pPr>
            <w:r>
              <w:rPr>
                <w:rFonts w:ascii="Arial" w:cs="Arial" w:eastAsia="Arial" w:hAnsi="Arial"/>
                <w:sz w:val="18"/>
                <w:szCs w:val="18"/>
                <w:color w:val="auto"/>
              </w:rPr>
              <w:t>Proceeds from issuance of convertible debt, net of cost</w:t>
            </w:r>
          </w:p>
        </w:tc>
        <w:tc>
          <w:tcPr>
            <w:tcW w:w="2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492,743</w:t>
            </w:r>
          </w:p>
        </w:tc>
        <w:tc>
          <w:tcPr>
            <w:tcW w:w="26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Payment for convertible debt debt repurchases and conversion</w:t>
            </w:r>
          </w:p>
        </w:tc>
        <w:tc>
          <w:tcPr>
            <w:tcW w:w="2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(2,220)</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(410,002)</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w:t>
            </w:r>
          </w:p>
        </w:tc>
      </w:tr>
      <w:tr>
        <w:trPr>
          <w:trHeight w:val="216"/>
        </w:trPr>
        <w:tc>
          <w:tcPr>
            <w:tcW w:w="5820" w:type="dxa"/>
            <w:vAlign w:val="bottom"/>
          </w:tcPr>
          <w:p>
            <w:pPr>
              <w:spacing w:after="0"/>
              <w:rPr>
                <w:sz w:val="20"/>
                <w:szCs w:val="20"/>
                <w:color w:val="auto"/>
              </w:rPr>
            </w:pPr>
            <w:r>
              <w:rPr>
                <w:rFonts w:ascii="Arial" w:cs="Arial" w:eastAsia="Arial" w:hAnsi="Arial"/>
                <w:sz w:val="18"/>
                <w:szCs w:val="18"/>
                <w:color w:val="auto"/>
              </w:rPr>
              <w:t>Purchase of capped call options</w:t>
            </w:r>
          </w:p>
        </w:tc>
        <w:tc>
          <w:tcPr>
            <w:tcW w:w="2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1140" w:type="dxa"/>
            <w:vAlign w:val="bottom"/>
            <w:gridSpan w:val="2"/>
          </w:tcPr>
          <w:p>
            <w:pPr>
              <w:jc w:val="right"/>
              <w:ind w:right="160"/>
              <w:spacing w:after="0"/>
              <w:rPr>
                <w:sz w:val="20"/>
                <w:szCs w:val="20"/>
                <w:color w:val="auto"/>
              </w:rPr>
            </w:pPr>
            <w:r>
              <w:rPr>
                <w:rFonts w:ascii="Arial" w:cs="Arial" w:eastAsia="Arial" w:hAnsi="Arial"/>
                <w:sz w:val="18"/>
                <w:szCs w:val="18"/>
                <w:color w:val="auto"/>
              </w:rPr>
              <w:t>(55,660)</w:t>
            </w:r>
          </w:p>
        </w:tc>
        <w:tc>
          <w:tcPr>
            <w:tcW w:w="26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r>
      <w:tr>
        <w:trPr>
          <w:trHeight w:val="20"/>
        </w:trPr>
        <w:tc>
          <w:tcPr>
            <w:tcW w:w="58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shd w:val="clear" w:color="auto" w:fill="000000"/>
          </w:tcPr>
          <w:p>
            <w:pPr>
              <w:spacing w:after="0" w:line="20" w:lineRule="exact"/>
              <w:rPr>
                <w:sz w:val="1"/>
                <w:szCs w:val="1"/>
                <w:color w:val="auto"/>
              </w:rPr>
            </w:pPr>
          </w:p>
        </w:tc>
        <w:tc>
          <w:tcPr>
            <w:tcW w:w="92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9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210"/>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Net cash used in financing activities</w:t>
            </w:r>
          </w:p>
        </w:tc>
        <w:tc>
          <w:tcPr>
            <w:tcW w:w="2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(11,748)</w:t>
            </w: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(6,293)</w:t>
            </w: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(43,288)</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(37,646)</w:t>
            </w:r>
          </w:p>
        </w:tc>
      </w:tr>
      <w:tr>
        <w:trPr>
          <w:trHeight w:val="209"/>
        </w:trPr>
        <w:tc>
          <w:tcPr>
            <w:tcW w:w="5820" w:type="dxa"/>
            <w:vAlign w:val="bottom"/>
            <w:tcBorders>
              <w:top w:val="single" w:sz="8" w:color="CCEEFF"/>
            </w:tcBorders>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140" w:type="dxa"/>
            <w:vAlign w:val="bottom"/>
            <w:tcBorders>
              <w:top w:val="single" w:sz="8" w:color="CCEEFF"/>
            </w:tcBorders>
          </w:tcPr>
          <w:p>
            <w:pPr>
              <w:spacing w:after="0"/>
              <w:rPr>
                <w:sz w:val="18"/>
                <w:szCs w:val="18"/>
                <w:color w:val="auto"/>
              </w:rPr>
            </w:pPr>
          </w:p>
        </w:tc>
        <w:tc>
          <w:tcPr>
            <w:tcW w:w="80" w:type="dxa"/>
            <w:vAlign w:val="bottom"/>
            <w:tcBorders>
              <w:top w:val="single" w:sz="8" w:color="CCEEFF"/>
            </w:tcBorders>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spacing w:after="0"/>
              <w:rPr>
                <w:sz w:val="18"/>
                <w:szCs w:val="18"/>
                <w:color w:val="auto"/>
              </w:rPr>
            </w:pPr>
          </w:p>
        </w:tc>
        <w:tc>
          <w:tcPr>
            <w:tcW w:w="220" w:type="dxa"/>
            <w:vAlign w:val="bottom"/>
            <w:tcBorders>
              <w:top w:val="single" w:sz="8" w:color="CCEEFF"/>
            </w:tcBorders>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spacing w:after="0"/>
              <w:rPr>
                <w:sz w:val="18"/>
                <w:szCs w:val="18"/>
                <w:color w:val="auto"/>
              </w:rPr>
            </w:pPr>
          </w:p>
        </w:tc>
        <w:tc>
          <w:tcPr>
            <w:tcW w:w="220" w:type="dxa"/>
            <w:vAlign w:val="bottom"/>
            <w:tcBorders>
              <w:top w:val="single" w:sz="8" w:color="CCEEFF"/>
            </w:tcBorders>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940" w:type="dxa"/>
            <w:vAlign w:val="bottom"/>
            <w:tcBorders>
              <w:top w:val="single" w:sz="8" w:color="auto"/>
            </w:tcBorders>
          </w:tcPr>
          <w:p>
            <w:pPr>
              <w:spacing w:after="0"/>
              <w:rPr>
                <w:sz w:val="18"/>
                <w:szCs w:val="18"/>
                <w:color w:val="auto"/>
              </w:rPr>
            </w:pPr>
          </w:p>
        </w:tc>
        <w:tc>
          <w:tcPr>
            <w:tcW w:w="120" w:type="dxa"/>
            <w:vAlign w:val="bottom"/>
            <w:tcBorders>
              <w:top w:val="single" w:sz="8" w:color="CCEEFF"/>
            </w:tcBorders>
          </w:tcPr>
          <w:p>
            <w:pPr>
              <w:spacing w:after="0"/>
              <w:rPr>
                <w:sz w:val="18"/>
                <w:szCs w:val="18"/>
                <w:color w:val="auto"/>
              </w:rPr>
            </w:pPr>
          </w:p>
        </w:tc>
      </w:tr>
      <w:tr>
        <w:trPr>
          <w:trHeight w:val="216"/>
        </w:trPr>
        <w:tc>
          <w:tcPr>
            <w:tcW w:w="582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240" w:type="dxa"/>
            <w:vAlign w:val="bottom"/>
            <w:shd w:val="clear" w:color="auto" w:fill="CCEEFF"/>
          </w:tcPr>
          <w:p>
            <w:pPr>
              <w:spacing w:after="0"/>
              <w:rPr>
                <w:sz w:val="18"/>
                <w:szCs w:val="18"/>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13,922</w:t>
            </w: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(8,506)</w:t>
            </w:r>
          </w:p>
        </w:tc>
        <w:tc>
          <w:tcPr>
            <w:tcW w:w="24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(134,816)</w:t>
            </w:r>
          </w:p>
        </w:tc>
        <w:tc>
          <w:tcPr>
            <w:tcW w:w="260" w:type="dxa"/>
            <w:vAlign w:val="bottom"/>
            <w:shd w:val="clear" w:color="auto" w:fill="CCEEFF"/>
          </w:tcPr>
          <w:p>
            <w:pPr>
              <w:spacing w:after="0"/>
              <w:rPr>
                <w:sz w:val="18"/>
                <w:szCs w:val="18"/>
                <w:color w:val="auto"/>
              </w:rPr>
            </w:pP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(20,900)</w:t>
            </w:r>
          </w:p>
        </w:tc>
      </w:tr>
      <w:tr>
        <w:trPr>
          <w:trHeight w:val="216"/>
        </w:trPr>
        <w:tc>
          <w:tcPr>
            <w:tcW w:w="582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240" w:type="dxa"/>
            <w:vAlign w:val="bottom"/>
          </w:tcPr>
          <w:p>
            <w:pPr>
              <w:spacing w:after="0"/>
              <w:rPr>
                <w:sz w:val="18"/>
                <w:szCs w:val="18"/>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133,985</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159,624</w:t>
            </w:r>
          </w:p>
        </w:tc>
        <w:tc>
          <w:tcPr>
            <w:tcW w:w="240" w:type="dxa"/>
            <w:vAlign w:val="bottom"/>
          </w:tcPr>
          <w:p>
            <w:pPr>
              <w:spacing w:after="0"/>
              <w:rPr>
                <w:sz w:val="18"/>
                <w:szCs w:val="18"/>
                <w:color w:val="auto"/>
              </w:rPr>
            </w:pP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282,723</w:t>
            </w:r>
          </w:p>
        </w:tc>
        <w:tc>
          <w:tcPr>
            <w:tcW w:w="260" w:type="dxa"/>
            <w:vAlign w:val="bottom"/>
          </w:tcPr>
          <w:p>
            <w:pPr>
              <w:spacing w:after="0"/>
              <w:rPr>
                <w:sz w:val="18"/>
                <w:szCs w:val="18"/>
                <w:color w:val="auto"/>
              </w:rPr>
            </w:pP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172,018</w:t>
            </w:r>
          </w:p>
        </w:tc>
      </w:tr>
      <w:tr>
        <w:trPr>
          <w:trHeight w:val="210"/>
        </w:trPr>
        <w:tc>
          <w:tcPr>
            <w:tcW w:w="5820" w:type="dxa"/>
            <w:vAlign w:val="bottom"/>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60" w:type="dxa"/>
            <w:vAlign w:val="bottom"/>
            <w:tcBorders>
              <w:top w:val="single" w:sz="8" w:color="auto"/>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582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240" w:type="dxa"/>
            <w:vAlign w:val="bottom"/>
          </w:tcPr>
          <w:p>
            <w:pPr>
              <w:jc w:val="right"/>
              <w:ind w:right="87"/>
              <w:spacing w:after="0"/>
              <w:rPr>
                <w:sz w:val="20"/>
                <w:szCs w:val="20"/>
                <w:color w:val="auto"/>
              </w:rPr>
            </w:pPr>
            <w:r>
              <w:rPr>
                <w:rFonts w:ascii="Arial" w:cs="Arial" w:eastAsia="Arial" w:hAnsi="Arial"/>
                <w:sz w:val="15"/>
                <w:szCs w:val="15"/>
                <w:color w:val="auto"/>
                <w:w w:val="71"/>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147,907</w:t>
            </w:r>
          </w:p>
        </w:tc>
        <w:tc>
          <w:tcPr>
            <w:tcW w:w="140" w:type="dxa"/>
            <w:vAlign w:val="bottom"/>
          </w:tcPr>
          <w:p>
            <w:pPr>
              <w:spacing w:after="0"/>
              <w:rPr>
                <w:sz w:val="18"/>
                <w:szCs w:val="18"/>
                <w:color w:val="auto"/>
              </w:rPr>
            </w:pPr>
          </w:p>
        </w:tc>
        <w:tc>
          <w:tcPr>
            <w:tcW w:w="32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220"/>
              <w:spacing w:after="0"/>
              <w:rPr>
                <w:sz w:val="20"/>
                <w:szCs w:val="20"/>
                <w:color w:val="auto"/>
              </w:rPr>
            </w:pPr>
            <w:r>
              <w:rPr>
                <w:rFonts w:ascii="Arial" w:cs="Arial" w:eastAsia="Arial" w:hAnsi="Arial"/>
                <w:sz w:val="18"/>
                <w:szCs w:val="18"/>
                <w:color w:val="auto"/>
              </w:rPr>
              <w:t>151,118</w:t>
            </w:r>
          </w:p>
        </w:tc>
        <w:tc>
          <w:tcPr>
            <w:tcW w:w="240" w:type="dxa"/>
            <w:vAlign w:val="bottom"/>
          </w:tcPr>
          <w:p>
            <w:pPr>
              <w:jc w:val="right"/>
              <w:ind w:right="50"/>
              <w:spacing w:after="0"/>
              <w:rPr>
                <w:sz w:val="20"/>
                <w:szCs w:val="20"/>
                <w:color w:val="auto"/>
              </w:rPr>
            </w:pPr>
            <w:r>
              <w:rPr>
                <w:rFonts w:ascii="Arial" w:cs="Arial" w:eastAsia="Arial" w:hAnsi="Arial"/>
                <w:sz w:val="18"/>
                <w:szCs w:val="18"/>
                <w:color w:val="auto"/>
                <w:w w:val="79"/>
              </w:rPr>
              <w:t>$</w:t>
            </w:r>
          </w:p>
        </w:tc>
        <w:tc>
          <w:tcPr>
            <w:tcW w:w="1140" w:type="dxa"/>
            <w:vAlign w:val="bottom"/>
            <w:gridSpan w:val="2"/>
          </w:tcPr>
          <w:p>
            <w:pPr>
              <w:jc w:val="right"/>
              <w:ind w:right="220"/>
              <w:spacing w:after="0"/>
              <w:rPr>
                <w:sz w:val="20"/>
                <w:szCs w:val="20"/>
                <w:color w:val="auto"/>
              </w:rPr>
            </w:pPr>
            <w:r>
              <w:rPr>
                <w:rFonts w:ascii="Arial" w:cs="Arial" w:eastAsia="Arial" w:hAnsi="Arial"/>
                <w:sz w:val="18"/>
                <w:szCs w:val="18"/>
                <w:color w:val="auto"/>
              </w:rPr>
              <w:t>147,907</w:t>
            </w:r>
          </w:p>
        </w:tc>
        <w:tc>
          <w:tcPr>
            <w:tcW w:w="260" w:type="dxa"/>
            <w:vAlign w:val="bottom"/>
          </w:tcPr>
          <w:p>
            <w:pPr>
              <w:jc w:val="right"/>
              <w:ind w:right="107"/>
              <w:spacing w:after="0"/>
              <w:rPr>
                <w:sz w:val="20"/>
                <w:szCs w:val="20"/>
                <w:color w:val="auto"/>
              </w:rPr>
            </w:pPr>
            <w:r>
              <w:rPr>
                <w:rFonts w:ascii="Arial" w:cs="Arial" w:eastAsia="Arial" w:hAnsi="Arial"/>
                <w:sz w:val="15"/>
                <w:szCs w:val="15"/>
                <w:color w:val="auto"/>
                <w:w w:val="71"/>
              </w:rPr>
              <w:t>$</w:t>
            </w:r>
          </w:p>
        </w:tc>
        <w:tc>
          <w:tcPr>
            <w:tcW w:w="1060" w:type="dxa"/>
            <w:vAlign w:val="bottom"/>
            <w:gridSpan w:val="2"/>
          </w:tcPr>
          <w:p>
            <w:pPr>
              <w:jc w:val="right"/>
              <w:ind w:right="120"/>
              <w:spacing w:after="0"/>
              <w:rPr>
                <w:sz w:val="20"/>
                <w:szCs w:val="20"/>
                <w:color w:val="auto"/>
              </w:rPr>
            </w:pPr>
            <w:r>
              <w:rPr>
                <w:rFonts w:ascii="Arial" w:cs="Arial" w:eastAsia="Arial" w:hAnsi="Arial"/>
                <w:sz w:val="18"/>
                <w:szCs w:val="18"/>
                <w:color w:val="auto"/>
              </w:rPr>
              <w:t>151,118</w:t>
            </w:r>
          </w:p>
        </w:tc>
      </w:tr>
      <w:tr>
        <w:trPr>
          <w:trHeight w:val="20"/>
        </w:trPr>
        <w:tc>
          <w:tcPr>
            <w:tcW w:w="582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02"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Note: As previously disclosed in the 2019 10K and subsequent 10Qs, the Company has revised the above statements of cash flows for the three and nine months in 2019 to correct a classification error between investing and financing activities.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340360</wp:posOffset>
            </wp:positionV>
            <wp:extent cx="7132320" cy="171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580" w:right="339" w:bottom="1440" w:gutter="0" w:footer="0" w:header="0"/>
        </w:sectPr>
      </w:pPr>
    </w:p>
    <w:bookmarkStart w:id="10" w:name="page11"/>
    <w:bookmarkEnd w:id="10"/>
    <w:p>
      <w:pPr>
        <w:jc w:val="center"/>
        <w:ind w:right="-19"/>
        <w:spacing w:after="0"/>
        <w:rPr>
          <w:sz w:val="20"/>
          <w:szCs w:val="20"/>
          <w:color w:val="auto"/>
        </w:rPr>
      </w:pPr>
      <w:r>
        <w:rPr>
          <w:rFonts w:ascii="Arial" w:cs="Arial" w:eastAsia="Arial" w:hAnsi="Arial"/>
          <w:sz w:val="18"/>
          <w:szCs w:val="18"/>
          <w:b w:val="1"/>
          <w:bCs w:val="1"/>
          <w:color w:val="auto"/>
        </w:rPr>
        <w:t>INPHI CORPORATION</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RECONCILIATION OF GAAP TO NON-GAAP MEASURES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(in thousands of dollars, except share and per share amounts)</w:t>
      </w:r>
    </w:p>
    <w:p>
      <w:pPr>
        <w:spacing w:after="0" w:line="211"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To supplement the financial data presented on a GAAP basis, the Company discloses certain non-GAAP financial measures, which exclude stock-based compensation, legal, transition costs and other expenses, purchase price fair value adjustments related to acquisitions, non-cash interest expense and loss on extinguishment related to convertible debt, unrealized gain or loss on equity investments, lease expense on building not occupied and deferred tax asset valuation allowance. These non-GAAP financial measures are not in accordance with GAAP. These results should only be used to evaluate the Company’s results of operations in conjunction with the corresponding GAAP measures. The Company believes that its non-GAAP financial information provides useful information to management and investors regarding financial and business trends relating to its financial condition and results of operations because it excludes charges or benefits that management considers to be outside of the Company’s core operating results. The Company believes that the non-GAAP measures of gross margin, income from operations, net income and earnings per share, in combination with the Company’s financial results calculated in accordance with GAAP, provide investors with additional perspective and a more meaningful understanding of the Company’s ongoing operating performance. In addition, the Company’s management uses these non-GAAP measures to review and assess the financial performance of the Company, to determine executive officer incentive compensation and to plan and forecast performance in future periods. The Company’s non-GAAP measurements are not prepared in accordance with GAAP, and are not an alternative to GAAP financial information, and may be calculated differently than non-GAAP financial information disclosed by other companies.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350520</wp:posOffset>
            </wp:positionV>
            <wp:extent cx="7132320" cy="171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20"/>
          </w:cols>
          <w:pgMar w:left="320" w:top="580" w:right="359" w:bottom="1440" w:gutter="0" w:footer="0" w:header="0"/>
        </w:sectPr>
      </w:pPr>
    </w:p>
    <w:bookmarkStart w:id="11" w:name="page12"/>
    <w:bookmarkEnd w:id="11"/>
    <w:p>
      <w:pPr>
        <w:jc w:val="center"/>
        <w:ind w:left="340" w:right="2480"/>
        <w:spacing w:after="0" w:line="275" w:lineRule="auto"/>
        <w:rPr>
          <w:sz w:val="20"/>
          <w:szCs w:val="20"/>
          <w:color w:val="auto"/>
        </w:rPr>
      </w:pPr>
      <w:r>
        <w:rPr>
          <w:rFonts w:ascii="Arial" w:cs="Arial" w:eastAsia="Arial" w:hAnsi="Arial"/>
          <w:sz w:val="18"/>
          <w:szCs w:val="18"/>
          <w:b w:val="1"/>
          <w:bCs w:val="1"/>
          <w:color w:val="auto"/>
        </w:rPr>
        <w:t xml:space="preserve">RECONCILIATION OF GAAP NET INCOME TO NON-GAAP NET INCOME </w:t>
      </w:r>
      <w:r>
        <w:rPr>
          <w:rFonts w:ascii="Arial" w:cs="Arial" w:eastAsia="Arial" w:hAnsi="Arial"/>
          <w:sz w:val="18"/>
          <w:szCs w:val="18"/>
          <w:color w:val="auto"/>
        </w:rPr>
        <w:t>(in thousands of dollars, except share and per share amounts) (Unaudited)</w:t>
      </w:r>
    </w:p>
    <w:p>
      <w:pPr>
        <w:spacing w:after="0" w:line="37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80" w:type="dxa"/>
            <w:vAlign w:val="bottom"/>
            <w:gridSpan w:val="7"/>
          </w:tcPr>
          <w:p>
            <w:pPr>
              <w:jc w:val="right"/>
              <w:ind w:right="740"/>
              <w:spacing w:after="0"/>
              <w:rPr>
                <w:sz w:val="20"/>
                <w:szCs w:val="20"/>
                <w:color w:val="auto"/>
              </w:rPr>
            </w:pPr>
            <w:r>
              <w:rPr>
                <w:rFonts w:ascii="Arial" w:cs="Arial" w:eastAsia="Arial" w:hAnsi="Arial"/>
                <w:sz w:val="14"/>
                <w:szCs w:val="14"/>
                <w:b w:val="1"/>
                <w:bCs w:val="1"/>
                <w:color w:val="auto"/>
              </w:rPr>
              <w:t>Three Months Ended</w:t>
            </w:r>
          </w:p>
        </w:tc>
        <w:tc>
          <w:tcPr>
            <w:tcW w:w="3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700" w:type="dxa"/>
            <w:vAlign w:val="bottom"/>
            <w:gridSpan w:val="4"/>
          </w:tcPr>
          <w:p>
            <w:pPr>
              <w:jc w:val="center"/>
              <w:ind w:left="408"/>
              <w:spacing w:after="0"/>
              <w:rPr>
                <w:sz w:val="20"/>
                <w:szCs w:val="20"/>
                <w:color w:val="auto"/>
              </w:rPr>
            </w:pPr>
            <w:r>
              <w:rPr>
                <w:rFonts w:ascii="Arial" w:cs="Arial" w:eastAsia="Arial" w:hAnsi="Arial"/>
                <w:sz w:val="14"/>
                <w:szCs w:val="14"/>
                <w:b w:val="1"/>
                <w:bCs w:val="1"/>
                <w:color w:val="auto"/>
                <w:w w:val="93"/>
              </w:rPr>
              <w:t>Nine Months Ended</w:t>
            </w:r>
          </w:p>
        </w:tc>
        <w:tc>
          <w:tcPr>
            <w:tcW w:w="7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5200" w:type="dxa"/>
            <w:vAlign w:val="bottom"/>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5"/>
          </w:tcPr>
          <w:p>
            <w:pPr>
              <w:jc w:val="right"/>
              <w:ind w:right="49"/>
              <w:spacing w:after="0"/>
              <w:rPr>
                <w:sz w:val="20"/>
                <w:szCs w:val="20"/>
                <w:color w:val="auto"/>
              </w:rPr>
            </w:pPr>
            <w:r>
              <w:rPr>
                <w:rFonts w:ascii="Arial" w:cs="Arial" w:eastAsia="Arial" w:hAnsi="Arial"/>
                <w:sz w:val="14"/>
                <w:szCs w:val="14"/>
                <w:b w:val="1"/>
                <w:bCs w:val="1"/>
                <w:color w:val="auto"/>
              </w:rPr>
              <w:t>September 30,</w:t>
            </w:r>
          </w:p>
        </w:tc>
        <w:tc>
          <w:tcPr>
            <w:tcW w:w="78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700" w:type="dxa"/>
            <w:vAlign w:val="bottom"/>
            <w:tcBorders>
              <w:bottom w:val="single" w:sz="8" w:color="auto"/>
            </w:tcBorders>
            <w:gridSpan w:val="4"/>
          </w:tcPr>
          <w:p>
            <w:pPr>
              <w:jc w:val="center"/>
              <w:ind w:left="388"/>
              <w:spacing w:after="0"/>
              <w:rPr>
                <w:sz w:val="20"/>
                <w:szCs w:val="20"/>
                <w:color w:val="auto"/>
              </w:rPr>
            </w:pPr>
            <w:r>
              <w:rPr>
                <w:rFonts w:ascii="Arial" w:cs="Arial" w:eastAsia="Arial" w:hAnsi="Arial"/>
                <w:sz w:val="14"/>
                <w:szCs w:val="14"/>
                <w:b w:val="1"/>
                <w:bCs w:val="1"/>
                <w:color w:val="auto"/>
                <w:w w:val="91"/>
              </w:rPr>
              <w:t>September 30,</w:t>
            </w:r>
          </w:p>
        </w:tc>
        <w:tc>
          <w:tcPr>
            <w:tcW w:w="700" w:type="dxa"/>
            <w:vAlign w:val="bottom"/>
            <w:tcBorders>
              <w:bottom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5200" w:type="dxa"/>
            <w:vAlign w:val="bottom"/>
          </w:tcPr>
          <w:p>
            <w:pPr>
              <w:spacing w:after="0"/>
              <w:rPr>
                <w:sz w:val="12"/>
                <w:szCs w:val="12"/>
                <w:color w:val="auto"/>
              </w:rPr>
            </w:pPr>
          </w:p>
        </w:tc>
        <w:tc>
          <w:tcPr>
            <w:tcW w:w="220" w:type="dxa"/>
            <w:vAlign w:val="bottom"/>
            <w:tcBorders>
              <w:bottom w:val="single" w:sz="8" w:color="auto"/>
            </w:tcBorders>
          </w:tcPr>
          <w:p>
            <w:pPr>
              <w:spacing w:after="0"/>
              <w:rPr>
                <w:sz w:val="12"/>
                <w:szCs w:val="12"/>
                <w:color w:val="auto"/>
              </w:rPr>
            </w:pPr>
          </w:p>
        </w:tc>
        <w:tc>
          <w:tcPr>
            <w:tcW w:w="860" w:type="dxa"/>
            <w:vAlign w:val="bottom"/>
            <w:tcBorders>
              <w:bottom w:val="single" w:sz="8" w:color="auto"/>
            </w:tcBorders>
          </w:tcPr>
          <w:p>
            <w:pPr>
              <w:jc w:val="right"/>
              <w:ind w:right="328"/>
              <w:spacing w:after="0" w:line="142" w:lineRule="exact"/>
              <w:rPr>
                <w:sz w:val="20"/>
                <w:szCs w:val="20"/>
                <w:color w:val="auto"/>
              </w:rPr>
            </w:pPr>
            <w:r>
              <w:rPr>
                <w:rFonts w:ascii="Arial" w:cs="Arial" w:eastAsia="Arial" w:hAnsi="Arial"/>
                <w:sz w:val="14"/>
                <w:szCs w:val="14"/>
                <w:b w:val="1"/>
                <w:bCs w:val="1"/>
                <w:color w:val="auto"/>
              </w:rPr>
              <w:t>2020</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Borders>
              <w:bottom w:val="single" w:sz="8" w:color="auto"/>
            </w:tcBorders>
          </w:tcPr>
          <w:p>
            <w:pPr>
              <w:spacing w:after="0"/>
              <w:rPr>
                <w:sz w:val="12"/>
                <w:szCs w:val="12"/>
                <w:color w:val="auto"/>
              </w:rPr>
            </w:pPr>
          </w:p>
        </w:tc>
        <w:tc>
          <w:tcPr>
            <w:tcW w:w="780" w:type="dxa"/>
            <w:vAlign w:val="bottom"/>
            <w:tcBorders>
              <w:bottom w:val="single" w:sz="8" w:color="auto"/>
            </w:tcBorders>
          </w:tcPr>
          <w:p>
            <w:pPr>
              <w:jc w:val="right"/>
              <w:ind w:right="328"/>
              <w:spacing w:after="0" w:line="142" w:lineRule="exact"/>
              <w:rPr>
                <w:sz w:val="20"/>
                <w:szCs w:val="20"/>
                <w:color w:val="auto"/>
              </w:rPr>
            </w:pPr>
            <w:r>
              <w:rPr>
                <w:rFonts w:ascii="Arial" w:cs="Arial" w:eastAsia="Arial" w:hAnsi="Arial"/>
                <w:sz w:val="14"/>
                <w:szCs w:val="14"/>
                <w:b w:val="1"/>
                <w:bCs w:val="1"/>
                <w:color w:val="auto"/>
              </w:rPr>
              <w:t>2019</w:t>
            </w: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0" w:type="dxa"/>
            <w:vAlign w:val="bottom"/>
            <w:tcBorders>
              <w:bottom w:val="single" w:sz="8" w:color="auto"/>
            </w:tcBorders>
          </w:tcPr>
          <w:p>
            <w:pPr>
              <w:spacing w:after="0"/>
              <w:rPr>
                <w:sz w:val="12"/>
                <w:szCs w:val="12"/>
                <w:color w:val="auto"/>
              </w:rPr>
            </w:pPr>
          </w:p>
        </w:tc>
        <w:tc>
          <w:tcPr>
            <w:tcW w:w="860" w:type="dxa"/>
            <w:vAlign w:val="bottom"/>
            <w:tcBorders>
              <w:bottom w:val="single" w:sz="8" w:color="auto"/>
            </w:tcBorders>
          </w:tcPr>
          <w:p>
            <w:pPr>
              <w:jc w:val="right"/>
              <w:ind w:right="328"/>
              <w:spacing w:after="0" w:line="142" w:lineRule="exact"/>
              <w:rPr>
                <w:sz w:val="20"/>
                <w:szCs w:val="20"/>
                <w:color w:val="auto"/>
              </w:rPr>
            </w:pPr>
            <w:r>
              <w:rPr>
                <w:rFonts w:ascii="Arial" w:cs="Arial" w:eastAsia="Arial" w:hAnsi="Arial"/>
                <w:sz w:val="14"/>
                <w:szCs w:val="14"/>
                <w:b w:val="1"/>
                <w:bCs w:val="1"/>
                <w:color w:val="auto"/>
              </w:rPr>
              <w:t>2020</w:t>
            </w: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0" w:type="dxa"/>
            <w:vAlign w:val="bottom"/>
            <w:tcBorders>
              <w:bottom w:val="single" w:sz="8" w:color="auto"/>
            </w:tcBorders>
          </w:tcPr>
          <w:p>
            <w:pPr>
              <w:spacing w:after="0"/>
              <w:rPr>
                <w:sz w:val="12"/>
                <w:szCs w:val="12"/>
                <w:color w:val="auto"/>
              </w:rPr>
            </w:pPr>
          </w:p>
        </w:tc>
        <w:tc>
          <w:tcPr>
            <w:tcW w:w="700" w:type="dxa"/>
            <w:vAlign w:val="bottom"/>
            <w:tcBorders>
              <w:bottom w:val="single" w:sz="8" w:color="auto"/>
            </w:tcBorders>
          </w:tcPr>
          <w:p>
            <w:pPr>
              <w:jc w:val="right"/>
              <w:ind w:right="328"/>
              <w:spacing w:after="0" w:line="142" w:lineRule="exact"/>
              <w:rPr>
                <w:sz w:val="20"/>
                <w:szCs w:val="20"/>
                <w:color w:val="auto"/>
              </w:rPr>
            </w:pPr>
            <w:r>
              <w:rPr>
                <w:rFonts w:ascii="Arial" w:cs="Arial" w:eastAsia="Arial" w:hAnsi="Arial"/>
                <w:sz w:val="14"/>
                <w:szCs w:val="14"/>
                <w:b w:val="1"/>
                <w:bCs w:val="1"/>
                <w:color w:val="auto"/>
                <w:w w:val="89"/>
              </w:rPr>
              <w:t>2019</w:t>
            </w:r>
          </w:p>
        </w:tc>
        <w:tc>
          <w:tcPr>
            <w:tcW w:w="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5200" w:type="dxa"/>
            <w:vAlign w:val="bottom"/>
            <w:shd w:val="clear" w:color="auto" w:fill="CCEEFF"/>
          </w:tcPr>
          <w:p>
            <w:pPr>
              <w:spacing w:after="0" w:line="142" w:lineRule="exact"/>
              <w:rPr>
                <w:sz w:val="20"/>
                <w:szCs w:val="20"/>
                <w:color w:val="auto"/>
              </w:rPr>
            </w:pPr>
            <w:r>
              <w:rPr>
                <w:rFonts w:ascii="Arial" w:cs="Arial" w:eastAsia="Arial" w:hAnsi="Arial"/>
                <w:sz w:val="14"/>
                <w:szCs w:val="14"/>
                <w:b w:val="1"/>
                <w:bCs w:val="1"/>
                <w:color w:val="auto"/>
              </w:rPr>
              <w:t>GAAP gross margin to Non-GAAP gross margin</w:t>
            </w:r>
          </w:p>
        </w:tc>
        <w:tc>
          <w:tcPr>
            <w:tcW w:w="2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tcPr>
          <w:p>
            <w:pPr>
              <w:spacing w:after="0" w:line="149" w:lineRule="exact"/>
              <w:rPr>
                <w:sz w:val="20"/>
                <w:szCs w:val="20"/>
                <w:color w:val="auto"/>
              </w:rPr>
            </w:pPr>
            <w:r>
              <w:rPr>
                <w:rFonts w:ascii="Arial" w:cs="Arial" w:eastAsia="Arial" w:hAnsi="Arial"/>
                <w:sz w:val="14"/>
                <w:szCs w:val="14"/>
                <w:color w:val="auto"/>
              </w:rPr>
              <w:t>GAAP gross margin</w:t>
            </w:r>
          </w:p>
        </w:tc>
        <w:tc>
          <w:tcPr>
            <w:tcW w:w="220" w:type="dxa"/>
            <w:vAlign w:val="bottom"/>
          </w:tcPr>
          <w:p>
            <w:pPr>
              <w:jc w:val="right"/>
              <w:ind w:right="109"/>
              <w:spacing w:after="0"/>
              <w:rPr>
                <w:sz w:val="20"/>
                <w:szCs w:val="20"/>
                <w:color w:val="auto"/>
              </w:rPr>
            </w:pPr>
            <w:r>
              <w:rPr>
                <w:rFonts w:ascii="Arial" w:cs="Arial" w:eastAsia="Arial" w:hAnsi="Arial"/>
                <w:sz w:val="10"/>
                <w:szCs w:val="10"/>
                <w:color w:val="auto"/>
                <w:w w:val="71"/>
              </w:rPr>
              <w:t>$</w:t>
            </w:r>
          </w:p>
        </w:tc>
        <w:tc>
          <w:tcPr>
            <w:tcW w:w="8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101,540</w:t>
            </w: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54,482</w:t>
            </w:r>
          </w:p>
        </w:tc>
        <w:tc>
          <w:tcPr>
            <w:tcW w:w="600" w:type="dxa"/>
            <w:vAlign w:val="bottom"/>
            <w:gridSpan w:val="2"/>
          </w:tcPr>
          <w:p>
            <w:pPr>
              <w:ind w:left="3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268,169</w:t>
            </w:r>
          </w:p>
        </w:tc>
        <w:tc>
          <w:tcPr>
            <w:tcW w:w="7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151,222</w:t>
            </w: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Adjustments to GAAP gross margin:</w:t>
            </w:r>
          </w:p>
        </w:tc>
        <w:tc>
          <w:tcPr>
            <w:tcW w:w="2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Stock-based compensation</w:t>
            </w:r>
          </w:p>
        </w:tc>
        <w:tc>
          <w:tcPr>
            <w:tcW w:w="220" w:type="dxa"/>
            <w:vAlign w:val="bottom"/>
          </w:tcPr>
          <w:p>
            <w:pPr>
              <w:spacing w:after="0"/>
              <w:rPr>
                <w:sz w:val="12"/>
                <w:szCs w:val="12"/>
                <w:color w:val="auto"/>
              </w:rPr>
            </w:pPr>
          </w:p>
        </w:tc>
        <w:tc>
          <w:tcPr>
            <w:tcW w:w="8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2,136</w:t>
            </w:r>
          </w:p>
        </w:tc>
        <w:tc>
          <w:tcPr>
            <w:tcW w:w="80" w:type="dxa"/>
            <w:vAlign w:val="bottom"/>
          </w:tcPr>
          <w:p>
            <w:pPr>
              <w:spacing w:after="0"/>
              <w:rPr>
                <w:sz w:val="12"/>
                <w:szCs w:val="12"/>
                <w:color w:val="auto"/>
              </w:rPr>
            </w:pP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(a)</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1,953</w:t>
            </w:r>
          </w:p>
        </w:tc>
        <w:tc>
          <w:tcPr>
            <w:tcW w:w="60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(a)</w:t>
            </w:r>
          </w:p>
        </w:tc>
        <w:tc>
          <w:tcPr>
            <w:tcW w:w="9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6,033</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(a)</w:t>
            </w:r>
          </w:p>
        </w:tc>
        <w:tc>
          <w:tcPr>
            <w:tcW w:w="78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4,432</w:t>
            </w:r>
          </w:p>
        </w:tc>
        <w:tc>
          <w:tcPr>
            <w:tcW w:w="260" w:type="dxa"/>
            <w:vAlign w:val="bottom"/>
          </w:tcPr>
          <w:p>
            <w:pPr>
              <w:ind w:left="40"/>
              <w:spacing w:after="0" w:line="149" w:lineRule="exact"/>
              <w:rPr>
                <w:sz w:val="20"/>
                <w:szCs w:val="20"/>
                <w:color w:val="auto"/>
              </w:rPr>
            </w:pPr>
            <w:r>
              <w:rPr>
                <w:rFonts w:ascii="Arial" w:cs="Arial" w:eastAsia="Arial" w:hAnsi="Arial"/>
                <w:sz w:val="14"/>
                <w:szCs w:val="14"/>
                <w:color w:val="auto"/>
              </w:rPr>
              <w:t>(a)</w:t>
            </w: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Amortization of inventory step-up</w:t>
            </w:r>
          </w:p>
        </w:tc>
        <w:tc>
          <w:tcPr>
            <w:tcW w:w="22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143</w:t>
            </w: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(b)</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4,482</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(b)</w:t>
            </w: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Amortization of intangibles</w:t>
            </w:r>
          </w:p>
        </w:tc>
        <w:tc>
          <w:tcPr>
            <w:tcW w:w="220" w:type="dxa"/>
            <w:vAlign w:val="bottom"/>
          </w:tcPr>
          <w:p>
            <w:pPr>
              <w:spacing w:after="0"/>
              <w:rPr>
                <w:sz w:val="12"/>
                <w:szCs w:val="12"/>
                <w:color w:val="auto"/>
              </w:rPr>
            </w:pPr>
          </w:p>
        </w:tc>
        <w:tc>
          <w:tcPr>
            <w:tcW w:w="8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12,380</w:t>
            </w:r>
          </w:p>
        </w:tc>
        <w:tc>
          <w:tcPr>
            <w:tcW w:w="80" w:type="dxa"/>
            <w:vAlign w:val="bottom"/>
          </w:tcPr>
          <w:p>
            <w:pPr>
              <w:spacing w:after="0"/>
              <w:rPr>
                <w:sz w:val="12"/>
                <w:szCs w:val="12"/>
                <w:color w:val="auto"/>
              </w:rPr>
            </w:pP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(c)</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9,724</w:t>
            </w:r>
          </w:p>
        </w:tc>
        <w:tc>
          <w:tcPr>
            <w:tcW w:w="60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(c)</w:t>
            </w:r>
          </w:p>
        </w:tc>
        <w:tc>
          <w:tcPr>
            <w:tcW w:w="9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38,844</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(c)</w:t>
            </w:r>
          </w:p>
        </w:tc>
        <w:tc>
          <w:tcPr>
            <w:tcW w:w="78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29,172</w:t>
            </w:r>
          </w:p>
        </w:tc>
        <w:tc>
          <w:tcPr>
            <w:tcW w:w="260" w:type="dxa"/>
            <w:vAlign w:val="bottom"/>
          </w:tcPr>
          <w:p>
            <w:pPr>
              <w:ind w:left="40"/>
              <w:spacing w:after="0" w:line="149" w:lineRule="exact"/>
              <w:rPr>
                <w:sz w:val="20"/>
                <w:szCs w:val="20"/>
                <w:color w:val="auto"/>
              </w:rPr>
            </w:pPr>
            <w:r>
              <w:rPr>
                <w:rFonts w:ascii="Arial" w:cs="Arial" w:eastAsia="Arial" w:hAnsi="Arial"/>
                <w:sz w:val="14"/>
                <w:szCs w:val="14"/>
                <w:color w:val="auto"/>
              </w:rPr>
              <w:t>(c)</w:t>
            </w: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Depreciation on step-up values of fixed assets</w:t>
            </w:r>
          </w:p>
        </w:tc>
        <w:tc>
          <w:tcPr>
            <w:tcW w:w="220" w:type="dxa"/>
            <w:vAlign w:val="bottom"/>
            <w:shd w:val="clear" w:color="auto" w:fill="CCEEFF"/>
          </w:tcPr>
          <w:p>
            <w:pPr>
              <w:spacing w:after="0"/>
              <w:rPr>
                <w:sz w:val="12"/>
                <w:szCs w:val="12"/>
                <w:color w:val="auto"/>
              </w:rPr>
            </w:pPr>
          </w:p>
        </w:tc>
        <w:tc>
          <w:tcPr>
            <w:tcW w:w="96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(207)</w:t>
            </w: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(d)</w:t>
            </w:r>
          </w:p>
        </w:tc>
        <w:tc>
          <w:tcPr>
            <w:tcW w:w="8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(3)</w:t>
            </w:r>
          </w:p>
        </w:tc>
        <w:tc>
          <w:tcPr>
            <w:tcW w:w="60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(d)</w:t>
            </w: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223</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(d)</w:t>
            </w:r>
          </w:p>
        </w:tc>
        <w:tc>
          <w:tcPr>
            <w:tcW w:w="7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(27)</w:t>
            </w:r>
          </w:p>
        </w:tc>
        <w:tc>
          <w:tcPr>
            <w:tcW w:w="26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rPr>
              <w:t>(d)</w:t>
            </w:r>
          </w:p>
        </w:tc>
        <w:tc>
          <w:tcPr>
            <w:tcW w:w="0" w:type="dxa"/>
            <w:vAlign w:val="bottom"/>
          </w:tcPr>
          <w:p>
            <w:pPr>
              <w:spacing w:after="0"/>
              <w:rPr>
                <w:sz w:val="1"/>
                <w:szCs w:val="1"/>
                <w:color w:val="auto"/>
              </w:rPr>
            </w:pPr>
          </w:p>
        </w:tc>
      </w:tr>
      <w:tr>
        <w:trPr>
          <w:trHeight w:val="142"/>
        </w:trPr>
        <w:tc>
          <w:tcPr>
            <w:tcW w:w="5200" w:type="dxa"/>
            <w:vAlign w:val="bottom"/>
            <w:tcBorders>
              <w:top w:val="single" w:sz="8" w:color="CCEEFF"/>
              <w:bottom w:val="single" w:sz="8" w:color="CCEEFF"/>
            </w:tcBorders>
          </w:tcPr>
          <w:p>
            <w:pPr>
              <w:spacing w:after="0" w:line="142" w:lineRule="exact"/>
              <w:rPr>
                <w:sz w:val="20"/>
                <w:szCs w:val="20"/>
                <w:color w:val="auto"/>
              </w:rPr>
            </w:pPr>
            <w:r>
              <w:rPr>
                <w:rFonts w:ascii="Arial" w:cs="Arial" w:eastAsia="Arial" w:hAnsi="Arial"/>
                <w:sz w:val="14"/>
                <w:szCs w:val="14"/>
                <w:color w:val="auto"/>
              </w:rPr>
              <w:t>Non-GAAP gross margin</w:t>
            </w:r>
          </w:p>
        </w:tc>
        <w:tc>
          <w:tcPr>
            <w:tcW w:w="220" w:type="dxa"/>
            <w:vAlign w:val="bottom"/>
            <w:tcBorders>
              <w:top w:val="single" w:sz="8" w:color="auto"/>
              <w:bottom w:val="single" w:sz="8" w:color="auto"/>
            </w:tcBorders>
          </w:tcPr>
          <w:p>
            <w:pPr>
              <w:jc w:val="right"/>
              <w:ind w:right="109"/>
              <w:spacing w:after="0"/>
              <w:rPr>
                <w:sz w:val="20"/>
                <w:szCs w:val="20"/>
                <w:color w:val="auto"/>
              </w:rPr>
            </w:pPr>
            <w:r>
              <w:rPr>
                <w:rFonts w:ascii="Arial" w:cs="Arial" w:eastAsia="Arial" w:hAnsi="Arial"/>
                <w:sz w:val="10"/>
                <w:szCs w:val="10"/>
                <w:color w:val="auto"/>
                <w:w w:val="71"/>
              </w:rPr>
              <w:t>$</w:t>
            </w: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115,992</w:t>
            </w:r>
          </w:p>
        </w:tc>
        <w:tc>
          <w:tcPr>
            <w:tcW w:w="20" w:type="dxa"/>
            <w:vAlign w:val="bottom"/>
            <w:tcBorders>
              <w:top w:val="single" w:sz="8" w:color="CCEEFF"/>
              <w:bottom w:val="single" w:sz="8" w:color="CCEEFF"/>
            </w:tcBorders>
          </w:tcPr>
          <w:p>
            <w:pPr>
              <w:spacing w:after="0"/>
              <w:rPr>
                <w:sz w:val="12"/>
                <w:szCs w:val="12"/>
                <w:color w:val="auto"/>
              </w:rPr>
            </w:pP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jc w:val="right"/>
              <w:ind w:right="189"/>
              <w:spacing w:after="0"/>
              <w:rPr>
                <w:sz w:val="20"/>
                <w:szCs w:val="20"/>
                <w:color w:val="auto"/>
              </w:rPr>
            </w:pPr>
            <w:r>
              <w:rPr>
                <w:rFonts w:ascii="Arial" w:cs="Arial" w:eastAsia="Arial" w:hAnsi="Arial"/>
                <w:sz w:val="10"/>
                <w:szCs w:val="10"/>
                <w:color w:val="auto"/>
                <w:w w:val="71"/>
              </w:rPr>
              <w:t>$</w:t>
            </w:r>
          </w:p>
        </w:tc>
        <w:tc>
          <w:tcPr>
            <w:tcW w:w="78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66,156</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ind w:left="20"/>
              <w:spacing w:after="0" w:line="129" w:lineRule="exact"/>
              <w:rPr>
                <w:sz w:val="20"/>
                <w:szCs w:val="20"/>
                <w:color w:val="auto"/>
              </w:rPr>
            </w:pPr>
            <w:r>
              <w:rPr>
                <w:rFonts w:ascii="Arial" w:cs="Arial" w:eastAsia="Arial" w:hAnsi="Arial"/>
                <w:sz w:val="14"/>
                <w:szCs w:val="14"/>
                <w:color w:val="auto"/>
              </w:rPr>
              <w:t>$</w:t>
            </w: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317,751</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400" w:type="dxa"/>
            <w:vAlign w:val="bottom"/>
            <w:tcBorders>
              <w:top w:val="single" w:sz="8" w:color="auto"/>
              <w:bottom w:val="single" w:sz="8" w:color="auto"/>
            </w:tcBorders>
          </w:tcPr>
          <w:p>
            <w:pPr>
              <w:spacing w:after="0" w:line="129" w:lineRule="exact"/>
              <w:rPr>
                <w:sz w:val="20"/>
                <w:szCs w:val="20"/>
                <w:color w:val="auto"/>
              </w:rPr>
            </w:pPr>
            <w:r>
              <w:rPr>
                <w:rFonts w:ascii="Arial" w:cs="Arial" w:eastAsia="Arial" w:hAnsi="Arial"/>
                <w:sz w:val="14"/>
                <w:szCs w:val="14"/>
                <w:color w:val="auto"/>
              </w:rPr>
              <w:t>$</w:t>
            </w:r>
          </w:p>
        </w:tc>
        <w:tc>
          <w:tcPr>
            <w:tcW w:w="7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184,799</w:t>
            </w:r>
          </w:p>
        </w:tc>
        <w:tc>
          <w:tcPr>
            <w:tcW w:w="80" w:type="dxa"/>
            <w:vAlign w:val="bottom"/>
            <w:tcBorders>
              <w:top w:val="single" w:sz="8" w:color="CCEEFF"/>
              <w:bottom w:val="single" w:sz="8" w:color="CCEEFF"/>
            </w:tcBorders>
          </w:tcPr>
          <w:p>
            <w:pPr>
              <w:spacing w:after="0"/>
              <w:rPr>
                <w:sz w:val="12"/>
                <w:szCs w:val="12"/>
                <w:color w:val="auto"/>
              </w:rPr>
            </w:pPr>
          </w:p>
        </w:tc>
        <w:tc>
          <w:tcPr>
            <w:tcW w:w="260" w:type="dxa"/>
            <w:vAlign w:val="bottom"/>
            <w:tcBorders>
              <w:top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520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5200" w:type="dxa"/>
            <w:vAlign w:val="bottom"/>
          </w:tcPr>
          <w:p>
            <w:pPr>
              <w:spacing w:after="0" w:line="149" w:lineRule="exact"/>
              <w:rPr>
                <w:sz w:val="20"/>
                <w:szCs w:val="20"/>
                <w:color w:val="auto"/>
              </w:rPr>
            </w:pPr>
            <w:r>
              <w:rPr>
                <w:rFonts w:ascii="Arial" w:cs="Arial" w:eastAsia="Arial" w:hAnsi="Arial"/>
                <w:sz w:val="14"/>
                <w:szCs w:val="14"/>
                <w:b w:val="1"/>
                <w:bCs w:val="1"/>
                <w:color w:val="auto"/>
              </w:rPr>
              <w:t>GAAP operating expenses to Non-GAAP operating expenses</w:t>
            </w:r>
          </w:p>
        </w:tc>
        <w:tc>
          <w:tcPr>
            <w:tcW w:w="2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GAAP research and development</w:t>
            </w:r>
          </w:p>
        </w:tc>
        <w:tc>
          <w:tcPr>
            <w:tcW w:w="220" w:type="dxa"/>
            <w:vAlign w:val="bottom"/>
            <w:shd w:val="clear" w:color="auto" w:fill="CCEEFF"/>
          </w:tcPr>
          <w:p>
            <w:pPr>
              <w:jc w:val="right"/>
              <w:ind w:right="109"/>
              <w:spacing w:after="0"/>
              <w:rPr>
                <w:sz w:val="20"/>
                <w:szCs w:val="20"/>
                <w:color w:val="auto"/>
              </w:rPr>
            </w:pPr>
            <w:r>
              <w:rPr>
                <w:rFonts w:ascii="Arial" w:cs="Arial" w:eastAsia="Arial" w:hAnsi="Arial"/>
                <w:sz w:val="10"/>
                <w:szCs w:val="10"/>
                <w:color w:val="auto"/>
                <w:w w:val="71"/>
              </w:rPr>
              <w:t>$</w:t>
            </w:r>
          </w:p>
        </w:tc>
        <w:tc>
          <w:tcPr>
            <w:tcW w:w="8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66,832</w:t>
            </w: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jc w:val="right"/>
              <w:ind w:right="189"/>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44,895</w:t>
            </w:r>
          </w:p>
        </w:tc>
        <w:tc>
          <w:tcPr>
            <w:tcW w:w="600" w:type="dxa"/>
            <w:vAlign w:val="bottom"/>
            <w:gridSpan w:val="2"/>
            <w:shd w:val="clear" w:color="auto" w:fill="CCEEFF"/>
          </w:tcPr>
          <w:p>
            <w:pPr>
              <w:ind w:left="3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198,701</w:t>
            </w:r>
          </w:p>
        </w:tc>
        <w:tc>
          <w:tcPr>
            <w:tcW w:w="7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133,999</w:t>
            </w: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tcPr>
          <w:p>
            <w:pPr>
              <w:spacing w:after="0" w:line="149" w:lineRule="exact"/>
              <w:rPr>
                <w:sz w:val="20"/>
                <w:szCs w:val="20"/>
                <w:color w:val="auto"/>
              </w:rPr>
            </w:pPr>
            <w:r>
              <w:rPr>
                <w:rFonts w:ascii="Arial" w:cs="Arial" w:eastAsia="Arial" w:hAnsi="Arial"/>
                <w:sz w:val="14"/>
                <w:szCs w:val="14"/>
                <w:color w:val="auto"/>
              </w:rPr>
              <w:t>Adjustments to GAAP research and development:</w:t>
            </w:r>
          </w:p>
        </w:tc>
        <w:tc>
          <w:tcPr>
            <w:tcW w:w="2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Stock-based compensation</w:t>
            </w:r>
          </w:p>
        </w:tc>
        <w:tc>
          <w:tcPr>
            <w:tcW w:w="220" w:type="dxa"/>
            <w:vAlign w:val="bottom"/>
            <w:shd w:val="clear" w:color="auto" w:fill="CCEEFF"/>
          </w:tcPr>
          <w:p>
            <w:pPr>
              <w:spacing w:after="0"/>
              <w:rPr>
                <w:sz w:val="12"/>
                <w:szCs w:val="12"/>
                <w:color w:val="auto"/>
              </w:rPr>
            </w:pPr>
          </w:p>
        </w:tc>
        <w:tc>
          <w:tcPr>
            <w:tcW w:w="96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(16,484)</w:t>
            </w: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(a)</w:t>
            </w:r>
          </w:p>
        </w:tc>
        <w:tc>
          <w:tcPr>
            <w:tcW w:w="8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(10,297)</w:t>
            </w:r>
          </w:p>
        </w:tc>
        <w:tc>
          <w:tcPr>
            <w:tcW w:w="60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(a)</w:t>
            </w:r>
          </w:p>
        </w:tc>
        <w:tc>
          <w:tcPr>
            <w:tcW w:w="94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(45,995)</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(a)</w:t>
            </w:r>
          </w:p>
        </w:tc>
        <w:tc>
          <w:tcPr>
            <w:tcW w:w="7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(30,954)</w:t>
            </w:r>
          </w:p>
        </w:tc>
        <w:tc>
          <w:tcPr>
            <w:tcW w:w="26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rPr>
              <w:t>(a)</w:t>
            </w:r>
          </w:p>
        </w:tc>
        <w:tc>
          <w:tcPr>
            <w:tcW w:w="0" w:type="dxa"/>
            <w:vAlign w:val="bottom"/>
          </w:tcPr>
          <w:p>
            <w:pPr>
              <w:spacing w:after="0"/>
              <w:rPr>
                <w:sz w:val="1"/>
                <w:szCs w:val="1"/>
                <w:color w:val="auto"/>
              </w:rPr>
            </w:pPr>
          </w:p>
        </w:tc>
      </w:tr>
      <w:tr>
        <w:trPr>
          <w:trHeight w:val="148"/>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Depreciation on step-up values of fixed assets</w:t>
            </w:r>
          </w:p>
        </w:tc>
        <w:tc>
          <w:tcPr>
            <w:tcW w:w="220" w:type="dxa"/>
            <w:vAlign w:val="bottom"/>
          </w:tcPr>
          <w:p>
            <w:pPr>
              <w:spacing w:after="0"/>
              <w:rPr>
                <w:sz w:val="12"/>
                <w:szCs w:val="12"/>
                <w:color w:val="auto"/>
              </w:rPr>
            </w:pPr>
          </w:p>
        </w:tc>
        <w:tc>
          <w:tcPr>
            <w:tcW w:w="9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(131)</w:t>
            </w: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(d)</w:t>
            </w:r>
          </w:p>
        </w:tc>
        <w:tc>
          <w:tcPr>
            <w:tcW w:w="8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(157)</w:t>
            </w:r>
          </w:p>
        </w:tc>
        <w:tc>
          <w:tcPr>
            <w:tcW w:w="60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(d)</w:t>
            </w:r>
          </w:p>
        </w:tc>
        <w:tc>
          <w:tcPr>
            <w:tcW w:w="94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(255)</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(d)</w:t>
            </w:r>
          </w:p>
        </w:tc>
        <w:tc>
          <w:tcPr>
            <w:tcW w:w="7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(354)</w:t>
            </w:r>
          </w:p>
        </w:tc>
        <w:tc>
          <w:tcPr>
            <w:tcW w:w="260" w:type="dxa"/>
            <w:vAlign w:val="bottom"/>
          </w:tcPr>
          <w:p>
            <w:pPr>
              <w:ind w:left="40"/>
              <w:spacing w:after="0" w:line="149" w:lineRule="exact"/>
              <w:rPr>
                <w:sz w:val="20"/>
                <w:szCs w:val="20"/>
                <w:color w:val="auto"/>
              </w:rPr>
            </w:pPr>
            <w:r>
              <w:rPr>
                <w:rFonts w:ascii="Arial" w:cs="Arial" w:eastAsia="Arial" w:hAnsi="Arial"/>
                <w:sz w:val="14"/>
                <w:szCs w:val="14"/>
                <w:color w:val="auto"/>
              </w:rPr>
              <w:t>(d)</w:t>
            </w: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Acquisition related expenses</w:t>
            </w:r>
          </w:p>
        </w:tc>
        <w:tc>
          <w:tcPr>
            <w:tcW w:w="220" w:type="dxa"/>
            <w:vAlign w:val="bottom"/>
            <w:shd w:val="clear" w:color="auto" w:fill="CCEEFF"/>
          </w:tcPr>
          <w:p>
            <w:pPr>
              <w:spacing w:after="0"/>
              <w:rPr>
                <w:sz w:val="12"/>
                <w:szCs w:val="12"/>
                <w:color w:val="auto"/>
              </w:rPr>
            </w:pPr>
          </w:p>
        </w:tc>
        <w:tc>
          <w:tcPr>
            <w:tcW w:w="96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(888)</w:t>
            </w: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(e)</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(10,291)</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(e)</w:t>
            </w: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5200" w:type="dxa"/>
            <w:vAlign w:val="bottom"/>
            <w:tcBorders>
              <w:top w:val="single" w:sz="8" w:color="CCEEFF"/>
              <w:bottom w:val="single" w:sz="8" w:color="CCEEFF"/>
            </w:tcBorders>
          </w:tcPr>
          <w:p>
            <w:pPr>
              <w:spacing w:after="0" w:line="142" w:lineRule="exact"/>
              <w:rPr>
                <w:sz w:val="20"/>
                <w:szCs w:val="20"/>
                <w:color w:val="auto"/>
              </w:rPr>
            </w:pPr>
            <w:r>
              <w:rPr>
                <w:rFonts w:ascii="Arial" w:cs="Arial" w:eastAsia="Arial" w:hAnsi="Arial"/>
                <w:sz w:val="14"/>
                <w:szCs w:val="14"/>
                <w:color w:val="auto"/>
              </w:rPr>
              <w:t>Non-GAAP research and development</w:t>
            </w:r>
          </w:p>
        </w:tc>
        <w:tc>
          <w:tcPr>
            <w:tcW w:w="220" w:type="dxa"/>
            <w:vAlign w:val="bottom"/>
            <w:tcBorders>
              <w:top w:val="single" w:sz="8" w:color="auto"/>
              <w:bottom w:val="single" w:sz="8" w:color="auto"/>
            </w:tcBorders>
          </w:tcPr>
          <w:p>
            <w:pPr>
              <w:jc w:val="right"/>
              <w:ind w:right="109"/>
              <w:spacing w:after="0"/>
              <w:rPr>
                <w:sz w:val="20"/>
                <w:szCs w:val="20"/>
                <w:color w:val="auto"/>
              </w:rPr>
            </w:pPr>
            <w:r>
              <w:rPr>
                <w:rFonts w:ascii="Arial" w:cs="Arial" w:eastAsia="Arial" w:hAnsi="Arial"/>
                <w:sz w:val="10"/>
                <w:szCs w:val="10"/>
                <w:color w:val="auto"/>
                <w:w w:val="71"/>
              </w:rPr>
              <w:t>$</w:t>
            </w: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49,329</w:t>
            </w:r>
          </w:p>
        </w:tc>
        <w:tc>
          <w:tcPr>
            <w:tcW w:w="20" w:type="dxa"/>
            <w:vAlign w:val="bottom"/>
            <w:tcBorders>
              <w:top w:val="single" w:sz="8" w:color="CCEEFF"/>
              <w:bottom w:val="single" w:sz="8" w:color="CCEEFF"/>
            </w:tcBorders>
          </w:tcPr>
          <w:p>
            <w:pPr>
              <w:spacing w:after="0"/>
              <w:rPr>
                <w:sz w:val="12"/>
                <w:szCs w:val="12"/>
                <w:color w:val="auto"/>
              </w:rPr>
            </w:pP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jc w:val="right"/>
              <w:ind w:right="189"/>
              <w:spacing w:after="0"/>
              <w:rPr>
                <w:sz w:val="20"/>
                <w:szCs w:val="20"/>
                <w:color w:val="auto"/>
              </w:rPr>
            </w:pPr>
            <w:r>
              <w:rPr>
                <w:rFonts w:ascii="Arial" w:cs="Arial" w:eastAsia="Arial" w:hAnsi="Arial"/>
                <w:sz w:val="10"/>
                <w:szCs w:val="10"/>
                <w:color w:val="auto"/>
                <w:w w:val="71"/>
              </w:rPr>
              <w:t>$</w:t>
            </w:r>
          </w:p>
        </w:tc>
        <w:tc>
          <w:tcPr>
            <w:tcW w:w="78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34,441</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ind w:left="20"/>
              <w:spacing w:after="0" w:line="129" w:lineRule="exact"/>
              <w:rPr>
                <w:sz w:val="20"/>
                <w:szCs w:val="20"/>
                <w:color w:val="auto"/>
              </w:rPr>
            </w:pPr>
            <w:r>
              <w:rPr>
                <w:rFonts w:ascii="Arial" w:cs="Arial" w:eastAsia="Arial" w:hAnsi="Arial"/>
                <w:sz w:val="14"/>
                <w:szCs w:val="14"/>
                <w:color w:val="auto"/>
              </w:rPr>
              <w:t>$</w:t>
            </w: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142,160</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400" w:type="dxa"/>
            <w:vAlign w:val="bottom"/>
            <w:tcBorders>
              <w:top w:val="single" w:sz="8" w:color="auto"/>
              <w:bottom w:val="single" w:sz="8" w:color="auto"/>
            </w:tcBorders>
          </w:tcPr>
          <w:p>
            <w:pPr>
              <w:spacing w:after="0" w:line="129" w:lineRule="exact"/>
              <w:rPr>
                <w:sz w:val="20"/>
                <w:szCs w:val="20"/>
                <w:color w:val="auto"/>
              </w:rPr>
            </w:pPr>
            <w:r>
              <w:rPr>
                <w:rFonts w:ascii="Arial" w:cs="Arial" w:eastAsia="Arial" w:hAnsi="Arial"/>
                <w:sz w:val="14"/>
                <w:szCs w:val="14"/>
                <w:color w:val="auto"/>
              </w:rPr>
              <w:t>$</w:t>
            </w:r>
          </w:p>
        </w:tc>
        <w:tc>
          <w:tcPr>
            <w:tcW w:w="7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102,691</w:t>
            </w:r>
          </w:p>
        </w:tc>
        <w:tc>
          <w:tcPr>
            <w:tcW w:w="80" w:type="dxa"/>
            <w:vAlign w:val="bottom"/>
            <w:tcBorders>
              <w:top w:val="single" w:sz="8" w:color="CCEEFF"/>
              <w:bottom w:val="single" w:sz="8" w:color="CCEEFF"/>
            </w:tcBorders>
          </w:tcPr>
          <w:p>
            <w:pPr>
              <w:spacing w:after="0"/>
              <w:rPr>
                <w:sz w:val="12"/>
                <w:szCs w:val="12"/>
                <w:color w:val="auto"/>
              </w:rPr>
            </w:pPr>
          </w:p>
        </w:tc>
        <w:tc>
          <w:tcPr>
            <w:tcW w:w="260" w:type="dxa"/>
            <w:vAlign w:val="bottom"/>
            <w:tcBorders>
              <w:top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520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5200" w:type="dxa"/>
            <w:vAlign w:val="bottom"/>
          </w:tcPr>
          <w:p>
            <w:pPr>
              <w:spacing w:after="0" w:line="149" w:lineRule="exact"/>
              <w:rPr>
                <w:sz w:val="20"/>
                <w:szCs w:val="20"/>
                <w:color w:val="auto"/>
              </w:rPr>
            </w:pPr>
            <w:r>
              <w:rPr>
                <w:rFonts w:ascii="Arial" w:cs="Arial" w:eastAsia="Arial" w:hAnsi="Arial"/>
                <w:sz w:val="14"/>
                <w:szCs w:val="14"/>
                <w:color w:val="auto"/>
              </w:rPr>
              <w:t>GAAP sales and marketing</w:t>
            </w:r>
          </w:p>
        </w:tc>
        <w:tc>
          <w:tcPr>
            <w:tcW w:w="220" w:type="dxa"/>
            <w:vAlign w:val="bottom"/>
          </w:tcPr>
          <w:p>
            <w:pPr>
              <w:jc w:val="right"/>
              <w:ind w:right="109"/>
              <w:spacing w:after="0"/>
              <w:rPr>
                <w:sz w:val="20"/>
                <w:szCs w:val="20"/>
                <w:color w:val="auto"/>
              </w:rPr>
            </w:pPr>
            <w:r>
              <w:rPr>
                <w:rFonts w:ascii="Arial" w:cs="Arial" w:eastAsia="Arial" w:hAnsi="Arial"/>
                <w:sz w:val="10"/>
                <w:szCs w:val="10"/>
                <w:color w:val="auto"/>
                <w:w w:val="71"/>
              </w:rPr>
              <w:t>$</w:t>
            </w:r>
          </w:p>
        </w:tc>
        <w:tc>
          <w:tcPr>
            <w:tcW w:w="8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15,341</w:t>
            </w:r>
          </w:p>
        </w:tc>
        <w:tc>
          <w:tcPr>
            <w:tcW w:w="80" w:type="dxa"/>
            <w:vAlign w:val="bottom"/>
          </w:tcPr>
          <w:p>
            <w:pPr>
              <w:spacing w:after="0"/>
              <w:rPr>
                <w:sz w:val="12"/>
                <w:szCs w:val="12"/>
                <w:color w:val="auto"/>
              </w:rPr>
            </w:pPr>
          </w:p>
        </w:tc>
        <w:tc>
          <w:tcPr>
            <w:tcW w:w="660" w:type="dxa"/>
            <w:vAlign w:val="bottom"/>
            <w:gridSpan w:val="2"/>
          </w:tcPr>
          <w:p>
            <w:pPr>
              <w:jc w:val="right"/>
              <w:ind w:right="189"/>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12,311</w:t>
            </w:r>
          </w:p>
        </w:tc>
        <w:tc>
          <w:tcPr>
            <w:tcW w:w="600" w:type="dxa"/>
            <w:vAlign w:val="bottom"/>
            <w:gridSpan w:val="2"/>
          </w:tcPr>
          <w:p>
            <w:pPr>
              <w:ind w:left="3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45,274</w:t>
            </w:r>
          </w:p>
        </w:tc>
        <w:tc>
          <w:tcPr>
            <w:tcW w:w="7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35,344</w:t>
            </w: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Adjustments to GAAP sales and marketing:</w:t>
            </w:r>
          </w:p>
        </w:tc>
        <w:tc>
          <w:tcPr>
            <w:tcW w:w="2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Stock-based compensation</w:t>
            </w:r>
          </w:p>
        </w:tc>
        <w:tc>
          <w:tcPr>
            <w:tcW w:w="220" w:type="dxa"/>
            <w:vAlign w:val="bottom"/>
          </w:tcPr>
          <w:p>
            <w:pPr>
              <w:spacing w:after="0"/>
              <w:rPr>
                <w:sz w:val="12"/>
                <w:szCs w:val="12"/>
                <w:color w:val="auto"/>
              </w:rPr>
            </w:pPr>
          </w:p>
        </w:tc>
        <w:tc>
          <w:tcPr>
            <w:tcW w:w="9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(5,858)</w:t>
            </w: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(a)</w:t>
            </w:r>
          </w:p>
        </w:tc>
        <w:tc>
          <w:tcPr>
            <w:tcW w:w="8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(4,312)</w:t>
            </w:r>
          </w:p>
        </w:tc>
        <w:tc>
          <w:tcPr>
            <w:tcW w:w="60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(a)</w:t>
            </w:r>
          </w:p>
        </w:tc>
        <w:tc>
          <w:tcPr>
            <w:tcW w:w="94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(16,320)</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(a)</w:t>
            </w:r>
          </w:p>
        </w:tc>
        <w:tc>
          <w:tcPr>
            <w:tcW w:w="7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(11,729)</w:t>
            </w:r>
          </w:p>
        </w:tc>
        <w:tc>
          <w:tcPr>
            <w:tcW w:w="260" w:type="dxa"/>
            <w:vAlign w:val="bottom"/>
          </w:tcPr>
          <w:p>
            <w:pPr>
              <w:ind w:left="40"/>
              <w:spacing w:after="0" w:line="149" w:lineRule="exact"/>
              <w:rPr>
                <w:sz w:val="20"/>
                <w:szCs w:val="20"/>
                <w:color w:val="auto"/>
              </w:rPr>
            </w:pPr>
            <w:r>
              <w:rPr>
                <w:rFonts w:ascii="Arial" w:cs="Arial" w:eastAsia="Arial" w:hAnsi="Arial"/>
                <w:sz w:val="14"/>
                <w:szCs w:val="14"/>
                <w:color w:val="auto"/>
              </w:rPr>
              <w:t>(a)</w:t>
            </w: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Amortization of intangibles</w:t>
            </w:r>
          </w:p>
        </w:tc>
        <w:tc>
          <w:tcPr>
            <w:tcW w:w="220" w:type="dxa"/>
            <w:vAlign w:val="bottom"/>
            <w:shd w:val="clear" w:color="auto" w:fill="CCEEFF"/>
          </w:tcPr>
          <w:p>
            <w:pPr>
              <w:spacing w:after="0"/>
              <w:rPr>
                <w:sz w:val="12"/>
                <w:szCs w:val="12"/>
                <w:color w:val="auto"/>
              </w:rPr>
            </w:pPr>
          </w:p>
        </w:tc>
        <w:tc>
          <w:tcPr>
            <w:tcW w:w="96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(2,432)</w:t>
            </w: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(c)</w:t>
            </w:r>
          </w:p>
        </w:tc>
        <w:tc>
          <w:tcPr>
            <w:tcW w:w="8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(2,431)</w:t>
            </w:r>
          </w:p>
        </w:tc>
        <w:tc>
          <w:tcPr>
            <w:tcW w:w="60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(c)</w:t>
            </w:r>
          </w:p>
        </w:tc>
        <w:tc>
          <w:tcPr>
            <w:tcW w:w="94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(7,295)</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(c)</w:t>
            </w:r>
          </w:p>
        </w:tc>
        <w:tc>
          <w:tcPr>
            <w:tcW w:w="7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(7,293)</w:t>
            </w:r>
          </w:p>
        </w:tc>
        <w:tc>
          <w:tcPr>
            <w:tcW w:w="26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rPr>
              <w:t>(c)</w:t>
            </w:r>
          </w:p>
        </w:tc>
        <w:tc>
          <w:tcPr>
            <w:tcW w:w="0" w:type="dxa"/>
            <w:vAlign w:val="bottom"/>
          </w:tcPr>
          <w:p>
            <w:pPr>
              <w:spacing w:after="0"/>
              <w:rPr>
                <w:sz w:val="1"/>
                <w:szCs w:val="1"/>
                <w:color w:val="auto"/>
              </w:rPr>
            </w:pPr>
          </w:p>
        </w:tc>
      </w:tr>
      <w:tr>
        <w:trPr>
          <w:trHeight w:val="149"/>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Depreciation on step-up values of fixed assets</w:t>
            </w:r>
          </w:p>
        </w:tc>
        <w:tc>
          <w:tcPr>
            <w:tcW w:w="220" w:type="dxa"/>
            <w:vAlign w:val="bottom"/>
          </w:tcPr>
          <w:p>
            <w:pPr>
              <w:spacing w:after="0"/>
              <w:rPr>
                <w:sz w:val="12"/>
                <w:szCs w:val="12"/>
                <w:color w:val="auto"/>
              </w:rPr>
            </w:pPr>
          </w:p>
        </w:tc>
        <w:tc>
          <w:tcPr>
            <w:tcW w:w="9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(16)</w:t>
            </w: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(d)</w:t>
            </w:r>
          </w:p>
        </w:tc>
        <w:tc>
          <w:tcPr>
            <w:tcW w:w="8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(2)</w:t>
            </w:r>
          </w:p>
        </w:tc>
        <w:tc>
          <w:tcPr>
            <w:tcW w:w="60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(d)</w:t>
            </w:r>
          </w:p>
        </w:tc>
        <w:tc>
          <w:tcPr>
            <w:tcW w:w="94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(37)</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(d)</w:t>
            </w:r>
          </w:p>
        </w:tc>
        <w:tc>
          <w:tcPr>
            <w:tcW w:w="7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(7)</w:t>
            </w:r>
          </w:p>
        </w:tc>
        <w:tc>
          <w:tcPr>
            <w:tcW w:w="260" w:type="dxa"/>
            <w:vAlign w:val="bottom"/>
          </w:tcPr>
          <w:p>
            <w:pPr>
              <w:ind w:left="40"/>
              <w:spacing w:after="0" w:line="149" w:lineRule="exact"/>
              <w:rPr>
                <w:sz w:val="20"/>
                <w:szCs w:val="20"/>
                <w:color w:val="auto"/>
              </w:rPr>
            </w:pPr>
            <w:r>
              <w:rPr>
                <w:rFonts w:ascii="Arial" w:cs="Arial" w:eastAsia="Arial" w:hAnsi="Arial"/>
                <w:sz w:val="14"/>
                <w:szCs w:val="14"/>
                <w:color w:val="auto"/>
              </w:rPr>
              <w:t>(d)</w:t>
            </w: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Acquisition related expenses</w:t>
            </w:r>
          </w:p>
        </w:tc>
        <w:tc>
          <w:tcPr>
            <w:tcW w:w="220" w:type="dxa"/>
            <w:vAlign w:val="bottom"/>
            <w:shd w:val="clear" w:color="auto" w:fill="CCEEFF"/>
          </w:tcPr>
          <w:p>
            <w:pPr>
              <w:spacing w:after="0"/>
              <w:rPr>
                <w:sz w:val="12"/>
                <w:szCs w:val="12"/>
                <w:color w:val="auto"/>
              </w:rPr>
            </w:pPr>
          </w:p>
        </w:tc>
        <w:tc>
          <w:tcPr>
            <w:tcW w:w="96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(63)</w:t>
            </w: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(e)</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(740)</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(e)</w:t>
            </w: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5200" w:type="dxa"/>
            <w:vAlign w:val="bottom"/>
            <w:tcBorders>
              <w:top w:val="single" w:sz="8" w:color="CCEEFF"/>
              <w:bottom w:val="single" w:sz="8" w:color="CCEEFF"/>
            </w:tcBorders>
          </w:tcPr>
          <w:p>
            <w:pPr>
              <w:spacing w:after="0" w:line="142" w:lineRule="exact"/>
              <w:rPr>
                <w:sz w:val="20"/>
                <w:szCs w:val="20"/>
                <w:color w:val="auto"/>
              </w:rPr>
            </w:pPr>
            <w:r>
              <w:rPr>
                <w:rFonts w:ascii="Arial" w:cs="Arial" w:eastAsia="Arial" w:hAnsi="Arial"/>
                <w:sz w:val="14"/>
                <w:szCs w:val="14"/>
                <w:color w:val="auto"/>
              </w:rPr>
              <w:t>Non-GAAP sales and marketing</w:t>
            </w:r>
          </w:p>
        </w:tc>
        <w:tc>
          <w:tcPr>
            <w:tcW w:w="220" w:type="dxa"/>
            <w:vAlign w:val="bottom"/>
            <w:tcBorders>
              <w:top w:val="single" w:sz="8" w:color="auto"/>
              <w:bottom w:val="single" w:sz="8" w:color="auto"/>
            </w:tcBorders>
          </w:tcPr>
          <w:p>
            <w:pPr>
              <w:jc w:val="right"/>
              <w:ind w:right="109"/>
              <w:spacing w:after="0"/>
              <w:rPr>
                <w:sz w:val="20"/>
                <w:szCs w:val="20"/>
                <w:color w:val="auto"/>
              </w:rPr>
            </w:pPr>
            <w:r>
              <w:rPr>
                <w:rFonts w:ascii="Arial" w:cs="Arial" w:eastAsia="Arial" w:hAnsi="Arial"/>
                <w:sz w:val="10"/>
                <w:szCs w:val="10"/>
                <w:color w:val="auto"/>
                <w:w w:val="71"/>
              </w:rPr>
              <w:t>$</w:t>
            </w: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6,972</w:t>
            </w:r>
          </w:p>
        </w:tc>
        <w:tc>
          <w:tcPr>
            <w:tcW w:w="20" w:type="dxa"/>
            <w:vAlign w:val="bottom"/>
            <w:tcBorders>
              <w:top w:val="single" w:sz="8" w:color="CCEEFF"/>
              <w:bottom w:val="single" w:sz="8" w:color="CCEEFF"/>
            </w:tcBorders>
          </w:tcPr>
          <w:p>
            <w:pPr>
              <w:spacing w:after="0"/>
              <w:rPr>
                <w:sz w:val="12"/>
                <w:szCs w:val="12"/>
                <w:color w:val="auto"/>
              </w:rPr>
            </w:pP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jc w:val="right"/>
              <w:ind w:right="189"/>
              <w:spacing w:after="0"/>
              <w:rPr>
                <w:sz w:val="20"/>
                <w:szCs w:val="20"/>
                <w:color w:val="auto"/>
              </w:rPr>
            </w:pPr>
            <w:r>
              <w:rPr>
                <w:rFonts w:ascii="Arial" w:cs="Arial" w:eastAsia="Arial" w:hAnsi="Arial"/>
                <w:sz w:val="10"/>
                <w:szCs w:val="10"/>
                <w:color w:val="auto"/>
                <w:w w:val="71"/>
              </w:rPr>
              <w:t>$</w:t>
            </w:r>
          </w:p>
        </w:tc>
        <w:tc>
          <w:tcPr>
            <w:tcW w:w="78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5,566</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ind w:left="20"/>
              <w:spacing w:after="0" w:line="129" w:lineRule="exact"/>
              <w:rPr>
                <w:sz w:val="20"/>
                <w:szCs w:val="20"/>
                <w:color w:val="auto"/>
              </w:rPr>
            </w:pPr>
            <w:r>
              <w:rPr>
                <w:rFonts w:ascii="Arial" w:cs="Arial" w:eastAsia="Arial" w:hAnsi="Arial"/>
                <w:sz w:val="14"/>
                <w:szCs w:val="14"/>
                <w:color w:val="auto"/>
              </w:rPr>
              <w:t>$</w:t>
            </w: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20,882</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400" w:type="dxa"/>
            <w:vAlign w:val="bottom"/>
            <w:tcBorders>
              <w:top w:val="single" w:sz="8" w:color="auto"/>
              <w:bottom w:val="single" w:sz="8" w:color="auto"/>
            </w:tcBorders>
          </w:tcPr>
          <w:p>
            <w:pPr>
              <w:spacing w:after="0" w:line="129" w:lineRule="exact"/>
              <w:rPr>
                <w:sz w:val="20"/>
                <w:szCs w:val="20"/>
                <w:color w:val="auto"/>
              </w:rPr>
            </w:pPr>
            <w:r>
              <w:rPr>
                <w:rFonts w:ascii="Arial" w:cs="Arial" w:eastAsia="Arial" w:hAnsi="Arial"/>
                <w:sz w:val="14"/>
                <w:szCs w:val="14"/>
                <w:color w:val="auto"/>
              </w:rPr>
              <w:t>$</w:t>
            </w:r>
          </w:p>
        </w:tc>
        <w:tc>
          <w:tcPr>
            <w:tcW w:w="7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16,315</w:t>
            </w:r>
          </w:p>
        </w:tc>
        <w:tc>
          <w:tcPr>
            <w:tcW w:w="80" w:type="dxa"/>
            <w:vAlign w:val="bottom"/>
            <w:tcBorders>
              <w:top w:val="single" w:sz="8" w:color="CCEEFF"/>
              <w:bottom w:val="single" w:sz="8" w:color="CCEEFF"/>
            </w:tcBorders>
          </w:tcPr>
          <w:p>
            <w:pPr>
              <w:spacing w:after="0"/>
              <w:rPr>
                <w:sz w:val="12"/>
                <w:szCs w:val="12"/>
                <w:color w:val="auto"/>
              </w:rPr>
            </w:pPr>
          </w:p>
        </w:tc>
        <w:tc>
          <w:tcPr>
            <w:tcW w:w="260" w:type="dxa"/>
            <w:vAlign w:val="bottom"/>
            <w:tcBorders>
              <w:top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520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5200" w:type="dxa"/>
            <w:vAlign w:val="bottom"/>
          </w:tcPr>
          <w:p>
            <w:pPr>
              <w:spacing w:after="0" w:line="149" w:lineRule="exact"/>
              <w:rPr>
                <w:sz w:val="20"/>
                <w:szCs w:val="20"/>
                <w:color w:val="auto"/>
              </w:rPr>
            </w:pPr>
            <w:r>
              <w:rPr>
                <w:rFonts w:ascii="Arial" w:cs="Arial" w:eastAsia="Arial" w:hAnsi="Arial"/>
                <w:sz w:val="14"/>
                <w:szCs w:val="14"/>
                <w:color w:val="auto"/>
              </w:rPr>
              <w:t>GAAP general and administrative</w:t>
            </w:r>
          </w:p>
        </w:tc>
        <w:tc>
          <w:tcPr>
            <w:tcW w:w="220" w:type="dxa"/>
            <w:vAlign w:val="bottom"/>
          </w:tcPr>
          <w:p>
            <w:pPr>
              <w:jc w:val="right"/>
              <w:ind w:right="109"/>
              <w:spacing w:after="0"/>
              <w:rPr>
                <w:sz w:val="20"/>
                <w:szCs w:val="20"/>
                <w:color w:val="auto"/>
              </w:rPr>
            </w:pPr>
            <w:r>
              <w:rPr>
                <w:rFonts w:ascii="Arial" w:cs="Arial" w:eastAsia="Arial" w:hAnsi="Arial"/>
                <w:sz w:val="10"/>
                <w:szCs w:val="10"/>
                <w:color w:val="auto"/>
                <w:w w:val="71"/>
              </w:rPr>
              <w:t>$</w:t>
            </w:r>
          </w:p>
        </w:tc>
        <w:tc>
          <w:tcPr>
            <w:tcW w:w="8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13,125</w:t>
            </w:r>
          </w:p>
        </w:tc>
        <w:tc>
          <w:tcPr>
            <w:tcW w:w="80" w:type="dxa"/>
            <w:vAlign w:val="bottom"/>
          </w:tcPr>
          <w:p>
            <w:pPr>
              <w:spacing w:after="0"/>
              <w:rPr>
                <w:sz w:val="12"/>
                <w:szCs w:val="12"/>
                <w:color w:val="auto"/>
              </w:rPr>
            </w:pPr>
          </w:p>
        </w:tc>
        <w:tc>
          <w:tcPr>
            <w:tcW w:w="660" w:type="dxa"/>
            <w:vAlign w:val="bottom"/>
            <w:gridSpan w:val="2"/>
          </w:tcPr>
          <w:p>
            <w:pPr>
              <w:jc w:val="right"/>
              <w:ind w:right="189"/>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8,165</w:t>
            </w:r>
          </w:p>
        </w:tc>
        <w:tc>
          <w:tcPr>
            <w:tcW w:w="600" w:type="dxa"/>
            <w:vAlign w:val="bottom"/>
            <w:gridSpan w:val="2"/>
          </w:tcPr>
          <w:p>
            <w:pPr>
              <w:ind w:left="3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38,508</w:t>
            </w:r>
          </w:p>
        </w:tc>
        <w:tc>
          <w:tcPr>
            <w:tcW w:w="760" w:type="dxa"/>
            <w:vAlign w:val="bottom"/>
            <w:gridSpan w:val="2"/>
          </w:tcPr>
          <w:p>
            <w:pPr>
              <w:ind w:left="3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22,478</w:t>
            </w: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Adjustments to GAAP general and administrative:</w:t>
            </w:r>
          </w:p>
        </w:tc>
        <w:tc>
          <w:tcPr>
            <w:tcW w:w="22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78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70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Stock-based compensation</w:t>
            </w:r>
          </w:p>
        </w:tc>
        <w:tc>
          <w:tcPr>
            <w:tcW w:w="220" w:type="dxa"/>
            <w:vAlign w:val="bottom"/>
          </w:tcPr>
          <w:p>
            <w:pPr>
              <w:spacing w:after="0"/>
              <w:rPr>
                <w:sz w:val="12"/>
                <w:szCs w:val="12"/>
                <w:color w:val="auto"/>
              </w:rPr>
            </w:pPr>
          </w:p>
        </w:tc>
        <w:tc>
          <w:tcPr>
            <w:tcW w:w="9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(4,568)</w:t>
            </w: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(a)</w:t>
            </w:r>
          </w:p>
        </w:tc>
        <w:tc>
          <w:tcPr>
            <w:tcW w:w="8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(3,316)</w:t>
            </w:r>
          </w:p>
        </w:tc>
        <w:tc>
          <w:tcPr>
            <w:tcW w:w="60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(a)</w:t>
            </w:r>
          </w:p>
        </w:tc>
        <w:tc>
          <w:tcPr>
            <w:tcW w:w="94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(12,953)</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(a)</w:t>
            </w:r>
          </w:p>
        </w:tc>
        <w:tc>
          <w:tcPr>
            <w:tcW w:w="7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(9,482)</w:t>
            </w:r>
          </w:p>
        </w:tc>
        <w:tc>
          <w:tcPr>
            <w:tcW w:w="260" w:type="dxa"/>
            <w:vAlign w:val="bottom"/>
          </w:tcPr>
          <w:p>
            <w:pPr>
              <w:ind w:left="40"/>
              <w:spacing w:after="0" w:line="149" w:lineRule="exact"/>
              <w:rPr>
                <w:sz w:val="20"/>
                <w:szCs w:val="20"/>
                <w:color w:val="auto"/>
              </w:rPr>
            </w:pPr>
            <w:r>
              <w:rPr>
                <w:rFonts w:ascii="Arial" w:cs="Arial" w:eastAsia="Arial" w:hAnsi="Arial"/>
                <w:sz w:val="14"/>
                <w:szCs w:val="14"/>
                <w:color w:val="auto"/>
              </w:rPr>
              <w:t>(a)</w:t>
            </w:r>
          </w:p>
        </w:tc>
        <w:tc>
          <w:tcPr>
            <w:tcW w:w="0" w:type="dxa"/>
            <w:vAlign w:val="bottom"/>
          </w:tcPr>
          <w:p>
            <w:pPr>
              <w:spacing w:after="0"/>
              <w:rPr>
                <w:sz w:val="1"/>
                <w:szCs w:val="1"/>
                <w:color w:val="auto"/>
              </w:rPr>
            </w:pPr>
          </w:p>
        </w:tc>
      </w:tr>
      <w:tr>
        <w:trPr>
          <w:trHeight w:val="149"/>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Amortization of intangibles</w:t>
            </w:r>
          </w:p>
        </w:tc>
        <w:tc>
          <w:tcPr>
            <w:tcW w:w="220" w:type="dxa"/>
            <w:vAlign w:val="bottom"/>
            <w:shd w:val="clear" w:color="auto" w:fill="CCEEFF"/>
          </w:tcPr>
          <w:p>
            <w:pPr>
              <w:spacing w:after="0"/>
              <w:rPr>
                <w:sz w:val="12"/>
                <w:szCs w:val="12"/>
                <w:color w:val="auto"/>
              </w:rPr>
            </w:pPr>
          </w:p>
        </w:tc>
        <w:tc>
          <w:tcPr>
            <w:tcW w:w="96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(69)</w:t>
            </w: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(c)</w:t>
            </w:r>
          </w:p>
        </w:tc>
        <w:tc>
          <w:tcPr>
            <w:tcW w:w="8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(116)</w:t>
            </w:r>
          </w:p>
        </w:tc>
        <w:tc>
          <w:tcPr>
            <w:tcW w:w="60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(c)</w:t>
            </w:r>
          </w:p>
        </w:tc>
        <w:tc>
          <w:tcPr>
            <w:tcW w:w="94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(209)</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(c)</w:t>
            </w:r>
          </w:p>
        </w:tc>
        <w:tc>
          <w:tcPr>
            <w:tcW w:w="7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(348)</w:t>
            </w:r>
          </w:p>
        </w:tc>
        <w:tc>
          <w:tcPr>
            <w:tcW w:w="26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rPr>
              <w:t>(c)</w:t>
            </w:r>
          </w:p>
        </w:tc>
        <w:tc>
          <w:tcPr>
            <w:tcW w:w="0" w:type="dxa"/>
            <w:vAlign w:val="bottom"/>
          </w:tcPr>
          <w:p>
            <w:pPr>
              <w:spacing w:after="0"/>
              <w:rPr>
                <w:sz w:val="1"/>
                <w:szCs w:val="1"/>
                <w:color w:val="auto"/>
              </w:rPr>
            </w:pPr>
          </w:p>
        </w:tc>
      </w:tr>
      <w:tr>
        <w:trPr>
          <w:trHeight w:val="148"/>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Depreciation on step-up values of fixed assets</w:t>
            </w:r>
          </w:p>
        </w:tc>
        <w:tc>
          <w:tcPr>
            <w:tcW w:w="220" w:type="dxa"/>
            <w:vAlign w:val="bottom"/>
          </w:tcPr>
          <w:p>
            <w:pPr>
              <w:spacing w:after="0"/>
              <w:rPr>
                <w:sz w:val="12"/>
                <w:szCs w:val="12"/>
                <w:color w:val="auto"/>
              </w:rPr>
            </w:pPr>
          </w:p>
        </w:tc>
        <w:tc>
          <w:tcPr>
            <w:tcW w:w="8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3</w:t>
            </w:r>
          </w:p>
        </w:tc>
        <w:tc>
          <w:tcPr>
            <w:tcW w:w="80" w:type="dxa"/>
            <w:vAlign w:val="bottom"/>
          </w:tcPr>
          <w:p>
            <w:pPr>
              <w:spacing w:after="0"/>
              <w:rPr>
                <w:sz w:val="12"/>
                <w:szCs w:val="12"/>
                <w:color w:val="auto"/>
              </w:rPr>
            </w:pP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(d)</w:t>
            </w:r>
          </w:p>
        </w:tc>
        <w:tc>
          <w:tcPr>
            <w:tcW w:w="8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(5)</w:t>
            </w:r>
          </w:p>
        </w:tc>
        <w:tc>
          <w:tcPr>
            <w:tcW w:w="60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(d)</w:t>
            </w:r>
          </w:p>
        </w:tc>
        <w:tc>
          <w:tcPr>
            <w:tcW w:w="94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(125)</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(d)</w:t>
            </w:r>
          </w:p>
        </w:tc>
        <w:tc>
          <w:tcPr>
            <w:tcW w:w="7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(14)</w:t>
            </w:r>
          </w:p>
        </w:tc>
        <w:tc>
          <w:tcPr>
            <w:tcW w:w="260" w:type="dxa"/>
            <w:vAlign w:val="bottom"/>
          </w:tcPr>
          <w:p>
            <w:pPr>
              <w:ind w:left="40"/>
              <w:spacing w:after="0" w:line="149" w:lineRule="exact"/>
              <w:rPr>
                <w:sz w:val="20"/>
                <w:szCs w:val="20"/>
                <w:color w:val="auto"/>
              </w:rPr>
            </w:pPr>
            <w:r>
              <w:rPr>
                <w:rFonts w:ascii="Arial" w:cs="Arial" w:eastAsia="Arial" w:hAnsi="Arial"/>
                <w:sz w:val="14"/>
                <w:szCs w:val="14"/>
                <w:color w:val="auto"/>
              </w:rPr>
              <w:t>(d)</w:t>
            </w: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Acquisition related expenses</w:t>
            </w:r>
          </w:p>
        </w:tc>
        <w:tc>
          <w:tcPr>
            <w:tcW w:w="220" w:type="dxa"/>
            <w:vAlign w:val="bottom"/>
            <w:shd w:val="clear" w:color="auto" w:fill="CCEEFF"/>
          </w:tcPr>
          <w:p>
            <w:pPr>
              <w:spacing w:after="0"/>
              <w:rPr>
                <w:sz w:val="12"/>
                <w:szCs w:val="12"/>
                <w:color w:val="auto"/>
              </w:rPr>
            </w:pPr>
          </w:p>
        </w:tc>
        <w:tc>
          <w:tcPr>
            <w:tcW w:w="96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(1,641)</w:t>
            </w: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(e)</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(6,632)</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(e)</w:t>
            </w: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Expense on lease that was not yet occupied</w:t>
            </w:r>
          </w:p>
        </w:tc>
        <w:tc>
          <w:tcPr>
            <w:tcW w:w="220" w:type="dxa"/>
            <w:vAlign w:val="bottom"/>
          </w:tcPr>
          <w:p>
            <w:pPr>
              <w:spacing w:after="0"/>
              <w:rPr>
                <w:sz w:val="12"/>
                <w:szCs w:val="12"/>
                <w:color w:val="auto"/>
              </w:rPr>
            </w:pPr>
          </w:p>
        </w:tc>
        <w:tc>
          <w:tcPr>
            <w:tcW w:w="9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(462)</w:t>
            </w: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(f)</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4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(1,709)</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(f)</w:t>
            </w:r>
          </w:p>
        </w:tc>
        <w:tc>
          <w:tcPr>
            <w:tcW w:w="78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Loss on claim settlement from ClariPhy acquisition</w:t>
            </w:r>
          </w:p>
        </w:tc>
        <w:tc>
          <w:tcPr>
            <w:tcW w:w="22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(400)</w:t>
            </w:r>
          </w:p>
        </w:tc>
        <w:tc>
          <w:tcPr>
            <w:tcW w:w="26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rPr>
              <w:t>(g)</w:t>
            </w:r>
          </w:p>
        </w:tc>
        <w:tc>
          <w:tcPr>
            <w:tcW w:w="0" w:type="dxa"/>
            <w:vAlign w:val="bottom"/>
          </w:tcPr>
          <w:p>
            <w:pPr>
              <w:spacing w:after="0"/>
              <w:rPr>
                <w:sz w:val="1"/>
                <w:szCs w:val="1"/>
                <w:color w:val="auto"/>
              </w:rPr>
            </w:pPr>
          </w:p>
        </w:tc>
      </w:tr>
      <w:tr>
        <w:trPr>
          <w:trHeight w:val="142"/>
        </w:trPr>
        <w:tc>
          <w:tcPr>
            <w:tcW w:w="5200" w:type="dxa"/>
            <w:vAlign w:val="bottom"/>
            <w:tcBorders>
              <w:top w:val="single" w:sz="8" w:color="CCEEFF"/>
              <w:bottom w:val="single" w:sz="8" w:color="CCEEFF"/>
            </w:tcBorders>
          </w:tcPr>
          <w:p>
            <w:pPr>
              <w:spacing w:after="0" w:line="142" w:lineRule="exact"/>
              <w:rPr>
                <w:sz w:val="20"/>
                <w:szCs w:val="20"/>
                <w:color w:val="auto"/>
              </w:rPr>
            </w:pPr>
            <w:r>
              <w:rPr>
                <w:rFonts w:ascii="Arial" w:cs="Arial" w:eastAsia="Arial" w:hAnsi="Arial"/>
                <w:sz w:val="14"/>
                <w:szCs w:val="14"/>
                <w:color w:val="auto"/>
              </w:rPr>
              <w:t>Non-GAAP general and administrative</w:t>
            </w:r>
          </w:p>
        </w:tc>
        <w:tc>
          <w:tcPr>
            <w:tcW w:w="220" w:type="dxa"/>
            <w:vAlign w:val="bottom"/>
            <w:tcBorders>
              <w:top w:val="single" w:sz="8" w:color="auto"/>
              <w:bottom w:val="single" w:sz="8" w:color="auto"/>
            </w:tcBorders>
          </w:tcPr>
          <w:p>
            <w:pPr>
              <w:jc w:val="right"/>
              <w:ind w:right="109"/>
              <w:spacing w:after="0"/>
              <w:rPr>
                <w:sz w:val="20"/>
                <w:szCs w:val="20"/>
                <w:color w:val="auto"/>
              </w:rPr>
            </w:pPr>
            <w:r>
              <w:rPr>
                <w:rFonts w:ascii="Arial" w:cs="Arial" w:eastAsia="Arial" w:hAnsi="Arial"/>
                <w:sz w:val="10"/>
                <w:szCs w:val="10"/>
                <w:color w:val="auto"/>
                <w:w w:val="71"/>
              </w:rPr>
              <w:t>$</w:t>
            </w: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6,388</w:t>
            </w:r>
          </w:p>
        </w:tc>
        <w:tc>
          <w:tcPr>
            <w:tcW w:w="20" w:type="dxa"/>
            <w:vAlign w:val="bottom"/>
            <w:tcBorders>
              <w:top w:val="single" w:sz="8" w:color="CCEEFF"/>
              <w:bottom w:val="single" w:sz="8" w:color="CCEEFF"/>
            </w:tcBorders>
          </w:tcPr>
          <w:p>
            <w:pPr>
              <w:spacing w:after="0"/>
              <w:rPr>
                <w:sz w:val="12"/>
                <w:szCs w:val="12"/>
                <w:color w:val="auto"/>
              </w:rPr>
            </w:pP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jc w:val="right"/>
              <w:ind w:right="189"/>
              <w:spacing w:after="0"/>
              <w:rPr>
                <w:sz w:val="20"/>
                <w:szCs w:val="20"/>
                <w:color w:val="auto"/>
              </w:rPr>
            </w:pPr>
            <w:r>
              <w:rPr>
                <w:rFonts w:ascii="Arial" w:cs="Arial" w:eastAsia="Arial" w:hAnsi="Arial"/>
                <w:sz w:val="10"/>
                <w:szCs w:val="10"/>
                <w:color w:val="auto"/>
                <w:w w:val="71"/>
              </w:rPr>
              <w:t>$</w:t>
            </w:r>
          </w:p>
        </w:tc>
        <w:tc>
          <w:tcPr>
            <w:tcW w:w="78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4,728</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ind w:left="20"/>
              <w:spacing w:after="0" w:line="129" w:lineRule="exact"/>
              <w:rPr>
                <w:sz w:val="20"/>
                <w:szCs w:val="20"/>
                <w:color w:val="auto"/>
              </w:rPr>
            </w:pPr>
            <w:r>
              <w:rPr>
                <w:rFonts w:ascii="Arial" w:cs="Arial" w:eastAsia="Arial" w:hAnsi="Arial"/>
                <w:sz w:val="14"/>
                <w:szCs w:val="14"/>
                <w:color w:val="auto"/>
              </w:rPr>
              <w:t>$</w:t>
            </w: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16,880</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400" w:type="dxa"/>
            <w:vAlign w:val="bottom"/>
            <w:tcBorders>
              <w:top w:val="single" w:sz="8" w:color="auto"/>
              <w:bottom w:val="single" w:sz="8" w:color="auto"/>
            </w:tcBorders>
          </w:tcPr>
          <w:p>
            <w:pPr>
              <w:spacing w:after="0" w:line="129" w:lineRule="exact"/>
              <w:rPr>
                <w:sz w:val="20"/>
                <w:szCs w:val="20"/>
                <w:color w:val="auto"/>
              </w:rPr>
            </w:pPr>
            <w:r>
              <w:rPr>
                <w:rFonts w:ascii="Arial" w:cs="Arial" w:eastAsia="Arial" w:hAnsi="Arial"/>
                <w:sz w:val="14"/>
                <w:szCs w:val="14"/>
                <w:color w:val="auto"/>
              </w:rPr>
              <w:t>$</w:t>
            </w:r>
          </w:p>
        </w:tc>
        <w:tc>
          <w:tcPr>
            <w:tcW w:w="7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12,234</w:t>
            </w:r>
          </w:p>
        </w:tc>
        <w:tc>
          <w:tcPr>
            <w:tcW w:w="80" w:type="dxa"/>
            <w:vAlign w:val="bottom"/>
            <w:tcBorders>
              <w:top w:val="single" w:sz="8" w:color="CCEEFF"/>
              <w:bottom w:val="single" w:sz="8" w:color="CCEEFF"/>
            </w:tcBorders>
          </w:tcPr>
          <w:p>
            <w:pPr>
              <w:spacing w:after="0"/>
              <w:rPr>
                <w:sz w:val="12"/>
                <w:szCs w:val="12"/>
                <w:color w:val="auto"/>
              </w:rPr>
            </w:pPr>
          </w:p>
        </w:tc>
        <w:tc>
          <w:tcPr>
            <w:tcW w:w="260" w:type="dxa"/>
            <w:vAlign w:val="bottom"/>
            <w:tcBorders>
              <w:top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69"/>
        </w:trPr>
        <w:tc>
          <w:tcPr>
            <w:tcW w:w="5200" w:type="dxa"/>
            <w:vAlign w:val="bottom"/>
            <w:tcBorders>
              <w:bottom w:val="single" w:sz="8" w:color="CCEEFF"/>
            </w:tcBorders>
            <w:shd w:val="clear" w:color="auto" w:fill="CCEEFF"/>
          </w:tcPr>
          <w:p>
            <w:pPr>
              <w:spacing w:after="0" w:line="142" w:lineRule="exact"/>
              <w:rPr>
                <w:sz w:val="20"/>
                <w:szCs w:val="20"/>
                <w:color w:val="auto"/>
              </w:rPr>
            </w:pPr>
            <w:r>
              <w:rPr>
                <w:rFonts w:ascii="Arial" w:cs="Arial" w:eastAsia="Arial" w:hAnsi="Arial"/>
                <w:sz w:val="14"/>
                <w:szCs w:val="14"/>
                <w:color w:val="auto"/>
              </w:rPr>
              <w:t>Non-GAAP total operating expenses</w:t>
            </w:r>
          </w:p>
        </w:tc>
        <w:tc>
          <w:tcPr>
            <w:tcW w:w="220" w:type="dxa"/>
            <w:vAlign w:val="bottom"/>
            <w:tcBorders>
              <w:bottom w:val="single" w:sz="8" w:color="auto"/>
            </w:tcBorders>
            <w:shd w:val="clear" w:color="auto" w:fill="CCEEFF"/>
          </w:tcPr>
          <w:p>
            <w:pPr>
              <w:jc w:val="right"/>
              <w:ind w:right="109"/>
              <w:spacing w:after="0"/>
              <w:rPr>
                <w:sz w:val="20"/>
                <w:szCs w:val="20"/>
                <w:color w:val="auto"/>
              </w:rPr>
            </w:pPr>
            <w:r>
              <w:rPr>
                <w:rFonts w:ascii="Arial" w:cs="Arial" w:eastAsia="Arial" w:hAnsi="Arial"/>
                <w:sz w:val="10"/>
                <w:szCs w:val="10"/>
                <w:color w:val="auto"/>
                <w:w w:val="71"/>
              </w:rPr>
              <w:t>$</w:t>
            </w:r>
          </w:p>
        </w:tc>
        <w:tc>
          <w:tcPr>
            <w:tcW w:w="860" w:type="dxa"/>
            <w:vAlign w:val="bottom"/>
            <w:tcBorders>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4"/>
                <w:szCs w:val="14"/>
                <w:color w:val="auto"/>
              </w:rPr>
              <w:t>62,689</w:t>
            </w:r>
          </w:p>
        </w:tc>
        <w:tc>
          <w:tcPr>
            <w:tcW w:w="20" w:type="dxa"/>
            <w:vAlign w:val="bottom"/>
            <w:tcBorders>
              <w:bottom w:val="single" w:sz="8" w:color="CCEEFF"/>
            </w:tcBorders>
            <w:shd w:val="clear" w:color="auto" w:fill="CCEEFF"/>
          </w:tcPr>
          <w:p>
            <w:pPr>
              <w:spacing w:after="0"/>
              <w:rPr>
                <w:sz w:val="14"/>
                <w:szCs w:val="14"/>
                <w:color w:val="auto"/>
              </w:rPr>
            </w:pPr>
          </w:p>
        </w:tc>
        <w:tc>
          <w:tcPr>
            <w:tcW w:w="80" w:type="dxa"/>
            <w:vAlign w:val="bottom"/>
            <w:tcBorders>
              <w:bottom w:val="single" w:sz="8" w:color="CCEEFF"/>
            </w:tcBorders>
            <w:shd w:val="clear" w:color="auto" w:fill="CCEEFF"/>
          </w:tcPr>
          <w:p>
            <w:pPr>
              <w:spacing w:after="0"/>
              <w:rPr>
                <w:sz w:val="14"/>
                <w:szCs w:val="14"/>
                <w:color w:val="auto"/>
              </w:rPr>
            </w:pPr>
          </w:p>
        </w:tc>
        <w:tc>
          <w:tcPr>
            <w:tcW w:w="360" w:type="dxa"/>
            <w:vAlign w:val="bottom"/>
            <w:tcBorders>
              <w:bottom w:val="single" w:sz="8" w:color="CCEEFF"/>
            </w:tcBorders>
            <w:shd w:val="clear" w:color="auto" w:fill="CCEEFF"/>
          </w:tcPr>
          <w:p>
            <w:pPr>
              <w:spacing w:after="0"/>
              <w:rPr>
                <w:sz w:val="14"/>
                <w:szCs w:val="14"/>
                <w:color w:val="auto"/>
              </w:rPr>
            </w:pPr>
          </w:p>
        </w:tc>
        <w:tc>
          <w:tcPr>
            <w:tcW w:w="300" w:type="dxa"/>
            <w:vAlign w:val="bottom"/>
            <w:tcBorders>
              <w:bottom w:val="single" w:sz="8" w:color="auto"/>
            </w:tcBorders>
            <w:shd w:val="clear" w:color="auto" w:fill="CCEEFF"/>
          </w:tcPr>
          <w:p>
            <w:pPr>
              <w:jc w:val="right"/>
              <w:ind w:right="189"/>
              <w:spacing w:after="0"/>
              <w:rPr>
                <w:sz w:val="20"/>
                <w:szCs w:val="20"/>
                <w:color w:val="auto"/>
              </w:rPr>
            </w:pPr>
            <w:r>
              <w:rPr>
                <w:rFonts w:ascii="Arial" w:cs="Arial" w:eastAsia="Arial" w:hAnsi="Arial"/>
                <w:sz w:val="10"/>
                <w:szCs w:val="10"/>
                <w:color w:val="auto"/>
                <w:w w:val="71"/>
              </w:rPr>
              <w:t>$</w:t>
            </w:r>
          </w:p>
        </w:tc>
        <w:tc>
          <w:tcPr>
            <w:tcW w:w="780" w:type="dxa"/>
            <w:vAlign w:val="bottom"/>
            <w:tcBorders>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4"/>
                <w:szCs w:val="14"/>
                <w:color w:val="auto"/>
              </w:rPr>
              <w:t>44,735</w:t>
            </w:r>
          </w:p>
        </w:tc>
        <w:tc>
          <w:tcPr>
            <w:tcW w:w="80" w:type="dxa"/>
            <w:vAlign w:val="bottom"/>
            <w:tcBorders>
              <w:bottom w:val="single" w:sz="8" w:color="CCEEFF"/>
            </w:tcBorders>
            <w:shd w:val="clear" w:color="auto" w:fill="CCEEFF"/>
          </w:tcPr>
          <w:p>
            <w:pPr>
              <w:spacing w:after="0"/>
              <w:rPr>
                <w:sz w:val="14"/>
                <w:szCs w:val="14"/>
                <w:color w:val="auto"/>
              </w:rPr>
            </w:pPr>
          </w:p>
        </w:tc>
        <w:tc>
          <w:tcPr>
            <w:tcW w:w="360" w:type="dxa"/>
            <w:vAlign w:val="bottom"/>
            <w:tcBorders>
              <w:bottom w:val="single" w:sz="8" w:color="CCEEFF"/>
            </w:tcBorders>
            <w:shd w:val="clear" w:color="auto" w:fill="CCEEFF"/>
          </w:tcPr>
          <w:p>
            <w:pPr>
              <w:spacing w:after="0"/>
              <w:rPr>
                <w:sz w:val="14"/>
                <w:szCs w:val="14"/>
                <w:color w:val="auto"/>
              </w:rPr>
            </w:pPr>
          </w:p>
        </w:tc>
        <w:tc>
          <w:tcPr>
            <w:tcW w:w="240" w:type="dxa"/>
            <w:vAlign w:val="bottom"/>
            <w:tcBorders>
              <w:bottom w:val="single" w:sz="8" w:color="auto"/>
            </w:tcBorders>
            <w:shd w:val="clear" w:color="auto" w:fill="CCEEFF"/>
          </w:tcPr>
          <w:p>
            <w:pPr>
              <w:ind w:left="20"/>
              <w:spacing w:after="0" w:line="129" w:lineRule="exact"/>
              <w:rPr>
                <w:sz w:val="20"/>
                <w:szCs w:val="20"/>
                <w:color w:val="auto"/>
              </w:rPr>
            </w:pPr>
            <w:r>
              <w:rPr>
                <w:rFonts w:ascii="Arial" w:cs="Arial" w:eastAsia="Arial" w:hAnsi="Arial"/>
                <w:sz w:val="14"/>
                <w:szCs w:val="14"/>
                <w:color w:val="auto"/>
              </w:rPr>
              <w:t>$</w:t>
            </w:r>
          </w:p>
        </w:tc>
        <w:tc>
          <w:tcPr>
            <w:tcW w:w="860" w:type="dxa"/>
            <w:vAlign w:val="bottom"/>
            <w:tcBorders>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4"/>
                <w:szCs w:val="14"/>
                <w:color w:val="auto"/>
              </w:rPr>
              <w:t>179,922</w:t>
            </w:r>
          </w:p>
        </w:tc>
        <w:tc>
          <w:tcPr>
            <w:tcW w:w="80" w:type="dxa"/>
            <w:vAlign w:val="bottom"/>
            <w:tcBorders>
              <w:bottom w:val="single" w:sz="8" w:color="CCEEFF"/>
            </w:tcBorders>
            <w:shd w:val="clear" w:color="auto" w:fill="CCEEFF"/>
          </w:tcPr>
          <w:p>
            <w:pPr>
              <w:spacing w:after="0"/>
              <w:rPr>
                <w:sz w:val="14"/>
                <w:szCs w:val="14"/>
                <w:color w:val="auto"/>
              </w:rPr>
            </w:pPr>
          </w:p>
        </w:tc>
        <w:tc>
          <w:tcPr>
            <w:tcW w:w="360" w:type="dxa"/>
            <w:vAlign w:val="bottom"/>
            <w:tcBorders>
              <w:bottom w:val="single" w:sz="8" w:color="CCEEFF"/>
            </w:tcBorders>
            <w:shd w:val="clear" w:color="auto" w:fill="CCEEFF"/>
          </w:tcPr>
          <w:p>
            <w:pPr>
              <w:spacing w:after="0"/>
              <w:rPr>
                <w:sz w:val="14"/>
                <w:szCs w:val="14"/>
                <w:color w:val="auto"/>
              </w:rPr>
            </w:pPr>
          </w:p>
        </w:tc>
        <w:tc>
          <w:tcPr>
            <w:tcW w:w="400" w:type="dxa"/>
            <w:vAlign w:val="bottom"/>
            <w:tcBorders>
              <w:bottom w:val="single" w:sz="8" w:color="auto"/>
            </w:tcBorders>
            <w:shd w:val="clear" w:color="auto" w:fill="CCEEFF"/>
          </w:tcPr>
          <w:p>
            <w:pPr>
              <w:spacing w:after="0" w:line="129" w:lineRule="exact"/>
              <w:rPr>
                <w:sz w:val="20"/>
                <w:szCs w:val="20"/>
                <w:color w:val="auto"/>
              </w:rPr>
            </w:pPr>
            <w:r>
              <w:rPr>
                <w:rFonts w:ascii="Arial" w:cs="Arial" w:eastAsia="Arial" w:hAnsi="Arial"/>
                <w:sz w:val="14"/>
                <w:szCs w:val="14"/>
                <w:color w:val="auto"/>
              </w:rPr>
              <w:t>$</w:t>
            </w:r>
          </w:p>
        </w:tc>
        <w:tc>
          <w:tcPr>
            <w:tcW w:w="700" w:type="dxa"/>
            <w:vAlign w:val="bottom"/>
            <w:tcBorders>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4"/>
                <w:szCs w:val="14"/>
                <w:color w:val="auto"/>
              </w:rPr>
              <w:t>131,240</w:t>
            </w:r>
          </w:p>
        </w:tc>
        <w:tc>
          <w:tcPr>
            <w:tcW w:w="80" w:type="dxa"/>
            <w:vAlign w:val="bottom"/>
            <w:tcBorders>
              <w:bottom w:val="single" w:sz="8" w:color="CCEEFF"/>
            </w:tcBorders>
            <w:shd w:val="clear" w:color="auto" w:fill="CCEEFF"/>
          </w:tcPr>
          <w:p>
            <w:pPr>
              <w:spacing w:after="0"/>
              <w:rPr>
                <w:sz w:val="14"/>
                <w:szCs w:val="14"/>
                <w:color w:val="auto"/>
              </w:rPr>
            </w:pPr>
          </w:p>
        </w:tc>
        <w:tc>
          <w:tcPr>
            <w:tcW w:w="260" w:type="dxa"/>
            <w:vAlign w:val="bottom"/>
            <w:tcBorders>
              <w:bottom w:val="single" w:sz="8" w:color="CCEEFF"/>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5200" w:type="dxa"/>
            <w:vAlign w:val="bottom"/>
          </w:tcPr>
          <w:p>
            <w:pPr>
              <w:spacing w:after="0" w:line="129" w:lineRule="exact"/>
              <w:rPr>
                <w:sz w:val="20"/>
                <w:szCs w:val="20"/>
                <w:color w:val="auto"/>
              </w:rPr>
            </w:pPr>
            <w:r>
              <w:rPr>
                <w:rFonts w:ascii="Arial" w:cs="Arial" w:eastAsia="Arial" w:hAnsi="Arial"/>
                <w:sz w:val="14"/>
                <w:szCs w:val="14"/>
                <w:color w:val="auto"/>
              </w:rPr>
              <w:t>Non-GAAP income from operations</w:t>
            </w:r>
          </w:p>
        </w:tc>
        <w:tc>
          <w:tcPr>
            <w:tcW w:w="220" w:type="dxa"/>
            <w:vAlign w:val="bottom"/>
            <w:tcBorders>
              <w:bottom w:val="single" w:sz="8" w:color="auto"/>
            </w:tcBorders>
          </w:tcPr>
          <w:p>
            <w:pPr>
              <w:jc w:val="right"/>
              <w:ind w:right="109"/>
              <w:spacing w:after="0"/>
              <w:rPr>
                <w:sz w:val="20"/>
                <w:szCs w:val="20"/>
                <w:color w:val="auto"/>
              </w:rPr>
            </w:pPr>
            <w:r>
              <w:rPr>
                <w:rFonts w:ascii="Arial" w:cs="Arial" w:eastAsia="Arial" w:hAnsi="Arial"/>
                <w:sz w:val="10"/>
                <w:szCs w:val="10"/>
                <w:color w:val="auto"/>
                <w:w w:val="71"/>
              </w:rPr>
              <w:t>$</w:t>
            </w:r>
          </w:p>
        </w:tc>
        <w:tc>
          <w:tcPr>
            <w:tcW w:w="86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53,303</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00" w:type="dxa"/>
            <w:vAlign w:val="bottom"/>
            <w:tcBorders>
              <w:bottom w:val="single" w:sz="8" w:color="auto"/>
            </w:tcBorders>
          </w:tcPr>
          <w:p>
            <w:pPr>
              <w:jc w:val="right"/>
              <w:ind w:right="189"/>
              <w:spacing w:after="0"/>
              <w:rPr>
                <w:sz w:val="20"/>
                <w:szCs w:val="20"/>
                <w:color w:val="auto"/>
              </w:rPr>
            </w:pPr>
            <w:r>
              <w:rPr>
                <w:rFonts w:ascii="Arial" w:cs="Arial" w:eastAsia="Arial" w:hAnsi="Arial"/>
                <w:sz w:val="10"/>
                <w:szCs w:val="10"/>
                <w:color w:val="auto"/>
                <w:w w:val="71"/>
              </w:rPr>
              <w:t>$</w:t>
            </w:r>
          </w:p>
        </w:tc>
        <w:tc>
          <w:tcPr>
            <w:tcW w:w="78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21,421</w:t>
            </w:r>
          </w:p>
        </w:tc>
        <w:tc>
          <w:tcPr>
            <w:tcW w:w="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0" w:type="dxa"/>
            <w:vAlign w:val="bottom"/>
            <w:tcBorders>
              <w:bottom w:val="single" w:sz="8" w:color="auto"/>
            </w:tcBorders>
          </w:tcPr>
          <w:p>
            <w:pPr>
              <w:ind w:left="20"/>
              <w:spacing w:after="0" w:line="129" w:lineRule="exact"/>
              <w:rPr>
                <w:sz w:val="20"/>
                <w:szCs w:val="20"/>
                <w:color w:val="auto"/>
              </w:rPr>
            </w:pPr>
            <w:r>
              <w:rPr>
                <w:rFonts w:ascii="Arial" w:cs="Arial" w:eastAsia="Arial" w:hAnsi="Arial"/>
                <w:sz w:val="14"/>
                <w:szCs w:val="14"/>
                <w:color w:val="auto"/>
              </w:rPr>
              <w:t>$</w:t>
            </w:r>
          </w:p>
        </w:tc>
        <w:tc>
          <w:tcPr>
            <w:tcW w:w="86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137,829</w:t>
            </w:r>
          </w:p>
        </w:tc>
        <w:tc>
          <w:tcPr>
            <w:tcW w:w="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0" w:type="dxa"/>
            <w:vAlign w:val="bottom"/>
            <w:tcBorders>
              <w:bottom w:val="single" w:sz="8" w:color="auto"/>
            </w:tcBorders>
          </w:tcPr>
          <w:p>
            <w:pPr>
              <w:spacing w:after="0" w:line="129" w:lineRule="exact"/>
              <w:rPr>
                <w:sz w:val="20"/>
                <w:szCs w:val="20"/>
                <w:color w:val="auto"/>
              </w:rPr>
            </w:pPr>
            <w:r>
              <w:rPr>
                <w:rFonts w:ascii="Arial" w:cs="Arial" w:eastAsia="Arial" w:hAnsi="Arial"/>
                <w:sz w:val="14"/>
                <w:szCs w:val="14"/>
                <w:color w:val="auto"/>
              </w:rPr>
              <w:t>$</w:t>
            </w:r>
          </w:p>
        </w:tc>
        <w:tc>
          <w:tcPr>
            <w:tcW w:w="70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53,559</w:t>
            </w: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5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520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5200" w:type="dxa"/>
            <w:vAlign w:val="bottom"/>
          </w:tcPr>
          <w:p>
            <w:pPr>
              <w:spacing w:after="0" w:line="149" w:lineRule="exact"/>
              <w:rPr>
                <w:sz w:val="20"/>
                <w:szCs w:val="20"/>
                <w:color w:val="auto"/>
              </w:rPr>
            </w:pPr>
            <w:r>
              <w:rPr>
                <w:rFonts w:ascii="Arial" w:cs="Arial" w:eastAsia="Arial" w:hAnsi="Arial"/>
                <w:sz w:val="14"/>
                <w:szCs w:val="14"/>
                <w:b w:val="1"/>
                <w:bCs w:val="1"/>
                <w:color w:val="auto"/>
              </w:rPr>
              <w:t>GAAP net loss to Non-GAAP net income</w:t>
            </w:r>
          </w:p>
        </w:tc>
        <w:tc>
          <w:tcPr>
            <w:tcW w:w="2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GAAP net loss</w:t>
            </w:r>
          </w:p>
        </w:tc>
        <w:tc>
          <w:tcPr>
            <w:tcW w:w="220" w:type="dxa"/>
            <w:vAlign w:val="bottom"/>
            <w:shd w:val="clear" w:color="auto" w:fill="CCEEFF"/>
          </w:tcPr>
          <w:p>
            <w:pPr>
              <w:jc w:val="right"/>
              <w:ind w:right="109"/>
              <w:spacing w:after="0"/>
              <w:rPr>
                <w:sz w:val="20"/>
                <w:szCs w:val="20"/>
                <w:color w:val="auto"/>
              </w:rPr>
            </w:pPr>
            <w:r>
              <w:rPr>
                <w:rFonts w:ascii="Arial" w:cs="Arial" w:eastAsia="Arial" w:hAnsi="Arial"/>
                <w:sz w:val="10"/>
                <w:szCs w:val="10"/>
                <w:color w:val="auto"/>
                <w:w w:val="71"/>
              </w:rPr>
              <w:t>$</w:t>
            </w:r>
          </w:p>
        </w:tc>
        <w:tc>
          <w:tcPr>
            <w:tcW w:w="960" w:type="dxa"/>
            <w:vAlign w:val="bottom"/>
            <w:gridSpan w:val="3"/>
            <w:shd w:val="clear" w:color="auto" w:fill="CCEEFF"/>
          </w:tcPr>
          <w:p>
            <w:pPr>
              <w:jc w:val="right"/>
              <w:ind w:right="40"/>
              <w:spacing w:after="0" w:line="149" w:lineRule="exact"/>
              <w:rPr>
                <w:sz w:val="20"/>
                <w:szCs w:val="20"/>
                <w:color w:val="auto"/>
              </w:rPr>
            </w:pPr>
            <w:r>
              <w:rPr>
                <w:rFonts w:ascii="Arial" w:cs="Arial" w:eastAsia="Arial" w:hAnsi="Arial"/>
                <w:sz w:val="14"/>
                <w:szCs w:val="14"/>
                <w:color w:val="auto"/>
              </w:rPr>
              <w:t>(3,380)</w:t>
            </w:r>
          </w:p>
        </w:tc>
        <w:tc>
          <w:tcPr>
            <w:tcW w:w="660" w:type="dxa"/>
            <w:vAlign w:val="bottom"/>
            <w:gridSpan w:val="2"/>
            <w:shd w:val="clear" w:color="auto" w:fill="CCEEFF"/>
          </w:tcPr>
          <w:p>
            <w:pPr>
              <w:jc w:val="right"/>
              <w:ind w:right="189"/>
              <w:spacing w:after="0" w:line="149" w:lineRule="exact"/>
              <w:rPr>
                <w:sz w:val="20"/>
                <w:szCs w:val="20"/>
                <w:color w:val="auto"/>
              </w:rPr>
            </w:pPr>
            <w:r>
              <w:rPr>
                <w:rFonts w:ascii="Arial" w:cs="Arial" w:eastAsia="Arial" w:hAnsi="Arial"/>
                <w:sz w:val="14"/>
                <w:szCs w:val="14"/>
                <w:color w:val="auto"/>
              </w:rPr>
              <w:t>$</w:t>
            </w:r>
          </w:p>
        </w:tc>
        <w:tc>
          <w:tcPr>
            <w:tcW w:w="86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(16,180)</w:t>
            </w:r>
          </w:p>
        </w:tc>
        <w:tc>
          <w:tcPr>
            <w:tcW w:w="600" w:type="dxa"/>
            <w:vAlign w:val="bottom"/>
            <w:gridSpan w:val="2"/>
            <w:shd w:val="clear" w:color="auto" w:fill="CCEEFF"/>
          </w:tcPr>
          <w:p>
            <w:pPr>
              <w:ind w:left="380"/>
              <w:spacing w:after="0" w:line="149" w:lineRule="exact"/>
              <w:rPr>
                <w:sz w:val="20"/>
                <w:szCs w:val="20"/>
                <w:color w:val="auto"/>
              </w:rPr>
            </w:pPr>
            <w:r>
              <w:rPr>
                <w:rFonts w:ascii="Arial" w:cs="Arial" w:eastAsia="Arial" w:hAnsi="Arial"/>
                <w:sz w:val="14"/>
                <w:szCs w:val="14"/>
                <w:color w:val="auto"/>
              </w:rPr>
              <w:t>$</w:t>
            </w:r>
          </w:p>
        </w:tc>
        <w:tc>
          <w:tcPr>
            <w:tcW w:w="94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(47,717)</w:t>
            </w:r>
          </w:p>
        </w:tc>
        <w:tc>
          <w:tcPr>
            <w:tcW w:w="760" w:type="dxa"/>
            <w:vAlign w:val="bottom"/>
            <w:gridSpan w:val="2"/>
            <w:shd w:val="clear" w:color="auto" w:fill="CCEEFF"/>
          </w:tcPr>
          <w:p>
            <w:pPr>
              <w:ind w:left="360"/>
              <w:spacing w:after="0" w:line="149" w:lineRule="exact"/>
              <w:rPr>
                <w:sz w:val="20"/>
                <w:szCs w:val="20"/>
                <w:color w:val="auto"/>
              </w:rPr>
            </w:pPr>
            <w:r>
              <w:rPr>
                <w:rFonts w:ascii="Arial" w:cs="Arial" w:eastAsia="Arial" w:hAnsi="Arial"/>
                <w:sz w:val="14"/>
                <w:szCs w:val="14"/>
                <w:color w:val="auto"/>
              </w:rPr>
              <w:t>$</w:t>
            </w:r>
          </w:p>
        </w:tc>
        <w:tc>
          <w:tcPr>
            <w:tcW w:w="7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(59,503)</w:t>
            </w: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tcPr>
          <w:p>
            <w:pPr>
              <w:spacing w:after="0" w:line="149" w:lineRule="exact"/>
              <w:rPr>
                <w:sz w:val="20"/>
                <w:szCs w:val="20"/>
                <w:color w:val="auto"/>
              </w:rPr>
            </w:pPr>
            <w:r>
              <w:rPr>
                <w:rFonts w:ascii="Arial" w:cs="Arial" w:eastAsia="Arial" w:hAnsi="Arial"/>
                <w:sz w:val="14"/>
                <w:szCs w:val="14"/>
                <w:color w:val="auto"/>
              </w:rPr>
              <w:t>Adjusting items to GAAP net loss:</w:t>
            </w:r>
          </w:p>
        </w:tc>
        <w:tc>
          <w:tcPr>
            <w:tcW w:w="2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Operating expenses related to stock-based compensation expense</w:t>
            </w:r>
          </w:p>
        </w:tc>
        <w:tc>
          <w:tcPr>
            <w:tcW w:w="22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29,046</w:t>
            </w: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(a)</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19,878</w:t>
            </w:r>
          </w:p>
        </w:tc>
        <w:tc>
          <w:tcPr>
            <w:tcW w:w="60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(a)</w:t>
            </w: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81,301</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(a)</w:t>
            </w: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56,597</w:t>
            </w:r>
          </w:p>
        </w:tc>
        <w:tc>
          <w:tcPr>
            <w:tcW w:w="26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rPr>
              <w:t>(a)</w:t>
            </w:r>
          </w:p>
        </w:tc>
        <w:tc>
          <w:tcPr>
            <w:tcW w:w="0" w:type="dxa"/>
            <w:vAlign w:val="bottom"/>
          </w:tcPr>
          <w:p>
            <w:pPr>
              <w:spacing w:after="0"/>
              <w:rPr>
                <w:sz w:val="1"/>
                <w:szCs w:val="1"/>
                <w:color w:val="auto"/>
              </w:rPr>
            </w:pPr>
          </w:p>
        </w:tc>
      </w:tr>
      <w:tr>
        <w:trPr>
          <w:trHeight w:val="148"/>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Amortization of inventory step-up</w:t>
            </w:r>
          </w:p>
        </w:tc>
        <w:tc>
          <w:tcPr>
            <w:tcW w:w="220" w:type="dxa"/>
            <w:vAlign w:val="bottom"/>
          </w:tcPr>
          <w:p>
            <w:pPr>
              <w:spacing w:after="0"/>
              <w:rPr>
                <w:sz w:val="12"/>
                <w:szCs w:val="12"/>
                <w:color w:val="auto"/>
              </w:rPr>
            </w:pPr>
          </w:p>
        </w:tc>
        <w:tc>
          <w:tcPr>
            <w:tcW w:w="8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143</w:t>
            </w:r>
          </w:p>
        </w:tc>
        <w:tc>
          <w:tcPr>
            <w:tcW w:w="80" w:type="dxa"/>
            <w:vAlign w:val="bottom"/>
          </w:tcPr>
          <w:p>
            <w:pPr>
              <w:spacing w:after="0"/>
              <w:rPr>
                <w:sz w:val="12"/>
                <w:szCs w:val="12"/>
                <w:color w:val="auto"/>
              </w:rPr>
            </w:pP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(b)</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4,482</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(b)</w:t>
            </w:r>
          </w:p>
        </w:tc>
        <w:tc>
          <w:tcPr>
            <w:tcW w:w="78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Amortization of intangibles related to purchase price</w:t>
            </w:r>
          </w:p>
        </w:tc>
        <w:tc>
          <w:tcPr>
            <w:tcW w:w="22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14,881</w:t>
            </w: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(c)</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12,271</w:t>
            </w:r>
          </w:p>
        </w:tc>
        <w:tc>
          <w:tcPr>
            <w:tcW w:w="60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(c)</w:t>
            </w: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46,348</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(c)</w:t>
            </w: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36,813</w:t>
            </w:r>
          </w:p>
        </w:tc>
        <w:tc>
          <w:tcPr>
            <w:tcW w:w="26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rPr>
              <w:t>(c)</w:t>
            </w:r>
          </w:p>
        </w:tc>
        <w:tc>
          <w:tcPr>
            <w:tcW w:w="0" w:type="dxa"/>
            <w:vAlign w:val="bottom"/>
          </w:tcPr>
          <w:p>
            <w:pPr>
              <w:spacing w:after="0"/>
              <w:rPr>
                <w:sz w:val="1"/>
                <w:szCs w:val="1"/>
                <w:color w:val="auto"/>
              </w:rPr>
            </w:pPr>
          </w:p>
        </w:tc>
      </w:tr>
      <w:tr>
        <w:trPr>
          <w:trHeight w:val="149"/>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Depreciation on step-up values of fixed assets</w:t>
            </w:r>
          </w:p>
        </w:tc>
        <w:tc>
          <w:tcPr>
            <w:tcW w:w="220" w:type="dxa"/>
            <w:vAlign w:val="bottom"/>
          </w:tcPr>
          <w:p>
            <w:pPr>
              <w:spacing w:after="0"/>
              <w:rPr>
                <w:sz w:val="12"/>
                <w:szCs w:val="12"/>
                <w:color w:val="auto"/>
              </w:rPr>
            </w:pPr>
          </w:p>
        </w:tc>
        <w:tc>
          <w:tcPr>
            <w:tcW w:w="9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(63)</w:t>
            </w: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(d)</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161</w:t>
            </w:r>
          </w:p>
        </w:tc>
        <w:tc>
          <w:tcPr>
            <w:tcW w:w="60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(d)</w:t>
            </w:r>
          </w:p>
        </w:tc>
        <w:tc>
          <w:tcPr>
            <w:tcW w:w="9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640</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(d)</w:t>
            </w:r>
          </w:p>
        </w:tc>
        <w:tc>
          <w:tcPr>
            <w:tcW w:w="78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348</w:t>
            </w:r>
          </w:p>
        </w:tc>
        <w:tc>
          <w:tcPr>
            <w:tcW w:w="260" w:type="dxa"/>
            <w:vAlign w:val="bottom"/>
          </w:tcPr>
          <w:p>
            <w:pPr>
              <w:ind w:left="40"/>
              <w:spacing w:after="0" w:line="149" w:lineRule="exact"/>
              <w:rPr>
                <w:sz w:val="20"/>
                <w:szCs w:val="20"/>
                <w:color w:val="auto"/>
              </w:rPr>
            </w:pPr>
            <w:r>
              <w:rPr>
                <w:rFonts w:ascii="Arial" w:cs="Arial" w:eastAsia="Arial" w:hAnsi="Arial"/>
                <w:sz w:val="14"/>
                <w:szCs w:val="14"/>
                <w:color w:val="auto"/>
              </w:rPr>
              <w:t>(d)</w:t>
            </w: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Acquisition related expenses</w:t>
            </w:r>
          </w:p>
        </w:tc>
        <w:tc>
          <w:tcPr>
            <w:tcW w:w="22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2,592</w:t>
            </w: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(e)</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17,663</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(e)</w:t>
            </w: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Expense on lease that was not yet occupied</w:t>
            </w:r>
          </w:p>
        </w:tc>
        <w:tc>
          <w:tcPr>
            <w:tcW w:w="220" w:type="dxa"/>
            <w:vAlign w:val="bottom"/>
          </w:tcPr>
          <w:p>
            <w:pPr>
              <w:spacing w:after="0"/>
              <w:rPr>
                <w:sz w:val="12"/>
                <w:szCs w:val="12"/>
                <w:color w:val="auto"/>
              </w:rPr>
            </w:pPr>
          </w:p>
        </w:tc>
        <w:tc>
          <w:tcPr>
            <w:tcW w:w="8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462</w:t>
            </w:r>
          </w:p>
        </w:tc>
        <w:tc>
          <w:tcPr>
            <w:tcW w:w="80" w:type="dxa"/>
            <w:vAlign w:val="bottom"/>
          </w:tcPr>
          <w:p>
            <w:pPr>
              <w:spacing w:after="0"/>
              <w:rPr>
                <w:sz w:val="12"/>
                <w:szCs w:val="12"/>
                <w:color w:val="auto"/>
              </w:rPr>
            </w:pP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(f)</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1,709</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(f)</w:t>
            </w:r>
          </w:p>
        </w:tc>
        <w:tc>
          <w:tcPr>
            <w:tcW w:w="7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Loss on claim settlement from ClariPhy acquisition</w:t>
            </w:r>
          </w:p>
        </w:tc>
        <w:tc>
          <w:tcPr>
            <w:tcW w:w="22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400</w:t>
            </w:r>
          </w:p>
        </w:tc>
        <w:tc>
          <w:tcPr>
            <w:tcW w:w="26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rPr>
              <w:t>(g)</w:t>
            </w:r>
          </w:p>
        </w:tc>
        <w:tc>
          <w:tcPr>
            <w:tcW w:w="0" w:type="dxa"/>
            <w:vAlign w:val="bottom"/>
          </w:tcPr>
          <w:p>
            <w:pPr>
              <w:spacing w:after="0"/>
              <w:rPr>
                <w:sz w:val="1"/>
                <w:szCs w:val="1"/>
                <w:color w:val="auto"/>
              </w:rPr>
            </w:pPr>
          </w:p>
        </w:tc>
      </w:tr>
      <w:tr>
        <w:trPr>
          <w:trHeight w:val="148"/>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Accretion and amortization expense on convertible debt</w:t>
            </w:r>
          </w:p>
        </w:tc>
        <w:tc>
          <w:tcPr>
            <w:tcW w:w="220" w:type="dxa"/>
            <w:vAlign w:val="bottom"/>
          </w:tcPr>
          <w:p>
            <w:pPr>
              <w:spacing w:after="0"/>
              <w:rPr>
                <w:sz w:val="12"/>
                <w:szCs w:val="12"/>
                <w:color w:val="auto"/>
              </w:rPr>
            </w:pPr>
          </w:p>
        </w:tc>
        <w:tc>
          <w:tcPr>
            <w:tcW w:w="8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6,653</w:t>
            </w:r>
          </w:p>
        </w:tc>
        <w:tc>
          <w:tcPr>
            <w:tcW w:w="80" w:type="dxa"/>
            <w:vAlign w:val="bottom"/>
          </w:tcPr>
          <w:p>
            <w:pPr>
              <w:spacing w:after="0"/>
              <w:rPr>
                <w:sz w:val="12"/>
                <w:szCs w:val="12"/>
                <w:color w:val="auto"/>
              </w:rPr>
            </w:pP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(h)</w:t>
            </w: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7,210</w:t>
            </w:r>
          </w:p>
        </w:tc>
        <w:tc>
          <w:tcPr>
            <w:tcW w:w="60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(h)</w:t>
            </w:r>
          </w:p>
        </w:tc>
        <w:tc>
          <w:tcPr>
            <w:tcW w:w="9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22,584</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(h)</w:t>
            </w:r>
          </w:p>
        </w:tc>
        <w:tc>
          <w:tcPr>
            <w:tcW w:w="78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21,015</w:t>
            </w:r>
          </w:p>
        </w:tc>
        <w:tc>
          <w:tcPr>
            <w:tcW w:w="260" w:type="dxa"/>
            <w:vAlign w:val="bottom"/>
          </w:tcPr>
          <w:p>
            <w:pPr>
              <w:ind w:left="40"/>
              <w:spacing w:after="0" w:line="149" w:lineRule="exact"/>
              <w:rPr>
                <w:sz w:val="20"/>
                <w:szCs w:val="20"/>
                <w:color w:val="auto"/>
              </w:rPr>
            </w:pPr>
            <w:r>
              <w:rPr>
                <w:rFonts w:ascii="Arial" w:cs="Arial" w:eastAsia="Arial" w:hAnsi="Arial"/>
                <w:sz w:val="14"/>
                <w:szCs w:val="14"/>
                <w:color w:val="auto"/>
              </w:rPr>
              <w:t>(h)</w:t>
            </w:r>
          </w:p>
        </w:tc>
        <w:tc>
          <w:tcPr>
            <w:tcW w:w="0" w:type="dxa"/>
            <w:vAlign w:val="bottom"/>
          </w:tcPr>
          <w:p>
            <w:pPr>
              <w:spacing w:after="0"/>
              <w:rPr>
                <w:sz w:val="1"/>
                <w:szCs w:val="1"/>
                <w:color w:val="auto"/>
              </w:rPr>
            </w:pPr>
          </w:p>
        </w:tc>
      </w:tr>
      <w:tr>
        <w:trPr>
          <w:trHeight w:val="149"/>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Loss on extinguishment of convertible debt</w:t>
            </w:r>
          </w:p>
        </w:tc>
        <w:tc>
          <w:tcPr>
            <w:tcW w:w="22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149</w:t>
            </w: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(i)</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13,446</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(i)</w:t>
            </w: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Net realized and unrealized loss (gain) on equity investment</w:t>
            </w:r>
          </w:p>
        </w:tc>
        <w:tc>
          <w:tcPr>
            <w:tcW w:w="220" w:type="dxa"/>
            <w:vAlign w:val="bottom"/>
          </w:tcPr>
          <w:p>
            <w:pPr>
              <w:spacing w:after="0"/>
              <w:rPr>
                <w:sz w:val="12"/>
                <w:szCs w:val="12"/>
                <w:color w:val="auto"/>
              </w:rPr>
            </w:pPr>
          </w:p>
        </w:tc>
        <w:tc>
          <w:tcPr>
            <w:tcW w:w="960" w:type="dxa"/>
            <w:vAlign w:val="bottom"/>
            <w:gridSpan w:val="3"/>
          </w:tcPr>
          <w:p>
            <w:pPr>
              <w:jc w:val="right"/>
              <w:ind w:right="40"/>
              <w:spacing w:after="0" w:line="149" w:lineRule="exact"/>
              <w:rPr>
                <w:sz w:val="20"/>
                <w:szCs w:val="20"/>
                <w:color w:val="auto"/>
              </w:rPr>
            </w:pPr>
            <w:r>
              <w:rPr>
                <w:rFonts w:ascii="Arial" w:cs="Arial" w:eastAsia="Arial" w:hAnsi="Arial"/>
                <w:sz w:val="14"/>
                <w:szCs w:val="14"/>
                <w:color w:val="auto"/>
              </w:rPr>
              <w:t>(199)</w:t>
            </w:r>
          </w:p>
        </w:tc>
        <w:tc>
          <w:tcPr>
            <w:tcW w:w="660" w:type="dxa"/>
            <w:vAlign w:val="bottom"/>
            <w:gridSpan w:val="2"/>
          </w:tcPr>
          <w:p>
            <w:pPr>
              <w:ind w:left="20"/>
              <w:spacing w:after="0" w:line="149" w:lineRule="exact"/>
              <w:rPr>
                <w:sz w:val="20"/>
                <w:szCs w:val="20"/>
                <w:color w:val="auto"/>
              </w:rPr>
            </w:pPr>
            <w:r>
              <w:rPr>
                <w:rFonts w:ascii="Arial" w:cs="Arial" w:eastAsia="Arial" w:hAnsi="Arial"/>
                <w:sz w:val="14"/>
                <w:szCs w:val="14"/>
                <w:color w:val="auto"/>
              </w:rPr>
              <w:t>(j)</w:t>
            </w:r>
          </w:p>
        </w:tc>
        <w:tc>
          <w:tcPr>
            <w:tcW w:w="86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(2,152)</w:t>
            </w:r>
          </w:p>
        </w:tc>
        <w:tc>
          <w:tcPr>
            <w:tcW w:w="60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(j)</w:t>
            </w:r>
          </w:p>
        </w:tc>
        <w:tc>
          <w:tcPr>
            <w:tcW w:w="94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(6,942)</w:t>
            </w:r>
          </w:p>
        </w:tc>
        <w:tc>
          <w:tcPr>
            <w:tcW w:w="760" w:type="dxa"/>
            <w:vAlign w:val="bottom"/>
            <w:gridSpan w:val="2"/>
          </w:tcPr>
          <w:p>
            <w:pPr>
              <w:ind w:left="40"/>
              <w:spacing w:after="0" w:line="149" w:lineRule="exact"/>
              <w:rPr>
                <w:sz w:val="20"/>
                <w:szCs w:val="20"/>
                <w:color w:val="auto"/>
              </w:rPr>
            </w:pPr>
            <w:r>
              <w:rPr>
                <w:rFonts w:ascii="Arial" w:cs="Arial" w:eastAsia="Arial" w:hAnsi="Arial"/>
                <w:sz w:val="14"/>
                <w:szCs w:val="14"/>
                <w:color w:val="auto"/>
              </w:rPr>
              <w:t>(j)</w:t>
            </w:r>
          </w:p>
        </w:tc>
        <w:tc>
          <w:tcPr>
            <w:tcW w:w="7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(2,077)</w:t>
            </w:r>
          </w:p>
        </w:tc>
        <w:tc>
          <w:tcPr>
            <w:tcW w:w="260" w:type="dxa"/>
            <w:vAlign w:val="bottom"/>
          </w:tcPr>
          <w:p>
            <w:pPr>
              <w:ind w:left="40"/>
              <w:spacing w:after="0" w:line="149" w:lineRule="exact"/>
              <w:rPr>
                <w:sz w:val="20"/>
                <w:szCs w:val="20"/>
                <w:color w:val="auto"/>
              </w:rPr>
            </w:pPr>
            <w:r>
              <w:rPr>
                <w:rFonts w:ascii="Arial" w:cs="Arial" w:eastAsia="Arial" w:hAnsi="Arial"/>
                <w:sz w:val="14"/>
                <w:szCs w:val="14"/>
                <w:color w:val="auto"/>
              </w:rPr>
              <w:t>(j)</w:t>
            </w:r>
          </w:p>
        </w:tc>
        <w:tc>
          <w:tcPr>
            <w:tcW w:w="0" w:type="dxa"/>
            <w:vAlign w:val="bottom"/>
          </w:tcPr>
          <w:p>
            <w:pPr>
              <w:spacing w:after="0"/>
              <w:rPr>
                <w:sz w:val="1"/>
                <w:szCs w:val="1"/>
                <w:color w:val="auto"/>
              </w:rPr>
            </w:pPr>
          </w:p>
        </w:tc>
      </w:tr>
      <w:tr>
        <w:trPr>
          <w:trHeight w:val="148"/>
        </w:trPr>
        <w:tc>
          <w:tcPr>
            <w:tcW w:w="5200" w:type="dxa"/>
            <w:vAlign w:val="bottom"/>
            <w:shd w:val="clear" w:color="auto" w:fill="CCEEFF"/>
          </w:tcPr>
          <w:p>
            <w:pPr>
              <w:ind w:left="180"/>
              <w:spacing w:after="0" w:line="149" w:lineRule="exact"/>
              <w:rPr>
                <w:sz w:val="20"/>
                <w:szCs w:val="20"/>
                <w:color w:val="auto"/>
              </w:rPr>
            </w:pPr>
            <w:r>
              <w:rPr>
                <w:rFonts w:ascii="Arial" w:cs="Arial" w:eastAsia="Arial" w:hAnsi="Arial"/>
                <w:sz w:val="14"/>
                <w:szCs w:val="14"/>
                <w:color w:val="auto"/>
              </w:rPr>
              <w:t>Loss on retirement of certain property and equipment from acquisitions</w:t>
            </w:r>
          </w:p>
        </w:tc>
        <w:tc>
          <w:tcPr>
            <w:tcW w:w="22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405</w:t>
            </w:r>
          </w:p>
        </w:tc>
        <w:tc>
          <w:tcPr>
            <w:tcW w:w="80" w:type="dxa"/>
            <w:vAlign w:val="bottom"/>
            <w:shd w:val="clear" w:color="auto" w:fill="CCEEFF"/>
          </w:tcPr>
          <w:p>
            <w:pPr>
              <w:spacing w:after="0"/>
              <w:rPr>
                <w:sz w:val="12"/>
                <w:szCs w:val="12"/>
                <w:color w:val="auto"/>
              </w:rPr>
            </w:pPr>
          </w:p>
        </w:tc>
        <w:tc>
          <w:tcPr>
            <w:tcW w:w="660" w:type="dxa"/>
            <w:vAlign w:val="bottom"/>
            <w:gridSpan w:val="2"/>
            <w:shd w:val="clear" w:color="auto" w:fill="CCEEFF"/>
          </w:tcPr>
          <w:p>
            <w:pPr>
              <w:ind w:left="20"/>
              <w:spacing w:after="0" w:line="149" w:lineRule="exact"/>
              <w:rPr>
                <w:sz w:val="20"/>
                <w:szCs w:val="20"/>
                <w:color w:val="auto"/>
              </w:rPr>
            </w:pPr>
            <w:r>
              <w:rPr>
                <w:rFonts w:ascii="Arial" w:cs="Arial" w:eastAsia="Arial" w:hAnsi="Arial"/>
                <w:sz w:val="14"/>
                <w:szCs w:val="14"/>
                <w:color w:val="auto"/>
              </w:rPr>
              <w:t>(k)</w:t>
            </w: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7</w:t>
            </w:r>
          </w:p>
        </w:tc>
        <w:tc>
          <w:tcPr>
            <w:tcW w:w="60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(k)</w:t>
            </w: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445</w:t>
            </w:r>
          </w:p>
        </w:tc>
        <w:tc>
          <w:tcPr>
            <w:tcW w:w="760" w:type="dxa"/>
            <w:vAlign w:val="bottom"/>
            <w:gridSpan w:val="2"/>
            <w:shd w:val="clear" w:color="auto" w:fill="CCEEFF"/>
          </w:tcPr>
          <w:p>
            <w:pPr>
              <w:ind w:left="40"/>
              <w:spacing w:after="0" w:line="149" w:lineRule="exact"/>
              <w:rPr>
                <w:sz w:val="20"/>
                <w:szCs w:val="20"/>
                <w:color w:val="auto"/>
              </w:rPr>
            </w:pPr>
            <w:r>
              <w:rPr>
                <w:rFonts w:ascii="Arial" w:cs="Arial" w:eastAsia="Arial" w:hAnsi="Arial"/>
                <w:sz w:val="14"/>
                <w:szCs w:val="14"/>
                <w:color w:val="auto"/>
              </w:rPr>
              <w:t>(k)</w:t>
            </w: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7</w:t>
            </w:r>
          </w:p>
        </w:tc>
        <w:tc>
          <w:tcPr>
            <w:tcW w:w="260" w:type="dxa"/>
            <w:vAlign w:val="bottom"/>
            <w:shd w:val="clear" w:color="auto" w:fill="CCEEFF"/>
          </w:tcPr>
          <w:p>
            <w:pPr>
              <w:ind w:left="40"/>
              <w:spacing w:after="0" w:line="149" w:lineRule="exact"/>
              <w:rPr>
                <w:sz w:val="20"/>
                <w:szCs w:val="20"/>
                <w:color w:val="auto"/>
              </w:rPr>
            </w:pPr>
            <w:r>
              <w:rPr>
                <w:rFonts w:ascii="Arial" w:cs="Arial" w:eastAsia="Arial" w:hAnsi="Arial"/>
                <w:sz w:val="14"/>
                <w:szCs w:val="14"/>
                <w:color w:val="auto"/>
              </w:rPr>
              <w:t>(k)</w:t>
            </w:r>
          </w:p>
        </w:tc>
        <w:tc>
          <w:tcPr>
            <w:tcW w:w="0" w:type="dxa"/>
            <w:vAlign w:val="bottom"/>
          </w:tcPr>
          <w:p>
            <w:pPr>
              <w:spacing w:after="0"/>
              <w:rPr>
                <w:sz w:val="1"/>
                <w:szCs w:val="1"/>
                <w:color w:val="auto"/>
              </w:rPr>
            </w:pPr>
          </w:p>
        </w:tc>
      </w:tr>
      <w:tr>
        <w:trPr>
          <w:trHeight w:val="149"/>
        </w:trPr>
        <w:tc>
          <w:tcPr>
            <w:tcW w:w="5200" w:type="dxa"/>
            <w:vAlign w:val="bottom"/>
          </w:tcPr>
          <w:p>
            <w:pPr>
              <w:ind w:left="180"/>
              <w:spacing w:after="0" w:line="149" w:lineRule="exact"/>
              <w:rPr>
                <w:sz w:val="20"/>
                <w:szCs w:val="20"/>
                <w:color w:val="auto"/>
              </w:rPr>
            </w:pPr>
            <w:r>
              <w:rPr>
                <w:rFonts w:ascii="Arial" w:cs="Arial" w:eastAsia="Arial" w:hAnsi="Arial"/>
                <w:sz w:val="14"/>
                <w:szCs w:val="14"/>
                <w:color w:val="auto"/>
              </w:rPr>
              <w:t>Loss on claim settlement from Exactik disposition</w:t>
            </w:r>
          </w:p>
        </w:tc>
        <w:tc>
          <w:tcPr>
            <w:tcW w:w="220" w:type="dxa"/>
            <w:vAlign w:val="bottom"/>
          </w:tcPr>
          <w:p>
            <w:pPr>
              <w:spacing w:after="0"/>
              <w:rPr>
                <w:sz w:val="12"/>
                <w:szCs w:val="12"/>
                <w:color w:val="auto"/>
              </w:rPr>
            </w:pPr>
          </w:p>
        </w:tc>
        <w:tc>
          <w:tcPr>
            <w:tcW w:w="880" w:type="dxa"/>
            <w:vAlign w:val="bottom"/>
            <w:gridSpan w:val="2"/>
          </w:tcPr>
          <w:p>
            <w:pPr>
              <w:jc w:val="right"/>
              <w:ind w:right="2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86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4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w:t>
            </w:r>
          </w:p>
        </w:tc>
        <w:tc>
          <w:tcPr>
            <w:tcW w:w="3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80" w:type="dxa"/>
            <w:vAlign w:val="bottom"/>
            <w:gridSpan w:val="2"/>
          </w:tcPr>
          <w:p>
            <w:pPr>
              <w:jc w:val="right"/>
              <w:ind w:right="80"/>
              <w:spacing w:after="0" w:line="149" w:lineRule="exact"/>
              <w:rPr>
                <w:sz w:val="20"/>
                <w:szCs w:val="20"/>
                <w:color w:val="auto"/>
              </w:rPr>
            </w:pPr>
            <w:r>
              <w:rPr>
                <w:rFonts w:ascii="Arial" w:cs="Arial" w:eastAsia="Arial" w:hAnsi="Arial"/>
                <w:sz w:val="14"/>
                <w:szCs w:val="14"/>
                <w:color w:val="auto"/>
              </w:rPr>
              <w:t>296</w:t>
            </w:r>
          </w:p>
        </w:tc>
        <w:tc>
          <w:tcPr>
            <w:tcW w:w="260" w:type="dxa"/>
            <w:vAlign w:val="bottom"/>
          </w:tcPr>
          <w:p>
            <w:pPr>
              <w:ind w:left="40"/>
              <w:spacing w:after="0" w:line="149" w:lineRule="exact"/>
              <w:rPr>
                <w:sz w:val="20"/>
                <w:szCs w:val="20"/>
                <w:color w:val="auto"/>
              </w:rPr>
            </w:pPr>
            <w:r>
              <w:rPr>
                <w:rFonts w:ascii="Arial" w:cs="Arial" w:eastAsia="Arial" w:hAnsi="Arial"/>
                <w:sz w:val="14"/>
                <w:szCs w:val="14"/>
                <w:color w:val="auto"/>
              </w:rPr>
              <w:t>(l)</w:t>
            </w:r>
          </w:p>
        </w:tc>
        <w:tc>
          <w:tcPr>
            <w:tcW w:w="0" w:type="dxa"/>
            <w:vAlign w:val="bottom"/>
          </w:tcPr>
          <w:p>
            <w:pPr>
              <w:spacing w:after="0"/>
              <w:rPr>
                <w:sz w:val="1"/>
                <w:szCs w:val="1"/>
                <w:color w:val="auto"/>
              </w:rPr>
            </w:pPr>
          </w:p>
        </w:tc>
      </w:tr>
      <w:tr>
        <w:trPr>
          <w:trHeight w:val="130"/>
        </w:trPr>
        <w:tc>
          <w:tcPr>
            <w:tcW w:w="5200" w:type="dxa"/>
            <w:vAlign w:val="bottom"/>
            <w:shd w:val="clear" w:color="auto" w:fill="CCEEFF"/>
          </w:tcPr>
          <w:p>
            <w:pPr>
              <w:ind w:left="180"/>
              <w:spacing w:after="0" w:line="130" w:lineRule="exact"/>
              <w:rPr>
                <w:sz w:val="20"/>
                <w:szCs w:val="20"/>
                <w:color w:val="auto"/>
              </w:rPr>
            </w:pPr>
            <w:r>
              <w:rPr>
                <w:rFonts w:ascii="Arial" w:cs="Arial" w:eastAsia="Arial" w:hAnsi="Arial"/>
                <w:sz w:val="14"/>
                <w:szCs w:val="14"/>
                <w:color w:val="auto"/>
              </w:rPr>
              <w:t>Valuation allowance and tax effect of the adjustments above from GAAP to non-</w:t>
            </w:r>
          </w:p>
        </w:tc>
        <w:tc>
          <w:tcPr>
            <w:tcW w:w="220" w:type="dxa"/>
            <w:vAlign w:val="bottom"/>
            <w:shd w:val="clear" w:color="auto" w:fill="CCEEFF"/>
          </w:tcPr>
          <w:p>
            <w:pPr>
              <w:spacing w:after="0"/>
              <w:rPr>
                <w:sz w:val="11"/>
                <w:szCs w:val="11"/>
                <w:color w:val="auto"/>
              </w:rPr>
            </w:pPr>
          </w:p>
        </w:tc>
        <w:tc>
          <w:tcPr>
            <w:tcW w:w="960" w:type="dxa"/>
            <w:vAlign w:val="bottom"/>
            <w:gridSpan w:val="3"/>
            <w:vMerge w:val="restart"/>
            <w:shd w:val="clear" w:color="auto" w:fill="CCEEFF"/>
          </w:tcPr>
          <w:p>
            <w:pPr>
              <w:jc w:val="right"/>
              <w:ind w:right="40"/>
              <w:spacing w:after="0"/>
              <w:rPr>
                <w:sz w:val="20"/>
                <w:szCs w:val="20"/>
                <w:color w:val="auto"/>
              </w:rPr>
            </w:pPr>
            <w:r>
              <w:rPr>
                <w:rFonts w:ascii="Arial" w:cs="Arial" w:eastAsia="Arial" w:hAnsi="Arial"/>
                <w:sz w:val="14"/>
                <w:szCs w:val="14"/>
                <w:color w:val="auto"/>
              </w:rPr>
              <w:t>(2,756)</w:t>
            </w:r>
          </w:p>
        </w:tc>
        <w:tc>
          <w:tcPr>
            <w:tcW w:w="36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860" w:type="dxa"/>
            <w:vAlign w:val="bottom"/>
            <w:gridSpan w:val="2"/>
            <w:vMerge w:val="restart"/>
            <w:shd w:val="clear" w:color="auto" w:fill="CCEEFF"/>
          </w:tcPr>
          <w:p>
            <w:pPr>
              <w:jc w:val="right"/>
              <w:ind w:right="80"/>
              <w:spacing w:after="0"/>
              <w:rPr>
                <w:sz w:val="20"/>
                <w:szCs w:val="20"/>
                <w:color w:val="auto"/>
              </w:rPr>
            </w:pPr>
            <w:r>
              <w:rPr>
                <w:rFonts w:ascii="Arial" w:cs="Arial" w:eastAsia="Arial" w:hAnsi="Arial"/>
                <w:sz w:val="14"/>
                <w:szCs w:val="14"/>
                <w:color w:val="auto"/>
              </w:rPr>
              <w:t>297</w:t>
            </w:r>
          </w:p>
        </w:tc>
        <w:tc>
          <w:tcPr>
            <w:tcW w:w="36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940" w:type="dxa"/>
            <w:vAlign w:val="bottom"/>
            <w:gridSpan w:val="2"/>
            <w:vMerge w:val="restart"/>
            <w:shd w:val="clear" w:color="auto" w:fill="CCEEFF"/>
          </w:tcPr>
          <w:p>
            <w:pPr>
              <w:jc w:val="right"/>
              <w:ind w:right="20"/>
              <w:spacing w:after="0"/>
              <w:rPr>
                <w:sz w:val="20"/>
                <w:szCs w:val="20"/>
                <w:color w:val="auto"/>
              </w:rPr>
            </w:pPr>
            <w:r>
              <w:rPr>
                <w:rFonts w:ascii="Arial" w:cs="Arial" w:eastAsia="Arial" w:hAnsi="Arial"/>
                <w:sz w:val="14"/>
                <w:szCs w:val="14"/>
                <w:color w:val="auto"/>
              </w:rPr>
              <w:t>(3,593)</w:t>
            </w:r>
          </w:p>
        </w:tc>
        <w:tc>
          <w:tcPr>
            <w:tcW w:w="36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780" w:type="dxa"/>
            <w:vAlign w:val="bottom"/>
            <w:gridSpan w:val="2"/>
            <w:vMerge w:val="restart"/>
            <w:shd w:val="clear" w:color="auto" w:fill="CCEEFF"/>
          </w:tcPr>
          <w:p>
            <w:pPr>
              <w:jc w:val="right"/>
              <w:ind w:right="20"/>
              <w:spacing w:after="0"/>
              <w:rPr>
                <w:sz w:val="20"/>
                <w:szCs w:val="20"/>
                <w:color w:val="auto"/>
              </w:rPr>
            </w:pPr>
            <w:r>
              <w:rPr>
                <w:rFonts w:ascii="Arial" w:cs="Arial" w:eastAsia="Arial" w:hAnsi="Arial"/>
                <w:sz w:val="14"/>
                <w:szCs w:val="14"/>
                <w:color w:val="auto"/>
              </w:rPr>
              <w:t>(403)</w:t>
            </w:r>
          </w:p>
        </w:tc>
        <w:tc>
          <w:tcPr>
            <w:tcW w:w="2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5200" w:type="dxa"/>
            <w:vAlign w:val="bottom"/>
            <w:shd w:val="clear" w:color="auto" w:fill="CCEEFF"/>
          </w:tcPr>
          <w:p>
            <w:pPr>
              <w:ind w:left="340"/>
              <w:spacing w:after="0" w:line="154" w:lineRule="exact"/>
              <w:rPr>
                <w:sz w:val="20"/>
                <w:szCs w:val="20"/>
                <w:color w:val="auto"/>
              </w:rPr>
            </w:pPr>
            <w:r>
              <w:rPr>
                <w:rFonts w:ascii="Arial" w:cs="Arial" w:eastAsia="Arial" w:hAnsi="Arial"/>
                <w:sz w:val="14"/>
                <w:szCs w:val="14"/>
                <w:color w:val="auto"/>
              </w:rPr>
              <w:t>GAAP</w:t>
            </w:r>
          </w:p>
        </w:tc>
        <w:tc>
          <w:tcPr>
            <w:tcW w:w="220" w:type="dxa"/>
            <w:vAlign w:val="bottom"/>
            <w:shd w:val="clear" w:color="auto" w:fill="CCEEFF"/>
          </w:tcPr>
          <w:p>
            <w:pPr>
              <w:spacing w:after="0"/>
              <w:rPr>
                <w:sz w:val="13"/>
                <w:szCs w:val="13"/>
                <w:color w:val="auto"/>
              </w:rPr>
            </w:pPr>
          </w:p>
        </w:tc>
        <w:tc>
          <w:tcPr>
            <w:tcW w:w="960" w:type="dxa"/>
            <w:vAlign w:val="bottom"/>
            <w:gridSpan w:val="3"/>
            <w:vMerge w:val="continue"/>
            <w:shd w:val="clear" w:color="auto" w:fill="CCEEFF"/>
          </w:tcPr>
          <w:p>
            <w:pPr>
              <w:spacing w:after="0"/>
              <w:rPr>
                <w:sz w:val="13"/>
                <w:szCs w:val="13"/>
                <w:color w:val="auto"/>
              </w:rPr>
            </w:pPr>
          </w:p>
        </w:tc>
        <w:tc>
          <w:tcPr>
            <w:tcW w:w="660" w:type="dxa"/>
            <w:vAlign w:val="bottom"/>
            <w:gridSpan w:val="2"/>
            <w:shd w:val="clear" w:color="auto" w:fill="CCEEFF"/>
          </w:tcPr>
          <w:p>
            <w:pPr>
              <w:ind w:left="20"/>
              <w:spacing w:after="0" w:line="154" w:lineRule="exact"/>
              <w:rPr>
                <w:sz w:val="20"/>
                <w:szCs w:val="20"/>
                <w:color w:val="auto"/>
              </w:rPr>
            </w:pPr>
            <w:r>
              <w:rPr>
                <w:rFonts w:ascii="Arial" w:cs="Arial" w:eastAsia="Arial" w:hAnsi="Arial"/>
                <w:sz w:val="14"/>
                <w:szCs w:val="14"/>
                <w:color w:val="auto"/>
              </w:rPr>
              <w:t>(m)</w:t>
            </w:r>
          </w:p>
        </w:tc>
        <w:tc>
          <w:tcPr>
            <w:tcW w:w="860" w:type="dxa"/>
            <w:vAlign w:val="bottom"/>
            <w:gridSpan w:val="2"/>
            <w:vMerge w:val="continue"/>
            <w:shd w:val="clear" w:color="auto" w:fill="CCEEFF"/>
          </w:tcPr>
          <w:p>
            <w:pPr>
              <w:spacing w:after="0"/>
              <w:rPr>
                <w:sz w:val="13"/>
                <w:szCs w:val="13"/>
                <w:color w:val="auto"/>
              </w:rPr>
            </w:pPr>
          </w:p>
        </w:tc>
        <w:tc>
          <w:tcPr>
            <w:tcW w:w="600" w:type="dxa"/>
            <w:vAlign w:val="bottom"/>
            <w:gridSpan w:val="2"/>
            <w:shd w:val="clear" w:color="auto" w:fill="CCEEFF"/>
          </w:tcPr>
          <w:p>
            <w:pPr>
              <w:ind w:left="40"/>
              <w:spacing w:after="0" w:line="154" w:lineRule="exact"/>
              <w:rPr>
                <w:sz w:val="20"/>
                <w:szCs w:val="20"/>
                <w:color w:val="auto"/>
              </w:rPr>
            </w:pPr>
            <w:r>
              <w:rPr>
                <w:rFonts w:ascii="Arial" w:cs="Arial" w:eastAsia="Arial" w:hAnsi="Arial"/>
                <w:sz w:val="14"/>
                <w:szCs w:val="14"/>
                <w:color w:val="auto"/>
              </w:rPr>
              <w:t>(m)</w:t>
            </w:r>
          </w:p>
        </w:tc>
        <w:tc>
          <w:tcPr>
            <w:tcW w:w="940" w:type="dxa"/>
            <w:vAlign w:val="bottom"/>
            <w:gridSpan w:val="2"/>
            <w:vMerge w:val="continue"/>
            <w:shd w:val="clear" w:color="auto" w:fill="CCEEFF"/>
          </w:tcPr>
          <w:p>
            <w:pPr>
              <w:spacing w:after="0"/>
              <w:rPr>
                <w:sz w:val="13"/>
                <w:szCs w:val="13"/>
                <w:color w:val="auto"/>
              </w:rPr>
            </w:pPr>
          </w:p>
        </w:tc>
        <w:tc>
          <w:tcPr>
            <w:tcW w:w="760" w:type="dxa"/>
            <w:vAlign w:val="bottom"/>
            <w:gridSpan w:val="2"/>
            <w:shd w:val="clear" w:color="auto" w:fill="CCEEFF"/>
          </w:tcPr>
          <w:p>
            <w:pPr>
              <w:ind w:left="40"/>
              <w:spacing w:after="0" w:line="154" w:lineRule="exact"/>
              <w:rPr>
                <w:sz w:val="20"/>
                <w:szCs w:val="20"/>
                <w:color w:val="auto"/>
              </w:rPr>
            </w:pPr>
            <w:r>
              <w:rPr>
                <w:rFonts w:ascii="Arial" w:cs="Arial" w:eastAsia="Arial" w:hAnsi="Arial"/>
                <w:sz w:val="14"/>
                <w:szCs w:val="14"/>
                <w:color w:val="auto"/>
              </w:rPr>
              <w:t>(m)</w:t>
            </w:r>
          </w:p>
        </w:tc>
        <w:tc>
          <w:tcPr>
            <w:tcW w:w="780" w:type="dxa"/>
            <w:vAlign w:val="bottom"/>
            <w:gridSpan w:val="2"/>
            <w:vMerge w:val="continue"/>
            <w:shd w:val="clear" w:color="auto" w:fill="CCEEFF"/>
          </w:tcPr>
          <w:p>
            <w:pPr>
              <w:spacing w:after="0"/>
              <w:rPr>
                <w:sz w:val="13"/>
                <w:szCs w:val="13"/>
                <w:color w:val="auto"/>
              </w:rPr>
            </w:pPr>
          </w:p>
        </w:tc>
        <w:tc>
          <w:tcPr>
            <w:tcW w:w="260" w:type="dxa"/>
            <w:vAlign w:val="bottom"/>
            <w:shd w:val="clear" w:color="auto" w:fill="CCEEFF"/>
          </w:tcPr>
          <w:p>
            <w:pPr>
              <w:ind w:left="40"/>
              <w:spacing w:after="0" w:line="154" w:lineRule="exact"/>
              <w:rPr>
                <w:sz w:val="20"/>
                <w:szCs w:val="20"/>
                <w:color w:val="auto"/>
              </w:rPr>
            </w:pPr>
            <w:r>
              <w:rPr>
                <w:rFonts w:ascii="Arial" w:cs="Arial" w:eastAsia="Arial" w:hAnsi="Arial"/>
                <w:sz w:val="14"/>
                <w:szCs w:val="14"/>
                <w:color w:val="auto"/>
                <w:w w:val="95"/>
              </w:rPr>
              <w:t>(m)</w:t>
            </w:r>
          </w:p>
        </w:tc>
        <w:tc>
          <w:tcPr>
            <w:tcW w:w="0" w:type="dxa"/>
            <w:vAlign w:val="bottom"/>
          </w:tcPr>
          <w:p>
            <w:pPr>
              <w:spacing w:after="0"/>
              <w:rPr>
                <w:sz w:val="1"/>
                <w:szCs w:val="1"/>
                <w:color w:val="auto"/>
              </w:rPr>
            </w:pPr>
          </w:p>
        </w:tc>
      </w:tr>
      <w:tr>
        <w:trPr>
          <w:trHeight w:val="142"/>
        </w:trPr>
        <w:tc>
          <w:tcPr>
            <w:tcW w:w="5200" w:type="dxa"/>
            <w:vAlign w:val="bottom"/>
            <w:tcBorders>
              <w:top w:val="single" w:sz="8" w:color="CCEEFF"/>
              <w:bottom w:val="single" w:sz="8" w:color="CCEEFF"/>
            </w:tcBorders>
          </w:tcPr>
          <w:p>
            <w:pPr>
              <w:spacing w:after="0" w:line="142" w:lineRule="exact"/>
              <w:rPr>
                <w:sz w:val="20"/>
                <w:szCs w:val="20"/>
                <w:color w:val="auto"/>
              </w:rPr>
            </w:pPr>
            <w:r>
              <w:rPr>
                <w:rFonts w:ascii="Arial" w:cs="Arial" w:eastAsia="Arial" w:hAnsi="Arial"/>
                <w:sz w:val="14"/>
                <w:szCs w:val="14"/>
                <w:color w:val="auto"/>
              </w:rPr>
              <w:t>Non-GAAP net income</w:t>
            </w:r>
          </w:p>
        </w:tc>
        <w:tc>
          <w:tcPr>
            <w:tcW w:w="220" w:type="dxa"/>
            <w:vAlign w:val="bottom"/>
            <w:tcBorders>
              <w:top w:val="single" w:sz="8" w:color="auto"/>
              <w:bottom w:val="single" w:sz="8" w:color="auto"/>
            </w:tcBorders>
          </w:tcPr>
          <w:p>
            <w:pPr>
              <w:jc w:val="right"/>
              <w:ind w:right="109"/>
              <w:spacing w:after="0"/>
              <w:rPr>
                <w:sz w:val="20"/>
                <w:szCs w:val="20"/>
                <w:color w:val="auto"/>
              </w:rPr>
            </w:pPr>
            <w:r>
              <w:rPr>
                <w:rFonts w:ascii="Arial" w:cs="Arial" w:eastAsia="Arial" w:hAnsi="Arial"/>
                <w:sz w:val="10"/>
                <w:szCs w:val="10"/>
                <w:color w:val="auto"/>
                <w:w w:val="71"/>
              </w:rPr>
              <w:t>$</w:t>
            </w: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47,933</w:t>
            </w:r>
          </w:p>
        </w:tc>
        <w:tc>
          <w:tcPr>
            <w:tcW w:w="20" w:type="dxa"/>
            <w:vAlign w:val="bottom"/>
            <w:tcBorders>
              <w:top w:val="single" w:sz="8" w:color="CCEEFF"/>
              <w:bottom w:val="single" w:sz="8" w:color="CCEEFF"/>
            </w:tcBorders>
          </w:tcPr>
          <w:p>
            <w:pPr>
              <w:spacing w:after="0"/>
              <w:rPr>
                <w:sz w:val="12"/>
                <w:szCs w:val="12"/>
                <w:color w:val="auto"/>
              </w:rPr>
            </w:pP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jc w:val="right"/>
              <w:ind w:right="189"/>
              <w:spacing w:after="0"/>
              <w:rPr>
                <w:sz w:val="20"/>
                <w:szCs w:val="20"/>
                <w:color w:val="auto"/>
              </w:rPr>
            </w:pPr>
            <w:r>
              <w:rPr>
                <w:rFonts w:ascii="Arial" w:cs="Arial" w:eastAsia="Arial" w:hAnsi="Arial"/>
                <w:sz w:val="10"/>
                <w:szCs w:val="10"/>
                <w:color w:val="auto"/>
                <w:w w:val="71"/>
              </w:rPr>
              <w:t>$</w:t>
            </w:r>
          </w:p>
        </w:tc>
        <w:tc>
          <w:tcPr>
            <w:tcW w:w="78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21,492</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ind w:left="20"/>
              <w:spacing w:after="0" w:line="129" w:lineRule="exact"/>
              <w:rPr>
                <w:sz w:val="20"/>
                <w:szCs w:val="20"/>
                <w:color w:val="auto"/>
              </w:rPr>
            </w:pPr>
            <w:r>
              <w:rPr>
                <w:rFonts w:ascii="Arial" w:cs="Arial" w:eastAsia="Arial" w:hAnsi="Arial"/>
                <w:sz w:val="14"/>
                <w:szCs w:val="14"/>
                <w:color w:val="auto"/>
              </w:rPr>
              <w:t>$</w:t>
            </w: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130,366</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bottom w:val="single" w:sz="8" w:color="CCEEFF"/>
            </w:tcBorders>
          </w:tcPr>
          <w:p>
            <w:pPr>
              <w:spacing w:after="0"/>
              <w:rPr>
                <w:sz w:val="12"/>
                <w:szCs w:val="12"/>
                <w:color w:val="auto"/>
              </w:rPr>
            </w:pPr>
          </w:p>
        </w:tc>
        <w:tc>
          <w:tcPr>
            <w:tcW w:w="400" w:type="dxa"/>
            <w:vAlign w:val="bottom"/>
            <w:tcBorders>
              <w:top w:val="single" w:sz="8" w:color="auto"/>
              <w:bottom w:val="single" w:sz="8" w:color="auto"/>
            </w:tcBorders>
          </w:tcPr>
          <w:p>
            <w:pPr>
              <w:spacing w:after="0" w:line="129" w:lineRule="exact"/>
              <w:rPr>
                <w:sz w:val="20"/>
                <w:szCs w:val="20"/>
                <w:color w:val="auto"/>
              </w:rPr>
            </w:pPr>
            <w:r>
              <w:rPr>
                <w:rFonts w:ascii="Arial" w:cs="Arial" w:eastAsia="Arial" w:hAnsi="Arial"/>
                <w:sz w:val="14"/>
                <w:szCs w:val="14"/>
                <w:color w:val="auto"/>
              </w:rPr>
              <w:t>$</w:t>
            </w:r>
          </w:p>
        </w:tc>
        <w:tc>
          <w:tcPr>
            <w:tcW w:w="7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53,493</w:t>
            </w:r>
          </w:p>
        </w:tc>
        <w:tc>
          <w:tcPr>
            <w:tcW w:w="80" w:type="dxa"/>
            <w:vAlign w:val="bottom"/>
            <w:tcBorders>
              <w:top w:val="single" w:sz="8" w:color="CCEEFF"/>
              <w:bottom w:val="single" w:sz="8" w:color="CCEEFF"/>
            </w:tcBorders>
          </w:tcPr>
          <w:p>
            <w:pPr>
              <w:spacing w:after="0"/>
              <w:rPr>
                <w:sz w:val="12"/>
                <w:szCs w:val="12"/>
                <w:color w:val="auto"/>
              </w:rPr>
            </w:pPr>
          </w:p>
        </w:tc>
        <w:tc>
          <w:tcPr>
            <w:tcW w:w="260" w:type="dxa"/>
            <w:vAlign w:val="bottom"/>
            <w:tcBorders>
              <w:top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520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5200" w:type="dxa"/>
            <w:vAlign w:val="bottom"/>
          </w:tcPr>
          <w:p>
            <w:pPr>
              <w:spacing w:after="0" w:line="142" w:lineRule="exact"/>
              <w:rPr>
                <w:sz w:val="20"/>
                <w:szCs w:val="20"/>
                <w:color w:val="auto"/>
              </w:rPr>
            </w:pPr>
            <w:r>
              <w:rPr>
                <w:rFonts w:ascii="Arial" w:cs="Arial" w:eastAsia="Arial" w:hAnsi="Arial"/>
                <w:sz w:val="14"/>
                <w:szCs w:val="14"/>
                <w:color w:val="auto"/>
              </w:rPr>
              <w:t>Shares used in computing non-GAAP basic earnings per share</w:t>
            </w:r>
          </w:p>
        </w:tc>
        <w:tc>
          <w:tcPr>
            <w:tcW w:w="220" w:type="dxa"/>
            <w:vAlign w:val="bottom"/>
            <w:tcBorders>
              <w:bottom w:val="single" w:sz="8" w:color="auto"/>
            </w:tcBorders>
          </w:tcPr>
          <w:p>
            <w:pPr>
              <w:spacing w:after="0"/>
              <w:rPr>
                <w:sz w:val="12"/>
                <w:szCs w:val="12"/>
                <w:color w:val="auto"/>
              </w:rPr>
            </w:pPr>
          </w:p>
        </w:tc>
        <w:tc>
          <w:tcPr>
            <w:tcW w:w="86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51,971,621</w:t>
            </w: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Borders>
              <w:bottom w:val="single" w:sz="8" w:color="auto"/>
            </w:tcBorders>
          </w:tcPr>
          <w:p>
            <w:pPr>
              <w:spacing w:after="0"/>
              <w:rPr>
                <w:sz w:val="12"/>
                <w:szCs w:val="12"/>
                <w:color w:val="auto"/>
              </w:rPr>
            </w:pPr>
          </w:p>
        </w:tc>
        <w:tc>
          <w:tcPr>
            <w:tcW w:w="78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45,517,862</w:t>
            </w: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0" w:type="dxa"/>
            <w:vAlign w:val="bottom"/>
            <w:tcBorders>
              <w:bottom w:val="single" w:sz="8" w:color="auto"/>
            </w:tcBorders>
          </w:tcPr>
          <w:p>
            <w:pPr>
              <w:spacing w:after="0"/>
              <w:rPr>
                <w:sz w:val="12"/>
                <w:szCs w:val="12"/>
                <w:color w:val="auto"/>
              </w:rPr>
            </w:pPr>
          </w:p>
        </w:tc>
        <w:tc>
          <w:tcPr>
            <w:tcW w:w="86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48,986,248</w:t>
            </w: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0" w:type="dxa"/>
            <w:vAlign w:val="bottom"/>
            <w:tcBorders>
              <w:bottom w:val="single" w:sz="8" w:color="auto"/>
            </w:tcBorders>
          </w:tcPr>
          <w:p>
            <w:pPr>
              <w:spacing w:after="0"/>
              <w:rPr>
                <w:sz w:val="12"/>
                <w:szCs w:val="12"/>
                <w:color w:val="auto"/>
              </w:rPr>
            </w:pPr>
          </w:p>
        </w:tc>
        <w:tc>
          <w:tcPr>
            <w:tcW w:w="70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color w:val="auto"/>
                <w:w w:val="96"/>
              </w:rPr>
              <w:t>45,057,539</w:t>
            </w:r>
          </w:p>
        </w:tc>
        <w:tc>
          <w:tcPr>
            <w:tcW w:w="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520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5200" w:type="dxa"/>
            <w:vAlign w:val="bottom"/>
          </w:tcPr>
          <w:p>
            <w:pPr>
              <w:spacing w:after="0" w:line="130" w:lineRule="exact"/>
              <w:rPr>
                <w:sz w:val="20"/>
                <w:szCs w:val="20"/>
                <w:color w:val="auto"/>
              </w:rPr>
            </w:pPr>
            <w:r>
              <w:rPr>
                <w:rFonts w:ascii="Arial" w:cs="Arial" w:eastAsia="Arial" w:hAnsi="Arial"/>
                <w:sz w:val="14"/>
                <w:szCs w:val="14"/>
                <w:color w:val="auto"/>
                <w:w w:val="94"/>
              </w:rPr>
              <w:t>Shares used in computing non-GAAP diluted earnings per share before offsetting shares</w:t>
            </w:r>
          </w:p>
        </w:tc>
        <w:tc>
          <w:tcPr>
            <w:tcW w:w="2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5200" w:type="dxa"/>
            <w:vAlign w:val="bottom"/>
          </w:tcPr>
          <w:p>
            <w:pPr>
              <w:ind w:left="180"/>
              <w:spacing w:after="0"/>
              <w:rPr>
                <w:sz w:val="20"/>
                <w:szCs w:val="20"/>
                <w:color w:val="auto"/>
              </w:rPr>
            </w:pPr>
            <w:r>
              <w:rPr>
                <w:rFonts w:ascii="Arial" w:cs="Arial" w:eastAsia="Arial" w:hAnsi="Arial"/>
                <w:sz w:val="14"/>
                <w:szCs w:val="14"/>
                <w:color w:val="auto"/>
              </w:rPr>
              <w:t>from call option</w:t>
            </w:r>
          </w:p>
        </w:tc>
        <w:tc>
          <w:tcPr>
            <w:tcW w:w="220" w:type="dxa"/>
            <w:vAlign w:val="bottom"/>
          </w:tcPr>
          <w:p>
            <w:pPr>
              <w:spacing w:after="0"/>
              <w:rPr>
                <w:sz w:val="14"/>
                <w:szCs w:val="14"/>
                <w:color w:val="auto"/>
              </w:rPr>
            </w:pPr>
          </w:p>
        </w:tc>
        <w:tc>
          <w:tcPr>
            <w:tcW w:w="880" w:type="dxa"/>
            <w:vAlign w:val="bottom"/>
            <w:gridSpan w:val="2"/>
          </w:tcPr>
          <w:p>
            <w:pPr>
              <w:jc w:val="right"/>
              <w:ind w:right="20"/>
              <w:spacing w:after="0"/>
              <w:rPr>
                <w:sz w:val="20"/>
                <w:szCs w:val="20"/>
                <w:color w:val="auto"/>
              </w:rPr>
            </w:pPr>
            <w:r>
              <w:rPr>
                <w:rFonts w:ascii="Arial" w:cs="Arial" w:eastAsia="Arial" w:hAnsi="Arial"/>
                <w:sz w:val="14"/>
                <w:szCs w:val="14"/>
                <w:color w:val="auto"/>
              </w:rPr>
              <w:t>55,676,182</w:t>
            </w:r>
          </w:p>
        </w:tc>
        <w:tc>
          <w:tcPr>
            <w:tcW w:w="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gridSpan w:val="2"/>
          </w:tcPr>
          <w:p>
            <w:pPr>
              <w:jc w:val="right"/>
              <w:ind w:right="80"/>
              <w:spacing w:after="0"/>
              <w:rPr>
                <w:sz w:val="20"/>
                <w:szCs w:val="20"/>
                <w:color w:val="auto"/>
              </w:rPr>
            </w:pPr>
            <w:r>
              <w:rPr>
                <w:rFonts w:ascii="Arial" w:cs="Arial" w:eastAsia="Arial" w:hAnsi="Arial"/>
                <w:sz w:val="14"/>
                <w:szCs w:val="14"/>
                <w:color w:val="auto"/>
              </w:rPr>
              <w:t>49,912,318</w:t>
            </w:r>
          </w:p>
        </w:tc>
        <w:tc>
          <w:tcPr>
            <w:tcW w:w="3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40" w:type="dxa"/>
            <w:vAlign w:val="bottom"/>
            <w:gridSpan w:val="2"/>
          </w:tcPr>
          <w:p>
            <w:pPr>
              <w:jc w:val="right"/>
              <w:ind w:right="80"/>
              <w:spacing w:after="0"/>
              <w:rPr>
                <w:sz w:val="20"/>
                <w:szCs w:val="20"/>
                <w:color w:val="auto"/>
              </w:rPr>
            </w:pPr>
            <w:r>
              <w:rPr>
                <w:rFonts w:ascii="Arial" w:cs="Arial" w:eastAsia="Arial" w:hAnsi="Arial"/>
                <w:sz w:val="14"/>
                <w:szCs w:val="14"/>
                <w:color w:val="auto"/>
              </w:rPr>
              <w:t>54,436,550</w:t>
            </w:r>
          </w:p>
        </w:tc>
        <w:tc>
          <w:tcPr>
            <w:tcW w:w="3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80" w:type="dxa"/>
            <w:vAlign w:val="bottom"/>
            <w:gridSpan w:val="2"/>
          </w:tcPr>
          <w:p>
            <w:pPr>
              <w:jc w:val="right"/>
              <w:ind w:right="80"/>
              <w:spacing w:after="0"/>
              <w:rPr>
                <w:sz w:val="20"/>
                <w:szCs w:val="20"/>
                <w:color w:val="auto"/>
              </w:rPr>
            </w:pPr>
            <w:r>
              <w:rPr>
                <w:rFonts w:ascii="Arial" w:cs="Arial" w:eastAsia="Arial" w:hAnsi="Arial"/>
                <w:sz w:val="14"/>
                <w:szCs w:val="14"/>
                <w:color w:val="auto"/>
                <w:w w:val="96"/>
              </w:rPr>
              <w:t>47,920,275</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200" w:type="dxa"/>
            <w:vAlign w:val="bottom"/>
            <w:shd w:val="clear" w:color="auto" w:fill="CCEEFF"/>
          </w:tcPr>
          <w:p>
            <w:pPr>
              <w:spacing w:after="0" w:line="149" w:lineRule="exact"/>
              <w:rPr>
                <w:sz w:val="20"/>
                <w:szCs w:val="20"/>
                <w:color w:val="auto"/>
              </w:rPr>
            </w:pPr>
            <w:r>
              <w:rPr>
                <w:rFonts w:ascii="Arial" w:cs="Arial" w:eastAsia="Arial" w:hAnsi="Arial"/>
                <w:sz w:val="14"/>
                <w:szCs w:val="14"/>
                <w:color w:val="auto"/>
              </w:rPr>
              <w:t>Offsetting shares from call option</w:t>
            </w:r>
          </w:p>
        </w:tc>
        <w:tc>
          <w:tcPr>
            <w:tcW w:w="220" w:type="dxa"/>
            <w:vAlign w:val="bottom"/>
            <w:shd w:val="clear" w:color="auto" w:fill="CCEEFF"/>
          </w:tcPr>
          <w:p>
            <w:pPr>
              <w:spacing w:after="0"/>
              <w:rPr>
                <w:sz w:val="12"/>
                <w:szCs w:val="12"/>
                <w:color w:val="auto"/>
              </w:rPr>
            </w:pPr>
          </w:p>
        </w:tc>
        <w:tc>
          <w:tcPr>
            <w:tcW w:w="880" w:type="dxa"/>
            <w:vAlign w:val="bottom"/>
            <w:gridSpan w:val="2"/>
            <w:shd w:val="clear" w:color="auto" w:fill="CCEEFF"/>
          </w:tcPr>
          <w:p>
            <w:pPr>
              <w:jc w:val="right"/>
              <w:ind w:right="20"/>
              <w:spacing w:after="0" w:line="149" w:lineRule="exact"/>
              <w:rPr>
                <w:sz w:val="20"/>
                <w:szCs w:val="20"/>
                <w:color w:val="auto"/>
              </w:rPr>
            </w:pPr>
            <w:r>
              <w:rPr>
                <w:rFonts w:ascii="Arial" w:cs="Arial" w:eastAsia="Arial" w:hAnsi="Arial"/>
                <w:sz w:val="14"/>
                <w:szCs w:val="14"/>
                <w:color w:val="auto"/>
              </w:rPr>
              <w:t>1,314,251</w:t>
            </w:r>
          </w:p>
        </w:tc>
        <w:tc>
          <w:tcPr>
            <w:tcW w:w="8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300" w:type="dxa"/>
            <w:vAlign w:val="bottom"/>
            <w:shd w:val="clear" w:color="auto" w:fill="CCEEFF"/>
          </w:tcPr>
          <w:p>
            <w:pPr>
              <w:spacing w:after="0"/>
              <w:rPr>
                <w:sz w:val="12"/>
                <w:szCs w:val="12"/>
                <w:color w:val="auto"/>
              </w:rPr>
            </w:pPr>
          </w:p>
        </w:tc>
        <w:tc>
          <w:tcPr>
            <w:tcW w:w="86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1,694,050</w:t>
            </w:r>
          </w:p>
        </w:tc>
        <w:tc>
          <w:tcPr>
            <w:tcW w:w="3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4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1,581,182</w:t>
            </w:r>
          </w:p>
        </w:tc>
        <w:tc>
          <w:tcPr>
            <w:tcW w:w="360" w:type="dxa"/>
            <w:vAlign w:val="bottom"/>
            <w:shd w:val="clear" w:color="auto" w:fill="CCEEFF"/>
          </w:tcPr>
          <w:p>
            <w:pPr>
              <w:spacing w:after="0"/>
              <w:rPr>
                <w:sz w:val="12"/>
                <w:szCs w:val="12"/>
                <w:color w:val="auto"/>
              </w:rPr>
            </w:pPr>
          </w:p>
        </w:tc>
        <w:tc>
          <w:tcPr>
            <w:tcW w:w="40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80"/>
              <w:spacing w:after="0" w:line="149" w:lineRule="exact"/>
              <w:rPr>
                <w:sz w:val="20"/>
                <w:szCs w:val="20"/>
                <w:color w:val="auto"/>
              </w:rPr>
            </w:pPr>
            <w:r>
              <w:rPr>
                <w:rFonts w:ascii="Arial" w:cs="Arial" w:eastAsia="Arial" w:hAnsi="Arial"/>
                <w:sz w:val="14"/>
                <w:szCs w:val="14"/>
                <w:color w:val="auto"/>
              </w:rPr>
              <w:t>827,059</w:t>
            </w:r>
          </w:p>
        </w:tc>
        <w:tc>
          <w:tcPr>
            <w:tcW w:w="26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5200" w:type="dxa"/>
            <w:vAlign w:val="bottom"/>
            <w:tcBorders>
              <w:top w:val="single" w:sz="8" w:color="CCEEFF"/>
              <w:bottom w:val="single" w:sz="8" w:color="CCEEFF"/>
            </w:tcBorders>
          </w:tcPr>
          <w:p>
            <w:pPr>
              <w:spacing w:after="0" w:line="142" w:lineRule="exact"/>
              <w:rPr>
                <w:sz w:val="20"/>
                <w:szCs w:val="20"/>
                <w:color w:val="auto"/>
              </w:rPr>
            </w:pPr>
            <w:r>
              <w:rPr>
                <w:rFonts w:ascii="Arial" w:cs="Arial" w:eastAsia="Arial" w:hAnsi="Arial"/>
                <w:sz w:val="14"/>
                <w:szCs w:val="14"/>
                <w:color w:val="auto"/>
              </w:rPr>
              <w:t>Shares used in computing non-GAAP diluted earnings per share</w:t>
            </w:r>
          </w:p>
        </w:tc>
        <w:tc>
          <w:tcPr>
            <w:tcW w:w="220" w:type="dxa"/>
            <w:vAlign w:val="bottom"/>
            <w:tcBorders>
              <w:top w:val="single" w:sz="8" w:color="auto"/>
              <w:bottom w:val="single" w:sz="8" w:color="auto"/>
            </w:tcBorders>
          </w:tcPr>
          <w:p>
            <w:pPr>
              <w:spacing w:after="0"/>
              <w:rPr>
                <w:sz w:val="12"/>
                <w:szCs w:val="12"/>
                <w:color w:val="auto"/>
              </w:rPr>
            </w:pP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54,361,931</w:t>
            </w:r>
          </w:p>
        </w:tc>
        <w:tc>
          <w:tcPr>
            <w:tcW w:w="20" w:type="dxa"/>
            <w:vAlign w:val="bottom"/>
            <w:tcBorders>
              <w:top w:val="single" w:sz="8" w:color="CCEEFF"/>
              <w:bottom w:val="single" w:sz="8" w:color="CCEEFF"/>
            </w:tcBorders>
          </w:tcPr>
          <w:p>
            <w:pPr>
              <w:spacing w:after="0"/>
              <w:rPr>
                <w:sz w:val="12"/>
                <w:szCs w:val="12"/>
                <w:color w:val="auto"/>
              </w:rPr>
            </w:pP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spacing w:after="0"/>
              <w:rPr>
                <w:sz w:val="12"/>
                <w:szCs w:val="12"/>
                <w:color w:val="auto"/>
              </w:rPr>
            </w:pPr>
          </w:p>
        </w:tc>
        <w:tc>
          <w:tcPr>
            <w:tcW w:w="78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48,218,268</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tcBorders>
          </w:tcPr>
          <w:p>
            <w:pPr>
              <w:spacing w:after="0"/>
              <w:rPr>
                <w:sz w:val="12"/>
                <w:szCs w:val="12"/>
                <w:color w:val="auto"/>
              </w:rPr>
            </w:pPr>
          </w:p>
        </w:tc>
        <w:tc>
          <w:tcPr>
            <w:tcW w:w="240" w:type="dxa"/>
            <w:vAlign w:val="bottom"/>
            <w:tcBorders>
              <w:top w:val="single" w:sz="8" w:color="auto"/>
              <w:bottom w:val="single" w:sz="8" w:color="auto"/>
            </w:tcBorders>
          </w:tcPr>
          <w:p>
            <w:pPr>
              <w:spacing w:after="0"/>
              <w:rPr>
                <w:sz w:val="12"/>
                <w:szCs w:val="12"/>
                <w:color w:val="auto"/>
              </w:rPr>
            </w:pPr>
          </w:p>
        </w:tc>
        <w:tc>
          <w:tcPr>
            <w:tcW w:w="86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52,855,368</w:t>
            </w:r>
          </w:p>
        </w:tc>
        <w:tc>
          <w:tcPr>
            <w:tcW w:w="80" w:type="dxa"/>
            <w:vAlign w:val="bottom"/>
            <w:tcBorders>
              <w:top w:val="single" w:sz="8" w:color="CCEEFF"/>
              <w:bottom w:val="single" w:sz="8" w:color="CCEEFF"/>
            </w:tcBorders>
          </w:tcPr>
          <w:p>
            <w:pPr>
              <w:spacing w:after="0"/>
              <w:rPr>
                <w:sz w:val="12"/>
                <w:szCs w:val="12"/>
                <w:color w:val="auto"/>
              </w:rPr>
            </w:pPr>
          </w:p>
        </w:tc>
        <w:tc>
          <w:tcPr>
            <w:tcW w:w="360" w:type="dxa"/>
            <w:vAlign w:val="bottom"/>
            <w:tcBorders>
              <w:top w:val="single" w:sz="8" w:color="CCEEFF"/>
            </w:tcBorders>
          </w:tcPr>
          <w:p>
            <w:pPr>
              <w:spacing w:after="0"/>
              <w:rPr>
                <w:sz w:val="12"/>
                <w:szCs w:val="12"/>
                <w:color w:val="auto"/>
              </w:rPr>
            </w:pPr>
          </w:p>
        </w:tc>
        <w:tc>
          <w:tcPr>
            <w:tcW w:w="400" w:type="dxa"/>
            <w:vAlign w:val="bottom"/>
            <w:tcBorders>
              <w:top w:val="single" w:sz="8" w:color="auto"/>
              <w:bottom w:val="single" w:sz="8" w:color="auto"/>
            </w:tcBorders>
          </w:tcPr>
          <w:p>
            <w:pPr>
              <w:spacing w:after="0"/>
              <w:rPr>
                <w:sz w:val="12"/>
                <w:szCs w:val="12"/>
                <w:color w:val="auto"/>
              </w:rPr>
            </w:pPr>
          </w:p>
        </w:tc>
        <w:tc>
          <w:tcPr>
            <w:tcW w:w="700" w:type="dxa"/>
            <w:vAlign w:val="bottom"/>
            <w:tcBorders>
              <w:top w:val="single" w:sz="8" w:color="auto"/>
              <w:bottom w:val="single" w:sz="8" w:color="auto"/>
            </w:tcBorders>
          </w:tcPr>
          <w:p>
            <w:pPr>
              <w:jc w:val="right"/>
              <w:spacing w:after="0" w:line="129" w:lineRule="exact"/>
              <w:rPr>
                <w:sz w:val="20"/>
                <w:szCs w:val="20"/>
                <w:color w:val="auto"/>
              </w:rPr>
            </w:pPr>
            <w:r>
              <w:rPr>
                <w:rFonts w:ascii="Arial" w:cs="Arial" w:eastAsia="Arial" w:hAnsi="Arial"/>
                <w:sz w:val="14"/>
                <w:szCs w:val="14"/>
                <w:color w:val="auto"/>
                <w:w w:val="96"/>
              </w:rPr>
              <w:t>47,093,216</w:t>
            </w:r>
          </w:p>
        </w:tc>
        <w:tc>
          <w:tcPr>
            <w:tcW w:w="80" w:type="dxa"/>
            <w:vAlign w:val="bottom"/>
            <w:tcBorders>
              <w:top w:val="single" w:sz="8" w:color="CCEEFF"/>
              <w:bottom w:val="single" w:sz="8" w:color="CCEEFF"/>
            </w:tcBorders>
          </w:tcPr>
          <w:p>
            <w:pPr>
              <w:spacing w:after="0"/>
              <w:rPr>
                <w:sz w:val="12"/>
                <w:szCs w:val="12"/>
                <w:color w:val="auto"/>
              </w:rPr>
            </w:pPr>
          </w:p>
        </w:tc>
        <w:tc>
          <w:tcPr>
            <w:tcW w:w="260" w:type="dxa"/>
            <w:vAlign w:val="bottom"/>
            <w:tcBorders>
              <w:top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0"/>
        </w:trPr>
        <w:tc>
          <w:tcPr>
            <w:tcW w:w="5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5200" w:type="dxa"/>
            <w:vAlign w:val="bottom"/>
            <w:shd w:val="clear" w:color="auto" w:fill="CCEEFF"/>
          </w:tcPr>
          <w:p>
            <w:pPr>
              <w:spacing w:after="0"/>
              <w:rPr>
                <w:sz w:val="11"/>
                <w:szCs w:val="11"/>
                <w:color w:val="auto"/>
              </w:rPr>
            </w:pPr>
          </w:p>
        </w:tc>
        <w:tc>
          <w:tcPr>
            <w:tcW w:w="22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300" w:type="dxa"/>
            <w:vAlign w:val="bottom"/>
            <w:shd w:val="clear" w:color="auto" w:fill="CCEEFF"/>
          </w:tcPr>
          <w:p>
            <w:pPr>
              <w:spacing w:after="0"/>
              <w:rPr>
                <w:sz w:val="11"/>
                <w:szCs w:val="11"/>
                <w:color w:val="auto"/>
              </w:rPr>
            </w:pPr>
          </w:p>
        </w:tc>
        <w:tc>
          <w:tcPr>
            <w:tcW w:w="78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240" w:type="dxa"/>
            <w:vAlign w:val="bottom"/>
            <w:shd w:val="clear" w:color="auto" w:fill="CCEEFF"/>
          </w:tcPr>
          <w:p>
            <w:pPr>
              <w:spacing w:after="0"/>
              <w:rPr>
                <w:sz w:val="11"/>
                <w:szCs w:val="11"/>
                <w:color w:val="auto"/>
              </w:rPr>
            </w:pPr>
          </w:p>
        </w:tc>
        <w:tc>
          <w:tcPr>
            <w:tcW w:w="86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360" w:type="dxa"/>
            <w:vAlign w:val="bottom"/>
            <w:shd w:val="clear" w:color="auto" w:fill="CCEEFF"/>
          </w:tcPr>
          <w:p>
            <w:pPr>
              <w:spacing w:after="0"/>
              <w:rPr>
                <w:sz w:val="11"/>
                <w:szCs w:val="11"/>
                <w:color w:val="auto"/>
              </w:rPr>
            </w:pPr>
          </w:p>
        </w:tc>
        <w:tc>
          <w:tcPr>
            <w:tcW w:w="400" w:type="dxa"/>
            <w:vAlign w:val="bottom"/>
            <w:shd w:val="clear" w:color="auto" w:fill="CCEEFF"/>
          </w:tcPr>
          <w:p>
            <w:pPr>
              <w:spacing w:after="0"/>
              <w:rPr>
                <w:sz w:val="11"/>
                <w:szCs w:val="11"/>
                <w:color w:val="auto"/>
              </w:rPr>
            </w:pPr>
          </w:p>
        </w:tc>
        <w:tc>
          <w:tcPr>
            <w:tcW w:w="70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26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5200" w:type="dxa"/>
            <w:vAlign w:val="bottom"/>
          </w:tcPr>
          <w:p>
            <w:pPr>
              <w:spacing w:after="0" w:line="149" w:lineRule="exact"/>
              <w:rPr>
                <w:sz w:val="20"/>
                <w:szCs w:val="20"/>
                <w:color w:val="auto"/>
              </w:rPr>
            </w:pPr>
            <w:r>
              <w:rPr>
                <w:rFonts w:ascii="Arial" w:cs="Arial" w:eastAsia="Arial" w:hAnsi="Arial"/>
                <w:sz w:val="14"/>
                <w:szCs w:val="14"/>
                <w:color w:val="auto"/>
              </w:rPr>
              <w:t>Non-GAAP earnings per share:</w:t>
            </w:r>
          </w:p>
        </w:tc>
        <w:tc>
          <w:tcPr>
            <w:tcW w:w="2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9"/>
        </w:trPr>
        <w:tc>
          <w:tcPr>
            <w:tcW w:w="5200" w:type="dxa"/>
            <w:vAlign w:val="bottom"/>
            <w:tcBorders>
              <w:bottom w:val="single" w:sz="8" w:color="CCEEFF"/>
            </w:tcBorders>
            <w:shd w:val="clear" w:color="auto" w:fill="CCEEFF"/>
          </w:tcPr>
          <w:p>
            <w:pPr>
              <w:ind w:left="180"/>
              <w:spacing w:after="0" w:line="142" w:lineRule="exact"/>
              <w:rPr>
                <w:sz w:val="20"/>
                <w:szCs w:val="20"/>
                <w:color w:val="auto"/>
              </w:rPr>
            </w:pPr>
            <w:r>
              <w:rPr>
                <w:rFonts w:ascii="Arial" w:cs="Arial" w:eastAsia="Arial" w:hAnsi="Arial"/>
                <w:sz w:val="14"/>
                <w:szCs w:val="14"/>
                <w:color w:val="auto"/>
              </w:rPr>
              <w:t>Basic</w:t>
            </w:r>
          </w:p>
        </w:tc>
        <w:tc>
          <w:tcPr>
            <w:tcW w:w="220" w:type="dxa"/>
            <w:vAlign w:val="bottom"/>
            <w:tcBorders>
              <w:bottom w:val="single" w:sz="8" w:color="auto"/>
            </w:tcBorders>
            <w:shd w:val="clear" w:color="auto" w:fill="CCEEFF"/>
          </w:tcPr>
          <w:p>
            <w:pPr>
              <w:jc w:val="right"/>
              <w:ind w:right="109"/>
              <w:spacing w:after="0"/>
              <w:rPr>
                <w:sz w:val="20"/>
                <w:szCs w:val="20"/>
                <w:color w:val="auto"/>
              </w:rPr>
            </w:pPr>
            <w:r>
              <w:rPr>
                <w:rFonts w:ascii="Arial" w:cs="Arial" w:eastAsia="Arial" w:hAnsi="Arial"/>
                <w:sz w:val="10"/>
                <w:szCs w:val="10"/>
                <w:color w:val="auto"/>
                <w:w w:val="71"/>
              </w:rPr>
              <w:t>$</w:t>
            </w:r>
          </w:p>
        </w:tc>
        <w:tc>
          <w:tcPr>
            <w:tcW w:w="860" w:type="dxa"/>
            <w:vAlign w:val="bottom"/>
            <w:tcBorders>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4"/>
                <w:szCs w:val="14"/>
                <w:color w:val="auto"/>
              </w:rPr>
              <w:t>0.92</w:t>
            </w:r>
          </w:p>
        </w:tc>
        <w:tc>
          <w:tcPr>
            <w:tcW w:w="20" w:type="dxa"/>
            <w:vAlign w:val="bottom"/>
            <w:tcBorders>
              <w:bottom w:val="single" w:sz="8" w:color="CCEEFF"/>
            </w:tcBorders>
            <w:shd w:val="clear" w:color="auto" w:fill="CCEEFF"/>
          </w:tcPr>
          <w:p>
            <w:pPr>
              <w:spacing w:after="0"/>
              <w:rPr>
                <w:sz w:val="16"/>
                <w:szCs w:val="16"/>
                <w:color w:val="auto"/>
              </w:rPr>
            </w:pPr>
          </w:p>
        </w:tc>
        <w:tc>
          <w:tcPr>
            <w:tcW w:w="80" w:type="dxa"/>
            <w:vAlign w:val="bottom"/>
            <w:tcBorders>
              <w:bottom w:val="single" w:sz="8" w:color="CCEEFF"/>
            </w:tcBorders>
            <w:shd w:val="clear" w:color="auto" w:fill="CCEEFF"/>
          </w:tcPr>
          <w:p>
            <w:pPr>
              <w:spacing w:after="0"/>
              <w:rPr>
                <w:sz w:val="16"/>
                <w:szCs w:val="16"/>
                <w:color w:val="auto"/>
              </w:rPr>
            </w:pPr>
          </w:p>
        </w:tc>
        <w:tc>
          <w:tcPr>
            <w:tcW w:w="360" w:type="dxa"/>
            <w:vAlign w:val="bottom"/>
            <w:tcBorders>
              <w:bottom w:val="single" w:sz="8" w:color="CCEEFF"/>
            </w:tcBorders>
            <w:shd w:val="clear" w:color="auto" w:fill="CCEEFF"/>
          </w:tcPr>
          <w:p>
            <w:pPr>
              <w:spacing w:after="0"/>
              <w:rPr>
                <w:sz w:val="16"/>
                <w:szCs w:val="16"/>
                <w:color w:val="auto"/>
              </w:rPr>
            </w:pPr>
          </w:p>
        </w:tc>
        <w:tc>
          <w:tcPr>
            <w:tcW w:w="300" w:type="dxa"/>
            <w:vAlign w:val="bottom"/>
            <w:tcBorders>
              <w:bottom w:val="single" w:sz="8" w:color="auto"/>
            </w:tcBorders>
            <w:shd w:val="clear" w:color="auto" w:fill="CCEEFF"/>
          </w:tcPr>
          <w:p>
            <w:pPr>
              <w:jc w:val="right"/>
              <w:ind w:right="189"/>
              <w:spacing w:after="0"/>
              <w:rPr>
                <w:sz w:val="20"/>
                <w:szCs w:val="20"/>
                <w:color w:val="auto"/>
              </w:rPr>
            </w:pPr>
            <w:r>
              <w:rPr>
                <w:rFonts w:ascii="Arial" w:cs="Arial" w:eastAsia="Arial" w:hAnsi="Arial"/>
                <w:sz w:val="10"/>
                <w:szCs w:val="10"/>
                <w:color w:val="auto"/>
                <w:w w:val="71"/>
              </w:rPr>
              <w:t>$</w:t>
            </w:r>
          </w:p>
        </w:tc>
        <w:tc>
          <w:tcPr>
            <w:tcW w:w="780" w:type="dxa"/>
            <w:vAlign w:val="bottom"/>
            <w:tcBorders>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4"/>
                <w:szCs w:val="14"/>
                <w:color w:val="auto"/>
              </w:rPr>
              <w:t>0.47</w:t>
            </w:r>
          </w:p>
        </w:tc>
        <w:tc>
          <w:tcPr>
            <w:tcW w:w="80" w:type="dxa"/>
            <w:vAlign w:val="bottom"/>
            <w:tcBorders>
              <w:bottom w:val="single" w:sz="8" w:color="CCEEFF"/>
            </w:tcBorders>
            <w:shd w:val="clear" w:color="auto" w:fill="CCEEFF"/>
          </w:tcPr>
          <w:p>
            <w:pPr>
              <w:spacing w:after="0"/>
              <w:rPr>
                <w:sz w:val="16"/>
                <w:szCs w:val="16"/>
                <w:color w:val="auto"/>
              </w:rPr>
            </w:pPr>
          </w:p>
        </w:tc>
        <w:tc>
          <w:tcPr>
            <w:tcW w:w="360" w:type="dxa"/>
            <w:vAlign w:val="bottom"/>
            <w:tcBorders>
              <w:bottom w:val="single" w:sz="8" w:color="CCEEFF"/>
            </w:tcBorders>
            <w:shd w:val="clear" w:color="auto" w:fill="CCEEFF"/>
          </w:tcPr>
          <w:p>
            <w:pPr>
              <w:spacing w:after="0"/>
              <w:rPr>
                <w:sz w:val="16"/>
                <w:szCs w:val="16"/>
                <w:color w:val="auto"/>
              </w:rPr>
            </w:pPr>
          </w:p>
        </w:tc>
        <w:tc>
          <w:tcPr>
            <w:tcW w:w="240" w:type="dxa"/>
            <w:vAlign w:val="bottom"/>
            <w:tcBorders>
              <w:bottom w:val="single" w:sz="8" w:color="auto"/>
            </w:tcBorders>
            <w:shd w:val="clear" w:color="auto" w:fill="CCEEFF"/>
          </w:tcPr>
          <w:p>
            <w:pPr>
              <w:ind w:left="20"/>
              <w:spacing w:after="0" w:line="129" w:lineRule="exact"/>
              <w:rPr>
                <w:sz w:val="20"/>
                <w:szCs w:val="20"/>
                <w:color w:val="auto"/>
              </w:rPr>
            </w:pPr>
            <w:r>
              <w:rPr>
                <w:rFonts w:ascii="Arial" w:cs="Arial" w:eastAsia="Arial" w:hAnsi="Arial"/>
                <w:sz w:val="14"/>
                <w:szCs w:val="14"/>
                <w:color w:val="auto"/>
              </w:rPr>
              <w:t>$</w:t>
            </w:r>
          </w:p>
        </w:tc>
        <w:tc>
          <w:tcPr>
            <w:tcW w:w="860" w:type="dxa"/>
            <w:vAlign w:val="bottom"/>
            <w:tcBorders>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4"/>
                <w:szCs w:val="14"/>
                <w:color w:val="auto"/>
              </w:rPr>
              <w:t>2.66</w:t>
            </w:r>
          </w:p>
        </w:tc>
        <w:tc>
          <w:tcPr>
            <w:tcW w:w="80" w:type="dxa"/>
            <w:vAlign w:val="bottom"/>
            <w:tcBorders>
              <w:bottom w:val="single" w:sz="8" w:color="CCEEFF"/>
            </w:tcBorders>
            <w:shd w:val="clear" w:color="auto" w:fill="CCEEFF"/>
          </w:tcPr>
          <w:p>
            <w:pPr>
              <w:spacing w:after="0"/>
              <w:rPr>
                <w:sz w:val="16"/>
                <w:szCs w:val="16"/>
                <w:color w:val="auto"/>
              </w:rPr>
            </w:pPr>
          </w:p>
        </w:tc>
        <w:tc>
          <w:tcPr>
            <w:tcW w:w="360" w:type="dxa"/>
            <w:vAlign w:val="bottom"/>
            <w:tcBorders>
              <w:bottom w:val="single" w:sz="8" w:color="CCEEFF"/>
            </w:tcBorders>
            <w:shd w:val="clear" w:color="auto" w:fill="CCEEFF"/>
          </w:tcPr>
          <w:p>
            <w:pPr>
              <w:spacing w:after="0"/>
              <w:rPr>
                <w:sz w:val="16"/>
                <w:szCs w:val="16"/>
                <w:color w:val="auto"/>
              </w:rPr>
            </w:pPr>
          </w:p>
        </w:tc>
        <w:tc>
          <w:tcPr>
            <w:tcW w:w="400" w:type="dxa"/>
            <w:vAlign w:val="bottom"/>
            <w:tcBorders>
              <w:bottom w:val="single" w:sz="8" w:color="auto"/>
            </w:tcBorders>
            <w:shd w:val="clear" w:color="auto" w:fill="CCEEFF"/>
          </w:tcPr>
          <w:p>
            <w:pPr>
              <w:spacing w:after="0" w:line="129" w:lineRule="exact"/>
              <w:rPr>
                <w:sz w:val="20"/>
                <w:szCs w:val="20"/>
                <w:color w:val="auto"/>
              </w:rPr>
            </w:pPr>
            <w:r>
              <w:rPr>
                <w:rFonts w:ascii="Arial" w:cs="Arial" w:eastAsia="Arial" w:hAnsi="Arial"/>
                <w:sz w:val="14"/>
                <w:szCs w:val="14"/>
                <w:color w:val="auto"/>
              </w:rPr>
              <w:t>$</w:t>
            </w:r>
          </w:p>
        </w:tc>
        <w:tc>
          <w:tcPr>
            <w:tcW w:w="700" w:type="dxa"/>
            <w:vAlign w:val="bottom"/>
            <w:tcBorders>
              <w:bottom w:val="single" w:sz="8" w:color="auto"/>
            </w:tcBorders>
            <w:shd w:val="clear" w:color="auto" w:fill="CCEEFF"/>
          </w:tcPr>
          <w:p>
            <w:pPr>
              <w:jc w:val="right"/>
              <w:spacing w:after="0" w:line="129" w:lineRule="exact"/>
              <w:rPr>
                <w:sz w:val="20"/>
                <w:szCs w:val="20"/>
                <w:color w:val="auto"/>
              </w:rPr>
            </w:pPr>
            <w:r>
              <w:rPr>
                <w:rFonts w:ascii="Arial" w:cs="Arial" w:eastAsia="Arial" w:hAnsi="Arial"/>
                <w:sz w:val="14"/>
                <w:szCs w:val="14"/>
                <w:color w:val="auto"/>
              </w:rPr>
              <w:t>1.19</w:t>
            </w:r>
          </w:p>
        </w:tc>
        <w:tc>
          <w:tcPr>
            <w:tcW w:w="80" w:type="dxa"/>
            <w:vAlign w:val="bottom"/>
            <w:tcBorders>
              <w:bottom w:val="single" w:sz="8" w:color="CCEEFF"/>
            </w:tcBorders>
            <w:shd w:val="clear" w:color="auto" w:fill="CCEEFF"/>
          </w:tcPr>
          <w:p>
            <w:pPr>
              <w:spacing w:after="0"/>
              <w:rPr>
                <w:sz w:val="16"/>
                <w:szCs w:val="16"/>
                <w:color w:val="auto"/>
              </w:rPr>
            </w:pPr>
          </w:p>
        </w:tc>
        <w:tc>
          <w:tcPr>
            <w:tcW w:w="260" w:type="dxa"/>
            <w:vAlign w:val="bottom"/>
            <w:tcBorders>
              <w:bottom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129"/>
        </w:trPr>
        <w:tc>
          <w:tcPr>
            <w:tcW w:w="5200" w:type="dxa"/>
            <w:vAlign w:val="bottom"/>
          </w:tcPr>
          <w:p>
            <w:pPr>
              <w:ind w:left="180"/>
              <w:spacing w:after="0" w:line="129" w:lineRule="exact"/>
              <w:rPr>
                <w:sz w:val="20"/>
                <w:szCs w:val="20"/>
                <w:color w:val="auto"/>
              </w:rPr>
            </w:pPr>
            <w:r>
              <w:rPr>
                <w:rFonts w:ascii="Arial" w:cs="Arial" w:eastAsia="Arial" w:hAnsi="Arial"/>
                <w:sz w:val="14"/>
                <w:szCs w:val="14"/>
                <w:color w:val="auto"/>
              </w:rPr>
              <w:t>Diluted</w:t>
            </w:r>
          </w:p>
        </w:tc>
        <w:tc>
          <w:tcPr>
            <w:tcW w:w="220" w:type="dxa"/>
            <w:vAlign w:val="bottom"/>
            <w:tcBorders>
              <w:bottom w:val="single" w:sz="8" w:color="auto"/>
            </w:tcBorders>
          </w:tcPr>
          <w:p>
            <w:pPr>
              <w:jc w:val="right"/>
              <w:ind w:right="109"/>
              <w:spacing w:after="0"/>
              <w:rPr>
                <w:sz w:val="20"/>
                <w:szCs w:val="20"/>
                <w:color w:val="auto"/>
              </w:rPr>
            </w:pPr>
            <w:r>
              <w:rPr>
                <w:rFonts w:ascii="Arial" w:cs="Arial" w:eastAsia="Arial" w:hAnsi="Arial"/>
                <w:sz w:val="10"/>
                <w:szCs w:val="10"/>
                <w:color w:val="auto"/>
                <w:w w:val="71"/>
              </w:rPr>
              <w:t>$</w:t>
            </w:r>
          </w:p>
        </w:tc>
        <w:tc>
          <w:tcPr>
            <w:tcW w:w="880" w:type="dxa"/>
            <w:vAlign w:val="bottom"/>
            <w:tcBorders>
              <w:bottom w:val="single" w:sz="8" w:color="auto"/>
            </w:tcBorders>
            <w:gridSpan w:val="2"/>
          </w:tcPr>
          <w:p>
            <w:pPr>
              <w:jc w:val="right"/>
              <w:ind w:right="20"/>
              <w:spacing w:after="0" w:line="129" w:lineRule="exact"/>
              <w:rPr>
                <w:sz w:val="20"/>
                <w:szCs w:val="20"/>
                <w:color w:val="auto"/>
              </w:rPr>
            </w:pPr>
            <w:r>
              <w:rPr>
                <w:rFonts w:ascii="Arial" w:cs="Arial" w:eastAsia="Arial" w:hAnsi="Arial"/>
                <w:sz w:val="14"/>
                <w:szCs w:val="14"/>
                <w:color w:val="auto"/>
              </w:rPr>
              <w:t>0.88</w:t>
            </w:r>
          </w:p>
        </w:tc>
        <w:tc>
          <w:tcPr>
            <w:tcW w:w="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300" w:type="dxa"/>
            <w:vAlign w:val="bottom"/>
            <w:tcBorders>
              <w:bottom w:val="single" w:sz="8" w:color="auto"/>
            </w:tcBorders>
          </w:tcPr>
          <w:p>
            <w:pPr>
              <w:jc w:val="right"/>
              <w:ind w:right="189"/>
              <w:spacing w:after="0"/>
              <w:rPr>
                <w:sz w:val="20"/>
                <w:szCs w:val="20"/>
                <w:color w:val="auto"/>
              </w:rPr>
            </w:pPr>
            <w:r>
              <w:rPr>
                <w:rFonts w:ascii="Arial" w:cs="Arial" w:eastAsia="Arial" w:hAnsi="Arial"/>
                <w:sz w:val="10"/>
                <w:szCs w:val="10"/>
                <w:color w:val="auto"/>
                <w:w w:val="71"/>
              </w:rPr>
              <w:t>$</w:t>
            </w:r>
          </w:p>
        </w:tc>
        <w:tc>
          <w:tcPr>
            <w:tcW w:w="78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0.45</w:t>
            </w:r>
          </w:p>
        </w:tc>
        <w:tc>
          <w:tcPr>
            <w:tcW w:w="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240" w:type="dxa"/>
            <w:vAlign w:val="bottom"/>
            <w:tcBorders>
              <w:bottom w:val="single" w:sz="8" w:color="auto"/>
            </w:tcBorders>
          </w:tcPr>
          <w:p>
            <w:pPr>
              <w:ind w:left="20"/>
              <w:spacing w:after="0" w:line="129" w:lineRule="exact"/>
              <w:rPr>
                <w:sz w:val="20"/>
                <w:szCs w:val="20"/>
                <w:color w:val="auto"/>
              </w:rPr>
            </w:pPr>
            <w:r>
              <w:rPr>
                <w:rFonts w:ascii="Arial" w:cs="Arial" w:eastAsia="Arial" w:hAnsi="Arial"/>
                <w:sz w:val="14"/>
                <w:szCs w:val="14"/>
                <w:color w:val="auto"/>
              </w:rPr>
              <w:t>$</w:t>
            </w:r>
          </w:p>
        </w:tc>
        <w:tc>
          <w:tcPr>
            <w:tcW w:w="86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2.47</w:t>
            </w:r>
          </w:p>
        </w:tc>
        <w:tc>
          <w:tcPr>
            <w:tcW w:w="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0" w:type="dxa"/>
            <w:vAlign w:val="bottom"/>
            <w:tcBorders>
              <w:bottom w:val="single" w:sz="8" w:color="auto"/>
            </w:tcBorders>
          </w:tcPr>
          <w:p>
            <w:pPr>
              <w:spacing w:after="0" w:line="129" w:lineRule="exact"/>
              <w:rPr>
                <w:sz w:val="20"/>
                <w:szCs w:val="20"/>
                <w:color w:val="auto"/>
              </w:rPr>
            </w:pPr>
            <w:r>
              <w:rPr>
                <w:rFonts w:ascii="Arial" w:cs="Arial" w:eastAsia="Arial" w:hAnsi="Arial"/>
                <w:sz w:val="14"/>
                <w:szCs w:val="14"/>
                <w:color w:val="auto"/>
              </w:rPr>
              <w:t>$</w:t>
            </w:r>
          </w:p>
        </w:tc>
        <w:tc>
          <w:tcPr>
            <w:tcW w:w="700" w:type="dxa"/>
            <w:vAlign w:val="bottom"/>
            <w:tcBorders>
              <w:bottom w:val="single" w:sz="8" w:color="auto"/>
            </w:tcBorders>
          </w:tcPr>
          <w:p>
            <w:pPr>
              <w:jc w:val="right"/>
              <w:spacing w:after="0" w:line="129" w:lineRule="exact"/>
              <w:rPr>
                <w:sz w:val="20"/>
                <w:szCs w:val="20"/>
                <w:color w:val="auto"/>
              </w:rPr>
            </w:pPr>
            <w:r>
              <w:rPr>
                <w:rFonts w:ascii="Arial" w:cs="Arial" w:eastAsia="Arial" w:hAnsi="Arial"/>
                <w:sz w:val="14"/>
                <w:szCs w:val="14"/>
                <w:color w:val="auto"/>
              </w:rPr>
              <w:t>1.14</w:t>
            </w: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52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0</wp:posOffset>
            </wp:positionV>
            <wp:extent cx="7132320" cy="939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2320" cy="93980"/>
                    </a:xfrm>
                    <a:prstGeom prst="rect">
                      <a:avLst/>
                    </a:prstGeom>
                    <a:noFill/>
                  </pic:spPr>
                </pic:pic>
              </a:graphicData>
            </a:graphic>
          </wp:anchor>
        </w:drawing>
      </w:r>
    </w:p>
    <w:p>
      <w:pPr>
        <w:sectPr>
          <w:pgSz w:w="11900" w:h="16838" w:orient="portrait"/>
          <w:cols w:equalWidth="0" w:num="1">
            <w:col w:w="11240"/>
          </w:cols>
          <w:pgMar w:left="320" w:top="580" w:right="339" w:bottom="1440" w:gutter="0" w:footer="0" w:header="0"/>
        </w:sectPr>
      </w:pPr>
    </w:p>
    <w:p>
      <w:pPr>
        <w:spacing w:after="0" w:line="129" w:lineRule="exact"/>
        <w:rPr>
          <w:sz w:val="20"/>
          <w:szCs w:val="20"/>
          <w:color w:val="auto"/>
        </w:rPr>
      </w:pPr>
    </w:p>
    <w:p>
      <w:pPr>
        <w:spacing w:after="0"/>
        <w:rPr>
          <w:sz w:val="20"/>
          <w:szCs w:val="20"/>
          <w:color w:val="auto"/>
        </w:rPr>
      </w:pPr>
      <w:r>
        <w:rPr>
          <w:rFonts w:ascii="Arial" w:cs="Arial" w:eastAsia="Arial" w:hAnsi="Arial"/>
          <w:sz w:val="14"/>
          <w:szCs w:val="14"/>
          <w:color w:val="auto"/>
        </w:rPr>
        <w:t>GAAP gross margin as a % of revenue</w:t>
      </w:r>
    </w:p>
    <w:p>
      <w:pPr>
        <w:spacing w:after="0"/>
        <w:rPr>
          <w:sz w:val="20"/>
          <w:szCs w:val="20"/>
          <w:color w:val="auto"/>
        </w:rPr>
      </w:pPr>
      <w:r>
        <w:rPr>
          <w:rFonts w:ascii="Arial" w:cs="Arial" w:eastAsia="Arial" w:hAnsi="Arial"/>
          <w:sz w:val="14"/>
          <w:szCs w:val="14"/>
          <w:color w:val="auto"/>
        </w:rPr>
        <w:t>Stock-based compensation</w:t>
      </w:r>
    </w:p>
    <w:p>
      <w:pPr>
        <w:spacing w:after="0" w:line="1" w:lineRule="exact"/>
        <w:rPr>
          <w:sz w:val="20"/>
          <w:szCs w:val="20"/>
          <w:color w:val="auto"/>
        </w:rPr>
      </w:pPr>
    </w:p>
    <w:p>
      <w:pPr>
        <w:ind w:right="1000"/>
        <w:spacing w:after="0" w:line="295" w:lineRule="auto"/>
        <w:rPr>
          <w:sz w:val="20"/>
          <w:szCs w:val="20"/>
          <w:color w:val="auto"/>
        </w:rPr>
      </w:pPr>
      <w:r>
        <w:rPr>
          <w:rFonts w:ascii="Arial" w:cs="Arial" w:eastAsia="Arial" w:hAnsi="Arial"/>
          <w:sz w:val="14"/>
          <w:szCs w:val="14"/>
          <w:color w:val="auto"/>
        </w:rPr>
        <w:t>Amortization of inventory fair value step-up and intangibles Non-GAAP gross margin as a % of revenue</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540" w:type="dxa"/>
            <w:vAlign w:val="bottom"/>
            <w:gridSpan w:val="2"/>
          </w:tcPr>
          <w:p>
            <w:pPr>
              <w:jc w:val="right"/>
              <w:ind w:right="340"/>
              <w:spacing w:after="0"/>
              <w:rPr>
                <w:sz w:val="20"/>
                <w:szCs w:val="20"/>
                <w:color w:val="auto"/>
              </w:rPr>
            </w:pPr>
            <w:r>
              <w:rPr>
                <w:rFonts w:ascii="Arial" w:cs="Arial" w:eastAsia="Arial" w:hAnsi="Arial"/>
                <w:sz w:val="14"/>
                <w:szCs w:val="14"/>
                <w:color w:val="auto"/>
              </w:rPr>
              <w:t>56.2%</w:t>
            </w:r>
          </w:p>
        </w:tc>
        <w:tc>
          <w:tcPr>
            <w:tcW w:w="1520" w:type="dxa"/>
            <w:vAlign w:val="bottom"/>
            <w:gridSpan w:val="2"/>
          </w:tcPr>
          <w:p>
            <w:pPr>
              <w:jc w:val="right"/>
              <w:ind w:right="320"/>
              <w:spacing w:after="0"/>
              <w:rPr>
                <w:sz w:val="20"/>
                <w:szCs w:val="20"/>
                <w:color w:val="auto"/>
              </w:rPr>
            </w:pPr>
            <w:r>
              <w:rPr>
                <w:rFonts w:ascii="Arial" w:cs="Arial" w:eastAsia="Arial" w:hAnsi="Arial"/>
                <w:sz w:val="14"/>
                <w:szCs w:val="14"/>
                <w:color w:val="auto"/>
              </w:rPr>
              <w:t>57.8%</w:t>
            </w:r>
          </w:p>
        </w:tc>
        <w:tc>
          <w:tcPr>
            <w:tcW w:w="1540" w:type="dxa"/>
            <w:vAlign w:val="bottom"/>
            <w:gridSpan w:val="2"/>
          </w:tcPr>
          <w:p>
            <w:pPr>
              <w:jc w:val="right"/>
              <w:ind w:right="320"/>
              <w:spacing w:after="0"/>
              <w:rPr>
                <w:sz w:val="20"/>
                <w:szCs w:val="20"/>
                <w:color w:val="auto"/>
              </w:rPr>
            </w:pPr>
            <w:r>
              <w:rPr>
                <w:rFonts w:ascii="Arial" w:cs="Arial" w:eastAsia="Arial" w:hAnsi="Arial"/>
                <w:sz w:val="14"/>
                <w:szCs w:val="14"/>
                <w:color w:val="auto"/>
              </w:rPr>
              <w:t>54.1%</w:t>
            </w:r>
          </w:p>
        </w:tc>
        <w:tc>
          <w:tcPr>
            <w:tcW w:w="1220" w:type="dxa"/>
            <w:vAlign w:val="bottom"/>
            <w:gridSpan w:val="2"/>
          </w:tcPr>
          <w:p>
            <w:pPr>
              <w:jc w:val="right"/>
              <w:spacing w:after="0"/>
              <w:rPr>
                <w:sz w:val="20"/>
                <w:szCs w:val="20"/>
                <w:color w:val="auto"/>
              </w:rPr>
            </w:pPr>
            <w:r>
              <w:rPr>
                <w:rFonts w:ascii="Arial" w:cs="Arial" w:eastAsia="Arial" w:hAnsi="Arial"/>
                <w:sz w:val="14"/>
                <w:szCs w:val="14"/>
                <w:color w:val="auto"/>
              </w:rPr>
              <w:t>57.6%</w:t>
            </w:r>
          </w:p>
        </w:tc>
      </w:tr>
      <w:tr>
        <w:trPr>
          <w:trHeight w:val="148"/>
        </w:trPr>
        <w:tc>
          <w:tcPr>
            <w:tcW w:w="1540" w:type="dxa"/>
            <w:vAlign w:val="bottom"/>
            <w:gridSpan w:val="2"/>
          </w:tcPr>
          <w:p>
            <w:pPr>
              <w:jc w:val="right"/>
              <w:ind w:right="340"/>
              <w:spacing w:after="0" w:line="149" w:lineRule="exact"/>
              <w:rPr>
                <w:sz w:val="20"/>
                <w:szCs w:val="20"/>
                <w:color w:val="auto"/>
              </w:rPr>
            </w:pPr>
            <w:r>
              <w:rPr>
                <w:rFonts w:ascii="Arial" w:cs="Arial" w:eastAsia="Arial" w:hAnsi="Arial"/>
                <w:sz w:val="14"/>
                <w:szCs w:val="14"/>
                <w:color w:val="auto"/>
              </w:rPr>
              <w:t>1.2%</w:t>
            </w:r>
          </w:p>
        </w:tc>
        <w:tc>
          <w:tcPr>
            <w:tcW w:w="152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2.1%</w:t>
            </w:r>
          </w:p>
        </w:tc>
        <w:tc>
          <w:tcPr>
            <w:tcW w:w="1540" w:type="dxa"/>
            <w:vAlign w:val="bottom"/>
            <w:gridSpan w:val="2"/>
          </w:tcPr>
          <w:p>
            <w:pPr>
              <w:jc w:val="right"/>
              <w:ind w:right="320"/>
              <w:spacing w:after="0" w:line="149" w:lineRule="exact"/>
              <w:rPr>
                <w:sz w:val="20"/>
                <w:szCs w:val="20"/>
                <w:color w:val="auto"/>
              </w:rPr>
            </w:pPr>
            <w:r>
              <w:rPr>
                <w:rFonts w:ascii="Arial" w:cs="Arial" w:eastAsia="Arial" w:hAnsi="Arial"/>
                <w:sz w:val="14"/>
                <w:szCs w:val="14"/>
                <w:color w:val="auto"/>
              </w:rPr>
              <w:t>1.2%</w:t>
            </w:r>
          </w:p>
        </w:tc>
        <w:tc>
          <w:tcPr>
            <w:tcW w:w="1220" w:type="dxa"/>
            <w:vAlign w:val="bottom"/>
            <w:gridSpan w:val="2"/>
          </w:tcPr>
          <w:p>
            <w:pPr>
              <w:jc w:val="right"/>
              <w:spacing w:after="0" w:line="149" w:lineRule="exact"/>
              <w:rPr>
                <w:sz w:val="20"/>
                <w:szCs w:val="20"/>
                <w:color w:val="auto"/>
              </w:rPr>
            </w:pPr>
            <w:r>
              <w:rPr>
                <w:rFonts w:ascii="Arial" w:cs="Arial" w:eastAsia="Arial" w:hAnsi="Arial"/>
                <w:sz w:val="14"/>
                <w:szCs w:val="14"/>
                <w:color w:val="auto"/>
              </w:rPr>
              <w:t>1.7%</w:t>
            </w:r>
          </w:p>
        </w:tc>
      </w:tr>
      <w:tr>
        <w:trPr>
          <w:trHeight w:val="167"/>
        </w:trPr>
        <w:tc>
          <w:tcPr>
            <w:tcW w:w="1540" w:type="dxa"/>
            <w:vAlign w:val="bottom"/>
            <w:gridSpan w:val="2"/>
          </w:tcPr>
          <w:p>
            <w:pPr>
              <w:jc w:val="right"/>
              <w:ind w:right="340"/>
              <w:spacing w:after="0"/>
              <w:rPr>
                <w:sz w:val="20"/>
                <w:szCs w:val="20"/>
                <w:color w:val="auto"/>
              </w:rPr>
            </w:pPr>
            <w:r>
              <w:rPr>
                <w:rFonts w:ascii="Arial" w:cs="Arial" w:eastAsia="Arial" w:hAnsi="Arial"/>
                <w:sz w:val="14"/>
                <w:szCs w:val="14"/>
                <w:color w:val="auto"/>
              </w:rPr>
              <w:t>6.8%</w:t>
            </w:r>
          </w:p>
        </w:tc>
        <w:tc>
          <w:tcPr>
            <w:tcW w:w="1520" w:type="dxa"/>
            <w:vAlign w:val="bottom"/>
            <w:gridSpan w:val="2"/>
          </w:tcPr>
          <w:p>
            <w:pPr>
              <w:jc w:val="right"/>
              <w:ind w:right="320"/>
              <w:spacing w:after="0"/>
              <w:rPr>
                <w:sz w:val="20"/>
                <w:szCs w:val="20"/>
                <w:color w:val="auto"/>
              </w:rPr>
            </w:pPr>
            <w:r>
              <w:rPr>
                <w:rFonts w:ascii="Arial" w:cs="Arial" w:eastAsia="Arial" w:hAnsi="Arial"/>
                <w:sz w:val="14"/>
                <w:szCs w:val="14"/>
                <w:color w:val="auto"/>
              </w:rPr>
              <w:t>10.3%</w:t>
            </w:r>
          </w:p>
        </w:tc>
        <w:tc>
          <w:tcPr>
            <w:tcW w:w="1540" w:type="dxa"/>
            <w:vAlign w:val="bottom"/>
            <w:gridSpan w:val="2"/>
          </w:tcPr>
          <w:p>
            <w:pPr>
              <w:jc w:val="right"/>
              <w:ind w:right="320"/>
              <w:spacing w:after="0"/>
              <w:rPr>
                <w:sz w:val="20"/>
                <w:szCs w:val="20"/>
                <w:color w:val="auto"/>
              </w:rPr>
            </w:pPr>
            <w:r>
              <w:rPr>
                <w:rFonts w:ascii="Arial" w:cs="Arial" w:eastAsia="Arial" w:hAnsi="Arial"/>
                <w:sz w:val="14"/>
                <w:szCs w:val="14"/>
                <w:color w:val="auto"/>
              </w:rPr>
              <w:t>8.8%</w:t>
            </w:r>
          </w:p>
        </w:tc>
        <w:tc>
          <w:tcPr>
            <w:tcW w:w="1220" w:type="dxa"/>
            <w:vAlign w:val="bottom"/>
            <w:gridSpan w:val="2"/>
          </w:tcPr>
          <w:p>
            <w:pPr>
              <w:jc w:val="right"/>
              <w:spacing w:after="0"/>
              <w:rPr>
                <w:sz w:val="20"/>
                <w:szCs w:val="20"/>
                <w:color w:val="auto"/>
              </w:rPr>
            </w:pPr>
            <w:r>
              <w:rPr>
                <w:rFonts w:ascii="Arial" w:cs="Arial" w:eastAsia="Arial" w:hAnsi="Arial"/>
                <w:sz w:val="14"/>
                <w:szCs w:val="14"/>
                <w:color w:val="auto"/>
              </w:rPr>
              <w:t>11.0%</w:t>
            </w:r>
          </w:p>
        </w:tc>
      </w:tr>
      <w:tr>
        <w:trPr>
          <w:trHeight w:val="20"/>
        </w:trPr>
        <w:tc>
          <w:tcPr>
            <w:tcW w:w="10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142"/>
        </w:trPr>
        <w:tc>
          <w:tcPr>
            <w:tcW w:w="1540" w:type="dxa"/>
            <w:vAlign w:val="bottom"/>
            <w:gridSpan w:val="2"/>
          </w:tcPr>
          <w:p>
            <w:pPr>
              <w:jc w:val="right"/>
              <w:ind w:right="340"/>
              <w:spacing w:after="0" w:line="142" w:lineRule="exact"/>
              <w:rPr>
                <w:sz w:val="20"/>
                <w:szCs w:val="20"/>
                <w:color w:val="auto"/>
              </w:rPr>
            </w:pPr>
            <w:r>
              <w:rPr>
                <w:rFonts w:ascii="Arial" w:cs="Arial" w:eastAsia="Arial" w:hAnsi="Arial"/>
                <w:sz w:val="14"/>
                <w:szCs w:val="14"/>
                <w:color w:val="auto"/>
              </w:rPr>
              <w:t>64.2%</w:t>
            </w:r>
          </w:p>
        </w:tc>
        <w:tc>
          <w:tcPr>
            <w:tcW w:w="1520" w:type="dxa"/>
            <w:vAlign w:val="bottom"/>
            <w:gridSpan w:val="2"/>
          </w:tcPr>
          <w:p>
            <w:pPr>
              <w:jc w:val="right"/>
              <w:ind w:right="320"/>
              <w:spacing w:after="0" w:line="142" w:lineRule="exact"/>
              <w:rPr>
                <w:sz w:val="20"/>
                <w:szCs w:val="20"/>
                <w:color w:val="auto"/>
              </w:rPr>
            </w:pPr>
            <w:r>
              <w:rPr>
                <w:rFonts w:ascii="Arial" w:cs="Arial" w:eastAsia="Arial" w:hAnsi="Arial"/>
                <w:sz w:val="14"/>
                <w:szCs w:val="14"/>
                <w:color w:val="auto"/>
              </w:rPr>
              <w:t>70.2%</w:t>
            </w:r>
          </w:p>
        </w:tc>
        <w:tc>
          <w:tcPr>
            <w:tcW w:w="1540" w:type="dxa"/>
            <w:vAlign w:val="bottom"/>
            <w:gridSpan w:val="2"/>
          </w:tcPr>
          <w:p>
            <w:pPr>
              <w:jc w:val="right"/>
              <w:ind w:right="320"/>
              <w:spacing w:after="0" w:line="142" w:lineRule="exact"/>
              <w:rPr>
                <w:sz w:val="20"/>
                <w:szCs w:val="20"/>
                <w:color w:val="auto"/>
              </w:rPr>
            </w:pPr>
            <w:r>
              <w:rPr>
                <w:rFonts w:ascii="Arial" w:cs="Arial" w:eastAsia="Arial" w:hAnsi="Arial"/>
                <w:sz w:val="14"/>
                <w:szCs w:val="14"/>
                <w:color w:val="auto"/>
              </w:rPr>
              <w:t>64.1%</w:t>
            </w:r>
          </w:p>
        </w:tc>
        <w:tc>
          <w:tcPr>
            <w:tcW w:w="1220" w:type="dxa"/>
            <w:vAlign w:val="bottom"/>
            <w:gridSpan w:val="2"/>
          </w:tcPr>
          <w:p>
            <w:pPr>
              <w:jc w:val="right"/>
              <w:spacing w:after="0" w:line="142" w:lineRule="exact"/>
              <w:rPr>
                <w:sz w:val="20"/>
                <w:szCs w:val="20"/>
                <w:color w:val="auto"/>
              </w:rPr>
            </w:pPr>
            <w:r>
              <w:rPr>
                <w:rFonts w:ascii="Arial" w:cs="Arial" w:eastAsia="Arial" w:hAnsi="Arial"/>
                <w:sz w:val="14"/>
                <w:szCs w:val="14"/>
                <w:color w:val="auto"/>
              </w:rPr>
              <w:t>70.3%</w:t>
            </w:r>
          </w:p>
        </w:tc>
      </w:tr>
      <w:tr>
        <w:trPr>
          <w:trHeight w:val="20"/>
        </w:trPr>
        <w:tc>
          <w:tcPr>
            <w:tcW w:w="10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-3296285</wp:posOffset>
            </wp:positionH>
            <wp:positionV relativeFrom="paragraph">
              <wp:posOffset>-316865</wp:posOffset>
            </wp:positionV>
            <wp:extent cx="7132320" cy="9461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2320" cy="94615"/>
                    </a:xfrm>
                    <a:prstGeom prst="rect">
                      <a:avLst/>
                    </a:prstGeom>
                    <a:noFill/>
                  </pic:spPr>
                </pic:pic>
              </a:graphicData>
            </a:graphic>
          </wp:anchor>
        </w:drawing>
        <w:drawing>
          <wp:anchor simplePos="0" relativeHeight="251657728" behindDoc="1" locked="0" layoutInCell="0" allowOverlap="1">
            <wp:simplePos x="0" y="0"/>
            <wp:positionH relativeFrom="column">
              <wp:posOffset>-3296285</wp:posOffset>
            </wp:positionH>
            <wp:positionV relativeFrom="paragraph">
              <wp:posOffset>-119380</wp:posOffset>
            </wp:positionV>
            <wp:extent cx="7132320" cy="12001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2320" cy="120015"/>
                    </a:xfrm>
                    <a:prstGeom prst="rect">
                      <a:avLst/>
                    </a:prstGeom>
                    <a:noFill/>
                  </pic:spPr>
                </pic:pic>
              </a:graphicData>
            </a:graphic>
          </wp:anchor>
        </w:drawing>
        <w:drawing>
          <wp:anchor simplePos="0" relativeHeight="251657728" behindDoc="1" locked="0" layoutInCell="0" allowOverlap="1">
            <wp:simplePos x="0" y="0"/>
            <wp:positionH relativeFrom="column">
              <wp:posOffset>-3296285</wp:posOffset>
            </wp:positionH>
            <wp:positionV relativeFrom="paragraph">
              <wp:posOffset>360045</wp:posOffset>
            </wp:positionV>
            <wp:extent cx="7132320" cy="171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2">
            <w:col w:w="4480" w:space="720"/>
            <w:col w:w="6040"/>
          </w:cols>
          <w:pgMar w:left="320" w:top="580" w:right="339" w:bottom="1440" w:gutter="0" w:footer="0" w:header="0"/>
          <w:type w:val="continuous"/>
        </w:sectPr>
      </w:pPr>
    </w:p>
    <w:bookmarkStart w:id="12" w:name="page13"/>
    <w:bookmarkEnd w:id="12"/>
    <w:p>
      <w:pPr>
        <w:ind w:left="332" w:right="140" w:hanging="332"/>
        <w:spacing w:after="0" w:line="291" w:lineRule="auto"/>
        <w:tabs>
          <w:tab w:leader="none" w:pos="332" w:val="left"/>
        </w:tabs>
        <w:numPr>
          <w:ilvl w:val="0"/>
          <w:numId w:val="4"/>
        </w:numPr>
        <w:rPr>
          <w:rFonts w:ascii="Arial" w:cs="Arial" w:eastAsia="Arial" w:hAnsi="Arial"/>
          <w:sz w:val="16"/>
          <w:szCs w:val="16"/>
          <w:color w:val="auto"/>
        </w:rPr>
      </w:pPr>
      <w:r>
        <w:rPr>
          <w:rFonts w:ascii="Arial" w:cs="Arial" w:eastAsia="Arial" w:hAnsi="Arial"/>
          <w:sz w:val="16"/>
          <w:szCs w:val="16"/>
          <w:color w:val="auto"/>
        </w:rPr>
        <w:t>Reflects the stock-based compensation expense recorded relating to stock-based awards. The Company excludes this item when it evaluates the continuing operational performance of the Company as management believes this GAAP measure is not indicative of its core operating performance.</w:t>
      </w:r>
    </w:p>
    <w:p>
      <w:pPr>
        <w:ind w:left="332" w:right="160" w:hanging="332"/>
        <w:spacing w:after="0" w:line="250" w:lineRule="auto"/>
        <w:tabs>
          <w:tab w:leader="none" w:pos="332" w:val="left"/>
        </w:tabs>
        <w:numPr>
          <w:ilvl w:val="0"/>
          <w:numId w:val="4"/>
        </w:numPr>
        <w:rPr>
          <w:rFonts w:ascii="Arial" w:cs="Arial" w:eastAsia="Arial" w:hAnsi="Arial"/>
          <w:sz w:val="18"/>
          <w:szCs w:val="18"/>
          <w:color w:val="auto"/>
        </w:rPr>
      </w:pPr>
      <w:r>
        <w:rPr>
          <w:rFonts w:ascii="Arial" w:cs="Arial" w:eastAsia="Arial" w:hAnsi="Arial"/>
          <w:sz w:val="18"/>
          <w:szCs w:val="18"/>
          <w:color w:val="auto"/>
        </w:rPr>
        <w:t>Reflects the cost of goods sold fair value amortization of inventory step-up related to acquisitions. The Company excludes these items when it evaluates the continuing operational performance of the Company as management believes this GAAP measure is not indicative of its core operating performance.</w:t>
      </w:r>
    </w:p>
    <w:p>
      <w:pPr>
        <w:spacing w:after="0" w:line="1" w:lineRule="exact"/>
        <w:rPr>
          <w:rFonts w:ascii="Arial" w:cs="Arial" w:eastAsia="Arial" w:hAnsi="Arial"/>
          <w:sz w:val="18"/>
          <w:szCs w:val="18"/>
          <w:color w:val="auto"/>
        </w:rPr>
      </w:pPr>
    </w:p>
    <w:p>
      <w:pPr>
        <w:ind w:left="332" w:right="760" w:hanging="332"/>
        <w:spacing w:after="0" w:line="281" w:lineRule="auto"/>
        <w:tabs>
          <w:tab w:leader="none" w:pos="332" w:val="left"/>
        </w:tabs>
        <w:numPr>
          <w:ilvl w:val="0"/>
          <w:numId w:val="4"/>
        </w:numPr>
        <w:rPr>
          <w:rFonts w:ascii="Arial" w:cs="Arial" w:eastAsia="Arial" w:hAnsi="Arial"/>
          <w:sz w:val="16"/>
          <w:szCs w:val="16"/>
          <w:color w:val="auto"/>
        </w:rPr>
      </w:pPr>
      <w:r>
        <w:rPr>
          <w:rFonts w:ascii="Arial" w:cs="Arial" w:eastAsia="Arial" w:hAnsi="Arial"/>
          <w:sz w:val="16"/>
          <w:szCs w:val="16"/>
          <w:color w:val="auto"/>
        </w:rPr>
        <w:t>Reflects the fair value amortization of intangibles related to acquisition. The Company excludes these items when it evaluates the continuing operational performance of the Company as management believes this GAAP measure is not indicative of its core operating performance.</w:t>
      </w:r>
    </w:p>
    <w:p>
      <w:pPr>
        <w:spacing w:after="0" w:line="1" w:lineRule="exact"/>
        <w:rPr>
          <w:rFonts w:ascii="Arial" w:cs="Arial" w:eastAsia="Arial" w:hAnsi="Arial"/>
          <w:sz w:val="16"/>
          <w:szCs w:val="16"/>
          <w:color w:val="auto"/>
        </w:rPr>
      </w:pPr>
    </w:p>
    <w:p>
      <w:pPr>
        <w:ind w:left="332" w:right="660" w:hanging="332"/>
        <w:spacing w:after="0" w:line="281" w:lineRule="auto"/>
        <w:tabs>
          <w:tab w:leader="none" w:pos="332" w:val="left"/>
        </w:tabs>
        <w:numPr>
          <w:ilvl w:val="0"/>
          <w:numId w:val="4"/>
        </w:numPr>
        <w:rPr>
          <w:rFonts w:ascii="Arial" w:cs="Arial" w:eastAsia="Arial" w:hAnsi="Arial"/>
          <w:sz w:val="16"/>
          <w:szCs w:val="16"/>
          <w:color w:val="auto"/>
        </w:rPr>
      </w:pPr>
      <w:r>
        <w:rPr>
          <w:rFonts w:ascii="Arial" w:cs="Arial" w:eastAsia="Arial" w:hAnsi="Arial"/>
          <w:sz w:val="16"/>
          <w:szCs w:val="16"/>
          <w:color w:val="auto"/>
        </w:rPr>
        <w:t>Reflects the fair value depreciation of fixed assets related to acquisitions. The Company excludes these items when it evaluates the continuing operational performance of the Company as management believes this GAAP measure is not indicative of its core operating performance.</w:t>
      </w:r>
    </w:p>
    <w:p>
      <w:pPr>
        <w:spacing w:after="0" w:line="1" w:lineRule="exact"/>
        <w:rPr>
          <w:rFonts w:ascii="Arial" w:cs="Arial" w:eastAsia="Arial" w:hAnsi="Arial"/>
          <w:sz w:val="16"/>
          <w:szCs w:val="16"/>
          <w:color w:val="auto"/>
        </w:rPr>
      </w:pPr>
    </w:p>
    <w:p>
      <w:pPr>
        <w:ind w:left="332" w:right="520" w:hanging="332"/>
        <w:spacing w:after="0" w:line="250" w:lineRule="auto"/>
        <w:tabs>
          <w:tab w:leader="none" w:pos="332" w:val="left"/>
        </w:tabs>
        <w:numPr>
          <w:ilvl w:val="0"/>
          <w:numId w:val="4"/>
        </w:numPr>
        <w:rPr>
          <w:rFonts w:ascii="Arial" w:cs="Arial" w:eastAsia="Arial" w:hAnsi="Arial"/>
          <w:sz w:val="18"/>
          <w:szCs w:val="18"/>
          <w:color w:val="auto"/>
        </w:rPr>
      </w:pPr>
      <w:r>
        <w:rPr>
          <w:rFonts w:ascii="Arial" w:cs="Arial" w:eastAsia="Arial" w:hAnsi="Arial"/>
          <w:sz w:val="18"/>
          <w:szCs w:val="18"/>
          <w:color w:val="auto"/>
        </w:rPr>
        <w:t>Reflects the legal, transition costs and other expenses related to acquisitions. The transition costs also include short-term cash retention bonus payments to eSilicon employees. The Company excludes this item when it evaluates the continuing operational performance of the Company as management believes this GAAP measure is not indicative of its core operating performance.</w:t>
      </w:r>
    </w:p>
    <w:p>
      <w:pPr>
        <w:spacing w:after="0" w:line="1" w:lineRule="exact"/>
        <w:rPr>
          <w:rFonts w:ascii="Arial" w:cs="Arial" w:eastAsia="Arial" w:hAnsi="Arial"/>
          <w:sz w:val="18"/>
          <w:szCs w:val="18"/>
          <w:color w:val="auto"/>
        </w:rPr>
      </w:pPr>
    </w:p>
    <w:p>
      <w:pPr>
        <w:ind w:left="332" w:right="80" w:hanging="332"/>
        <w:spacing w:after="0" w:line="265" w:lineRule="auto"/>
        <w:tabs>
          <w:tab w:leader="none" w:pos="332" w:val="left"/>
        </w:tabs>
        <w:numPr>
          <w:ilvl w:val="0"/>
          <w:numId w:val="4"/>
        </w:numPr>
        <w:rPr>
          <w:rFonts w:ascii="Arial" w:cs="Arial" w:eastAsia="Arial" w:hAnsi="Arial"/>
          <w:sz w:val="17"/>
          <w:szCs w:val="17"/>
          <w:color w:val="auto"/>
        </w:rPr>
      </w:pPr>
      <w:r>
        <w:rPr>
          <w:rFonts w:ascii="Arial" w:cs="Arial" w:eastAsia="Arial" w:hAnsi="Arial"/>
          <w:sz w:val="17"/>
          <w:szCs w:val="17"/>
          <w:color w:val="auto"/>
        </w:rPr>
        <w:t>Reflects the expense on building lease not yet occupied. The Company excludes these items when it evaluates the continuing operational performance of the Company as management believes this GAAP measure is not indicative of its core operating performance.</w:t>
      </w:r>
    </w:p>
    <w:p>
      <w:pPr>
        <w:ind w:left="332" w:right="140" w:hanging="332"/>
        <w:spacing w:after="0" w:line="281" w:lineRule="auto"/>
        <w:tabs>
          <w:tab w:leader="none" w:pos="332" w:val="left"/>
        </w:tabs>
        <w:numPr>
          <w:ilvl w:val="0"/>
          <w:numId w:val="4"/>
        </w:numPr>
        <w:rPr>
          <w:rFonts w:ascii="Arial" w:cs="Arial" w:eastAsia="Arial" w:hAnsi="Arial"/>
          <w:sz w:val="16"/>
          <w:szCs w:val="16"/>
          <w:color w:val="auto"/>
        </w:rPr>
      </w:pPr>
      <w:r>
        <w:rPr>
          <w:rFonts w:ascii="Arial" w:cs="Arial" w:eastAsia="Arial" w:hAnsi="Arial"/>
          <w:sz w:val="16"/>
          <w:szCs w:val="16"/>
          <w:color w:val="auto"/>
        </w:rPr>
        <w:t>Reflects the loss on settlement of certain customer claims from the ClariPhy acquisition. The Company excludes these items when it evaluates the continuing operational performance of the Company as management believes this GAAP measure is not indicative of its core operating performance.</w:t>
      </w:r>
    </w:p>
    <w:p>
      <w:pPr>
        <w:spacing w:after="0" w:line="1" w:lineRule="exact"/>
        <w:rPr>
          <w:rFonts w:ascii="Arial" w:cs="Arial" w:eastAsia="Arial" w:hAnsi="Arial"/>
          <w:sz w:val="16"/>
          <w:szCs w:val="16"/>
          <w:color w:val="auto"/>
        </w:rPr>
      </w:pPr>
    </w:p>
    <w:p>
      <w:pPr>
        <w:ind w:left="332" w:right="140" w:hanging="332"/>
        <w:spacing w:after="0" w:line="265" w:lineRule="auto"/>
        <w:tabs>
          <w:tab w:leader="none" w:pos="332" w:val="left"/>
        </w:tabs>
        <w:numPr>
          <w:ilvl w:val="0"/>
          <w:numId w:val="4"/>
        </w:numPr>
        <w:rPr>
          <w:rFonts w:ascii="Arial" w:cs="Arial" w:eastAsia="Arial" w:hAnsi="Arial"/>
          <w:sz w:val="17"/>
          <w:szCs w:val="17"/>
          <w:color w:val="auto"/>
        </w:rPr>
      </w:pPr>
      <w:r>
        <w:rPr>
          <w:rFonts w:ascii="Arial" w:cs="Arial" w:eastAsia="Arial" w:hAnsi="Arial"/>
          <w:sz w:val="17"/>
          <w:szCs w:val="17"/>
          <w:color w:val="auto"/>
        </w:rPr>
        <w:t>Reflects the accretion and amortization expense on convertible debt. The Company excludes these items when it evaluates the continuing operational performance of the Company as management believes this GAAP measure is not indicative of its core operating performance.</w:t>
      </w:r>
    </w:p>
    <w:p>
      <w:pPr>
        <w:ind w:left="332" w:right="660" w:hanging="332"/>
        <w:spacing w:after="0" w:line="281" w:lineRule="auto"/>
        <w:tabs>
          <w:tab w:leader="none" w:pos="332" w:val="left"/>
        </w:tabs>
        <w:numPr>
          <w:ilvl w:val="0"/>
          <w:numId w:val="4"/>
        </w:numPr>
        <w:rPr>
          <w:rFonts w:ascii="Arial" w:cs="Arial" w:eastAsia="Arial" w:hAnsi="Arial"/>
          <w:sz w:val="16"/>
          <w:szCs w:val="16"/>
          <w:color w:val="auto"/>
        </w:rPr>
      </w:pPr>
      <w:r>
        <w:rPr>
          <w:rFonts w:ascii="Arial" w:cs="Arial" w:eastAsia="Arial" w:hAnsi="Arial"/>
          <w:sz w:val="16"/>
          <w:szCs w:val="16"/>
          <w:color w:val="auto"/>
        </w:rPr>
        <w:t>Reflects the loss on early extinguishment of convertible debt. The Company excludes these items when it evaluates the continuing operational performance of the Company as management believes this GAAP measure is not indicative of its core operating performance.</w:t>
      </w:r>
    </w:p>
    <w:p>
      <w:pPr>
        <w:spacing w:after="0" w:line="1" w:lineRule="exact"/>
        <w:rPr>
          <w:rFonts w:ascii="Arial" w:cs="Arial" w:eastAsia="Arial" w:hAnsi="Arial"/>
          <w:sz w:val="16"/>
          <w:szCs w:val="16"/>
          <w:color w:val="auto"/>
        </w:rPr>
      </w:pPr>
    </w:p>
    <w:p>
      <w:pPr>
        <w:ind w:left="332" w:right="800" w:hanging="332"/>
        <w:spacing w:after="0" w:line="281" w:lineRule="auto"/>
        <w:tabs>
          <w:tab w:leader="none" w:pos="332" w:val="left"/>
        </w:tabs>
        <w:numPr>
          <w:ilvl w:val="0"/>
          <w:numId w:val="4"/>
        </w:numPr>
        <w:rPr>
          <w:rFonts w:ascii="Arial" w:cs="Arial" w:eastAsia="Arial" w:hAnsi="Arial"/>
          <w:sz w:val="16"/>
          <w:szCs w:val="16"/>
          <w:color w:val="auto"/>
        </w:rPr>
      </w:pPr>
      <w:r>
        <w:rPr>
          <w:rFonts w:ascii="Arial" w:cs="Arial" w:eastAsia="Arial" w:hAnsi="Arial"/>
          <w:sz w:val="16"/>
          <w:szCs w:val="16"/>
          <w:color w:val="auto"/>
        </w:rPr>
        <w:t>Reflects the unrealized and realized gain or loss on equity investments. The Company excludes these items when it evaluates the continuing operational performance of the Company as management believes this GAAP measure is not indicative of its core operating performance.</w:t>
      </w:r>
    </w:p>
    <w:p>
      <w:pPr>
        <w:spacing w:after="0" w:line="1" w:lineRule="exact"/>
        <w:rPr>
          <w:rFonts w:ascii="Arial" w:cs="Arial" w:eastAsia="Arial" w:hAnsi="Arial"/>
          <w:sz w:val="16"/>
          <w:szCs w:val="16"/>
          <w:color w:val="auto"/>
        </w:rPr>
      </w:pPr>
    </w:p>
    <w:p>
      <w:pPr>
        <w:ind w:left="332" w:right="140" w:hanging="332"/>
        <w:spacing w:after="0" w:line="281" w:lineRule="auto"/>
        <w:tabs>
          <w:tab w:leader="none" w:pos="332" w:val="left"/>
        </w:tabs>
        <w:numPr>
          <w:ilvl w:val="0"/>
          <w:numId w:val="4"/>
        </w:numPr>
        <w:rPr>
          <w:rFonts w:ascii="Arial" w:cs="Arial" w:eastAsia="Arial" w:hAnsi="Arial"/>
          <w:sz w:val="16"/>
          <w:szCs w:val="16"/>
          <w:color w:val="auto"/>
        </w:rPr>
      </w:pPr>
      <w:r>
        <w:rPr>
          <w:rFonts w:ascii="Arial" w:cs="Arial" w:eastAsia="Arial" w:hAnsi="Arial"/>
          <w:sz w:val="16"/>
          <w:szCs w:val="16"/>
          <w:color w:val="auto"/>
        </w:rPr>
        <w:t>Reflects the loss on disposal of certain property and equipment from the acquisitions. The Company excludes these items when it evaluates the continuing operational performance of the Company as management believes this GAAP measure is not indicative of its core operating performance.</w:t>
      </w:r>
    </w:p>
    <w:p>
      <w:pPr>
        <w:spacing w:after="0" w:line="1" w:lineRule="exact"/>
        <w:rPr>
          <w:rFonts w:ascii="Arial" w:cs="Arial" w:eastAsia="Arial" w:hAnsi="Arial"/>
          <w:sz w:val="16"/>
          <w:szCs w:val="16"/>
          <w:color w:val="auto"/>
        </w:rPr>
      </w:pPr>
    </w:p>
    <w:p>
      <w:pPr>
        <w:ind w:left="332" w:right="500" w:hanging="332"/>
        <w:spacing w:after="0" w:line="281" w:lineRule="auto"/>
        <w:tabs>
          <w:tab w:leader="none" w:pos="332" w:val="left"/>
        </w:tabs>
        <w:numPr>
          <w:ilvl w:val="0"/>
          <w:numId w:val="4"/>
        </w:numPr>
        <w:rPr>
          <w:rFonts w:ascii="Arial" w:cs="Arial" w:eastAsia="Arial" w:hAnsi="Arial"/>
          <w:sz w:val="16"/>
          <w:szCs w:val="16"/>
          <w:color w:val="auto"/>
        </w:rPr>
      </w:pPr>
      <w:r>
        <w:rPr>
          <w:rFonts w:ascii="Arial" w:cs="Arial" w:eastAsia="Arial" w:hAnsi="Arial"/>
          <w:sz w:val="16"/>
          <w:szCs w:val="16"/>
          <w:color w:val="auto"/>
        </w:rPr>
        <w:t>Reflects the loss on settlement of claim from the Exactik business disposal. The Company excludes these items when it evaluates the continuing operational performance of the Company as management believes this GAAP measure is not indicative of its core operating performance.</w:t>
      </w:r>
    </w:p>
    <w:p>
      <w:pPr>
        <w:spacing w:after="0" w:line="1" w:lineRule="exact"/>
        <w:rPr>
          <w:rFonts w:ascii="Arial" w:cs="Arial" w:eastAsia="Arial" w:hAnsi="Arial"/>
          <w:sz w:val="16"/>
          <w:szCs w:val="16"/>
          <w:color w:val="auto"/>
        </w:rPr>
      </w:pPr>
    </w:p>
    <w:p>
      <w:pPr>
        <w:jc w:val="both"/>
        <w:ind w:left="332" w:hanging="332"/>
        <w:spacing w:after="0" w:line="255" w:lineRule="auto"/>
        <w:tabs>
          <w:tab w:leader="none" w:pos="332" w:val="left"/>
        </w:tabs>
        <w:numPr>
          <w:ilvl w:val="0"/>
          <w:numId w:val="4"/>
        </w:numPr>
        <w:rPr>
          <w:rFonts w:ascii="Arial" w:cs="Arial" w:eastAsia="Arial" w:hAnsi="Arial"/>
          <w:sz w:val="18"/>
          <w:szCs w:val="18"/>
          <w:color w:val="auto"/>
        </w:rPr>
      </w:pPr>
      <w:r>
        <w:rPr>
          <w:rFonts w:ascii="Arial" w:cs="Arial" w:eastAsia="Arial" w:hAnsi="Arial"/>
          <w:sz w:val="18"/>
          <w:szCs w:val="18"/>
          <w:color w:val="auto"/>
        </w:rPr>
        <w:t>Reflects the change in valuation allowance and delta in interim period tax allocation from GAAP to non-GAAP related to non-GAAP adjustments. The Company excludes this item when it evaluates the continuing operational performance of the Company as management believes this GAAP measure is not indicative of its core operating performance.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352425</wp:posOffset>
            </wp:positionV>
            <wp:extent cx="7132320" cy="171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12"/>
          </w:cols>
          <w:pgMar w:left="328" w:top="584" w:right="35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t>INPHI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 OF GAAP TO NON-GAAP MEASURES -FOURTH QUARTER 2020 GUIDANCE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(in thousands of dollars, except share and per share amounts)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(Unaudited)</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79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0" w:type="dxa"/>
            <w:vAlign w:val="bottom"/>
            <w:gridSpan w:val="6"/>
          </w:tcPr>
          <w:p>
            <w:pPr>
              <w:jc w:val="right"/>
              <w:ind w:right="900"/>
              <w:spacing w:after="0"/>
              <w:rPr>
                <w:sz w:val="20"/>
                <w:szCs w:val="20"/>
                <w:color w:val="auto"/>
              </w:rPr>
            </w:pPr>
            <w:r>
              <w:rPr>
                <w:rFonts w:ascii="Arial" w:cs="Arial" w:eastAsia="Arial" w:hAnsi="Arial"/>
                <w:sz w:val="18"/>
                <w:szCs w:val="18"/>
                <w:b w:val="1"/>
                <w:bCs w:val="1"/>
                <w:color w:val="auto"/>
              </w:rPr>
              <w:t>Three Months Ending</w:t>
            </w:r>
          </w:p>
        </w:tc>
      </w:tr>
      <w:tr>
        <w:trPr>
          <w:trHeight w:val="234"/>
        </w:trPr>
        <w:tc>
          <w:tcPr>
            <w:tcW w:w="79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000" w:type="dxa"/>
            <w:vAlign w:val="bottom"/>
            <w:gridSpan w:val="6"/>
          </w:tcPr>
          <w:p>
            <w:pPr>
              <w:jc w:val="right"/>
              <w:ind w:right="1020"/>
              <w:spacing w:after="0"/>
              <w:rPr>
                <w:sz w:val="20"/>
                <w:szCs w:val="20"/>
                <w:color w:val="auto"/>
              </w:rPr>
            </w:pPr>
            <w:r>
              <w:rPr>
                <w:rFonts w:ascii="Arial" w:cs="Arial" w:eastAsia="Arial" w:hAnsi="Arial"/>
                <w:sz w:val="18"/>
                <w:szCs w:val="18"/>
                <w:b w:val="1"/>
                <w:bCs w:val="1"/>
                <w:color w:val="auto"/>
              </w:rPr>
              <w:t>December 31, 2020</w:t>
            </w:r>
          </w:p>
        </w:tc>
      </w:tr>
      <w:tr>
        <w:trPr>
          <w:trHeight w:val="210"/>
        </w:trPr>
        <w:tc>
          <w:tcPr>
            <w:tcW w:w="7920" w:type="dxa"/>
            <w:vAlign w:val="bottom"/>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ind w:left="220"/>
              <w:spacing w:after="0"/>
              <w:rPr>
                <w:sz w:val="20"/>
                <w:szCs w:val="20"/>
                <w:color w:val="auto"/>
              </w:rPr>
            </w:pPr>
            <w:r>
              <w:rPr>
                <w:rFonts w:ascii="Arial" w:cs="Arial" w:eastAsia="Arial" w:hAnsi="Arial"/>
                <w:sz w:val="18"/>
                <w:szCs w:val="18"/>
                <w:b w:val="1"/>
                <w:bCs w:val="1"/>
                <w:color w:val="auto"/>
              </w:rPr>
              <w:t>High</w:t>
            </w:r>
          </w:p>
        </w:tc>
        <w:tc>
          <w:tcPr>
            <w:tcW w:w="160" w:type="dxa"/>
            <w:vAlign w:val="bottom"/>
            <w:tcBorders>
              <w:top w:val="single" w:sz="8" w:color="auto"/>
            </w:tcBorders>
          </w:tcPr>
          <w:p>
            <w:pPr>
              <w:spacing w:after="0"/>
              <w:rPr>
                <w:sz w:val="18"/>
                <w:szCs w:val="18"/>
                <w:color w:val="auto"/>
              </w:rPr>
            </w:pPr>
          </w:p>
        </w:tc>
        <w:tc>
          <w:tcPr>
            <w:tcW w:w="120" w:type="dxa"/>
            <w:vAlign w:val="bottom"/>
            <w:tcBorders>
              <w:top w:val="single" w:sz="8" w:color="auto"/>
            </w:tcBorders>
          </w:tcPr>
          <w:p>
            <w:pPr>
              <w:spacing w:after="0"/>
              <w:rPr>
                <w:sz w:val="18"/>
                <w:szCs w:val="18"/>
                <w:color w:val="auto"/>
              </w:rPr>
            </w:pPr>
          </w:p>
        </w:tc>
        <w:tc>
          <w:tcPr>
            <w:tcW w:w="320" w:type="dxa"/>
            <w:vAlign w:val="bottom"/>
            <w:tcBorders>
              <w:top w:val="single" w:sz="8" w:color="auto"/>
              <w:bottom w:val="single" w:sz="8" w:color="auto"/>
            </w:tcBorders>
          </w:tcPr>
          <w:p>
            <w:pPr>
              <w:spacing w:after="0"/>
              <w:rPr>
                <w:sz w:val="18"/>
                <w:szCs w:val="18"/>
                <w:color w:val="auto"/>
              </w:rPr>
            </w:pPr>
          </w:p>
        </w:tc>
        <w:tc>
          <w:tcPr>
            <w:tcW w:w="1120" w:type="dxa"/>
            <w:vAlign w:val="bottom"/>
            <w:tcBorders>
              <w:top w:val="single" w:sz="8" w:color="auto"/>
              <w:bottom w:val="single" w:sz="8" w:color="auto"/>
            </w:tcBorders>
          </w:tcPr>
          <w:p>
            <w:pPr>
              <w:jc w:val="right"/>
              <w:ind w:right="470"/>
              <w:spacing w:after="0"/>
              <w:rPr>
                <w:sz w:val="20"/>
                <w:szCs w:val="20"/>
                <w:color w:val="auto"/>
              </w:rPr>
            </w:pPr>
            <w:r>
              <w:rPr>
                <w:rFonts w:ascii="Arial" w:cs="Arial" w:eastAsia="Arial" w:hAnsi="Arial"/>
                <w:sz w:val="18"/>
                <w:szCs w:val="18"/>
                <w:b w:val="1"/>
                <w:bCs w:val="1"/>
                <w:color w:val="auto"/>
              </w:rPr>
              <w:t>Low</w:t>
            </w:r>
          </w:p>
        </w:tc>
        <w:tc>
          <w:tcPr>
            <w:tcW w:w="160" w:type="dxa"/>
            <w:vAlign w:val="bottom"/>
          </w:tcPr>
          <w:p>
            <w:pPr>
              <w:spacing w:after="0"/>
              <w:rPr>
                <w:sz w:val="18"/>
                <w:szCs w:val="18"/>
                <w:color w:val="auto"/>
              </w:rPr>
            </w:pPr>
          </w:p>
        </w:tc>
      </w:tr>
      <w:tr>
        <w:trPr>
          <w:trHeight w:val="209"/>
        </w:trPr>
        <w:tc>
          <w:tcPr>
            <w:tcW w:w="7920" w:type="dxa"/>
            <w:vAlign w:val="bottom"/>
            <w:shd w:val="clear" w:color="auto" w:fill="CCEEFF"/>
          </w:tcPr>
          <w:p>
            <w:pPr>
              <w:spacing w:after="0"/>
              <w:rPr>
                <w:sz w:val="20"/>
                <w:szCs w:val="20"/>
                <w:color w:val="auto"/>
              </w:rPr>
            </w:pPr>
            <w:r>
              <w:rPr>
                <w:rFonts w:ascii="Arial" w:cs="Arial" w:eastAsia="Arial" w:hAnsi="Arial"/>
                <w:sz w:val="18"/>
                <w:szCs w:val="18"/>
                <w:color w:val="auto"/>
              </w:rPr>
              <w:t>Estimated GAAP net loss</w:t>
            </w:r>
          </w:p>
        </w:tc>
        <w:tc>
          <w:tcPr>
            <w:tcW w:w="320" w:type="dxa"/>
            <w:vAlign w:val="bottom"/>
            <w:shd w:val="clear" w:color="auto" w:fill="CCEEFF"/>
          </w:tcPr>
          <w:p>
            <w:pPr>
              <w:jc w:val="right"/>
              <w:ind w:right="167"/>
              <w:spacing w:after="0"/>
              <w:rPr>
                <w:sz w:val="20"/>
                <w:szCs w:val="20"/>
                <w:color w:val="auto"/>
              </w:rPr>
            </w:pPr>
            <w:r>
              <w:rPr>
                <w:rFonts w:ascii="Arial" w:cs="Arial" w:eastAsia="Arial" w:hAnsi="Arial"/>
                <w:sz w:val="15"/>
                <w:szCs w:val="15"/>
                <w:color w:val="auto"/>
                <w:w w:val="71"/>
              </w:rPr>
              <w:t>$</w:t>
            </w: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(950)</w:t>
            </w:r>
          </w:p>
        </w:tc>
        <w:tc>
          <w:tcPr>
            <w:tcW w:w="4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(2,650)</w:t>
            </w:r>
          </w:p>
        </w:tc>
      </w:tr>
      <w:tr>
        <w:trPr>
          <w:trHeight w:val="216"/>
        </w:trPr>
        <w:tc>
          <w:tcPr>
            <w:tcW w:w="7920" w:type="dxa"/>
            <w:vAlign w:val="bottom"/>
          </w:tcPr>
          <w:p>
            <w:pPr>
              <w:spacing w:after="0"/>
              <w:rPr>
                <w:sz w:val="20"/>
                <w:szCs w:val="20"/>
                <w:color w:val="auto"/>
              </w:rPr>
            </w:pPr>
            <w:r>
              <w:rPr>
                <w:rFonts w:ascii="Arial" w:cs="Arial" w:eastAsia="Arial" w:hAnsi="Arial"/>
                <w:sz w:val="18"/>
                <w:szCs w:val="18"/>
                <w:color w:val="auto"/>
              </w:rPr>
              <w:t>Adjusting items to estimated GAAP net loss:</w:t>
            </w:r>
          </w:p>
        </w:tc>
        <w:tc>
          <w:tcPr>
            <w:tcW w:w="3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r>
      <w:tr>
        <w:trPr>
          <w:trHeight w:val="216"/>
        </w:trPr>
        <w:tc>
          <w:tcPr>
            <w:tcW w:w="79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Operating expenses related to stock-based compensation expense</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30,000</w:t>
            </w:r>
          </w:p>
        </w:tc>
        <w:tc>
          <w:tcPr>
            <w:tcW w:w="1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28,000</w:t>
            </w:r>
          </w:p>
        </w:tc>
      </w:tr>
      <w:tr>
        <w:trPr>
          <w:trHeight w:val="216"/>
        </w:trPr>
        <w:tc>
          <w:tcPr>
            <w:tcW w:w="7920" w:type="dxa"/>
            <w:vAlign w:val="bottom"/>
          </w:tcPr>
          <w:p>
            <w:pPr>
              <w:ind w:left="180"/>
              <w:spacing w:after="0"/>
              <w:rPr>
                <w:sz w:val="20"/>
                <w:szCs w:val="20"/>
                <w:color w:val="auto"/>
              </w:rPr>
            </w:pPr>
            <w:r>
              <w:rPr>
                <w:rFonts w:ascii="Arial" w:cs="Arial" w:eastAsia="Arial" w:hAnsi="Arial"/>
                <w:sz w:val="18"/>
                <w:szCs w:val="18"/>
                <w:color w:val="auto"/>
              </w:rPr>
              <w:t>Amortization of intangibles</w:t>
            </w: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14,900</w:t>
            </w: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14,900</w:t>
            </w:r>
          </w:p>
        </w:tc>
      </w:tr>
      <w:tr>
        <w:trPr>
          <w:trHeight w:val="216"/>
        </w:trPr>
        <w:tc>
          <w:tcPr>
            <w:tcW w:w="79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Amortization of step up values of acquired inventories</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140</w:t>
            </w:r>
          </w:p>
        </w:tc>
        <w:tc>
          <w:tcPr>
            <w:tcW w:w="1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140</w:t>
            </w:r>
          </w:p>
        </w:tc>
      </w:tr>
      <w:tr>
        <w:trPr>
          <w:trHeight w:val="216"/>
        </w:trPr>
        <w:tc>
          <w:tcPr>
            <w:tcW w:w="7920" w:type="dxa"/>
            <w:vAlign w:val="bottom"/>
          </w:tcPr>
          <w:p>
            <w:pPr>
              <w:ind w:left="180"/>
              <w:spacing w:after="0"/>
              <w:rPr>
                <w:sz w:val="20"/>
                <w:szCs w:val="20"/>
                <w:color w:val="auto"/>
              </w:rPr>
            </w:pPr>
            <w:r>
              <w:rPr>
                <w:rFonts w:ascii="Arial" w:cs="Arial" w:eastAsia="Arial" w:hAnsi="Arial"/>
                <w:sz w:val="18"/>
                <w:szCs w:val="18"/>
                <w:color w:val="auto"/>
              </w:rPr>
              <w:t>Amortization of step up values of acquired property and equipment</w:t>
            </w: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60</w:t>
            </w: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60</w:t>
            </w:r>
          </w:p>
        </w:tc>
      </w:tr>
      <w:tr>
        <w:trPr>
          <w:trHeight w:val="216"/>
        </w:trPr>
        <w:tc>
          <w:tcPr>
            <w:tcW w:w="79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Acquisition related expenses</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3,000</w:t>
            </w:r>
          </w:p>
        </w:tc>
        <w:tc>
          <w:tcPr>
            <w:tcW w:w="1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3,000</w:t>
            </w:r>
          </w:p>
        </w:tc>
      </w:tr>
      <w:tr>
        <w:trPr>
          <w:trHeight w:val="216"/>
        </w:trPr>
        <w:tc>
          <w:tcPr>
            <w:tcW w:w="7920" w:type="dxa"/>
            <w:vAlign w:val="bottom"/>
          </w:tcPr>
          <w:p>
            <w:pPr>
              <w:ind w:left="180"/>
              <w:spacing w:after="0"/>
              <w:rPr>
                <w:sz w:val="20"/>
                <w:szCs w:val="20"/>
                <w:color w:val="auto"/>
              </w:rPr>
            </w:pPr>
            <w:r>
              <w:rPr>
                <w:rFonts w:ascii="Arial" w:cs="Arial" w:eastAsia="Arial" w:hAnsi="Arial"/>
                <w:sz w:val="18"/>
                <w:szCs w:val="18"/>
                <w:color w:val="auto"/>
              </w:rPr>
              <w:t>Amortization of convertible debt interest cost</w:t>
            </w: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6,650</w:t>
            </w: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6,650</w:t>
            </w:r>
          </w:p>
        </w:tc>
      </w:tr>
      <w:tr>
        <w:trPr>
          <w:trHeight w:val="216"/>
        </w:trPr>
        <w:tc>
          <w:tcPr>
            <w:tcW w:w="7920" w:type="dxa"/>
            <w:vAlign w:val="bottom"/>
            <w:shd w:val="clear" w:color="auto" w:fill="CCEEFF"/>
          </w:tcPr>
          <w:p>
            <w:pPr>
              <w:ind w:left="180"/>
              <w:spacing w:after="0"/>
              <w:rPr>
                <w:sz w:val="20"/>
                <w:szCs w:val="20"/>
                <w:color w:val="auto"/>
              </w:rPr>
            </w:pPr>
            <w:r>
              <w:rPr>
                <w:rFonts w:ascii="Arial" w:cs="Arial" w:eastAsia="Arial" w:hAnsi="Arial"/>
                <w:sz w:val="18"/>
                <w:szCs w:val="18"/>
                <w:color w:val="auto"/>
              </w:rPr>
              <w:t>Tax effect of GAAP to non-GAAP adjustments</w:t>
            </w: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(3,200)</w:t>
            </w:r>
          </w:p>
        </w:tc>
        <w:tc>
          <w:tcPr>
            <w:tcW w:w="1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(2,900)</w:t>
            </w:r>
          </w:p>
        </w:tc>
      </w:tr>
      <w:tr>
        <w:trPr>
          <w:trHeight w:val="20"/>
        </w:trPr>
        <w:tc>
          <w:tcPr>
            <w:tcW w:w="7920" w:type="dxa"/>
            <w:vAlign w:val="bottom"/>
            <w:shd w:val="clear" w:color="auto" w:fill="CCEEFF"/>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12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c>
          <w:tcPr>
            <w:tcW w:w="120" w:type="dxa"/>
            <w:vAlign w:val="bottom"/>
            <w:shd w:val="clear" w:color="auto" w:fill="CCEEFF"/>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1120" w:type="dxa"/>
            <w:vAlign w:val="bottom"/>
            <w:shd w:val="clear" w:color="auto" w:fill="000000"/>
          </w:tcPr>
          <w:p>
            <w:pPr>
              <w:spacing w:after="0" w:line="20" w:lineRule="exact"/>
              <w:rPr>
                <w:sz w:val="1"/>
                <w:szCs w:val="1"/>
                <w:color w:val="auto"/>
              </w:rPr>
            </w:pPr>
          </w:p>
        </w:tc>
        <w:tc>
          <w:tcPr>
            <w:tcW w:w="160" w:type="dxa"/>
            <w:vAlign w:val="bottom"/>
            <w:shd w:val="clear" w:color="auto" w:fill="CCEEFF"/>
          </w:tcPr>
          <w:p>
            <w:pPr>
              <w:spacing w:after="0" w:line="20" w:lineRule="exact"/>
              <w:rPr>
                <w:sz w:val="1"/>
                <w:szCs w:val="1"/>
                <w:color w:val="auto"/>
              </w:rPr>
            </w:pPr>
          </w:p>
        </w:tc>
      </w:tr>
      <w:tr>
        <w:trPr>
          <w:trHeight w:val="209"/>
        </w:trPr>
        <w:tc>
          <w:tcPr>
            <w:tcW w:w="7920" w:type="dxa"/>
            <w:vAlign w:val="bottom"/>
          </w:tcPr>
          <w:p>
            <w:pPr>
              <w:spacing w:after="0"/>
              <w:rPr>
                <w:sz w:val="20"/>
                <w:szCs w:val="20"/>
                <w:color w:val="auto"/>
              </w:rPr>
            </w:pPr>
            <w:r>
              <w:rPr>
                <w:rFonts w:ascii="Arial" w:cs="Arial" w:eastAsia="Arial" w:hAnsi="Arial"/>
                <w:sz w:val="18"/>
                <w:szCs w:val="18"/>
                <w:color w:val="auto"/>
              </w:rPr>
              <w:t>Estimated non-GAAP net income</w:t>
            </w:r>
          </w:p>
        </w:tc>
        <w:tc>
          <w:tcPr>
            <w:tcW w:w="320" w:type="dxa"/>
            <w:vAlign w:val="bottom"/>
          </w:tcPr>
          <w:p>
            <w:pPr>
              <w:jc w:val="right"/>
              <w:ind w:right="167"/>
              <w:spacing w:after="0"/>
              <w:rPr>
                <w:sz w:val="20"/>
                <w:szCs w:val="20"/>
                <w:color w:val="auto"/>
              </w:rPr>
            </w:pPr>
            <w:r>
              <w:rPr>
                <w:rFonts w:ascii="Arial" w:cs="Arial" w:eastAsia="Arial" w:hAnsi="Arial"/>
                <w:sz w:val="15"/>
                <w:szCs w:val="15"/>
                <w:color w:val="auto"/>
                <w:w w:val="71"/>
              </w:rPr>
              <w:t>$</w:t>
            </w: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50,600</w:t>
            </w:r>
          </w:p>
        </w:tc>
        <w:tc>
          <w:tcPr>
            <w:tcW w:w="4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47,200</w:t>
            </w:r>
          </w:p>
        </w:tc>
      </w:tr>
      <w:tr>
        <w:trPr>
          <w:trHeight w:val="20"/>
        </w:trPr>
        <w:tc>
          <w:tcPr>
            <w:tcW w:w="79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r>
        <w:trPr>
          <w:trHeight w:val="197"/>
        </w:trPr>
        <w:tc>
          <w:tcPr>
            <w:tcW w:w="79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r>
      <w:tr>
        <w:trPr>
          <w:trHeight w:val="216"/>
        </w:trPr>
        <w:tc>
          <w:tcPr>
            <w:tcW w:w="7920" w:type="dxa"/>
            <w:vAlign w:val="bottom"/>
          </w:tcPr>
          <w:p>
            <w:pPr>
              <w:spacing w:after="0"/>
              <w:rPr>
                <w:sz w:val="20"/>
                <w:szCs w:val="20"/>
                <w:color w:val="auto"/>
              </w:rPr>
            </w:pPr>
            <w:r>
              <w:rPr>
                <w:rFonts w:ascii="Arial" w:cs="Arial" w:eastAsia="Arial" w:hAnsi="Arial"/>
                <w:sz w:val="18"/>
                <w:szCs w:val="18"/>
                <w:color w:val="auto"/>
              </w:rPr>
              <w:t>Shares used in computing estimated non-GAAP diluted earnings per share</w:t>
            </w: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55,665,000</w:t>
            </w: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55,665,000</w:t>
            </w:r>
          </w:p>
        </w:tc>
      </w:tr>
      <w:tr>
        <w:trPr>
          <w:trHeight w:val="20"/>
        </w:trPr>
        <w:tc>
          <w:tcPr>
            <w:tcW w:w="79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r>
        <w:trPr>
          <w:trHeight w:val="197"/>
        </w:trPr>
        <w:tc>
          <w:tcPr>
            <w:tcW w:w="79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r>
      <w:tr>
        <w:trPr>
          <w:trHeight w:val="216"/>
        </w:trPr>
        <w:tc>
          <w:tcPr>
            <w:tcW w:w="7920" w:type="dxa"/>
            <w:vAlign w:val="bottom"/>
          </w:tcPr>
          <w:p>
            <w:pPr>
              <w:spacing w:after="0"/>
              <w:rPr>
                <w:sz w:val="20"/>
                <w:szCs w:val="20"/>
                <w:color w:val="auto"/>
              </w:rPr>
            </w:pPr>
            <w:r>
              <w:rPr>
                <w:rFonts w:ascii="Arial" w:cs="Arial" w:eastAsia="Arial" w:hAnsi="Arial"/>
                <w:sz w:val="18"/>
                <w:szCs w:val="18"/>
                <w:color w:val="auto"/>
              </w:rPr>
              <w:t>Estimated non-GAAP diluted earnings per share</w:t>
            </w:r>
          </w:p>
        </w:tc>
        <w:tc>
          <w:tcPr>
            <w:tcW w:w="320" w:type="dxa"/>
            <w:vAlign w:val="bottom"/>
          </w:tcPr>
          <w:p>
            <w:pPr>
              <w:jc w:val="right"/>
              <w:ind w:right="167"/>
              <w:spacing w:after="0"/>
              <w:rPr>
                <w:sz w:val="20"/>
                <w:szCs w:val="20"/>
                <w:color w:val="auto"/>
              </w:rPr>
            </w:pPr>
            <w:r>
              <w:rPr>
                <w:rFonts w:ascii="Arial" w:cs="Arial" w:eastAsia="Arial" w:hAnsi="Arial"/>
                <w:sz w:val="15"/>
                <w:szCs w:val="15"/>
                <w:color w:val="auto"/>
                <w:w w:val="71"/>
              </w:rPr>
              <w:t>$</w:t>
            </w: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0.91</w:t>
            </w:r>
          </w:p>
        </w:tc>
        <w:tc>
          <w:tcPr>
            <w:tcW w:w="44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280" w:type="dxa"/>
            <w:vAlign w:val="bottom"/>
            <w:gridSpan w:val="2"/>
          </w:tcPr>
          <w:p>
            <w:pPr>
              <w:jc w:val="right"/>
              <w:ind w:right="160"/>
              <w:spacing w:after="0"/>
              <w:rPr>
                <w:sz w:val="20"/>
                <w:szCs w:val="20"/>
                <w:color w:val="auto"/>
              </w:rPr>
            </w:pPr>
            <w:r>
              <w:rPr>
                <w:rFonts w:ascii="Arial" w:cs="Arial" w:eastAsia="Arial" w:hAnsi="Arial"/>
                <w:sz w:val="18"/>
                <w:szCs w:val="18"/>
                <w:color w:val="auto"/>
              </w:rPr>
              <w:t>0.85</w:t>
            </w:r>
          </w:p>
        </w:tc>
      </w:tr>
      <w:tr>
        <w:trPr>
          <w:trHeight w:val="20"/>
        </w:trPr>
        <w:tc>
          <w:tcPr>
            <w:tcW w:w="79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r>
        <w:trPr>
          <w:trHeight w:val="197"/>
        </w:trPr>
        <w:tc>
          <w:tcPr>
            <w:tcW w:w="79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1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r>
      <w:tr>
        <w:trPr>
          <w:trHeight w:val="216"/>
        </w:trPr>
        <w:tc>
          <w:tcPr>
            <w:tcW w:w="79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r>
      <w:tr>
        <w:trPr>
          <w:trHeight w:val="236"/>
        </w:trPr>
        <w:tc>
          <w:tcPr>
            <w:tcW w:w="792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320" w:type="dxa"/>
            <w:vAlign w:val="bottom"/>
            <w:shd w:val="clear" w:color="auto" w:fill="CCEEFF"/>
          </w:tcPr>
          <w:p>
            <w:pPr>
              <w:jc w:val="right"/>
              <w:ind w:right="167"/>
              <w:spacing w:after="0"/>
              <w:rPr>
                <w:sz w:val="20"/>
                <w:szCs w:val="20"/>
                <w:color w:val="auto"/>
              </w:rPr>
            </w:pPr>
            <w:r>
              <w:rPr>
                <w:rFonts w:ascii="Arial" w:cs="Arial" w:eastAsia="Arial" w:hAnsi="Arial"/>
                <w:sz w:val="15"/>
                <w:szCs w:val="15"/>
                <w:color w:val="auto"/>
                <w:w w:val="71"/>
              </w:rPr>
              <w:t>$</w:t>
            </w:r>
          </w:p>
        </w:tc>
        <w:tc>
          <w:tcPr>
            <w:tcW w:w="1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188,750</w:t>
            </w:r>
          </w:p>
        </w:tc>
        <w:tc>
          <w:tcPr>
            <w:tcW w:w="44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2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185,250</w:t>
            </w:r>
          </w:p>
        </w:tc>
      </w:tr>
      <w:tr>
        <w:trPr>
          <w:trHeight w:val="20"/>
        </w:trPr>
        <w:tc>
          <w:tcPr>
            <w:tcW w:w="7920" w:type="dxa"/>
            <w:vAlign w:val="bottom"/>
            <w:tcBorders>
              <w:top w:val="single" w:sz="8" w:color="CCEEFF"/>
            </w:tcBorders>
            <w:shd w:val="clear" w:color="auto" w:fill="CCEEFF"/>
          </w:tcPr>
          <w:p>
            <w:pPr>
              <w:spacing w:after="0" w:line="20" w:lineRule="exact"/>
              <w:rPr>
                <w:sz w:val="1"/>
                <w:szCs w:val="1"/>
                <w:color w:val="auto"/>
              </w:rPr>
            </w:pPr>
          </w:p>
        </w:tc>
        <w:tc>
          <w:tcPr>
            <w:tcW w:w="320" w:type="dxa"/>
            <w:vAlign w:val="bottom"/>
            <w:tcBorders>
              <w:top w:val="single" w:sz="8" w:color="auto"/>
            </w:tcBorders>
            <w:shd w:val="clear" w:color="auto" w:fill="000000"/>
          </w:tcPr>
          <w:p>
            <w:pPr>
              <w:spacing w:after="0" w:line="20" w:lineRule="exact"/>
              <w:rPr>
                <w:sz w:val="1"/>
                <w:szCs w:val="1"/>
                <w:color w:val="auto"/>
              </w:rPr>
            </w:pPr>
          </w:p>
        </w:tc>
        <w:tc>
          <w:tcPr>
            <w:tcW w:w="1120" w:type="dxa"/>
            <w:vAlign w:val="bottom"/>
            <w:tcBorders>
              <w:top w:val="single" w:sz="8" w:color="auto"/>
            </w:tcBorders>
            <w:shd w:val="clear" w:color="auto" w:fill="000000"/>
          </w:tcPr>
          <w:p>
            <w:pPr>
              <w:spacing w:after="0" w:line="20" w:lineRule="exact"/>
              <w:rPr>
                <w:sz w:val="1"/>
                <w:szCs w:val="1"/>
                <w:color w:val="auto"/>
              </w:rPr>
            </w:pPr>
          </w:p>
        </w:tc>
        <w:tc>
          <w:tcPr>
            <w:tcW w:w="160" w:type="dxa"/>
            <w:vAlign w:val="bottom"/>
            <w:tcBorders>
              <w:top w:val="single" w:sz="8" w:color="CCEEFF"/>
            </w:tcBorders>
            <w:shd w:val="clear" w:color="auto" w:fill="CCEEFF"/>
          </w:tcPr>
          <w:p>
            <w:pPr>
              <w:spacing w:after="0" w:line="20" w:lineRule="exact"/>
              <w:rPr>
                <w:sz w:val="1"/>
                <w:szCs w:val="1"/>
                <w:color w:val="auto"/>
              </w:rPr>
            </w:pPr>
          </w:p>
        </w:tc>
        <w:tc>
          <w:tcPr>
            <w:tcW w:w="120" w:type="dxa"/>
            <w:vAlign w:val="bottom"/>
            <w:tcBorders>
              <w:top w:val="single" w:sz="8" w:color="CCEEFF"/>
            </w:tcBorders>
            <w:shd w:val="clear" w:color="auto" w:fill="CCEEFF"/>
          </w:tcPr>
          <w:p>
            <w:pPr>
              <w:spacing w:after="0" w:line="20" w:lineRule="exact"/>
              <w:rPr>
                <w:sz w:val="1"/>
                <w:szCs w:val="1"/>
                <w:color w:val="auto"/>
              </w:rPr>
            </w:pPr>
          </w:p>
        </w:tc>
        <w:tc>
          <w:tcPr>
            <w:tcW w:w="320" w:type="dxa"/>
            <w:vAlign w:val="bottom"/>
            <w:tcBorders>
              <w:top w:val="single" w:sz="8" w:color="auto"/>
            </w:tcBorders>
            <w:shd w:val="clear" w:color="auto" w:fill="000000"/>
          </w:tcPr>
          <w:p>
            <w:pPr>
              <w:spacing w:after="0" w:line="20" w:lineRule="exact"/>
              <w:rPr>
                <w:sz w:val="1"/>
                <w:szCs w:val="1"/>
                <w:color w:val="auto"/>
              </w:rPr>
            </w:pPr>
          </w:p>
        </w:tc>
        <w:tc>
          <w:tcPr>
            <w:tcW w:w="1120" w:type="dxa"/>
            <w:vAlign w:val="bottom"/>
            <w:tcBorders>
              <w:top w:val="single" w:sz="8" w:color="auto"/>
            </w:tcBorders>
            <w:shd w:val="clear" w:color="auto" w:fill="000000"/>
          </w:tcPr>
          <w:p>
            <w:pPr>
              <w:spacing w:after="0" w:line="20" w:lineRule="exact"/>
              <w:rPr>
                <w:sz w:val="1"/>
                <w:szCs w:val="1"/>
                <w:color w:val="auto"/>
              </w:rPr>
            </w:pPr>
          </w:p>
        </w:tc>
        <w:tc>
          <w:tcPr>
            <w:tcW w:w="160" w:type="dxa"/>
            <w:vAlign w:val="bottom"/>
            <w:tcBorders>
              <w:top w:val="single" w:sz="8" w:color="CCEEFF"/>
            </w:tcBorders>
            <w:shd w:val="clear" w:color="auto" w:fill="CCEEFF"/>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40"/>
          </w:cols>
          <w:pgMar w:left="320" w:top="580" w:right="339" w:bottom="1440" w:gutter="0" w:footer="0" w:header="0"/>
        </w:sectPr>
      </w:pPr>
    </w:p>
    <w:p>
      <w:pPr>
        <w:spacing w:after="0" w:line="2" w:lineRule="exact"/>
        <w:rPr>
          <w:sz w:val="20"/>
          <w:szCs w:val="20"/>
          <w:color w:val="auto"/>
        </w:rPr>
      </w:pPr>
    </w:p>
    <w:p>
      <w:pPr>
        <w:jc w:val="right"/>
        <w:ind w:right="5720"/>
        <w:spacing w:after="0"/>
        <w:rPr>
          <w:sz w:val="20"/>
          <w:szCs w:val="20"/>
          <w:color w:val="auto"/>
        </w:rPr>
      </w:pPr>
      <w:r>
        <w:rPr>
          <w:rFonts w:ascii="Arial" w:cs="Arial" w:eastAsia="Arial" w:hAnsi="Arial"/>
          <w:sz w:val="16"/>
          <w:szCs w:val="16"/>
          <w:color w:val="auto"/>
        </w:rPr>
        <w:t>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-107315</wp:posOffset>
            </wp:positionV>
            <wp:extent cx="7132320" cy="13716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32320" cy="137160"/>
                    </a:xfrm>
                    <a:prstGeom prst="rect">
                      <a:avLst/>
                    </a:prstGeom>
                    <a:noFill/>
                  </pic:spPr>
                </pic:pic>
              </a:graphicData>
            </a:graphic>
          </wp:anchor>
        </w:drawing>
      </w:r>
    </w:p>
    <w:p>
      <w:pPr>
        <w:spacing w:after="0" w:line="26" w:lineRule="exact"/>
        <w:rPr>
          <w:sz w:val="20"/>
          <w:szCs w:val="20"/>
          <w:color w:val="auto"/>
        </w:rPr>
      </w:pPr>
    </w:p>
    <w:p>
      <w:pPr>
        <w:jc w:val="right"/>
        <w:ind w:right="5760"/>
        <w:spacing w:after="0"/>
        <w:rPr>
          <w:sz w:val="20"/>
          <w:szCs w:val="20"/>
          <w:color w:val="auto"/>
        </w:rPr>
      </w:pPr>
      <w:r>
        <w:rPr>
          <w:rFonts w:ascii="Arial" w:cs="Arial" w:eastAsia="Arial" w:hAnsi="Arial"/>
          <w:sz w:val="17"/>
          <w:szCs w:val="17"/>
          <w:color w:val="auto"/>
        </w:rPr>
        <w:t>as a % of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132320" cy="13716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32320" cy="137160"/>
                    </a:xfrm>
                    <a:prstGeom prst="rect">
                      <a:avLst/>
                    </a:prstGeom>
                    <a:noFill/>
                  </pic:spPr>
                </pic:pic>
              </a:graphicData>
            </a:graphic>
          </wp:anchor>
        </w:drawing>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Adjusting items to estimated GAAP gross margin:</w:t>
      </w:r>
    </w:p>
    <w:p>
      <w:pPr>
        <w:spacing w:after="0" w:line="9" w:lineRule="exact"/>
        <w:rPr>
          <w:sz w:val="20"/>
          <w:szCs w:val="20"/>
          <w:color w:val="auto"/>
        </w:rPr>
      </w:pPr>
    </w:p>
    <w:p>
      <w:pPr>
        <w:ind w:left="180"/>
        <w:spacing w:after="0"/>
        <w:rPr>
          <w:sz w:val="20"/>
          <w:szCs w:val="20"/>
          <w:color w:val="auto"/>
        </w:rPr>
      </w:pPr>
      <w:r>
        <w:rPr>
          <w:rFonts w:ascii="Arial" w:cs="Arial" w:eastAsia="Arial" w:hAnsi="Arial"/>
          <w:sz w:val="18"/>
          <w:szCs w:val="18"/>
          <w:color w:val="auto"/>
        </w:rPr>
        <w:t>Stock-based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5715</wp:posOffset>
            </wp:positionV>
            <wp:extent cx="7132320" cy="13716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32320" cy="137160"/>
                    </a:xfrm>
                    <a:prstGeom prst="rect">
                      <a:avLst/>
                    </a:prstGeom>
                    <a:noFill/>
                  </pic:spPr>
                </pic:pic>
              </a:graphicData>
            </a:graphic>
          </wp:anchor>
        </w:drawing>
      </w:r>
    </w:p>
    <w:p>
      <w:pPr>
        <w:ind w:left="180"/>
        <w:spacing w:after="0"/>
        <w:rPr>
          <w:sz w:val="20"/>
          <w:szCs w:val="20"/>
          <w:color w:val="auto"/>
        </w:rPr>
      </w:pPr>
      <w:r>
        <w:rPr>
          <w:rFonts w:ascii="Arial" w:cs="Arial" w:eastAsia="Arial" w:hAnsi="Arial"/>
          <w:sz w:val="16"/>
          <w:szCs w:val="16"/>
          <w:color w:val="auto"/>
        </w:rPr>
        <w:t>Amortization of step up values of acquired inventories</w:t>
      </w:r>
    </w:p>
    <w:p>
      <w:pPr>
        <w:spacing w:after="0" w:line="32" w:lineRule="exact"/>
        <w:rPr>
          <w:sz w:val="20"/>
          <w:szCs w:val="20"/>
          <w:color w:val="auto"/>
        </w:rPr>
      </w:pPr>
    </w:p>
    <w:p>
      <w:pPr>
        <w:ind w:left="180"/>
        <w:spacing w:after="0"/>
        <w:rPr>
          <w:sz w:val="20"/>
          <w:szCs w:val="20"/>
          <w:color w:val="auto"/>
        </w:rPr>
      </w:pPr>
      <w:r>
        <w:rPr>
          <w:rFonts w:ascii="Arial" w:cs="Arial" w:eastAsia="Arial" w:hAnsi="Arial"/>
          <w:sz w:val="18"/>
          <w:szCs w:val="18"/>
          <w:color w:val="auto"/>
        </w:rPr>
        <w:t>Amortization of intangibles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132320" cy="16319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32320" cy="163195"/>
                    </a:xfrm>
                    <a:prstGeom prst="rect">
                      <a:avLst/>
                    </a:prstGeom>
                    <a:noFill/>
                  </pic:spPr>
                </pic:pic>
              </a:graphicData>
            </a:graphic>
          </wp:anchor>
        </w:drawing>
      </w:r>
    </w:p>
    <w:p>
      <w:pPr>
        <w:spacing w:after="0" w:line="29" w:lineRule="exact"/>
        <w:rPr>
          <w:sz w:val="20"/>
          <w:szCs w:val="20"/>
          <w:color w:val="auto"/>
        </w:rPr>
      </w:pPr>
    </w:p>
    <w:p>
      <w:pPr>
        <w:spacing w:after="0"/>
        <w:rPr>
          <w:sz w:val="20"/>
          <w:szCs w:val="20"/>
          <w:color w:val="auto"/>
        </w:rPr>
      </w:pPr>
      <w:r>
        <w:rPr>
          <w:rFonts w:ascii="Arial" w:cs="Arial" w:eastAsia="Arial" w:hAnsi="Arial"/>
          <w:sz w:val="18"/>
          <w:szCs w:val="18"/>
          <w:color w:val="auto"/>
        </w:rPr>
        <w:t>Estimated non-GAAP gross margin</w:t>
      </w:r>
    </w:p>
    <w:p>
      <w:pPr>
        <w:spacing w:after="0" w:line="50" w:lineRule="exact"/>
        <w:rPr>
          <w:sz w:val="20"/>
          <w:szCs w:val="20"/>
          <w:color w:val="auto"/>
        </w:rPr>
      </w:pPr>
    </w:p>
    <w:p>
      <w:pPr>
        <w:ind w:left="180"/>
        <w:spacing w:after="0"/>
        <w:rPr>
          <w:sz w:val="20"/>
          <w:szCs w:val="20"/>
          <w:color w:val="auto"/>
        </w:rPr>
      </w:pPr>
      <w:r>
        <w:rPr>
          <w:rFonts w:ascii="Arial" w:cs="Arial" w:eastAsia="Arial" w:hAnsi="Arial"/>
          <w:sz w:val="18"/>
          <w:szCs w:val="18"/>
          <w:color w:val="auto"/>
        </w:rPr>
        <w:t>as a % of revenue</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16"/>
        </w:trPr>
        <w:tc>
          <w:tcPr>
            <w:tcW w:w="480" w:type="dxa"/>
            <w:vAlign w:val="bottom"/>
          </w:tcPr>
          <w:p>
            <w:pPr>
              <w:jc w:val="right"/>
              <w:ind w:right="327"/>
              <w:spacing w:after="0"/>
              <w:rPr>
                <w:sz w:val="20"/>
                <w:szCs w:val="20"/>
                <w:color w:val="auto"/>
              </w:rPr>
            </w:pPr>
            <w:r>
              <w:rPr>
                <w:rFonts w:ascii="Arial" w:cs="Arial" w:eastAsia="Arial" w:hAnsi="Arial"/>
                <w:sz w:val="15"/>
                <w:szCs w:val="15"/>
                <w:color w:val="auto"/>
                <w:w w:val="71"/>
              </w:rPr>
              <w:t>$</w:t>
            </w: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107,575</w:t>
            </w:r>
          </w:p>
        </w:tc>
        <w:tc>
          <w:tcPr>
            <w:tcW w:w="200" w:type="dxa"/>
            <w:vAlign w:val="bottom"/>
          </w:tcPr>
          <w:p>
            <w:pPr>
              <w:spacing w:after="0"/>
              <w:rPr>
                <w:sz w:val="18"/>
                <w:szCs w:val="18"/>
                <w:color w:val="auto"/>
              </w:rPr>
            </w:pPr>
          </w:p>
        </w:tc>
        <w:tc>
          <w:tcPr>
            <w:tcW w:w="520" w:type="dxa"/>
            <w:vAlign w:val="bottom"/>
            <w:gridSpan w:val="2"/>
          </w:tcPr>
          <w:p>
            <w:pPr>
              <w:jc w:val="right"/>
              <w:ind w:right="307"/>
              <w:spacing w:after="0"/>
              <w:rPr>
                <w:sz w:val="20"/>
                <w:szCs w:val="20"/>
                <w:color w:val="auto"/>
              </w:rPr>
            </w:pPr>
            <w:r>
              <w:rPr>
                <w:rFonts w:ascii="Arial" w:cs="Arial" w:eastAsia="Arial" w:hAnsi="Arial"/>
                <w:sz w:val="18"/>
                <w:szCs w:val="18"/>
                <w:color w:val="auto"/>
              </w:rPr>
              <w:t>$</w:t>
            </w:r>
          </w:p>
        </w:tc>
        <w:tc>
          <w:tcPr>
            <w:tcW w:w="1120" w:type="dxa"/>
            <w:vAlign w:val="bottom"/>
            <w:gridSpan w:val="2"/>
          </w:tcPr>
          <w:p>
            <w:pPr>
              <w:jc w:val="right"/>
              <w:ind w:right="140"/>
              <w:spacing w:after="0"/>
              <w:rPr>
                <w:sz w:val="20"/>
                <w:szCs w:val="20"/>
                <w:color w:val="auto"/>
              </w:rPr>
            </w:pPr>
            <w:r>
              <w:rPr>
                <w:rFonts w:ascii="Arial" w:cs="Arial" w:eastAsia="Arial" w:hAnsi="Arial"/>
                <w:sz w:val="18"/>
                <w:szCs w:val="18"/>
                <w:color w:val="auto"/>
              </w:rPr>
              <w:t>103,460</w:t>
            </w:r>
          </w:p>
        </w:tc>
      </w:tr>
      <w:tr>
        <w:trPr>
          <w:trHeight w:val="230"/>
        </w:trPr>
        <w:tc>
          <w:tcPr>
            <w:tcW w:w="480" w:type="dxa"/>
            <w:vAlign w:val="bottom"/>
          </w:tcPr>
          <w:p>
            <w:pPr>
              <w:spacing w:after="0"/>
              <w:rPr>
                <w:sz w:val="20"/>
                <w:szCs w:val="20"/>
                <w:color w:val="auto"/>
              </w:rPr>
            </w:pPr>
          </w:p>
        </w:tc>
        <w:tc>
          <w:tcPr>
            <w:tcW w:w="1180" w:type="dxa"/>
            <w:vAlign w:val="bottom"/>
            <w:gridSpan w:val="3"/>
          </w:tcPr>
          <w:p>
            <w:pPr>
              <w:jc w:val="right"/>
              <w:ind w:right="60"/>
              <w:spacing w:after="0"/>
              <w:rPr>
                <w:sz w:val="20"/>
                <w:szCs w:val="20"/>
                <w:color w:val="auto"/>
              </w:rPr>
            </w:pPr>
            <w:r>
              <w:rPr>
                <w:rFonts w:ascii="Arial" w:cs="Arial" w:eastAsia="Arial" w:hAnsi="Arial"/>
                <w:sz w:val="18"/>
                <w:szCs w:val="18"/>
                <w:color w:val="auto"/>
              </w:rPr>
              <w:t>57.0%</w:t>
            </w:r>
          </w:p>
        </w:tc>
        <w:tc>
          <w:tcPr>
            <w:tcW w:w="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120" w:type="dxa"/>
            <w:vAlign w:val="bottom"/>
            <w:gridSpan w:val="2"/>
          </w:tcPr>
          <w:p>
            <w:pPr>
              <w:jc w:val="right"/>
              <w:spacing w:after="0"/>
              <w:rPr>
                <w:sz w:val="20"/>
                <w:szCs w:val="20"/>
                <w:color w:val="auto"/>
              </w:rPr>
            </w:pPr>
            <w:r>
              <w:rPr>
                <w:rFonts w:ascii="Arial" w:cs="Arial" w:eastAsia="Arial" w:hAnsi="Arial"/>
                <w:sz w:val="18"/>
                <w:szCs w:val="18"/>
                <w:color w:val="auto"/>
              </w:rPr>
              <w:t>55.8%</w:t>
            </w:r>
          </w:p>
        </w:tc>
      </w:tr>
      <w:tr>
        <w:trPr>
          <w:trHeight w:val="418"/>
        </w:trPr>
        <w:tc>
          <w:tcPr>
            <w:tcW w:w="480" w:type="dxa"/>
            <w:vAlign w:val="bottom"/>
          </w:tcPr>
          <w:p>
            <w:pPr>
              <w:spacing w:after="0"/>
              <w:rPr>
                <w:sz w:val="24"/>
                <w:szCs w:val="24"/>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2,000</w:t>
            </w: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120" w:type="dxa"/>
            <w:vAlign w:val="bottom"/>
            <w:gridSpan w:val="2"/>
          </w:tcPr>
          <w:p>
            <w:pPr>
              <w:jc w:val="right"/>
              <w:ind w:right="140"/>
              <w:spacing w:after="0"/>
              <w:rPr>
                <w:sz w:val="20"/>
                <w:szCs w:val="20"/>
                <w:color w:val="auto"/>
              </w:rPr>
            </w:pPr>
            <w:r>
              <w:rPr>
                <w:rFonts w:ascii="Arial" w:cs="Arial" w:eastAsia="Arial" w:hAnsi="Arial"/>
                <w:sz w:val="18"/>
                <w:szCs w:val="18"/>
                <w:color w:val="auto"/>
              </w:rPr>
              <w:t>2,000</w:t>
            </w:r>
          </w:p>
        </w:tc>
      </w:tr>
      <w:tr>
        <w:trPr>
          <w:trHeight w:val="216"/>
        </w:trPr>
        <w:tc>
          <w:tcPr>
            <w:tcW w:w="480" w:type="dxa"/>
            <w:vAlign w:val="bottom"/>
          </w:tcPr>
          <w:p>
            <w:pPr>
              <w:spacing w:after="0"/>
              <w:rPr>
                <w:sz w:val="18"/>
                <w:szCs w:val="18"/>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140</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20" w:type="dxa"/>
            <w:vAlign w:val="bottom"/>
            <w:gridSpan w:val="2"/>
          </w:tcPr>
          <w:p>
            <w:pPr>
              <w:jc w:val="right"/>
              <w:ind w:right="140"/>
              <w:spacing w:after="0"/>
              <w:rPr>
                <w:sz w:val="20"/>
                <w:szCs w:val="20"/>
                <w:color w:val="auto"/>
              </w:rPr>
            </w:pPr>
            <w:r>
              <w:rPr>
                <w:rFonts w:ascii="Arial" w:cs="Arial" w:eastAsia="Arial" w:hAnsi="Arial"/>
                <w:sz w:val="18"/>
                <w:szCs w:val="18"/>
                <w:color w:val="auto"/>
              </w:rPr>
              <w:t>140</w:t>
            </w:r>
          </w:p>
        </w:tc>
      </w:tr>
      <w:tr>
        <w:trPr>
          <w:trHeight w:val="230"/>
        </w:trPr>
        <w:tc>
          <w:tcPr>
            <w:tcW w:w="480" w:type="dxa"/>
            <w:vAlign w:val="bottom"/>
          </w:tcPr>
          <w:p>
            <w:pPr>
              <w:spacing w:after="0"/>
              <w:rPr>
                <w:sz w:val="20"/>
                <w:szCs w:val="20"/>
                <w:color w:val="auto"/>
              </w:rPr>
            </w:pPr>
          </w:p>
        </w:tc>
        <w:tc>
          <w:tcPr>
            <w:tcW w:w="980" w:type="dxa"/>
            <w:vAlign w:val="bottom"/>
            <w:gridSpan w:val="2"/>
          </w:tcPr>
          <w:p>
            <w:pPr>
              <w:jc w:val="right"/>
              <w:ind w:right="20"/>
              <w:spacing w:after="0"/>
              <w:rPr>
                <w:sz w:val="20"/>
                <w:szCs w:val="20"/>
                <w:color w:val="auto"/>
              </w:rPr>
            </w:pPr>
            <w:r>
              <w:rPr>
                <w:rFonts w:ascii="Arial" w:cs="Arial" w:eastAsia="Arial" w:hAnsi="Arial"/>
                <w:sz w:val="18"/>
                <w:szCs w:val="18"/>
                <w:color w:val="auto"/>
              </w:rPr>
              <w:t>12,400</w:t>
            </w:r>
          </w:p>
        </w:tc>
        <w:tc>
          <w:tcPr>
            <w:tcW w:w="2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120" w:type="dxa"/>
            <w:vAlign w:val="bottom"/>
            <w:gridSpan w:val="2"/>
          </w:tcPr>
          <w:p>
            <w:pPr>
              <w:jc w:val="right"/>
              <w:ind w:right="140"/>
              <w:spacing w:after="0"/>
              <w:rPr>
                <w:sz w:val="20"/>
                <w:szCs w:val="20"/>
                <w:color w:val="auto"/>
              </w:rPr>
            </w:pPr>
            <w:r>
              <w:rPr>
                <w:rFonts w:ascii="Arial" w:cs="Arial" w:eastAsia="Arial" w:hAnsi="Arial"/>
                <w:sz w:val="18"/>
                <w:szCs w:val="18"/>
                <w:color w:val="auto"/>
              </w:rPr>
              <w:t>12,400</w:t>
            </w:r>
          </w:p>
        </w:tc>
      </w:tr>
      <w:tr>
        <w:trPr>
          <w:trHeight w:val="210"/>
        </w:trPr>
        <w:tc>
          <w:tcPr>
            <w:tcW w:w="480" w:type="dxa"/>
            <w:vAlign w:val="bottom"/>
            <w:tcBorders>
              <w:top w:val="single" w:sz="8" w:color="auto"/>
              <w:bottom w:val="single" w:sz="8" w:color="auto"/>
            </w:tcBorders>
          </w:tcPr>
          <w:p>
            <w:pPr>
              <w:jc w:val="right"/>
              <w:ind w:right="327"/>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122,115</w:t>
            </w:r>
          </w:p>
        </w:tc>
        <w:tc>
          <w:tcPr>
            <w:tcW w:w="2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60" w:type="dxa"/>
            <w:vAlign w:val="bottom"/>
            <w:tcBorders>
              <w:top w:val="single" w:sz="8" w:color="auto"/>
              <w:bottom w:val="single" w:sz="8" w:color="auto"/>
            </w:tcBorders>
          </w:tcPr>
          <w:p>
            <w:pPr>
              <w:jc w:val="right"/>
              <w:ind w:right="307"/>
              <w:spacing w:after="0"/>
              <w:rPr>
                <w:sz w:val="20"/>
                <w:szCs w:val="20"/>
                <w:color w:val="auto"/>
              </w:rPr>
            </w:pPr>
            <w:r>
              <w:rPr>
                <w:rFonts w:ascii="Arial" w:cs="Arial" w:eastAsia="Arial" w:hAnsi="Arial"/>
                <w:sz w:val="15"/>
                <w:szCs w:val="15"/>
                <w:color w:val="auto"/>
                <w:w w:val="71"/>
              </w:rPr>
              <w:t>$</w:t>
            </w: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118,000</w:t>
            </w:r>
          </w:p>
        </w:tc>
        <w:tc>
          <w:tcPr>
            <w:tcW w:w="140" w:type="dxa"/>
            <w:vAlign w:val="bottom"/>
          </w:tcPr>
          <w:p>
            <w:pPr>
              <w:spacing w:after="0"/>
              <w:rPr>
                <w:sz w:val="18"/>
                <w:szCs w:val="18"/>
                <w:color w:val="auto"/>
              </w:rPr>
            </w:pPr>
          </w:p>
        </w:tc>
      </w:tr>
      <w:tr>
        <w:trPr>
          <w:trHeight w:val="20"/>
        </w:trPr>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r>
      <w:tr>
        <w:trPr>
          <w:trHeight w:val="196"/>
        </w:trPr>
        <w:tc>
          <w:tcPr>
            <w:tcW w:w="480" w:type="dxa"/>
            <w:vAlign w:val="bottom"/>
          </w:tcPr>
          <w:p>
            <w:pPr>
              <w:spacing w:after="0"/>
              <w:rPr>
                <w:sz w:val="17"/>
                <w:szCs w:val="17"/>
                <w:color w:val="auto"/>
              </w:rPr>
            </w:pPr>
          </w:p>
        </w:tc>
        <w:tc>
          <w:tcPr>
            <w:tcW w:w="1180" w:type="dxa"/>
            <w:vAlign w:val="bottom"/>
            <w:gridSpan w:val="3"/>
          </w:tcPr>
          <w:p>
            <w:pPr>
              <w:jc w:val="right"/>
              <w:ind w:right="60"/>
              <w:spacing w:after="0" w:line="196" w:lineRule="exact"/>
              <w:rPr>
                <w:sz w:val="20"/>
                <w:szCs w:val="20"/>
                <w:color w:val="auto"/>
              </w:rPr>
            </w:pPr>
            <w:r>
              <w:rPr>
                <w:rFonts w:ascii="Arial" w:cs="Arial" w:eastAsia="Arial" w:hAnsi="Arial"/>
                <w:sz w:val="18"/>
                <w:szCs w:val="18"/>
                <w:color w:val="auto"/>
              </w:rPr>
              <w:t>64.7%</w:t>
            </w:r>
          </w:p>
        </w:tc>
        <w:tc>
          <w:tcPr>
            <w:tcW w:w="6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112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63.7%</w:t>
            </w:r>
          </w:p>
        </w:tc>
      </w:tr>
      <w:tr>
        <w:trPr>
          <w:trHeight w:val="20"/>
        </w:trPr>
        <w:tc>
          <w:tcPr>
            <w:tcW w:w="48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r>
    </w:tbl>
    <w:p>
      <w:pPr>
        <w:sectPr>
          <w:pgSz w:w="11900" w:h="16838" w:orient="portrait"/>
          <w:cols w:equalWidth="0" w:num="2">
            <w:col w:w="7200" w:space="720"/>
            <w:col w:w="3320"/>
          </w:cols>
          <w:pgMar w:left="320" w:top="580" w:right="339" w:bottom="1440" w:gutter="0" w:footer="0" w:header="0"/>
          <w:type w:val="continuous"/>
        </w:sectPr>
      </w:pPr>
    </w:p>
    <w:bookmarkStart w:id="14" w:name="page15"/>
    <w:bookmarkEnd w:id="14"/>
    <w:p>
      <w:pPr>
        <w:ind w:left="10320"/>
        <w:spacing w:after="0"/>
        <w:rPr>
          <w:sz w:val="20"/>
          <w:szCs w:val="20"/>
          <w:color w:val="auto"/>
        </w:rPr>
      </w:pPr>
      <w:r>
        <w:rPr>
          <w:rFonts w:ascii="Arial" w:cs="Arial" w:eastAsia="Arial" w:hAnsi="Arial"/>
          <w:sz w:val="16"/>
          <w:szCs w:val="16"/>
          <w:b w:val="1"/>
          <w:bCs w:val="1"/>
          <w:color w:val="auto"/>
        </w:rPr>
        <w:t>Exhibit 99.2</w:t>
      </w:r>
    </w:p>
    <w:p>
      <w:pPr>
        <w:spacing w:after="0" w:line="243" w:lineRule="exact"/>
        <w:rPr>
          <w:sz w:val="20"/>
          <w:szCs w:val="20"/>
          <w:color w:val="auto"/>
        </w:rPr>
      </w:pPr>
    </w:p>
    <w:p>
      <w:pPr>
        <w:ind w:left="400"/>
        <w:spacing w:after="0"/>
        <w:rPr>
          <w:sz w:val="20"/>
          <w:szCs w:val="20"/>
          <w:color w:val="auto"/>
        </w:rPr>
      </w:pPr>
      <w:r>
        <w:rPr>
          <w:rFonts w:ascii="Arial" w:cs="Arial" w:eastAsia="Arial" w:hAnsi="Arial"/>
          <w:sz w:val="24"/>
          <w:szCs w:val="24"/>
          <w:b w:val="1"/>
          <w:bCs w:val="1"/>
          <w:color w:val="auto"/>
        </w:rPr>
        <w:t>Marvell to Acquire Inphi - Accelerating Growth and Leadership in Cloud and 5G Infrastructure</w:t>
      </w:r>
    </w:p>
    <w:p>
      <w:pPr>
        <w:spacing w:after="0" w:line="358" w:lineRule="exact"/>
        <w:rPr>
          <w:sz w:val="20"/>
          <w:szCs w:val="20"/>
          <w:color w:val="auto"/>
        </w:rPr>
      </w:pPr>
    </w:p>
    <w:p>
      <w:pPr>
        <w:ind w:left="660" w:hanging="328"/>
        <w:spacing w:after="0"/>
        <w:tabs>
          <w:tab w:leader="none" w:pos="660" w:val="left"/>
        </w:tabs>
        <w:numPr>
          <w:ilvl w:val="0"/>
          <w:numId w:val="5"/>
        </w:numPr>
        <w:rPr>
          <w:rFonts w:ascii="Arial" w:cs="Arial" w:eastAsia="Arial" w:hAnsi="Arial"/>
          <w:sz w:val="29"/>
          <w:szCs w:val="29"/>
          <w:color w:val="auto"/>
          <w:vertAlign w:val="superscript"/>
        </w:rPr>
      </w:pPr>
      <w:r>
        <w:rPr>
          <w:rFonts w:ascii="Arial" w:cs="Arial" w:eastAsia="Arial" w:hAnsi="Arial"/>
          <w:sz w:val="18"/>
          <w:szCs w:val="18"/>
          <w:color w:val="auto"/>
        </w:rPr>
        <w:t>Creates a U.S. semiconductor powerhouse with an enterprise value of approximately $40 billion</w:t>
      </w:r>
    </w:p>
    <w:p>
      <w:pPr>
        <w:spacing w:after="0" w:line="1" w:lineRule="exact"/>
        <w:rPr>
          <w:rFonts w:ascii="Arial" w:cs="Arial" w:eastAsia="Arial" w:hAnsi="Arial"/>
          <w:sz w:val="29"/>
          <w:szCs w:val="29"/>
          <w:color w:val="auto"/>
          <w:vertAlign w:val="superscript"/>
        </w:rPr>
      </w:pPr>
    </w:p>
    <w:p>
      <w:pPr>
        <w:ind w:left="660" w:hanging="328"/>
        <w:spacing w:after="0" w:line="186" w:lineRule="auto"/>
        <w:tabs>
          <w:tab w:leader="none" w:pos="660" w:val="left"/>
        </w:tabs>
        <w:numPr>
          <w:ilvl w:val="0"/>
          <w:numId w:val="5"/>
        </w:numPr>
        <w:rPr>
          <w:rFonts w:ascii="Arial" w:cs="Arial" w:eastAsia="Arial" w:hAnsi="Arial"/>
          <w:sz w:val="24"/>
          <w:szCs w:val="24"/>
          <w:color w:val="auto"/>
          <w:vertAlign w:val="superscript"/>
        </w:rPr>
      </w:pPr>
      <w:r>
        <w:rPr>
          <w:rFonts w:ascii="Arial" w:cs="Arial" w:eastAsia="Arial" w:hAnsi="Arial"/>
          <w:sz w:val="15"/>
          <w:szCs w:val="15"/>
          <w:color w:val="auto"/>
        </w:rPr>
        <w:t>Positions Marvell for leadership in cloud; extends 5G opportunity</w:t>
      </w:r>
    </w:p>
    <w:p>
      <w:pPr>
        <w:spacing w:after="0" w:line="2" w:lineRule="exact"/>
        <w:rPr>
          <w:rFonts w:ascii="Arial" w:cs="Arial" w:eastAsia="Arial" w:hAnsi="Arial"/>
          <w:sz w:val="24"/>
          <w:szCs w:val="24"/>
          <w:color w:val="auto"/>
          <w:vertAlign w:val="superscript"/>
        </w:rPr>
      </w:pPr>
    </w:p>
    <w:p>
      <w:pPr>
        <w:ind w:left="660" w:hanging="328"/>
        <w:spacing w:after="0" w:line="186" w:lineRule="auto"/>
        <w:tabs>
          <w:tab w:leader="none" w:pos="660" w:val="left"/>
        </w:tabs>
        <w:numPr>
          <w:ilvl w:val="0"/>
          <w:numId w:val="5"/>
        </w:numPr>
        <w:rPr>
          <w:rFonts w:ascii="Arial" w:cs="Arial" w:eastAsia="Arial" w:hAnsi="Arial"/>
          <w:sz w:val="24"/>
          <w:szCs w:val="24"/>
          <w:color w:val="auto"/>
          <w:vertAlign w:val="superscript"/>
        </w:rPr>
      </w:pPr>
      <w:r>
        <w:rPr>
          <w:rFonts w:ascii="Arial" w:cs="Arial" w:eastAsia="Arial" w:hAnsi="Arial"/>
          <w:sz w:val="15"/>
          <w:szCs w:val="15"/>
          <w:color w:val="auto"/>
        </w:rPr>
        <w:t>Adds Inphi’s leading electro-optics interconnect platform in highly complementary transaction</w:t>
      </w:r>
    </w:p>
    <w:p>
      <w:pPr>
        <w:spacing w:after="0" w:line="2" w:lineRule="exact"/>
        <w:rPr>
          <w:rFonts w:ascii="Arial" w:cs="Arial" w:eastAsia="Arial" w:hAnsi="Arial"/>
          <w:sz w:val="24"/>
          <w:szCs w:val="24"/>
          <w:color w:val="auto"/>
          <w:vertAlign w:val="superscript"/>
        </w:rPr>
      </w:pPr>
    </w:p>
    <w:p>
      <w:pPr>
        <w:ind w:left="660" w:hanging="328"/>
        <w:spacing w:after="0" w:line="186" w:lineRule="auto"/>
        <w:tabs>
          <w:tab w:leader="none" w:pos="660" w:val="left"/>
        </w:tabs>
        <w:numPr>
          <w:ilvl w:val="0"/>
          <w:numId w:val="5"/>
        </w:numPr>
        <w:rPr>
          <w:rFonts w:ascii="Arial" w:cs="Arial" w:eastAsia="Arial" w:hAnsi="Arial"/>
          <w:sz w:val="24"/>
          <w:szCs w:val="24"/>
          <w:color w:val="auto"/>
          <w:vertAlign w:val="superscript"/>
        </w:rPr>
      </w:pPr>
      <w:r>
        <w:rPr>
          <w:rFonts w:ascii="Arial" w:cs="Arial" w:eastAsia="Arial" w:hAnsi="Arial"/>
          <w:sz w:val="15"/>
          <w:szCs w:val="15"/>
          <w:color w:val="auto"/>
        </w:rPr>
        <w:t>Expands Marvell’s addressable market to $23 billion and accelerates market growth to 12% CAGR</w:t>
      </w:r>
    </w:p>
    <w:p>
      <w:pPr>
        <w:spacing w:after="0" w:line="2" w:lineRule="exact"/>
        <w:rPr>
          <w:rFonts w:ascii="Arial" w:cs="Arial" w:eastAsia="Arial" w:hAnsi="Arial"/>
          <w:sz w:val="24"/>
          <w:szCs w:val="24"/>
          <w:color w:val="auto"/>
          <w:vertAlign w:val="superscript"/>
        </w:rPr>
      </w:pPr>
    </w:p>
    <w:p>
      <w:pPr>
        <w:ind w:left="660" w:hanging="328"/>
        <w:spacing w:after="0" w:line="186" w:lineRule="auto"/>
        <w:tabs>
          <w:tab w:leader="none" w:pos="660" w:val="left"/>
        </w:tabs>
        <w:numPr>
          <w:ilvl w:val="0"/>
          <w:numId w:val="5"/>
        </w:numPr>
        <w:rPr>
          <w:rFonts w:ascii="Arial" w:cs="Arial" w:eastAsia="Arial" w:hAnsi="Arial"/>
          <w:sz w:val="24"/>
          <w:szCs w:val="24"/>
          <w:color w:val="auto"/>
          <w:vertAlign w:val="superscript"/>
        </w:rPr>
      </w:pPr>
      <w:r>
        <w:rPr>
          <w:rFonts w:ascii="Arial" w:cs="Arial" w:eastAsia="Arial" w:hAnsi="Arial"/>
          <w:sz w:val="15"/>
          <w:szCs w:val="15"/>
          <w:color w:val="auto"/>
        </w:rPr>
        <w:t>Combination expected to double number of $100M+ cloud &amp; networking customers to eight</w:t>
      </w:r>
    </w:p>
    <w:p>
      <w:pPr>
        <w:spacing w:after="0" w:line="2" w:lineRule="exact"/>
        <w:rPr>
          <w:rFonts w:ascii="Arial" w:cs="Arial" w:eastAsia="Arial" w:hAnsi="Arial"/>
          <w:sz w:val="24"/>
          <w:szCs w:val="24"/>
          <w:color w:val="auto"/>
          <w:vertAlign w:val="superscript"/>
        </w:rPr>
      </w:pPr>
    </w:p>
    <w:p>
      <w:pPr>
        <w:ind w:left="660" w:hanging="328"/>
        <w:spacing w:after="0" w:line="186" w:lineRule="auto"/>
        <w:tabs>
          <w:tab w:leader="none" w:pos="660" w:val="left"/>
        </w:tabs>
        <w:numPr>
          <w:ilvl w:val="0"/>
          <w:numId w:val="5"/>
        </w:numPr>
        <w:rPr>
          <w:rFonts w:ascii="Arial" w:cs="Arial" w:eastAsia="Arial" w:hAnsi="Arial"/>
          <w:sz w:val="24"/>
          <w:szCs w:val="24"/>
          <w:color w:val="auto"/>
          <w:vertAlign w:val="superscript"/>
        </w:rPr>
      </w:pPr>
      <w:r>
        <w:rPr>
          <w:rFonts w:ascii="Arial" w:cs="Arial" w:eastAsia="Arial" w:hAnsi="Arial"/>
          <w:sz w:val="15"/>
          <w:szCs w:val="15"/>
          <w:color w:val="auto"/>
        </w:rPr>
        <w:t>Accretive to revenue growth, gross and operating margin; enhances long-term financial model</w:t>
      </w:r>
    </w:p>
    <w:p>
      <w:pPr>
        <w:spacing w:after="0" w:line="200" w:lineRule="exact"/>
        <w:rPr>
          <w:sz w:val="20"/>
          <w:szCs w:val="20"/>
          <w:color w:val="auto"/>
        </w:rPr>
      </w:pPr>
    </w:p>
    <w:p>
      <w:pPr>
        <w:spacing w:after="0" w:line="218"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SANTA CLARA, Calif. and San Jose, Calif., October 29, 2020 /PRNewswire/: Marvell Technology Group Ltd. (NASDAQ: MRVL), a leader in infrastructure semiconductor solutions, and Inphi, Corp. (NASDAQ: IPHI), a leader in high-speed data movement, today announced a definitive agreement, unanimously approved by the boards of directors of both companies, under which Marvell will acquire Inphi in a cash and stock transaction. In conjunction with the transaction, Marvell intends to reorganize so that the combined company will be domiciled in the United States, creating a U.S. semiconductor powerhouse with an enterprise value of approximately $40 billion.</w:t>
      </w:r>
    </w:p>
    <w:p>
      <w:pPr>
        <w:spacing w:after="0" w:line="188" w:lineRule="exact"/>
        <w:rPr>
          <w:sz w:val="20"/>
          <w:szCs w:val="20"/>
          <w:color w:val="auto"/>
        </w:rPr>
      </w:pPr>
    </w:p>
    <w:p>
      <w:pPr>
        <w:ind w:right="180"/>
        <w:spacing w:after="0" w:line="293" w:lineRule="auto"/>
        <w:rPr>
          <w:sz w:val="20"/>
          <w:szCs w:val="20"/>
          <w:color w:val="auto"/>
        </w:rPr>
      </w:pPr>
      <w:r>
        <w:rPr>
          <w:rFonts w:ascii="Arial" w:cs="Arial" w:eastAsia="Arial" w:hAnsi="Arial"/>
          <w:sz w:val="16"/>
          <w:szCs w:val="16"/>
          <w:color w:val="auto"/>
        </w:rPr>
        <w:t>Inphi has built a leading high-speed data interconnect platform uniquely suited to meet the insatiable demand for increased bandwidth and low power for the cloud data centers and global networks of the future. Inphi’s high-speed electro-optics portfolio provides the connectivity fabric for cloud data centers and wired and wireless carrier networks, just as Marvell’s copper physical layer portfolio does for enterprise and future in-vehicle networks. Combining Marvell’s storage, networking, processor, and security portfolio, with Inphi’s leading electro-optics interconnect platform, will position the combined company for end-to-end technology leadership in data infrastructure. This highly complementary transaction expands Marvell’s addressable market, strengthens customer base, and accelerates Marvell’s leadership in hyperscale cloud data centers and 5G wireless infrastructure.</w:t>
      </w:r>
    </w:p>
    <w:p>
      <w:pPr>
        <w:spacing w:after="0" w:line="164" w:lineRule="exact"/>
        <w:rPr>
          <w:sz w:val="20"/>
          <w:szCs w:val="20"/>
          <w:color w:val="auto"/>
        </w:rPr>
      </w:pPr>
    </w:p>
    <w:p>
      <w:pPr>
        <w:ind w:right="200"/>
        <w:spacing w:after="0" w:line="255" w:lineRule="auto"/>
        <w:rPr>
          <w:sz w:val="20"/>
          <w:szCs w:val="20"/>
          <w:color w:val="auto"/>
        </w:rPr>
      </w:pPr>
      <w:r>
        <w:rPr>
          <w:rFonts w:ascii="Arial" w:cs="Arial" w:eastAsia="Arial" w:hAnsi="Arial"/>
          <w:sz w:val="18"/>
          <w:szCs w:val="18"/>
          <w:color w:val="auto"/>
        </w:rPr>
        <w:t>Today’s machine learning and other data-driven workloads have expanded beyond the confines of the server and now span the entire cloud data center, making the software-defined data center the new computing paradigm. This trend drives hyper-connectivity within the data center, putting electro-optical interconnects at the heart of the cloud architecture. In addition, the need for bandwidth between data centers continues to grow at astounding rates. Combined with explosive Internet traffic growth and the rollout of new ultra-fast 5G wireless networks, the importance of Inphi’s high-speed data interconnect solutions will only accelerate. The combined company will be uniquely positioned to serve the data-driven world, addressing high growth, attractive end markets – cloud datacenter and 5G.</w:t>
      </w:r>
    </w:p>
    <w:p>
      <w:pPr>
        <w:spacing w:after="0" w:line="192" w:lineRule="exact"/>
        <w:rPr>
          <w:sz w:val="20"/>
          <w:szCs w:val="20"/>
          <w:color w:val="auto"/>
        </w:rPr>
      </w:pPr>
    </w:p>
    <w:p>
      <w:pPr>
        <w:jc w:val="both"/>
        <w:ind w:right="20"/>
        <w:spacing w:after="0" w:line="286" w:lineRule="auto"/>
        <w:rPr>
          <w:sz w:val="20"/>
          <w:szCs w:val="20"/>
          <w:color w:val="auto"/>
        </w:rPr>
      </w:pPr>
      <w:r>
        <w:rPr>
          <w:rFonts w:ascii="Arial" w:cs="Arial" w:eastAsia="Arial" w:hAnsi="Arial"/>
          <w:sz w:val="17"/>
          <w:szCs w:val="17"/>
          <w:color w:val="auto"/>
        </w:rPr>
        <w:t>Our combined scale will provide more resources and capabilities to continue to invest and better manage the rapidly ramping process technology costs. The transaction is expected to generate annual run-rate synergies of $125 million to be realized within 18 months after the transaction closes and is expected to become accretive to Marvell’s non-GAAP earnings per share by the end of the first year after the transaction closes.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337185</wp:posOffset>
            </wp:positionV>
            <wp:extent cx="7132320" cy="171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40"/>
          </w:cols>
          <w:pgMar w:left="320" w:top="121" w:right="339" w:bottom="1440" w:gutter="0" w:footer="0" w:header="0"/>
        </w:sectPr>
      </w:pPr>
    </w:p>
    <w:bookmarkStart w:id="15" w:name="page16"/>
    <w:bookmarkEnd w:id="15"/>
    <w:p>
      <w:pPr>
        <w:ind w:right="140"/>
        <w:spacing w:after="0" w:line="301" w:lineRule="auto"/>
        <w:rPr>
          <w:sz w:val="20"/>
          <w:szCs w:val="20"/>
          <w:color w:val="auto"/>
        </w:rPr>
      </w:pPr>
      <w:r>
        <w:rPr>
          <w:rFonts w:ascii="Arial" w:cs="Arial" w:eastAsia="Arial" w:hAnsi="Arial"/>
          <w:sz w:val="16"/>
          <w:szCs w:val="16"/>
          <w:color w:val="auto"/>
        </w:rPr>
        <w:t>“Our acquisition of Inphi will fuel Marvell’s leadership in the cloud and extend our 5G position over the next decade,” said Matt Murphy, president and CEO of Marvell. “Inphi’s technologies are at the heart of cloud data center networks and they continue to extend their leadership with innovative new products, including 400G data center interconnect optical modules, which leverage their unique silicon photonics and DSP technologies. We believe that Inphi’s growing presence with cloud customers will also lead to additional opportunities for Marvell’s DPU and ASIC products.”</w:t>
      </w:r>
    </w:p>
    <w:p>
      <w:pPr>
        <w:spacing w:after="0" w:line="157" w:lineRule="exact"/>
        <w:rPr>
          <w:sz w:val="20"/>
          <w:szCs w:val="20"/>
          <w:color w:val="auto"/>
        </w:rPr>
      </w:pPr>
    </w:p>
    <w:p>
      <w:pPr>
        <w:spacing w:after="0" w:line="311" w:lineRule="auto"/>
        <w:rPr>
          <w:sz w:val="20"/>
          <w:szCs w:val="20"/>
          <w:color w:val="auto"/>
        </w:rPr>
      </w:pPr>
      <w:r>
        <w:rPr>
          <w:rFonts w:ascii="Arial" w:cs="Arial" w:eastAsia="Arial" w:hAnsi="Arial"/>
          <w:sz w:val="16"/>
          <w:szCs w:val="16"/>
          <w:color w:val="auto"/>
        </w:rPr>
        <w:t>“Marvell and Inphi share a vision to enable the world’s data infrastructure and we have both transformed our respective businesses to benefit from the strong secular growth expected in the cloud data center and 5G wireless markets” said Ford Tamer, President and CEO of Inphi. “Combining with Marvell significantly increases our scale, accelerates our access to the next generations of process technology, and opens up new opportunities in 5G connectivity.”</w:t>
      </w:r>
    </w:p>
    <w:p>
      <w:pPr>
        <w:spacing w:after="0" w:line="149" w:lineRule="exact"/>
        <w:rPr>
          <w:sz w:val="20"/>
          <w:szCs w:val="20"/>
          <w:color w:val="auto"/>
        </w:rPr>
      </w:pPr>
    </w:p>
    <w:p>
      <w:pPr>
        <w:spacing w:after="0"/>
        <w:rPr>
          <w:sz w:val="20"/>
          <w:szCs w:val="20"/>
          <w:color w:val="auto"/>
        </w:rPr>
      </w:pPr>
      <w:r>
        <w:rPr>
          <w:rFonts w:ascii="Arial" w:cs="Arial" w:eastAsia="Arial" w:hAnsi="Arial"/>
          <w:sz w:val="18"/>
          <w:szCs w:val="18"/>
          <w:color w:val="auto"/>
        </w:rPr>
        <w:t>Upon closing, Ford Tamer, Inphi’s President and CEO, will join Marvell’s Board of Directors.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Transaction Structure and Terms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Under the terms of the definitive agreement, the transaction consideration will consist of $66 in cash and 2.323 shares of stock of the combined company for each Inphi share. Upon closing of the transaction, Marvell shareholders will own approximately 83% of the combined company and Inphi stockholders will own approximately 17% of the combined company.</w:t>
      </w:r>
    </w:p>
    <w:p>
      <w:pPr>
        <w:spacing w:after="0" w:line="184" w:lineRule="exact"/>
        <w:rPr>
          <w:sz w:val="20"/>
          <w:szCs w:val="20"/>
          <w:color w:val="auto"/>
        </w:rPr>
      </w:pPr>
    </w:p>
    <w:p>
      <w:pPr>
        <w:ind w:right="60"/>
        <w:spacing w:after="0" w:line="311" w:lineRule="auto"/>
        <w:rPr>
          <w:sz w:val="20"/>
          <w:szCs w:val="20"/>
          <w:color w:val="auto"/>
        </w:rPr>
      </w:pPr>
      <w:r>
        <w:rPr>
          <w:rFonts w:ascii="Arial" w:cs="Arial" w:eastAsia="Arial" w:hAnsi="Arial"/>
          <w:sz w:val="16"/>
          <w:szCs w:val="16"/>
          <w:color w:val="auto"/>
        </w:rPr>
        <w:t>Marvell intends to finance the transaction with cash on hand, and additional financing. Marvell has obtained debt financing commitments from JPMorgan Chase Bank, N.A. The transaction is not subject to any financing condition and is expected to close by the second half of calendar 2021, subject to the approval of Marvell shareholders and Inphi stockholders and the satisfaction of customary closing conditions, including applicable regulatory approvals.</w:t>
      </w:r>
    </w:p>
    <w:p>
      <w:pPr>
        <w:spacing w:after="0" w:line="3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Advisors</w:t>
      </w:r>
    </w:p>
    <w:p>
      <w:pPr>
        <w:spacing w:after="0" w:line="229" w:lineRule="exact"/>
        <w:rPr>
          <w:sz w:val="20"/>
          <w:szCs w:val="20"/>
          <w:color w:val="auto"/>
        </w:rPr>
      </w:pPr>
    </w:p>
    <w:p>
      <w:pPr>
        <w:ind w:right="20"/>
        <w:spacing w:after="0" w:line="263" w:lineRule="auto"/>
        <w:rPr>
          <w:sz w:val="20"/>
          <w:szCs w:val="20"/>
          <w:color w:val="auto"/>
        </w:rPr>
      </w:pPr>
      <w:r>
        <w:rPr>
          <w:rFonts w:ascii="Arial" w:cs="Arial" w:eastAsia="Arial" w:hAnsi="Arial"/>
          <w:sz w:val="18"/>
          <w:szCs w:val="18"/>
          <w:color w:val="auto"/>
        </w:rPr>
        <w:t>J.P. Morgan Securities LLC served as exclusive financial advisor to Marvell and also provided committed financing for the transaction and Hogan Lovells US LLP served as legal advisor. Qatalyst Partners LP served as exclusive financial advisor to Inphi and Pillsbury Winthrop Shaw Pittman LLP served as legal advisor.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348615</wp:posOffset>
            </wp:positionV>
            <wp:extent cx="7132320" cy="171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140"/>
          </w:cols>
          <w:pgMar w:left="320" w:top="584" w:right="439" w:bottom="1440" w:gutter="0" w:footer="0" w:header="0"/>
        </w:sectPr>
      </w:pPr>
    </w:p>
    <w:bookmarkStart w:id="16" w:name="page17"/>
    <w:bookmarkEnd w:id="16"/>
    <w:p>
      <w:pPr>
        <w:spacing w:after="0"/>
        <w:rPr>
          <w:sz w:val="20"/>
          <w:szCs w:val="20"/>
          <w:color w:val="auto"/>
        </w:rPr>
      </w:pPr>
      <w:r>
        <w:rPr>
          <w:rFonts w:ascii="Arial" w:cs="Arial" w:eastAsia="Arial" w:hAnsi="Arial"/>
          <w:sz w:val="18"/>
          <w:szCs w:val="18"/>
          <w:b w:val="1"/>
          <w:bCs w:val="1"/>
          <w:color w:val="auto"/>
        </w:rPr>
        <w:t>Marvell Preliminary Third Fiscal Quarter 2021 Results</w:t>
      </w:r>
    </w:p>
    <w:p>
      <w:pPr>
        <w:spacing w:after="0" w:line="229" w:lineRule="exact"/>
        <w:rPr>
          <w:sz w:val="20"/>
          <w:szCs w:val="20"/>
          <w:color w:val="auto"/>
        </w:rPr>
      </w:pPr>
    </w:p>
    <w:p>
      <w:pPr>
        <w:ind w:right="40"/>
        <w:spacing w:after="0" w:line="254" w:lineRule="auto"/>
        <w:rPr>
          <w:sz w:val="20"/>
          <w:szCs w:val="20"/>
          <w:color w:val="auto"/>
        </w:rPr>
      </w:pPr>
      <w:r>
        <w:rPr>
          <w:rFonts w:ascii="Arial" w:cs="Arial" w:eastAsia="Arial" w:hAnsi="Arial"/>
          <w:sz w:val="18"/>
          <w:szCs w:val="18"/>
          <w:color w:val="auto"/>
        </w:rPr>
        <w:t>Based on preliminary financial information, Marvell expects its third quarter revenue to be in the range of $750 million +/- 2%. Further information regarding third fiscal quarter results will be released on December 3, 2020 at 1:45 p.m. Pacific Time. The preliminary revenue results are unaudited, based on information available to management as of the date of this release, and may be subject to further changes upon completion of Marvell's standard quarter closing procedures. Actual results may differ materially from these preliminary results because of the completion of quarter-end closing procedures, final adjustments and other developments arising between now and the time that Marvell financial results are finalized. This update does not present all necessary information for an understanding of Marvell's financial condition as of October 31, 2020, or its results of operations for the quarter ended October 31, 2020.</w:t>
      </w: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Call/Webcast to Discuss Transaction</w:t>
      </w:r>
    </w:p>
    <w:p>
      <w:pPr>
        <w:spacing w:after="0" w:line="229"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Interested parties may join a conference call Thursday, October 29, 2020 at 5:30 a.m. Pacific Time to discuss the transaction by dialing 1 (844) 647-5488 in the U.S. or +1 (615) 247-0258 internationally, with the conference ID 6784634. A webcast of the call can be accessed by visiting Marvell’s investor relations website. A replay will be available until November 5, 2020 by dialing 1 (855) 859-2056, replay ID 6784634.</w:t>
      </w: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229"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https://www.marvell.com</w:t>
      </w:r>
      <w:r>
        <w:rPr>
          <w:rFonts w:ascii="Arial" w:cs="Arial" w:eastAsia="Arial" w:hAnsi="Arial"/>
          <w:sz w:val="18"/>
          <w:szCs w:val="18"/>
          <w:color w:val="auto"/>
        </w:rPr>
        <w:t>.</w:t>
      </w:r>
    </w:p>
    <w:p>
      <w:pPr>
        <w:spacing w:after="0" w:line="187"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US and/or elsewhere. Other names and brands may be claimed as the property of others.</w:t>
      </w:r>
    </w:p>
    <w:p>
      <w:pPr>
        <w:spacing w:after="0" w:line="3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Inphi</w:t>
      </w:r>
    </w:p>
    <w:p>
      <w:pPr>
        <w:spacing w:after="0" w:line="229" w:lineRule="exact"/>
        <w:rPr>
          <w:sz w:val="20"/>
          <w:szCs w:val="20"/>
          <w:color w:val="auto"/>
        </w:rPr>
      </w:pPr>
    </w:p>
    <w:p>
      <w:pPr>
        <w:ind w:right="140"/>
        <w:spacing w:after="0" w:line="257" w:lineRule="auto"/>
        <w:rPr>
          <w:sz w:val="20"/>
          <w:szCs w:val="20"/>
          <w:color w:val="auto"/>
        </w:rPr>
      </w:pPr>
      <w:r>
        <w:rPr>
          <w:rFonts w:ascii="Arial" w:cs="Arial" w:eastAsia="Arial" w:hAnsi="Arial"/>
          <w:sz w:val="18"/>
          <w:szCs w:val="18"/>
          <w:color w:val="auto"/>
        </w:rPr>
        <w:t xml:space="preserve">Inphi corporation is a leader in high-speed data movement. We move big data fast, throughout the globe, between data centers, and inside data centers. Inphi's expertise in signal integrity results in reliable data delivery, at high speeds, over a variety of distances. As data volumes ramp exponentially due to video streaming, social media, cloud-based services, and wireless infrastructure, the need for speed has never been greater. That's where we come in. Customers rely on Inphi's solutions to develop and build out the Service Provider and Cloud infrastructures, and data centers of tomorrow. To learn more about Inphi, visit </w:t>
      </w:r>
      <w:r>
        <w:rPr>
          <w:rFonts w:ascii="Arial" w:cs="Arial" w:eastAsia="Arial" w:hAnsi="Arial"/>
          <w:sz w:val="18"/>
          <w:szCs w:val="18"/>
          <w:u w:val="single" w:color="auto"/>
          <w:color w:val="auto"/>
        </w:rPr>
        <w:t>www.inphi.com</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351155</wp:posOffset>
            </wp:positionV>
            <wp:extent cx="7132320" cy="171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580" w:right="379" w:bottom="1440" w:gutter="0" w:footer="0" w:header="0"/>
        </w:sectPr>
      </w:pPr>
    </w:p>
    <w:bookmarkStart w:id="17" w:name="page18"/>
    <w:bookmarkEnd w:id="17"/>
    <w:p>
      <w:pPr>
        <w:spacing w:after="0"/>
        <w:rPr>
          <w:sz w:val="20"/>
          <w:szCs w:val="20"/>
          <w:color w:val="auto"/>
        </w:rPr>
      </w:pPr>
      <w:r>
        <w:rPr>
          <w:rFonts w:ascii="Arial" w:cs="Arial" w:eastAsia="Arial" w:hAnsi="Arial"/>
          <w:sz w:val="17"/>
          <w:szCs w:val="17"/>
          <w:color w:val="auto"/>
        </w:rPr>
        <w:t>Inphi, the Inphi logo and Think fast are registered trademarks of Inphi. All other trademarks used herein are the property of their respective owners.</w:t>
      </w:r>
    </w:p>
    <w:p>
      <w:pPr>
        <w:spacing w:after="0" w:line="200" w:lineRule="exact"/>
        <w:rPr>
          <w:sz w:val="20"/>
          <w:szCs w:val="20"/>
          <w:color w:val="auto"/>
        </w:rPr>
      </w:pPr>
    </w:p>
    <w:p>
      <w:pPr>
        <w:spacing w:after="0" w:line="24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Inphi Corporate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Vernon P. Essi, Jr.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408-606-6524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investors@inphi.com</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229"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This communication relates to a proposed transaction between Marvell and Inphi. In connection with the proposed transaction, Marvell and Inphi will cause the newly formed company which will become the holding company of Marvell and Inphi following the transaction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 SEC. BEFORE MAKING ANY VOTING DECISION, INVESTORS AND SECURITY HOLDERS OF INPHI AND 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66" w:lineRule="exact"/>
        <w:rPr>
          <w:sz w:val="20"/>
          <w:szCs w:val="20"/>
          <w:color w:val="auto"/>
        </w:rPr>
      </w:pPr>
    </w:p>
    <w:p>
      <w:pPr>
        <w:ind w:right="740"/>
        <w:spacing w:after="0" w:line="342" w:lineRule="auto"/>
        <w:rPr>
          <w:sz w:val="20"/>
          <w:szCs w:val="20"/>
          <w:color w:val="auto"/>
        </w:rPr>
      </w:pPr>
      <w:r>
        <w:rPr>
          <w:rFonts w:ascii="Arial" w:cs="Arial" w:eastAsia="Arial" w:hAnsi="Arial"/>
          <w:sz w:val="16"/>
          <w:szCs w:val="16"/>
          <w:color w:val="auto"/>
        </w:rPr>
        <w:t>Investors, Marvell shareholders and Inphi stockholders may obtain free copies of the joint proxy statement/prospectus (when available) and other documents that are filed or will be filed with the SEC by Marvell, Inphi or HoldCo through the website maintained by the SEC at www.sec.gov.</w:t>
      </w:r>
    </w:p>
    <w:p>
      <w:pPr>
        <w:spacing w:after="0" w:line="124"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The documents filed by Marvell with the SEC also may be obtained free of charge at Marvell’s website at www.marvell.com or upon written request to Marvell Technology Group Ltd. at 5488 Marvell Lane, Santa Clara, CA 95054.</w:t>
      </w:r>
    </w:p>
    <w:p>
      <w:pPr>
        <w:spacing w:after="0" w:line="170" w:lineRule="exact"/>
        <w:rPr>
          <w:sz w:val="20"/>
          <w:szCs w:val="20"/>
          <w:color w:val="auto"/>
        </w:rPr>
      </w:pPr>
    </w:p>
    <w:p>
      <w:pPr>
        <w:ind w:right="440"/>
        <w:spacing w:after="0" w:line="277" w:lineRule="auto"/>
        <w:rPr>
          <w:sz w:val="20"/>
          <w:szCs w:val="20"/>
          <w:color w:val="auto"/>
        </w:rPr>
      </w:pPr>
      <w:r>
        <w:rPr>
          <w:rFonts w:ascii="Arial" w:cs="Arial" w:eastAsia="Arial" w:hAnsi="Arial"/>
          <w:sz w:val="18"/>
          <w:szCs w:val="18"/>
          <w:color w:val="auto"/>
        </w:rPr>
        <w:t>The documents filed by Inphi with the SEC also may be obtained free of charge at Inphi’s website at www.inphi.com or upon written request to Inphi Corporation at 110 Rio Robles, San Jose, California, 95134.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340360</wp:posOffset>
            </wp:positionV>
            <wp:extent cx="7132320" cy="171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584" w:right="379" w:bottom="1440" w:gutter="0" w:footer="0" w:header="0"/>
        </w:sectPr>
      </w:pPr>
    </w:p>
    <w:bookmarkStart w:id="18" w:name="page19"/>
    <w:bookmarkEnd w:id="18"/>
    <w:p>
      <w:pPr>
        <w:spacing w:after="0"/>
        <w:rPr>
          <w:sz w:val="20"/>
          <w:szCs w:val="20"/>
          <w:color w:val="auto"/>
        </w:rPr>
      </w:pPr>
      <w:r>
        <w:rPr>
          <w:rFonts w:ascii="Arial" w:cs="Arial" w:eastAsia="Arial" w:hAnsi="Arial"/>
          <w:sz w:val="18"/>
          <w:szCs w:val="18"/>
          <w:b w:val="1"/>
          <w:bCs w:val="1"/>
          <w:color w:val="auto"/>
        </w:rPr>
        <w:t>Participants in the Solicitation</w:t>
      </w:r>
    </w:p>
    <w:p>
      <w:pPr>
        <w:spacing w:after="0" w:line="229" w:lineRule="exact"/>
        <w:rPr>
          <w:sz w:val="20"/>
          <w:szCs w:val="20"/>
          <w:color w:val="auto"/>
        </w:rPr>
      </w:pPr>
    </w:p>
    <w:p>
      <w:pPr>
        <w:ind w:right="120"/>
        <w:spacing w:after="0" w:line="270" w:lineRule="auto"/>
        <w:rPr>
          <w:sz w:val="20"/>
          <w:szCs w:val="20"/>
          <w:color w:val="auto"/>
        </w:rPr>
      </w:pPr>
      <w:r>
        <w:rPr>
          <w:rFonts w:ascii="Arial" w:cs="Arial" w:eastAsia="Arial" w:hAnsi="Arial"/>
          <w:sz w:val="17"/>
          <w:szCs w:val="17"/>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3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229"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 (ii) 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 Offer or Solicitation</w:t>
      </w:r>
    </w:p>
    <w:p>
      <w:pPr>
        <w:spacing w:after="0" w:line="229" w:lineRule="exact"/>
        <w:rPr>
          <w:sz w:val="20"/>
          <w:szCs w:val="20"/>
          <w:color w:val="auto"/>
        </w:rPr>
      </w:pPr>
    </w:p>
    <w:p>
      <w:pPr>
        <w:jc w:val="both"/>
        <w:spacing w:after="0" w:line="279" w:lineRule="auto"/>
        <w:rPr>
          <w:sz w:val="20"/>
          <w:szCs w:val="20"/>
          <w:color w:val="auto"/>
        </w:rPr>
      </w:pPr>
      <w:r>
        <w:rPr>
          <w:rFonts w:ascii="Arial" w:cs="Arial" w:eastAsia="Arial" w:hAnsi="Arial"/>
          <w:sz w:val="17"/>
          <w:szCs w:val="17"/>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sectPr>
      <w:pgSz w:w="11900" w:h="16838" w:orient="portrait"/>
      <w:cols w:equalWidth="0" w:num="1">
        <w:col w:w="11240"/>
      </w:cols>
      <w:pgMar w:left="320" w:top="580"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
      <w:numFmt w:val="bullet"/>
      <w:start w:val="1"/>
    </w:lvl>
  </w:abstractNum>
  <w:abstractNum w:abstractNumId="3">
    <w:nsid w:val="238E1F29"/>
    <w:multiLevelType w:val="hybridMultilevel"/>
    <w:lvl w:ilvl="0">
      <w:lvlJc w:val="left"/>
      <w:lvlText w:val="(%1)"/>
      <w:numFmt w:val="lowerLetter"/>
      <w:start w:val="1"/>
    </w:lvl>
  </w:abstractNum>
  <w:abstractNum w:abstractNumId="4">
    <w:nsid w:val="46E87CC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jpe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2020-10-29T07:33:37Z</dcterms:created>
  <dcterms:modified xsi:type="dcterms:W3CDTF">2020-10-29T07:33:37Z</dcterms:modified>
</cp:coreProperties>
</file>