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right"/>
        <w:spacing w:after="0"/>
        <w:rPr>
          <w:sz w:val="20"/>
          <w:szCs w:val="20"/>
          <w:color w:val="auto"/>
        </w:rPr>
      </w:pPr>
      <w:r>
        <w:rPr>
          <w:rFonts w:ascii="Times New Roman" w:cs="Times New Roman" w:eastAsia="Times New Roman" w:hAnsi="Times New Roman"/>
          <w:sz w:val="18"/>
          <w:szCs w:val="18"/>
          <w:color w:val="auto"/>
        </w:rPr>
        <w:t>Filed by Marvell Technology Group Ltd.</w:t>
      </w:r>
    </w:p>
    <w:p>
      <w:pPr>
        <w:spacing w:after="0" w:line="27" w:lineRule="exact"/>
        <w:rPr>
          <w:sz w:val="24"/>
          <w:szCs w:val="24"/>
          <w:color w:val="auto"/>
        </w:rPr>
      </w:pPr>
    </w:p>
    <w:p>
      <w:pPr>
        <w:jc w:val="right"/>
        <w:spacing w:after="0"/>
        <w:rPr>
          <w:sz w:val="20"/>
          <w:szCs w:val="20"/>
          <w:color w:val="auto"/>
        </w:rPr>
      </w:pPr>
      <w:r>
        <w:rPr>
          <w:rFonts w:ascii="Times New Roman" w:cs="Times New Roman" w:eastAsia="Times New Roman" w:hAnsi="Times New Roman"/>
          <w:sz w:val="18"/>
          <w:szCs w:val="18"/>
          <w:color w:val="auto"/>
        </w:rPr>
        <w:t>(Commission File No. 000-30877)</w:t>
      </w:r>
    </w:p>
    <w:p>
      <w:pPr>
        <w:spacing w:after="0" w:line="9" w:lineRule="exact"/>
        <w:rPr>
          <w:sz w:val="24"/>
          <w:szCs w:val="24"/>
          <w:color w:val="auto"/>
        </w:rPr>
      </w:pPr>
    </w:p>
    <w:p>
      <w:pPr>
        <w:jc w:val="right"/>
        <w:spacing w:after="0"/>
        <w:rPr>
          <w:sz w:val="20"/>
          <w:szCs w:val="20"/>
          <w:color w:val="auto"/>
        </w:rPr>
      </w:pPr>
      <w:r>
        <w:rPr>
          <w:rFonts w:ascii="Times New Roman" w:cs="Times New Roman" w:eastAsia="Times New Roman" w:hAnsi="Times New Roman"/>
          <w:sz w:val="18"/>
          <w:szCs w:val="18"/>
          <w:color w:val="auto"/>
        </w:rPr>
        <w:t>pursuant to Rule 425 under the Securities Act of 1933, as amended</w:t>
      </w:r>
    </w:p>
    <w:p>
      <w:pPr>
        <w:spacing w:after="0" w:line="9" w:lineRule="exact"/>
        <w:rPr>
          <w:sz w:val="24"/>
          <w:szCs w:val="24"/>
          <w:color w:val="auto"/>
        </w:rPr>
      </w:pPr>
    </w:p>
    <w:p>
      <w:pPr>
        <w:ind w:left="3920"/>
        <w:spacing w:after="0"/>
        <w:rPr>
          <w:sz w:val="20"/>
          <w:szCs w:val="20"/>
          <w:color w:val="auto"/>
        </w:rPr>
      </w:pPr>
      <w:r>
        <w:rPr>
          <w:rFonts w:ascii="Times New Roman" w:cs="Times New Roman" w:eastAsia="Times New Roman" w:hAnsi="Times New Roman"/>
          <w:sz w:val="18"/>
          <w:szCs w:val="18"/>
          <w:color w:val="auto"/>
        </w:rPr>
        <w:t>and deemed filed pursuant to Rule 14a-12 under the Securities Exchange Act of 1934, as amended</w:t>
      </w:r>
    </w:p>
    <w:p>
      <w:pPr>
        <w:spacing w:after="0" w:line="207" w:lineRule="exact"/>
        <w:rPr>
          <w:sz w:val="24"/>
          <w:szCs w:val="24"/>
          <w:color w:val="auto"/>
        </w:rPr>
      </w:pPr>
    </w:p>
    <w:p>
      <w:pPr>
        <w:jc w:val="right"/>
        <w:spacing w:after="0"/>
        <w:rPr>
          <w:sz w:val="20"/>
          <w:szCs w:val="20"/>
          <w:color w:val="auto"/>
        </w:rPr>
      </w:pPr>
      <w:r>
        <w:rPr>
          <w:rFonts w:ascii="Times New Roman" w:cs="Times New Roman" w:eastAsia="Times New Roman" w:hAnsi="Times New Roman"/>
          <w:sz w:val="18"/>
          <w:szCs w:val="18"/>
          <w:color w:val="auto"/>
        </w:rPr>
        <w:t>Subject Company: Inphi Corporation</w:t>
      </w:r>
    </w:p>
    <w:p>
      <w:pPr>
        <w:spacing w:after="0" w:line="27" w:lineRule="exact"/>
        <w:rPr>
          <w:sz w:val="24"/>
          <w:szCs w:val="24"/>
          <w:color w:val="auto"/>
        </w:rPr>
      </w:pPr>
    </w:p>
    <w:p>
      <w:pPr>
        <w:jc w:val="right"/>
        <w:spacing w:after="0"/>
        <w:rPr>
          <w:sz w:val="20"/>
          <w:szCs w:val="20"/>
          <w:color w:val="auto"/>
        </w:rPr>
      </w:pPr>
      <w:r>
        <w:rPr>
          <w:rFonts w:ascii="Times New Roman" w:cs="Times New Roman" w:eastAsia="Times New Roman" w:hAnsi="Times New Roman"/>
          <w:sz w:val="18"/>
          <w:szCs w:val="18"/>
          <w:color w:val="auto"/>
        </w:rPr>
        <w:t>(Commission File No. 001-34942)</w:t>
      </w:r>
    </w:p>
    <w:p>
      <w:pPr>
        <w:spacing w:after="0" w:line="207" w:lineRule="exact"/>
        <w:rPr>
          <w:sz w:val="24"/>
          <w:szCs w:val="24"/>
          <w:color w:val="auto"/>
        </w:rPr>
      </w:pPr>
    </w:p>
    <w:p>
      <w:pPr>
        <w:ind w:right="760"/>
        <w:spacing w:after="0" w:line="282" w:lineRule="auto"/>
        <w:rPr>
          <w:sz w:val="20"/>
          <w:szCs w:val="20"/>
          <w:color w:val="auto"/>
        </w:rPr>
      </w:pPr>
      <w:r>
        <w:rPr>
          <w:rFonts w:ascii="Times New Roman" w:cs="Times New Roman" w:eastAsia="Times New Roman" w:hAnsi="Times New Roman"/>
          <w:sz w:val="18"/>
          <w:szCs w:val="18"/>
          <w:color w:val="auto"/>
        </w:rPr>
        <w:t>The following email communication was sent by the President and CEO of Marvell Technology Group Ltd. (“Marvell”) to employees of Inphi Corporation (“Inphi”) on October 29, 2020.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131445</wp:posOffset>
            </wp:positionV>
            <wp:extent cx="3900170" cy="53149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3900170" cy="53149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22"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October 29, 2020</w:t>
      </w:r>
    </w:p>
    <w:p>
      <w:pPr>
        <w:spacing w:after="0" w:line="117"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Inphi Team:</w:t>
      </w:r>
    </w:p>
    <w:p>
      <w:pPr>
        <w:spacing w:after="0" w:line="117" w:lineRule="exact"/>
        <w:rPr>
          <w:sz w:val="24"/>
          <w:szCs w:val="24"/>
          <w:color w:val="auto"/>
        </w:rPr>
      </w:pPr>
    </w:p>
    <w:p>
      <w:pPr>
        <w:ind w:right="60"/>
        <w:spacing w:after="0" w:line="266" w:lineRule="auto"/>
        <w:rPr>
          <w:sz w:val="20"/>
          <w:szCs w:val="20"/>
          <w:color w:val="auto"/>
        </w:rPr>
      </w:pPr>
      <w:r>
        <w:rPr>
          <w:rFonts w:ascii="Times New Roman" w:cs="Times New Roman" w:eastAsia="Times New Roman" w:hAnsi="Times New Roman"/>
          <w:sz w:val="18"/>
          <w:szCs w:val="18"/>
          <w:color w:val="auto"/>
        </w:rPr>
        <w:t>I’m very excited that Marvell has signed a definitive agreement to combine with Inphi, bringing together two leaders in the data infrastructure space and creating tremendous value for customers and both of our companies. Marvell’s mission is to Move, Store, Process, and Secure the world’s data and together, we will be the premier enabler of the high-speed data movement solutions so critical to that vision.</w:t>
      </w:r>
    </w:p>
    <w:p>
      <w:pPr>
        <w:spacing w:after="0" w:line="176" w:lineRule="exact"/>
        <w:rPr>
          <w:sz w:val="24"/>
          <w:szCs w:val="24"/>
          <w:color w:val="auto"/>
        </w:rPr>
      </w:pPr>
    </w:p>
    <w:p>
      <w:pPr>
        <w:ind w:right="20"/>
        <w:spacing w:after="0" w:line="282" w:lineRule="auto"/>
        <w:rPr>
          <w:sz w:val="20"/>
          <w:szCs w:val="20"/>
          <w:color w:val="auto"/>
        </w:rPr>
      </w:pPr>
      <w:r>
        <w:rPr>
          <w:rFonts w:ascii="Times New Roman" w:cs="Times New Roman" w:eastAsia="Times New Roman" w:hAnsi="Times New Roman"/>
          <w:sz w:val="18"/>
          <w:szCs w:val="18"/>
          <w:color w:val="auto"/>
        </w:rPr>
        <w:t>Our product portfolios are highly complementary, and Inphi’s leading electro-optics interconnect platforms, together with Marvell’s storage, networking, processor, and security solutions, will position the company for end-to-end technology leadership in data infrastructure.</w:t>
      </w:r>
    </w:p>
    <w:p>
      <w:pPr>
        <w:spacing w:after="0" w:line="162" w:lineRule="exact"/>
        <w:rPr>
          <w:sz w:val="24"/>
          <w:szCs w:val="24"/>
          <w:color w:val="auto"/>
        </w:rPr>
      </w:pPr>
    </w:p>
    <w:p>
      <w:pPr>
        <w:ind w:right="160"/>
        <w:spacing w:after="0" w:line="261" w:lineRule="auto"/>
        <w:rPr>
          <w:sz w:val="20"/>
          <w:szCs w:val="20"/>
          <w:color w:val="auto"/>
        </w:rPr>
      </w:pPr>
      <w:r>
        <w:rPr>
          <w:rFonts w:ascii="Times New Roman" w:cs="Times New Roman" w:eastAsia="Times New Roman" w:hAnsi="Times New Roman"/>
          <w:sz w:val="18"/>
          <w:szCs w:val="18"/>
          <w:color w:val="auto"/>
        </w:rPr>
        <w:t>Over the last few weeks, I have had the pleasure of getting to know Ford Tamer and other members of the Inphi management team. What has become crystal clear to me through those interactions so far is that Inphi has an incredibly talented team. Not only is there strong alignment between our companies in terms of technology and market opportunity, we also share common values and a vision for the future. I look forward to having Ford join the Marvell board of directors and partnering with him and the broader Inphi team.</w:t>
      </w:r>
    </w:p>
    <w:p>
      <w:pPr>
        <w:spacing w:after="0" w:line="180" w:lineRule="exact"/>
        <w:rPr>
          <w:sz w:val="24"/>
          <w:szCs w:val="24"/>
          <w:color w:val="auto"/>
        </w:rPr>
      </w:pPr>
    </w:p>
    <w:p>
      <w:pPr>
        <w:ind w:right="60"/>
        <w:spacing w:after="0" w:line="289" w:lineRule="auto"/>
        <w:rPr>
          <w:sz w:val="20"/>
          <w:szCs w:val="20"/>
          <w:color w:val="auto"/>
        </w:rPr>
      </w:pPr>
      <w:r>
        <w:rPr>
          <w:rFonts w:ascii="Times New Roman" w:cs="Times New Roman" w:eastAsia="Times New Roman" w:hAnsi="Times New Roman"/>
          <w:sz w:val="17"/>
          <w:szCs w:val="17"/>
          <w:color w:val="auto"/>
        </w:rPr>
        <w:t>The combination, which is subject to shareholder approval and the satisfaction of customary closing conditions, including applicable regulatory approvals, is expected to close in the second half of calendar 2021. Until that time, it’s important that we operate as two independent companies. You can expect to hear more in the weeks and months ahead regarding the integration planning effort, and we will certainly keep you posted on our progress.</w:t>
      </w:r>
    </w:p>
    <w:p>
      <w:pPr>
        <w:spacing w:after="0" w:line="158" w:lineRule="exact"/>
        <w:rPr>
          <w:sz w:val="24"/>
          <w:szCs w:val="24"/>
          <w:color w:val="auto"/>
        </w:rPr>
      </w:pPr>
    </w:p>
    <w:p>
      <w:pPr>
        <w:ind w:right="80"/>
        <w:spacing w:after="0" w:line="282" w:lineRule="auto"/>
        <w:rPr>
          <w:sz w:val="20"/>
          <w:szCs w:val="20"/>
          <w:color w:val="auto"/>
        </w:rPr>
      </w:pPr>
      <w:r>
        <w:rPr>
          <w:rFonts w:ascii="Times New Roman" w:cs="Times New Roman" w:eastAsia="Times New Roman" w:hAnsi="Times New Roman"/>
          <w:sz w:val="18"/>
          <w:szCs w:val="18"/>
          <w:color w:val="auto"/>
        </w:rPr>
        <w:t>We have planned special employee all hands meetings today at 12:00pm PT and 7:00pm PT, where Ford and I will share our common vision and do our best to answer your questions. Your team at Inphi has also made available an initial FAQ designed to address some likely topics of interest.</w:t>
      </w:r>
    </w:p>
    <w:p>
      <w:pPr>
        <w:spacing w:after="0" w:line="162" w:lineRule="exact"/>
        <w:rPr>
          <w:sz w:val="24"/>
          <w:szCs w:val="24"/>
          <w:color w:val="auto"/>
        </w:rPr>
      </w:pPr>
    </w:p>
    <w:p>
      <w:pPr>
        <w:ind w:right="260"/>
        <w:spacing w:after="0" w:line="282" w:lineRule="auto"/>
        <w:rPr>
          <w:sz w:val="20"/>
          <w:szCs w:val="20"/>
          <w:color w:val="auto"/>
        </w:rPr>
      </w:pPr>
      <w:r>
        <w:rPr>
          <w:rFonts w:ascii="Times New Roman" w:cs="Times New Roman" w:eastAsia="Times New Roman" w:hAnsi="Times New Roman"/>
          <w:sz w:val="18"/>
          <w:szCs w:val="18"/>
          <w:color w:val="auto"/>
        </w:rPr>
        <w:t>Again, our team at Marvell is excited to join forces with Inphi, and we look forward to getting to know you better. We have a tremendous opportunity ahead of us as a combined company and I hope you share my enthusiasm for what the future holds.</w:t>
      </w:r>
    </w:p>
    <w:p>
      <w:pPr>
        <w:spacing w:after="0" w:line="162"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Thanks,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171450</wp:posOffset>
            </wp:positionV>
            <wp:extent cx="1002665" cy="24003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002665" cy="24003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26"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Matt Murphy</w:t>
      </w:r>
    </w:p>
    <w:p>
      <w:pPr>
        <w:spacing w:after="0" w:line="27"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President and CEO, Marvell</w:t>
      </w:r>
    </w:p>
    <w:p>
      <w:pPr>
        <w:sectPr>
          <w:pgSz w:w="11900" w:h="16838" w:orient="portrait"/>
          <w:cols w:equalWidth="0" w:num="1">
            <w:col w:w="11020"/>
          </w:cols>
          <w:pgMar w:left="440" w:top="229" w:right="439" w:bottom="1440" w:gutter="0" w:footer="0" w:header="0"/>
        </w:sectPr>
      </w:pPr>
    </w:p>
    <w:bookmarkStart w:id="1" w:name="page2"/>
    <w:bookmarkEnd w:id="1"/>
    <w:p>
      <w:pP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149465" cy="26035"/>
                    </a:xfrm>
                    <a:prstGeom prst="rect">
                      <a:avLst/>
                    </a:prstGeom>
                    <a:noFill/>
                  </pic:spPr>
                </pic:pic>
              </a:graphicData>
            </a:graphic>
          </wp:anchor>
        </w:drawing>
        <w:t>About Marvell</w:t>
      </w:r>
    </w:p>
    <w:p>
      <w:pPr>
        <w:spacing w:after="0" w:line="121" w:lineRule="exact"/>
        <w:rPr>
          <w:sz w:val="20"/>
          <w:szCs w:val="20"/>
          <w:color w:val="auto"/>
        </w:rPr>
      </w:pPr>
    </w:p>
    <w:p>
      <w:pPr>
        <w:ind w:right="20"/>
        <w:spacing w:after="0" w:line="261" w:lineRule="auto"/>
        <w:rPr>
          <w:sz w:val="20"/>
          <w:szCs w:val="20"/>
          <w:color w:val="auto"/>
        </w:rPr>
      </w:pPr>
      <w:r>
        <w:rPr>
          <w:rFonts w:ascii="Times New Roman" w:cs="Times New Roman" w:eastAsia="Times New Roman" w:hAnsi="Times New Roman"/>
          <w:sz w:val="18"/>
          <w:szCs w:val="18"/>
          <w:color w:val="auto"/>
        </w:rPr>
        <w:t xml:space="preserve">Marvell first revolutionized the digital storage industry by moving information at speeds never thought possible. Today, that same breakthrough innovation remains at the heart of the company’s storage, processing, networking, security and connectivity solutions. With leading intellectual property and deep system-level knowledge, Marvell’s semiconductor solutions continue to transform the enterprise, cloud, automotive, industrial and consumer markets. To learn more, visit: </w:t>
      </w:r>
      <w:r>
        <w:rPr>
          <w:rFonts w:ascii="Times New Roman" w:cs="Times New Roman" w:eastAsia="Times New Roman" w:hAnsi="Times New Roman"/>
          <w:sz w:val="18"/>
          <w:szCs w:val="18"/>
          <w:u w:val="single" w:color="auto"/>
          <w:color w:val="auto"/>
        </w:rPr>
        <w:t>www.marvell.com</w:t>
      </w:r>
      <w:r>
        <w:rPr>
          <w:rFonts w:ascii="Times New Roman" w:cs="Times New Roman" w:eastAsia="Times New Roman" w:hAnsi="Times New Roman"/>
          <w:sz w:val="18"/>
          <w:szCs w:val="18"/>
          <w:color w:val="auto"/>
        </w:rPr>
        <w:t>.</w:t>
      </w:r>
    </w:p>
    <w:p>
      <w:pPr>
        <w:spacing w:after="0" w:line="180" w:lineRule="exact"/>
        <w:rPr>
          <w:sz w:val="20"/>
          <w:szCs w:val="20"/>
          <w:color w:val="auto"/>
        </w:rPr>
      </w:pPr>
    </w:p>
    <w:p>
      <w:pPr>
        <w:spacing w:after="0" w:line="282" w:lineRule="auto"/>
        <w:rPr>
          <w:sz w:val="20"/>
          <w:szCs w:val="20"/>
          <w:color w:val="auto"/>
        </w:rPr>
      </w:pPr>
      <w:r>
        <w:rPr>
          <w:rFonts w:ascii="Times New Roman" w:cs="Times New Roman" w:eastAsia="Times New Roman" w:hAnsi="Times New Roman"/>
          <w:sz w:val="18"/>
          <w:szCs w:val="18"/>
          <w:color w:val="auto"/>
        </w:rPr>
        <w:t>Marvell and the M logo are registered trademarks of Marvell and/or its affiliates in the US and/or elsewhere. Other names and brands may be claimed as the property of others.</w:t>
      </w: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About Inphi</w:t>
      </w:r>
    </w:p>
    <w:p>
      <w:pPr>
        <w:spacing w:after="0" w:line="121" w:lineRule="exact"/>
        <w:rPr>
          <w:sz w:val="20"/>
          <w:szCs w:val="20"/>
          <w:color w:val="auto"/>
        </w:rPr>
      </w:pPr>
    </w:p>
    <w:p>
      <w:pPr>
        <w:spacing w:after="0" w:line="281" w:lineRule="auto"/>
        <w:rPr>
          <w:sz w:val="20"/>
          <w:szCs w:val="20"/>
          <w:color w:val="auto"/>
        </w:rPr>
      </w:pPr>
      <w:r>
        <w:rPr>
          <w:rFonts w:ascii="Times New Roman" w:cs="Times New Roman" w:eastAsia="Times New Roman" w:hAnsi="Times New Roman"/>
          <w:sz w:val="17"/>
          <w:szCs w:val="17"/>
          <w:color w:val="auto"/>
        </w:rPr>
        <w:t xml:space="preserve">Inphi is a leader in high-speed data movement. Inphi moves big data fast, throughout the globe, between data centers, and inside data centers. Inphi’s expertise in signal integrity results in reliable data delivery, at high speeds, over a variety of distances. As data volumes ramp exponentially due to video streaming, social media, cloud-based services, and wireless infrastructure, the need for speed has never been greater. Customers rely on Inphi’s solutions to develop and build out the Service Provider and Cloud infrastructures, and data centers of tomorrow. To learn more about Inphi, visit </w:t>
      </w:r>
      <w:r>
        <w:rPr>
          <w:rFonts w:ascii="Times New Roman" w:cs="Times New Roman" w:eastAsia="Times New Roman" w:hAnsi="Times New Roman"/>
          <w:sz w:val="17"/>
          <w:szCs w:val="17"/>
          <w:u w:val="single" w:color="auto"/>
          <w:color w:val="auto"/>
        </w:rPr>
        <w:t>www.inphi.com</w:t>
      </w:r>
      <w:r>
        <w:rPr>
          <w:rFonts w:ascii="Times New Roman" w:cs="Times New Roman" w:eastAsia="Times New Roman" w:hAnsi="Times New Roman"/>
          <w:sz w:val="17"/>
          <w:szCs w:val="17"/>
          <w:color w:val="auto"/>
        </w:rPr>
        <w:t>.</w:t>
      </w:r>
    </w:p>
    <w:p>
      <w:pPr>
        <w:spacing w:after="0" w:line="16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Inphi, the Inphi logo and Think fast are registered trademarks of Inphi. All other trademarks used herein are the property of their respective owners.</w:t>
      </w:r>
    </w:p>
    <w:p>
      <w:pPr>
        <w:spacing w:after="0" w:line="3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Investor Contacts:</w:t>
      </w:r>
    </w:p>
    <w:p>
      <w:pPr>
        <w:spacing w:after="0" w:line="12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Marvell Investor Relations:</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Ashish Saran</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408-222-0777</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u w:val="single" w:color="auto"/>
          <w:color w:val="auto"/>
        </w:rPr>
        <w:t>ir@marvell.com</w:t>
      </w:r>
    </w:p>
    <w:p>
      <w:pPr>
        <w:spacing w:after="0" w:line="20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Inphi Corporate Contact:</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Vernon P. Essi, Jr.</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408-606-6524</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u w:val="single" w:color="auto"/>
          <w:color w:val="auto"/>
        </w:rPr>
        <w:t>investors@inphi.com</w:t>
      </w:r>
    </w:p>
    <w:p>
      <w:pPr>
        <w:spacing w:after="0" w:line="31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u w:val="single" w:color="auto"/>
          <w:color w:val="auto"/>
        </w:rPr>
        <w:t>Additional Information and Where to Find It</w:t>
      </w:r>
    </w:p>
    <w:p>
      <w:pPr>
        <w:spacing w:after="0" w:line="121" w:lineRule="exact"/>
        <w:rPr>
          <w:sz w:val="20"/>
          <w:szCs w:val="20"/>
          <w:color w:val="auto"/>
        </w:rPr>
      </w:pPr>
    </w:p>
    <w:p>
      <w:pPr>
        <w:ind w:right="60"/>
        <w:spacing w:after="0" w:line="256" w:lineRule="auto"/>
        <w:rPr>
          <w:sz w:val="20"/>
          <w:szCs w:val="20"/>
          <w:color w:val="auto"/>
        </w:rPr>
      </w:pPr>
      <w:r>
        <w:rPr>
          <w:rFonts w:ascii="Times New Roman" w:cs="Times New Roman" w:eastAsia="Times New Roman" w:hAnsi="Times New Roman"/>
          <w:sz w:val="18"/>
          <w:szCs w:val="18"/>
          <w:color w:val="auto"/>
        </w:rPr>
        <w:t>This communication relates to a proposed transaction between Marvell and Inphi. In connection with the proposed transaction, Marvell and Inphi will cause the newly formed company which will become the holding company of Marvell and Inphi following the transaction (“HoldCo”) to file a registration statement on Form S-4 with the Securities and Exchange Commission (the “SEC”), which will include a document that serves as a joint proxy statement of Marvell and Inphi and a prospectus of HoldCo referred to as a joint proxy statement/prospectus. A joint proxy statement/prospectus will be sent to all Inphi stockholders and all Marvell shareholders. Each party also will file other documents regarding the proposed transaction with the SEC. BEFORE MAKING ANY VOTING DECISION, INVESTORS AND SECURITY HOLDERS OF INPHI AND</w:t>
      </w:r>
    </w:p>
    <w:p>
      <w:pPr>
        <w:sectPr>
          <w:pgSz w:w="11900" w:h="16838" w:orient="portrait"/>
          <w:cols w:equalWidth="0" w:num="1">
            <w:col w:w="10980"/>
          </w:cols>
          <w:pgMar w:left="440" w:top="266" w:right="479" w:bottom="1440" w:gutter="0" w:footer="0" w:header="0"/>
        </w:sectPr>
      </w:pPr>
    </w:p>
    <w:bookmarkStart w:id="2" w:name="page3"/>
    <w:bookmarkEnd w:id="2"/>
    <w:p>
      <w:pPr>
        <w:ind w:left="4" w:right="180"/>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INVESTORS AND SECURITY HOLDERS OF MARVELL ARE URGED TO READ THE REGISTRATION STATEMENT, JOINT PROXY STATEMENT/PROSPECTUS AND ALL OTHER RELEVANT DOCUMENTS FILED OR THAT WILL BE FILED WITH THE SEC IN CONNECTION WITH THE PROPOSED TRANSACTION AS THEY BECOME AVAILABLE BECAUSE THEY WILL CONTAIN IMPORTANT INFORMATION ABOUT THE PROPOSED TRANSACTION.</w:t>
      </w:r>
    </w:p>
    <w:p>
      <w:pPr>
        <w:spacing w:after="0" w:line="180" w:lineRule="exact"/>
        <w:rPr>
          <w:sz w:val="20"/>
          <w:szCs w:val="20"/>
          <w:color w:val="auto"/>
        </w:rPr>
      </w:pPr>
    </w:p>
    <w:p>
      <w:pPr>
        <w:ind w:left="4" w:right="500"/>
        <w:spacing w:after="0" w:line="312" w:lineRule="auto"/>
        <w:rPr>
          <w:sz w:val="20"/>
          <w:szCs w:val="20"/>
          <w:color w:val="auto"/>
        </w:rPr>
      </w:pPr>
      <w:r>
        <w:rPr>
          <w:rFonts w:ascii="Times New Roman" w:cs="Times New Roman" w:eastAsia="Times New Roman" w:hAnsi="Times New Roman"/>
          <w:sz w:val="17"/>
          <w:szCs w:val="17"/>
          <w:color w:val="auto"/>
        </w:rPr>
        <w:t xml:space="preserve">Investors, Marvell shareholders and Inphi stockholders may obtain free copies of the joint proxy statement/prospectus (when available) and other documents that are filed or will be filed with the SEC by Marvell, Inphi or HoldCo through the website maintained by the SEC at </w:t>
      </w:r>
      <w:r>
        <w:rPr>
          <w:rFonts w:ascii="Times New Roman" w:cs="Times New Roman" w:eastAsia="Times New Roman" w:hAnsi="Times New Roman"/>
          <w:sz w:val="17"/>
          <w:szCs w:val="17"/>
          <w:u w:val="single" w:color="auto"/>
          <w:color w:val="auto"/>
        </w:rPr>
        <w:t>www.sec.gov</w:t>
      </w:r>
      <w:r>
        <w:rPr>
          <w:rFonts w:ascii="Times New Roman" w:cs="Times New Roman" w:eastAsia="Times New Roman" w:hAnsi="Times New Roman"/>
          <w:sz w:val="17"/>
          <w:szCs w:val="17"/>
          <w:color w:val="auto"/>
        </w:rPr>
        <w:t>.</w:t>
      </w:r>
    </w:p>
    <w:p>
      <w:pPr>
        <w:spacing w:after="0" w:line="140" w:lineRule="exact"/>
        <w:rPr>
          <w:sz w:val="20"/>
          <w:szCs w:val="20"/>
          <w:color w:val="auto"/>
        </w:rPr>
      </w:pPr>
    </w:p>
    <w:p>
      <w:pPr>
        <w:ind w:left="4" w:right="80"/>
        <w:spacing w:after="0" w:line="282" w:lineRule="auto"/>
        <w:rPr>
          <w:sz w:val="20"/>
          <w:szCs w:val="20"/>
          <w:color w:val="auto"/>
        </w:rPr>
      </w:pPr>
      <w:r>
        <w:rPr>
          <w:rFonts w:ascii="Times New Roman" w:cs="Times New Roman" w:eastAsia="Times New Roman" w:hAnsi="Times New Roman"/>
          <w:sz w:val="18"/>
          <w:szCs w:val="18"/>
          <w:color w:val="auto"/>
        </w:rPr>
        <w:t>The documents filed by Marvell with the SEC also may be obtained free of charge at Marvell’s website at www.marvell.com or upon written request to Marvell Technology Group Ltd. at 5488 Marvell Lane, Santa Clara, CA 95054.</w:t>
      </w:r>
    </w:p>
    <w:p>
      <w:pPr>
        <w:spacing w:after="0" w:line="162" w:lineRule="exact"/>
        <w:rPr>
          <w:sz w:val="20"/>
          <w:szCs w:val="20"/>
          <w:color w:val="auto"/>
        </w:rPr>
      </w:pPr>
    </w:p>
    <w:p>
      <w:pPr>
        <w:ind w:left="4" w:right="220"/>
        <w:spacing w:after="0" w:line="282" w:lineRule="auto"/>
        <w:rPr>
          <w:sz w:val="20"/>
          <w:szCs w:val="20"/>
          <w:color w:val="auto"/>
        </w:rPr>
      </w:pPr>
      <w:r>
        <w:rPr>
          <w:rFonts w:ascii="Times New Roman" w:cs="Times New Roman" w:eastAsia="Times New Roman" w:hAnsi="Times New Roman"/>
          <w:sz w:val="18"/>
          <w:szCs w:val="18"/>
          <w:color w:val="auto"/>
        </w:rPr>
        <w:t>The documents filed by Inphi with the SEC also may be obtained free of charge at Inphi’s website at www.inphi.com or upon written request to Inphi Corporation at 110 Rio Robles, San Jose, California 95134.</w:t>
      </w:r>
    </w:p>
    <w:p>
      <w:pPr>
        <w:spacing w:after="0" w:line="266"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b w:val="1"/>
          <w:bCs w:val="1"/>
          <w:u w:val="single" w:color="auto"/>
          <w:color w:val="auto"/>
        </w:rPr>
        <w:t>Participants in the Solicitation</w:t>
      </w:r>
    </w:p>
    <w:p>
      <w:pPr>
        <w:spacing w:after="0" w:line="121" w:lineRule="exact"/>
        <w:rPr>
          <w:sz w:val="20"/>
          <w:szCs w:val="20"/>
          <w:color w:val="auto"/>
        </w:rPr>
      </w:pPr>
    </w:p>
    <w:p>
      <w:pPr>
        <w:ind w:left="4" w:right="20"/>
        <w:spacing w:after="0" w:line="254" w:lineRule="auto"/>
        <w:rPr>
          <w:sz w:val="20"/>
          <w:szCs w:val="20"/>
          <w:color w:val="auto"/>
        </w:rPr>
      </w:pPr>
      <w:r>
        <w:rPr>
          <w:rFonts w:ascii="Times New Roman" w:cs="Times New Roman" w:eastAsia="Times New Roman" w:hAnsi="Times New Roman"/>
          <w:sz w:val="18"/>
          <w:szCs w:val="18"/>
          <w:color w:val="auto"/>
        </w:rPr>
        <w:t>Marvell and Inphi and their respective directors and executive officers may be deemed to be participants in the solicitation of proxies from Inphi’s stockholders and from Marvell’s shareholders in connection with the proposed transaction. Information about Inphi’s directors and executive officers and their ownership of Inphi’s common stock is set forth in Inphi’s proxy statement for its 2020 Annual Meeting of Stockholders on Schedule 14A filed with the SEC on April 21, 2020. Information about Marvell’s directors and executive officers is set forth in Marvell’s proxy statement for its 2020 Annual General Meeting of Shareholders on Schedule 14A filed with the SEC on May 28, 2020. To the extent that holdings of Inphi’s or Marvell’s securities have changed since the amounts printed in Inphi’s or Marvell’s proxy statement, such changes have been or will be reflected on Statements of Change in Ownership on Form 4 filed with the SEC. Additional information regarding the interests of those persons and other persons who may be deemed participants in the proposed transaction may be obtained by reading the proxy statement/prospectus regarding the proposed transaction when it becomes available. You may obtain free copies of these documents as described in the preceding paragraph.</w:t>
      </w:r>
    </w:p>
    <w:p>
      <w:pPr>
        <w:spacing w:after="0" w:line="292"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b w:val="1"/>
          <w:bCs w:val="1"/>
          <w:u w:val="single" w:color="auto"/>
          <w:color w:val="auto"/>
        </w:rPr>
        <w:t>Cautionary Statement Regarding Forward Looking Statements</w:t>
      </w:r>
    </w:p>
    <w:p>
      <w:pPr>
        <w:spacing w:after="0" w:line="121" w:lineRule="exact"/>
        <w:rPr>
          <w:sz w:val="20"/>
          <w:szCs w:val="20"/>
          <w:color w:val="auto"/>
        </w:rPr>
      </w:pPr>
    </w:p>
    <w:p>
      <w:pPr>
        <w:ind w:left="4"/>
        <w:spacing w:after="0" w:line="252" w:lineRule="auto"/>
        <w:rPr>
          <w:sz w:val="20"/>
          <w:szCs w:val="20"/>
          <w:color w:val="auto"/>
        </w:rPr>
      </w:pPr>
      <w:r>
        <w:rPr>
          <w:rFonts w:ascii="Times New Roman" w:cs="Times New Roman" w:eastAsia="Times New Roman" w:hAnsi="Times New Roman"/>
          <w:sz w:val="18"/>
          <w:szCs w:val="18"/>
          <w:color w:val="auto"/>
        </w:rPr>
        <w:t>This communication contains certain forward-looking statements within the meaning of Section 27A of the Securities Act of 1933, as amended, and Section 21E of the Securities Exchange Act of 1934, as amended, with respect to the proposed transaction between Marvell, Inphi and HoldCo, including statements regarding the benefits of the transaction, the anticipated timing of the transaction and the products and markets of each company.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press release, including but not limited to: (i) the completion of the proposed transaction on anticipated terms and timing, including obtaining shareholder and regulatory approvals, anticipated tax treatment, unforeseen liabilities and other conditions to the completion of the transaction;</w:t>
      </w:r>
    </w:p>
    <w:p>
      <w:pPr>
        <w:spacing w:after="0" w:line="6" w:lineRule="exact"/>
        <w:rPr>
          <w:sz w:val="20"/>
          <w:szCs w:val="20"/>
          <w:color w:val="auto"/>
        </w:rPr>
      </w:pPr>
    </w:p>
    <w:p>
      <w:pPr>
        <w:ind w:left="4" w:right="20" w:hanging="4"/>
        <w:spacing w:after="0" w:line="251" w:lineRule="auto"/>
        <w:tabs>
          <w:tab w:leader="none" w:pos="269" w:val="left"/>
        </w:tabs>
        <w:numPr>
          <w:ilvl w:val="0"/>
          <w:numId w:val="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failure to realize the anticipated benefits of the proposed transaction, including as a result of delay in completing the transaction or HoldCo’s ability to integrate the businesses of Marvell and Inphi or due to unexpected costs, liabilities or delays; (iii) the ability of the parties to obtain or consummate financing or refinancing related to the transactions upon acceptable terms or at all; (iv) potential litigation relating to the proposed transaction that could be instituted against Marvell, HoldCo or Inphi or their respective directors; (v) the risk that disruptions from the proposed transaction will harm Marvell or Inphi’s business, including current plans and operations; (vi) the ability of Marvell or Inphi to retain and hire key personnel; (vii) potential adverse reactions or changes to business relationships resulting from the announcement or completion of the proposed transaction; (viii) risks relating to the value of the HoldCo shares to be issued in the transaction; (ix) risks associated with third party contracts containing consent and/or other provisions that may be triggered by the proposed transaction; (x) the impact of public health crises, such as pandemics (including coronavirus (COVID-19)) and epidemics and any related company or government policies and actions to protect the health and safety of</w:t>
      </w:r>
    </w:p>
    <w:p>
      <w:pPr>
        <w:sectPr>
          <w:pgSz w:w="11900" w:h="16838" w:orient="portrait"/>
          <w:cols w:equalWidth="0" w:num="1">
            <w:col w:w="10964"/>
          </w:cols>
          <w:pgMar w:left="436" w:top="270" w:right="499" w:bottom="1440" w:gutter="0" w:footer="0" w:header="0"/>
        </w:sectPr>
      </w:pPr>
    </w:p>
    <w:bookmarkStart w:id="3" w:name="page4"/>
    <w:bookmarkEnd w:id="3"/>
    <w:p>
      <w:pPr>
        <w:spacing w:after="0" w:line="25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149465" cy="26035"/>
                    </a:xfrm>
                    <a:prstGeom prst="rect">
                      <a:avLst/>
                    </a:prstGeom>
                    <a:noFill/>
                  </pic:spPr>
                </pic:pic>
              </a:graphicData>
            </a:graphic>
          </wp:anchor>
        </w:drawing>
        <w:t>individuals or government policies or actions to maintain the functioning of national or global economies and markets; (xi) legislative, regulatory and economic developments affecting Marvell or Inphi’s businesses; (xii) general economic and market developments and conditions; (xiii) the evolving legal, regulatory and tax regimes under which Marvell, HoldCo and Inphi operate; (xiv) potential business uncertainty, including changes to existing business relationships, during the pendency of the proposed transaction that could affect Marvell’s and/or Inphi’s financial performance; (xv) restrictions during the pendency of the proposed transaction that may impact Marvell’s or Inphi’s ability to pursue certain business opportunities or strategic transactions; (xvi) unpredictability and severity of catastrophic events, including, but not limited to, acts of terrorism or outbreak of war or hostilities, as well as Marvell’s and Inphi’s response to any of the aforementioned factors; (xvii) failure to receive the approval of the securityholders of Marvell and/or Inphi; and (xviii) the occurrence of any event, change or other circumstances that could give rise to the termination of the merger agreement. The foregoing list of factors is not exhaustive. You should carefully consider the foregoing factors and the other risks and uncertainties that affect the businesses of Marvell and Inphi described in the “Risk Factors” section of their respective Annual Reports on Form 10-K, Quarterly Reports on Form 10-Q and other documents filed by either of them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and Inphi assume no obligation and do not intend to update or revise these forward-looking statements, whether as a result of new information, future events or otherwise. Neither Marvell nor Inphi gives any assurance that either Marvell or Inphi will achieve its expectations.</w:t>
      </w:r>
    </w:p>
    <w:p>
      <w:pPr>
        <w:spacing w:after="0" w:line="30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u w:val="single" w:color="auto"/>
          <w:color w:val="auto"/>
        </w:rPr>
        <w:t>No Offer or Solicitation</w:t>
      </w:r>
    </w:p>
    <w:p>
      <w:pPr>
        <w:spacing w:after="0" w:line="121" w:lineRule="exact"/>
        <w:rPr>
          <w:sz w:val="20"/>
          <w:szCs w:val="20"/>
          <w:color w:val="auto"/>
        </w:rPr>
      </w:pPr>
    </w:p>
    <w:p>
      <w:pPr>
        <w:ind w:right="60"/>
        <w:spacing w:after="0" w:line="261" w:lineRule="auto"/>
        <w:rPr>
          <w:sz w:val="20"/>
          <w:szCs w:val="20"/>
          <w:color w:val="auto"/>
        </w:rPr>
      </w:pPr>
      <w:r>
        <w:rPr>
          <w:rFonts w:ascii="Times New Roman" w:cs="Times New Roman" w:eastAsia="Times New Roman" w:hAnsi="Times New Roman"/>
          <w:sz w:val="18"/>
          <w:szCs w:val="18"/>
          <w:color w:val="auto"/>
        </w:rPr>
        <w:t>This communication is not intended to and shall not constitute an offer to sell or the solicitation of an offer to sell or the solicitation of an offer to buy any securities or a solicitation of any vote of approval, nor shall there be any sale of securities in any jurisdiction in which such offer, solicitation or sale would be unlawful prior to registration or qualification under the securities laws of any such jurisdiction. No offer of securities shall be made except by means of a prospectus meeting the requirements of Section 10 of the Securities Act of 1933, as amended.</w:t>
      </w:r>
    </w:p>
    <w:sectPr>
      <w:pgSz w:w="11900" w:h="16838" w:orient="portrait"/>
      <w:cols w:equalWidth="0" w:num="1">
        <w:col w:w="11000"/>
      </w:cols>
      <w:pgMar w:left="440" w:top="270" w:right="4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lowerRoman"/>
      <w:start w:val="2"/>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2020-10-29T16:23:55Z</dcterms:created>
  <dcterms:modified xsi:type="dcterms:W3CDTF">2020-10-29T16:23:55Z</dcterms:modified>
</cp:coreProperties>
</file>