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Arial" w:cs="Arial" w:eastAsia="Arial" w:hAnsi="Arial"/>
          <w:sz w:val="16"/>
          <w:szCs w:val="16"/>
          <w:color w:val="auto"/>
        </w:rPr>
        <w:t>and deemed filed pursuant to Rule 14a-12 under the Securities Exchange Act of 1934, as amended</w:t>
      </w:r>
    </w:p>
    <w:p>
      <w:pPr>
        <w:spacing w:after="0" w:line="234" w:lineRule="exact"/>
        <w:rPr>
          <w:sz w:val="24"/>
          <w:szCs w:val="24"/>
          <w:color w:val="auto"/>
        </w:rPr>
      </w:pPr>
    </w:p>
    <w:p>
      <w:pPr>
        <w:jc w:val="right"/>
        <w:spacing w:after="0"/>
        <w:rPr>
          <w:sz w:val="20"/>
          <w:szCs w:val="20"/>
          <w:color w:val="auto"/>
        </w:rPr>
      </w:pPr>
      <w:r>
        <w:rPr>
          <w:rFonts w:ascii="Arial" w:cs="Arial" w:eastAsia="Arial" w:hAnsi="Arial"/>
          <w:sz w:val="18"/>
          <w:szCs w:val="18"/>
          <w:color w:val="auto"/>
        </w:rPr>
        <w:t>Subject Company: Inphi Corporation</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001-34942)</w:t>
      </w:r>
    </w:p>
    <w:p>
      <w:pPr>
        <w:spacing w:after="0" w:line="211"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The following email communication was sent by the President and CEO of Marvell Technology Group Ltd. (“Marvell”) to Marvell’s employees on October 29, 2020.</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October 29, 2020</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Team:</w:t>
      </w:r>
    </w:p>
    <w:p>
      <w:pPr>
        <w:spacing w:after="0" w:line="117" w:lineRule="exact"/>
        <w:rPr>
          <w:sz w:val="24"/>
          <w:szCs w:val="24"/>
          <w:color w:val="auto"/>
        </w:rPr>
      </w:pPr>
    </w:p>
    <w:p>
      <w:pPr>
        <w:ind w:right="60"/>
        <w:spacing w:after="0" w:line="342" w:lineRule="auto"/>
        <w:rPr>
          <w:sz w:val="20"/>
          <w:szCs w:val="20"/>
          <w:color w:val="auto"/>
        </w:rPr>
      </w:pPr>
      <w:r>
        <w:rPr>
          <w:rFonts w:ascii="Arial" w:cs="Arial" w:eastAsia="Arial" w:hAnsi="Arial"/>
          <w:sz w:val="16"/>
          <w:szCs w:val="16"/>
          <w:color w:val="auto"/>
        </w:rPr>
        <w:t>I have exciting news to share with you. This morning, Marvell announced an agreement to acquire Inphi in a highly complementary transaction that will support and accelerate our vision to Move, Store, Process and Secure the world’s data. I encourage you to read the full announcement here (LINK).</w:t>
      </w:r>
    </w:p>
    <w:p>
      <w:pPr>
        <w:spacing w:after="0" w:line="124" w:lineRule="exact"/>
        <w:rPr>
          <w:sz w:val="24"/>
          <w:szCs w:val="24"/>
          <w:color w:val="auto"/>
        </w:rPr>
      </w:pPr>
    </w:p>
    <w:p>
      <w:pPr>
        <w:ind w:right="720"/>
        <w:spacing w:after="0" w:line="308" w:lineRule="auto"/>
        <w:rPr>
          <w:sz w:val="20"/>
          <w:szCs w:val="20"/>
          <w:color w:val="auto"/>
        </w:rPr>
      </w:pPr>
      <w:r>
        <w:rPr>
          <w:rFonts w:ascii="Arial" w:cs="Arial" w:eastAsia="Arial" w:hAnsi="Arial"/>
          <w:sz w:val="17"/>
          <w:szCs w:val="17"/>
          <w:color w:val="auto"/>
        </w:rPr>
        <w:t>Inphi is the leader in data movement interconnects between and inside data centers. The combined company will be the premier enabler of data movement, which is the fabric connecting all other elements in our vision and is critical to the world’s digital infrastructure.</w:t>
      </w:r>
    </w:p>
    <w:p>
      <w:pPr>
        <w:spacing w:after="0" w:line="146" w:lineRule="exact"/>
        <w:rPr>
          <w:sz w:val="24"/>
          <w:szCs w:val="24"/>
          <w:color w:val="auto"/>
        </w:rPr>
      </w:pPr>
    </w:p>
    <w:p>
      <w:pPr>
        <w:ind w:right="100"/>
        <w:spacing w:after="0" w:line="259" w:lineRule="auto"/>
        <w:rPr>
          <w:sz w:val="20"/>
          <w:szCs w:val="20"/>
          <w:color w:val="auto"/>
        </w:rPr>
      </w:pPr>
      <w:r>
        <w:rPr>
          <w:rFonts w:ascii="Arial" w:cs="Arial" w:eastAsia="Arial" w:hAnsi="Arial"/>
          <w:sz w:val="18"/>
          <w:szCs w:val="18"/>
          <w:color w:val="auto"/>
        </w:rPr>
        <w:t>Inphi brings a 20-year history of innovation and expertise in building optical connectivity platforms designed to meet the insatiable demand for increased bandwidth and low power for the cloud data centers and global networks of the future. Their high-speed electro-optics solutions provide the connectivity fabric for cloud data centers and wired and wireless carrier networks just as Marvell’s copper physical layer connectivity portfolio does for enterprise and future in-vehicle networks.</w:t>
      </w:r>
    </w:p>
    <w:p>
      <w:pPr>
        <w:spacing w:after="0" w:line="29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Accelerating Growth in Cloud and 5G</w:t>
      </w:r>
    </w:p>
    <w:p>
      <w:pPr>
        <w:spacing w:after="0" w:line="121" w:lineRule="exact"/>
        <w:rPr>
          <w:sz w:val="24"/>
          <w:szCs w:val="24"/>
          <w:color w:val="auto"/>
        </w:rPr>
      </w:pPr>
    </w:p>
    <w:p>
      <w:pPr>
        <w:ind w:right="20"/>
        <w:spacing w:after="0" w:line="259" w:lineRule="auto"/>
        <w:rPr>
          <w:sz w:val="20"/>
          <w:szCs w:val="20"/>
          <w:color w:val="auto"/>
        </w:rPr>
      </w:pPr>
      <w:r>
        <w:rPr>
          <w:rFonts w:ascii="Arial" w:cs="Arial" w:eastAsia="Arial" w:hAnsi="Arial"/>
          <w:sz w:val="18"/>
          <w:szCs w:val="18"/>
          <w:color w:val="auto"/>
        </w:rPr>
        <w:t>As I described at Investor Day a few weeks ago, we are seeing tremendous growth and opportunity in Cloud and 5G, and have already begun to shift our revenue mix toward these compelling end markets. With Inphi, we are adding four leading networking and cloud customers, each with $100M+ in annual revenue, to our growing base of $100M+ accounts. The addition of Inphi’s electro-optics portfolio will substantially increase our overall addressable market, adding $3 billion by 2023.</w:t>
      </w:r>
    </w:p>
    <w:p>
      <w:pPr>
        <w:spacing w:after="0" w:line="187" w:lineRule="exact"/>
        <w:rPr>
          <w:sz w:val="24"/>
          <w:szCs w:val="24"/>
          <w:color w:val="auto"/>
        </w:rPr>
      </w:pPr>
    </w:p>
    <w:p>
      <w:pPr>
        <w:ind w:right="660"/>
        <w:spacing w:after="0" w:line="342" w:lineRule="auto"/>
        <w:rPr>
          <w:sz w:val="20"/>
          <w:szCs w:val="20"/>
          <w:color w:val="auto"/>
        </w:rPr>
      </w:pPr>
      <w:r>
        <w:rPr>
          <w:rFonts w:ascii="Arial" w:cs="Arial" w:eastAsia="Arial" w:hAnsi="Arial"/>
          <w:sz w:val="16"/>
          <w:szCs w:val="16"/>
          <w:color w:val="auto"/>
        </w:rPr>
        <w:t>We believe Inphi’s position at the core of next-generation cloud datacenter network architectures, together with Marvell’s larger scale and broad networking and storage product portfolio, can drive a vast expansion in cloud market opportunities, as we did previously in 5G with Cavium.</w:t>
      </w:r>
    </w:p>
    <w:p>
      <w:pPr>
        <w:spacing w:after="0" w:line="22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One Team, One Vision</w:t>
      </w:r>
    </w:p>
    <w:p>
      <w:pPr>
        <w:spacing w:after="0" w:line="121" w:lineRule="exact"/>
        <w:rPr>
          <w:sz w:val="24"/>
          <w:szCs w:val="24"/>
          <w:color w:val="auto"/>
        </w:rPr>
      </w:pPr>
    </w:p>
    <w:p>
      <w:pPr>
        <w:ind w:right="240"/>
        <w:spacing w:after="0" w:line="311" w:lineRule="auto"/>
        <w:rPr>
          <w:sz w:val="20"/>
          <w:szCs w:val="20"/>
          <w:color w:val="auto"/>
        </w:rPr>
      </w:pPr>
      <w:r>
        <w:rPr>
          <w:rFonts w:ascii="Arial" w:cs="Arial" w:eastAsia="Arial" w:hAnsi="Arial"/>
          <w:sz w:val="16"/>
          <w:szCs w:val="16"/>
          <w:color w:val="auto"/>
        </w:rPr>
        <w:t>Inphi is based in San Jose, CA and – like Marvell – has a vibrant culture focused on execution, people, innovation and customers. They have highly respected engineering and design teams that have pioneered advancements in optical connectivity for the past two decades. I’m confident that we will come together and create an R&amp;D and engineering organization capable of delivering tremendous value to current and future customers.</w:t>
      </w:r>
    </w:p>
    <w:p>
      <w:pPr>
        <w:spacing w:after="0" w:line="149" w:lineRule="exact"/>
        <w:rPr>
          <w:sz w:val="24"/>
          <w:szCs w:val="24"/>
          <w:color w:val="auto"/>
        </w:rPr>
      </w:pPr>
    </w:p>
    <w:p>
      <w:pPr>
        <w:ind w:right="160"/>
        <w:spacing w:after="0" w:line="259" w:lineRule="auto"/>
        <w:rPr>
          <w:sz w:val="20"/>
          <w:szCs w:val="20"/>
          <w:color w:val="auto"/>
        </w:rPr>
      </w:pPr>
      <w:r>
        <w:rPr>
          <w:rFonts w:ascii="Arial" w:cs="Arial" w:eastAsia="Arial" w:hAnsi="Arial"/>
          <w:sz w:val="18"/>
          <w:szCs w:val="18"/>
          <w:color w:val="auto"/>
        </w:rPr>
        <w:t>Inphi is led by CEO Ford Tamer, who will join Marvell’s board of directors once the transaction has closed. It’s been clear in all my interactions with Ford and the incredibly talented team at Inphi, that while there’s strong alignment between our companies in terms of technology and market opportunity, we also share common values and a vision for the future. I look forward to partnering with Ford and welcoming the Inphi team to Marvell upon closing.</w:t>
      </w:r>
    </w:p>
    <w:p>
      <w:pPr>
        <w:spacing w:after="0" w:line="29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Next Steps</w:t>
      </w:r>
    </w:p>
    <w:p>
      <w:pPr>
        <w:spacing w:after="0" w:line="121" w:lineRule="exact"/>
        <w:rPr>
          <w:sz w:val="24"/>
          <w:szCs w:val="24"/>
          <w:color w:val="auto"/>
        </w:rPr>
      </w:pPr>
    </w:p>
    <w:p>
      <w:pPr>
        <w:ind w:right="20"/>
        <w:spacing w:after="0" w:line="259" w:lineRule="auto"/>
        <w:rPr>
          <w:sz w:val="20"/>
          <w:szCs w:val="20"/>
          <w:color w:val="auto"/>
        </w:rPr>
      </w:pPr>
      <w:r>
        <w:rPr>
          <w:rFonts w:ascii="Arial" w:cs="Arial" w:eastAsia="Arial" w:hAnsi="Arial"/>
          <w:sz w:val="18"/>
          <w:szCs w:val="18"/>
          <w:color w:val="auto"/>
        </w:rPr>
        <w:t>The transaction is subject to shareholder approval and the satisfaction of customary closing conditions, including applicable regulatory approvals, and we expect it to close in the second half of calendar 2021. We will begin integration planning with Inphi very soon and you can expect to hear more in the weeks and months ahead regarding the integration planning effort. We ask that you avoid engaging in communication with any Inphi employee during this time, unless asked to do so as part of the integration planning activities.</w:t>
      </w:r>
    </w:p>
    <w:p>
      <w:pPr>
        <w:sectPr>
          <w:pgSz w:w="11900" w:h="16838" w:orient="portrait"/>
          <w:cols w:equalWidth="0" w:num="1">
            <w:col w:w="11020"/>
          </w:cols>
          <w:pgMar w:left="440" w:top="233" w:right="439" w:bottom="1440" w:gutter="0" w:footer="0" w:header="0"/>
        </w:sectPr>
      </w:pPr>
    </w:p>
    <w:bookmarkStart w:id="1" w:name="page2"/>
    <w:bookmarkEnd w:id="1"/>
    <w:p>
      <w:pPr>
        <w:ind w:right="2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Importantly, we will continue to operate as independent companies until all required approvals are received and the transaction is closed. It’s business as usual until that time, so please stay focused on your work and current priorities. I assure you that we will keep everyone posted on our progress.</w:t>
      </w:r>
    </w:p>
    <w:p>
      <w:pPr>
        <w:spacing w:after="0" w:line="124"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In conjunction with this transaction, a newly formed Delaware corporation will become the holding company for Marvell and Inphi. Marvell is a charter member of the U.S. Semiconductor Industry Association, an industry that is critical to the world’s economy. Semiconductors provide the foundation upon which our digital economy is built, and as we have transformed to focus on data infrastructure and re-launched our new brand earlier this year, emerging from this transaction as a U.S. corporation is the right move for the combined company’s long-term success.</w:t>
      </w:r>
    </w:p>
    <w:p>
      <w:pPr>
        <w:spacing w:after="0" w:line="171" w:lineRule="exact"/>
        <w:rPr>
          <w:sz w:val="20"/>
          <w:szCs w:val="20"/>
          <w:color w:val="auto"/>
        </w:rPr>
      </w:pPr>
    </w:p>
    <w:p>
      <w:pPr>
        <w:jc w:val="both"/>
        <w:ind w:right="100"/>
        <w:spacing w:after="0" w:line="286" w:lineRule="auto"/>
        <w:rPr>
          <w:sz w:val="20"/>
          <w:szCs w:val="20"/>
          <w:color w:val="auto"/>
        </w:rPr>
      </w:pPr>
      <w:r>
        <w:rPr>
          <w:rFonts w:ascii="Arial" w:cs="Arial" w:eastAsia="Arial" w:hAnsi="Arial"/>
          <w:sz w:val="17"/>
          <w:szCs w:val="17"/>
          <w:color w:val="auto"/>
        </w:rPr>
        <w:t>I’m sure you have questions, so we have scheduled a special all-employee meeting on Monday, Nov. 2 at 2pm PT. To help us prepare, please send your questions to Jim Pascoe and we will do our best to answer as many of them as possible. I also encourage you to visit MyMarvell where you can review an initial FAQ, and as always, you can speak with your manager regarding any specific questions you may have.</w:t>
      </w:r>
    </w:p>
    <w:p>
      <w:pPr>
        <w:spacing w:after="0" w:line="165"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This is an exciting time to be at Marvell. We have a huge opportunity in front of us with thriving businesses in the fastest growing segments of the semiconductor industry, and with Inphi, we can accelerate our strategy for Cloud and 5G, and move even faster.</w:t>
      </w:r>
    </w:p>
    <w:p>
      <w:pPr>
        <w:spacing w:after="0" w:line="170"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I hope you share my enthusiasm about the very bright future ahead. In the meantime, I want to thank you for your ongoing focus and commitment to Marvell and our customers.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Matt</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 xml:space="preserve">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Arial" w:cs="Arial" w:eastAsia="Arial" w:hAnsi="Arial"/>
          <w:sz w:val="16"/>
          <w:szCs w:val="16"/>
          <w:u w:val="single" w:color="auto"/>
          <w:color w:val="auto"/>
        </w:rPr>
        <w:t>www.inphi.com</w:t>
      </w:r>
      <w:r>
        <w:rPr>
          <w:rFonts w:ascii="Arial" w:cs="Arial" w:eastAsia="Arial" w:hAnsi="Arial"/>
          <w:sz w:val="16"/>
          <w:szCs w:val="16"/>
          <w:color w:val="auto"/>
        </w:rPr>
        <w:t>.</w:t>
      </w:r>
    </w:p>
    <w:p>
      <w:pPr>
        <w:spacing w:after="0" w:line="157" w:lineRule="exact"/>
        <w:rPr>
          <w:sz w:val="20"/>
          <w:szCs w:val="20"/>
          <w:color w:val="auto"/>
        </w:rPr>
      </w:pPr>
    </w:p>
    <w:p>
      <w:pPr>
        <w:spacing w:after="0"/>
        <w:rPr>
          <w:sz w:val="20"/>
          <w:szCs w:val="20"/>
          <w:color w:val="auto"/>
        </w:rPr>
      </w:pPr>
      <w:r>
        <w:rPr>
          <w:rFonts w:ascii="Arial" w:cs="Arial" w:eastAsia="Arial" w:hAnsi="Arial"/>
          <w:sz w:val="16"/>
          <w:szCs w:val="16"/>
          <w:color w:val="auto"/>
        </w:rPr>
        <w:t>Inphi, the Inphi logo and Think fast are registered trademarks of Inphi. All other trademarks used herein are the property of their respective owners.</w:t>
      </w:r>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Inphi Corporate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408-606-6524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investors@inphi.com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ind w:right="60"/>
        <w:spacing w:after="0" w:line="273" w:lineRule="auto"/>
        <w:rPr>
          <w:sz w:val="20"/>
          <w:szCs w:val="20"/>
          <w:color w:val="auto"/>
        </w:rPr>
      </w:pPr>
      <w:r>
        <w:rPr>
          <w:rFonts w:ascii="Arial" w:cs="Arial" w:eastAsia="Arial" w:hAnsi="Arial"/>
          <w:sz w:val="17"/>
          <w:szCs w:val="17"/>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80"/>
          </w:cols>
          <w:pgMar w:left="440" w:top="274" w:right="479" w:bottom="1440" w:gutter="0" w:footer="0" w:header="0"/>
        </w:sectPr>
      </w:pPr>
    </w:p>
    <w:bookmarkStart w:id="2" w:name="page3"/>
    <w:bookmarkEnd w:id="2"/>
    <w:p>
      <w:pPr>
        <w:ind w:left="4"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7" w:lineRule="exact"/>
        <w:rPr>
          <w:sz w:val="20"/>
          <w:szCs w:val="20"/>
          <w:color w:val="auto"/>
        </w:rPr>
      </w:pPr>
    </w:p>
    <w:p>
      <w:pPr>
        <w:ind w:left="4" w:right="500"/>
        <w:spacing w:after="0" w:line="342" w:lineRule="auto"/>
        <w:rPr>
          <w:sz w:val="20"/>
          <w:szCs w:val="20"/>
          <w:color w:val="auto"/>
        </w:rPr>
      </w:pPr>
      <w:r>
        <w:rPr>
          <w:rFonts w:ascii="Arial" w:cs="Arial" w:eastAsia="Arial" w:hAnsi="Arial"/>
          <w:sz w:val="16"/>
          <w:szCs w:val="16"/>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Arial" w:cs="Arial" w:eastAsia="Arial" w:hAnsi="Arial"/>
          <w:sz w:val="16"/>
          <w:szCs w:val="16"/>
          <w:u w:val="single" w:color="auto"/>
          <w:color w:val="auto"/>
        </w:rPr>
        <w:t>www.sec.gov</w:t>
      </w:r>
      <w:r>
        <w:rPr>
          <w:rFonts w:ascii="Arial" w:cs="Arial" w:eastAsia="Arial" w:hAnsi="Arial"/>
          <w:sz w:val="16"/>
          <w:szCs w:val="16"/>
          <w:color w:val="auto"/>
        </w:rPr>
        <w:t>.</w:t>
      </w:r>
    </w:p>
    <w:p>
      <w:pPr>
        <w:spacing w:after="0" w:line="124" w:lineRule="exact"/>
        <w:rPr>
          <w:sz w:val="20"/>
          <w:szCs w:val="20"/>
          <w:color w:val="auto"/>
        </w:rPr>
      </w:pPr>
    </w:p>
    <w:p>
      <w:pPr>
        <w:ind w:left="4" w:right="8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70" w:lineRule="exact"/>
        <w:rPr>
          <w:sz w:val="20"/>
          <w:szCs w:val="20"/>
          <w:color w:val="auto"/>
        </w:rPr>
      </w:pPr>
    </w:p>
    <w:p>
      <w:pPr>
        <w:ind w:left="4" w:right="220"/>
        <w:spacing w:after="0" w:line="277" w:lineRule="auto"/>
        <w:rPr>
          <w:sz w:val="20"/>
          <w:szCs w:val="20"/>
          <w:color w:val="auto"/>
        </w:rPr>
      </w:pPr>
      <w:r>
        <w:rPr>
          <w:rFonts w:ascii="Arial" w:cs="Arial" w:eastAsia="Arial" w:hAnsi="Arial"/>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74"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Participants in the Solicitation</w:t>
      </w:r>
    </w:p>
    <w:p>
      <w:pPr>
        <w:spacing w:after="0" w:line="121" w:lineRule="exact"/>
        <w:rPr>
          <w:sz w:val="20"/>
          <w:szCs w:val="20"/>
          <w:color w:val="auto"/>
        </w:rPr>
      </w:pPr>
    </w:p>
    <w:p>
      <w:pPr>
        <w:ind w:left="4" w:right="20"/>
        <w:spacing w:after="0" w:line="289"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70"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spacing w:after="0" w:line="283"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86" w:lineRule="auto"/>
        <w:tabs>
          <w:tab w:leader="none" w:pos="269" w:val="left"/>
        </w:tabs>
        <w:numPr>
          <w:ilvl w:val="0"/>
          <w:numId w:val="1"/>
        </w:numPr>
        <w:rPr>
          <w:rFonts w:ascii="Arial" w:cs="Arial" w:eastAsia="Arial" w:hAnsi="Arial"/>
          <w:sz w:val="16"/>
          <w:szCs w:val="16"/>
          <w:color w:val="auto"/>
        </w:rPr>
      </w:pPr>
      <w:r>
        <w:rPr>
          <w:rFonts w:ascii="Arial" w:cs="Arial" w:eastAsia="Arial" w:hAnsi="Arial"/>
          <w:sz w:val="16"/>
          <w:szCs w:val="16"/>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64"/>
          </w:cols>
          <w:pgMar w:left="436" w:top="274" w:right="499" w:bottom="1440" w:gutter="0" w:footer="0" w:header="0"/>
        </w:sectPr>
      </w:pPr>
    </w:p>
    <w:bookmarkStart w:id="3" w:name="page4"/>
    <w:bookmarkEnd w:id="3"/>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 Offer or Solicitation</w:t>
      </w:r>
    </w:p>
    <w:p>
      <w:pPr>
        <w:spacing w:after="0" w:line="121"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2020-10-29T16:24:10Z</dcterms:created>
  <dcterms:modified xsi:type="dcterms:W3CDTF">2020-10-29T16:24:10Z</dcterms:modified>
</cp:coreProperties>
</file>