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Arial" w:cs="Arial" w:eastAsia="Arial" w:hAnsi="Arial"/>
          <w:sz w:val="16"/>
          <w:szCs w:val="16"/>
          <w:color w:val="auto"/>
        </w:rPr>
        <w:t>and deemed filed pursuant to Rule 14a-12 under the Securities Exchange Act of 1934, as amended</w:t>
      </w:r>
    </w:p>
    <w:p>
      <w:pPr>
        <w:spacing w:after="0" w:line="234" w:lineRule="exact"/>
        <w:rPr>
          <w:sz w:val="24"/>
          <w:szCs w:val="24"/>
          <w:color w:val="auto"/>
        </w:rPr>
      </w:pPr>
    </w:p>
    <w:p>
      <w:pPr>
        <w:jc w:val="right"/>
        <w:spacing w:after="0"/>
        <w:rPr>
          <w:sz w:val="20"/>
          <w:szCs w:val="20"/>
          <w:color w:val="auto"/>
        </w:rPr>
      </w:pPr>
      <w:r>
        <w:rPr>
          <w:rFonts w:ascii="Arial" w:cs="Arial" w:eastAsia="Arial" w:hAnsi="Arial"/>
          <w:sz w:val="18"/>
          <w:szCs w:val="18"/>
          <w:color w:val="auto"/>
        </w:rPr>
        <w:t>Subject Company: Inphi Corporation</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001-34942)</w:t>
      </w:r>
    </w:p>
    <w:p>
      <w:pPr>
        <w:spacing w:after="0" w:line="211"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The following is a transcript of an interview by Jon Fortt with Matt Murphy, President and CEO of Marvell Technology Group Ltd. (“Marvell”), that aired on the “Squawk Alley” television program on CNBC on October 29, 2020.</w:t>
      </w:r>
    </w:p>
    <w:p>
      <w:pPr>
        <w:sectPr>
          <w:pgSz w:w="11900" w:h="16838" w:orient="portrait"/>
          <w:cols w:equalWidth="0" w:num="1">
            <w:col w:w="11020"/>
          </w:cols>
          <w:pgMar w:left="440" w:top="233" w:right="439" w:bottom="1440" w:gutter="0" w:footer="0" w:header="0"/>
        </w:sectPr>
      </w:pPr>
    </w:p>
    <w:bookmarkStart w:id="1" w:name="page2"/>
    <w:bookmarkEnd w:id="1"/>
    <w:p>
      <w:pPr>
        <w:ind w:right="100"/>
        <w:spacing w:after="0" w:line="303"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JON FORTT: </w:t>
      </w:r>
      <w:r>
        <w:rPr>
          <w:rFonts w:ascii="Arial" w:cs="Arial" w:eastAsia="Arial" w:hAnsi="Arial"/>
          <w:sz w:val="16"/>
          <w:szCs w:val="16"/>
          <w:color w:val="auto"/>
        </w:rPr>
        <w:t>Marvell Technology striking a deal this morning to buy data center player Inphi for $10 billion in cash and stock. Marvell down 3%,</w:t>
      </w:r>
      <w:r>
        <w:rPr>
          <w:rFonts w:ascii="Arial" w:cs="Arial" w:eastAsia="Arial" w:hAnsi="Arial"/>
          <w:sz w:val="16"/>
          <w:szCs w:val="16"/>
          <w:b w:val="1"/>
          <w:bCs w:val="1"/>
          <w:color w:val="auto"/>
        </w:rPr>
        <w:t xml:space="preserve"> </w:t>
      </w:r>
      <w:r>
        <w:rPr>
          <w:rFonts w:ascii="Arial" w:cs="Arial" w:eastAsia="Arial" w:hAnsi="Arial"/>
          <w:sz w:val="16"/>
          <w:szCs w:val="16"/>
          <w:color w:val="auto"/>
        </w:rPr>
        <w:t>Inphi up 27% at this time. It will be $8 billion, that deal, if you don’t include assumed debt. With us now, first on CNBC, Marvell’s CEO Matt Murphy. Matt, good morning. This is just a giant deal, just in relative size, more than a third of your market cap if I’m reading it correctly. And Inphi specializes in data center broadband; moving massive amounts of data quickly inside data centers, between data centers. Why is this so important to do right now?</w:t>
      </w:r>
    </w:p>
    <w:p>
      <w:pPr>
        <w:spacing w:after="0" w:line="151" w:lineRule="exact"/>
        <w:rPr>
          <w:sz w:val="20"/>
          <w:szCs w:val="20"/>
          <w:color w:val="auto"/>
        </w:rPr>
      </w:pPr>
    </w:p>
    <w:p>
      <w:pPr>
        <w:ind w:right="240"/>
        <w:spacing w:after="0" w:line="258" w:lineRule="auto"/>
        <w:rPr>
          <w:sz w:val="20"/>
          <w:szCs w:val="20"/>
          <w:color w:val="auto"/>
        </w:rPr>
      </w:pPr>
      <w:r>
        <w:rPr>
          <w:rFonts w:ascii="Arial" w:cs="Arial" w:eastAsia="Arial" w:hAnsi="Arial"/>
          <w:sz w:val="18"/>
          <w:szCs w:val="18"/>
          <w:b w:val="1"/>
          <w:bCs w:val="1"/>
          <w:color w:val="auto"/>
        </w:rPr>
        <w:t xml:space="preserve">MATT MURPHY: </w:t>
      </w:r>
      <w:r>
        <w:rPr>
          <w:rFonts w:ascii="Arial" w:cs="Arial" w:eastAsia="Arial" w:hAnsi="Arial"/>
          <w:sz w:val="18"/>
          <w:szCs w:val="18"/>
          <w:color w:val="auto"/>
        </w:rPr>
        <w:t>Yeah, good morning Jon. It’s great to see you. We’re very excited, and you’re right. Inphi is the leading company in interconnect</w:t>
      </w:r>
      <w:r>
        <w:rPr>
          <w:rFonts w:ascii="Arial" w:cs="Arial" w:eastAsia="Arial" w:hAnsi="Arial"/>
          <w:sz w:val="18"/>
          <w:szCs w:val="18"/>
          <w:b w:val="1"/>
          <w:bCs w:val="1"/>
          <w:color w:val="auto"/>
        </w:rPr>
        <w:t xml:space="preserve"> </w:t>
      </w:r>
      <w:r>
        <w:rPr>
          <w:rFonts w:ascii="Arial" w:cs="Arial" w:eastAsia="Arial" w:hAnsi="Arial"/>
          <w:sz w:val="18"/>
          <w:szCs w:val="18"/>
          <w:color w:val="auto"/>
        </w:rPr>
        <w:t>technology both inside the data center, and to your point as well as connecting data centers worldwide. They also have a very strong and growing position in 5G for what’s called “backhaul” and “midhaul” and “fronthaul” connectivity. And if you look at the combined company, revenue of Inphi, about 70% of their revenue actually comes from both cloud infrastructure as well as 5G, and Jon as you know that’s very consistent with Marvell’s strategy in terms of our market focus.</w:t>
      </w:r>
    </w:p>
    <w:p>
      <w:pPr>
        <w:spacing w:after="0" w:line="183" w:lineRule="exact"/>
        <w:rPr>
          <w:sz w:val="20"/>
          <w:szCs w:val="20"/>
          <w:color w:val="auto"/>
        </w:rPr>
      </w:pPr>
    </w:p>
    <w:p>
      <w:pPr>
        <w:ind w:right="40"/>
        <w:spacing w:after="0" w:line="261" w:lineRule="auto"/>
        <w:rPr>
          <w:sz w:val="20"/>
          <w:szCs w:val="20"/>
          <w:color w:val="auto"/>
        </w:rPr>
      </w:pPr>
      <w:r>
        <w:rPr>
          <w:rFonts w:ascii="Arial" w:cs="Arial" w:eastAsia="Arial" w:hAnsi="Arial"/>
          <w:sz w:val="18"/>
          <w:szCs w:val="18"/>
          <w:b w:val="1"/>
          <w:bCs w:val="1"/>
          <w:color w:val="auto"/>
        </w:rPr>
        <w:t xml:space="preserve">JON FORTT: </w:t>
      </w:r>
      <w:r>
        <w:rPr>
          <w:rFonts w:ascii="Arial" w:cs="Arial" w:eastAsia="Arial" w:hAnsi="Arial"/>
          <w:sz w:val="18"/>
          <w:szCs w:val="18"/>
          <w:color w:val="auto"/>
        </w:rPr>
        <w:t>Now as we saw from Intel’s results and some others, cloud companies are still buying infrastructure, but there’s been downward pressure</w:t>
      </w:r>
      <w:r>
        <w:rPr>
          <w:rFonts w:ascii="Arial" w:cs="Arial" w:eastAsia="Arial" w:hAnsi="Arial"/>
          <w:sz w:val="18"/>
          <w:szCs w:val="18"/>
          <w:b w:val="1"/>
          <w:bCs w:val="1"/>
          <w:color w:val="auto"/>
        </w:rPr>
        <w:t xml:space="preserve"> </w:t>
      </w:r>
      <w:r>
        <w:rPr>
          <w:rFonts w:ascii="Arial" w:cs="Arial" w:eastAsia="Arial" w:hAnsi="Arial"/>
          <w:sz w:val="18"/>
          <w:szCs w:val="18"/>
          <w:color w:val="auto"/>
        </w:rPr>
        <w:t>on a lot of the pricing. At the same time, though, Inphi’s got this pulse-amplitude modulation technology that it’s pushing cutting-edge, along with optical, allowing to move a lot more data a lot more quickly. Is your sense that you can get not only continued and growing revenue, but also better margins from the cloud giants with this kind of technology.</w:t>
      </w:r>
    </w:p>
    <w:p>
      <w:pPr>
        <w:spacing w:after="0" w:line="180"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b w:val="1"/>
          <w:bCs w:val="1"/>
          <w:color w:val="auto"/>
        </w:rPr>
        <w:t xml:space="preserve">MATT MURPHY: </w:t>
      </w:r>
      <w:r>
        <w:rPr>
          <w:rFonts w:ascii="Arial" w:cs="Arial" w:eastAsia="Arial" w:hAnsi="Arial"/>
          <w:sz w:val="16"/>
          <w:szCs w:val="16"/>
          <w:color w:val="auto"/>
        </w:rPr>
        <w:t>Right, well you nailed it, Jon. First of all this transition in optics and moving to this new modulation technique, which is called</w:t>
      </w:r>
      <w:r>
        <w:rPr>
          <w:rFonts w:ascii="Arial" w:cs="Arial" w:eastAsia="Arial" w:hAnsi="Arial"/>
          <w:sz w:val="16"/>
          <w:szCs w:val="16"/>
          <w:b w:val="1"/>
          <w:bCs w:val="1"/>
          <w:color w:val="auto"/>
        </w:rPr>
        <w:t xml:space="preserve"> </w:t>
      </w:r>
      <w:r>
        <w:rPr>
          <w:rFonts w:ascii="Arial" w:cs="Arial" w:eastAsia="Arial" w:hAnsi="Arial"/>
          <w:sz w:val="16"/>
          <w:szCs w:val="16"/>
          <w:color w:val="auto"/>
        </w:rPr>
        <w:t>“pulse-amplitude modulation,” or “PAM,” it’s a once-in-a-generation type of transition that’s happening. And that’s being driven by the cloud players, specifically, and Inphi has a leadership position there. Their business is extremely strong. Their most recent quarter which they announced this morning, their revenues were up 92% year-over-year, and if you look out to next quarter which they also guided, that would imply another 80% up, year-over-year. This company’s been growing about 40% a year. They have a very strong outlook as well for calendar ‘21, and that’s really on the back of exactly what you said, which is this very strong demand in build-out in the cloud, and in particular the optics that connect all of the key pieces of equipment in the data center. It’s a key item in terms of how the data center’s architected and defines the overall throughput of the data center. In terms of margins and profitability, it’s a premier company in the semiconductor industry. It’s not normally a household name, but in the chip industry it’s one of the highest regarded companies in our space. Gross margins are in the mid-60s, which is accretive to Marvell. It’s also, this deal is gonna be accretive to us—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JON FORTT: </w:t>
      </w:r>
      <w:r>
        <w:rPr>
          <w:rFonts w:ascii="Arial" w:cs="Arial" w:eastAsia="Arial" w:hAnsi="Arial"/>
          <w:sz w:val="18"/>
          <w:szCs w:val="18"/>
          <w:color w:val="auto"/>
        </w:rPr>
        <w:t>Mhmm.</w:t>
      </w:r>
    </w:p>
    <w:p>
      <w:pPr>
        <w:spacing w:after="0" w:line="225" w:lineRule="exact"/>
        <w:rPr>
          <w:sz w:val="20"/>
          <w:szCs w:val="20"/>
          <w:color w:val="auto"/>
        </w:rPr>
      </w:pPr>
    </w:p>
    <w:p>
      <w:pPr>
        <w:ind w:right="220"/>
        <w:spacing w:after="0" w:line="282" w:lineRule="auto"/>
        <w:rPr>
          <w:sz w:val="20"/>
          <w:szCs w:val="20"/>
          <w:color w:val="auto"/>
        </w:rPr>
      </w:pPr>
      <w:r>
        <w:rPr>
          <w:rFonts w:ascii="Arial" w:cs="Arial" w:eastAsia="Arial" w:hAnsi="Arial"/>
          <w:sz w:val="18"/>
          <w:szCs w:val="18"/>
          <w:b w:val="1"/>
          <w:bCs w:val="1"/>
          <w:color w:val="auto"/>
        </w:rPr>
        <w:t xml:space="preserve">MATT MURPHY: </w:t>
      </w:r>
      <w:r>
        <w:rPr>
          <w:rFonts w:ascii="Arial" w:cs="Arial" w:eastAsia="Arial" w:hAnsi="Arial"/>
          <w:sz w:val="18"/>
          <w:szCs w:val="18"/>
          <w:color w:val="auto"/>
        </w:rPr>
        <w:t>— in operating margins and in revenue growth, and earnings by the way. So it ticks the box on all four fronts and adds some very</w:t>
      </w:r>
      <w:r>
        <w:rPr>
          <w:rFonts w:ascii="Arial" w:cs="Arial" w:eastAsia="Arial" w:hAnsi="Arial"/>
          <w:sz w:val="18"/>
          <w:szCs w:val="18"/>
          <w:b w:val="1"/>
          <w:bCs w:val="1"/>
          <w:color w:val="auto"/>
        </w:rPr>
        <w:t xml:space="preserve"> </w:t>
      </w:r>
      <w:r>
        <w:rPr>
          <w:rFonts w:ascii="Arial" w:cs="Arial" w:eastAsia="Arial" w:hAnsi="Arial"/>
          <w:sz w:val="18"/>
          <w:szCs w:val="18"/>
          <w:color w:val="auto"/>
        </w:rPr>
        <w:t>unique, special capability to us.</w:t>
      </w:r>
    </w:p>
    <w:p>
      <w:pPr>
        <w:spacing w:after="0" w:line="162"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 xml:space="preserve">JON FORTT: </w:t>
      </w:r>
      <w:r>
        <w:rPr>
          <w:rFonts w:ascii="Arial" w:cs="Arial" w:eastAsia="Arial" w:hAnsi="Arial"/>
          <w:sz w:val="18"/>
          <w:szCs w:val="18"/>
          <w:color w:val="auto"/>
        </w:rPr>
        <w:t>So in a way, I’m going to do a weird thing and ask you to speak for Inphi. So why do this deal with Marvell when they’re growing the</w:t>
      </w:r>
      <w:r>
        <w:rPr>
          <w:rFonts w:ascii="Arial" w:cs="Arial" w:eastAsia="Arial" w:hAnsi="Arial"/>
          <w:sz w:val="18"/>
          <w:szCs w:val="18"/>
          <w:b w:val="1"/>
          <w:bCs w:val="1"/>
          <w:color w:val="auto"/>
        </w:rPr>
        <w:t xml:space="preserve"> </w:t>
      </w:r>
      <w:r>
        <w:rPr>
          <w:rFonts w:ascii="Arial" w:cs="Arial" w:eastAsia="Arial" w:hAnsi="Arial"/>
          <w:sz w:val="18"/>
          <w:szCs w:val="18"/>
          <w:color w:val="auto"/>
        </w:rPr>
        <w:t>way they are, they have the margins they do? Sometimes we see M&amp;A from desperation, but some of the M&amp;A we’ve been seeing these days is not that. What makes now a key time to do this and what makes Marvell the right partner for them.</w:t>
      </w:r>
    </w:p>
    <w:p>
      <w:pPr>
        <w:spacing w:after="0" w:line="176" w:lineRule="exact"/>
        <w:rPr>
          <w:sz w:val="20"/>
          <w:szCs w:val="20"/>
          <w:color w:val="auto"/>
        </w:rPr>
      </w:pPr>
    </w:p>
    <w:p>
      <w:pPr>
        <w:spacing w:after="0" w:line="254" w:lineRule="auto"/>
        <w:rPr>
          <w:sz w:val="20"/>
          <w:szCs w:val="20"/>
          <w:color w:val="auto"/>
        </w:rPr>
      </w:pPr>
      <w:r>
        <w:rPr>
          <w:rFonts w:ascii="Arial" w:cs="Arial" w:eastAsia="Arial" w:hAnsi="Arial"/>
          <w:sz w:val="18"/>
          <w:szCs w:val="18"/>
          <w:b w:val="1"/>
          <w:bCs w:val="1"/>
          <w:color w:val="auto"/>
        </w:rPr>
        <w:t xml:space="preserve">MATT MURPHY: </w:t>
      </w:r>
      <w:r>
        <w:rPr>
          <w:rFonts w:ascii="Arial" w:cs="Arial" w:eastAsia="Arial" w:hAnsi="Arial"/>
          <w:sz w:val="18"/>
          <w:szCs w:val="18"/>
          <w:color w:val="auto"/>
        </w:rPr>
        <w:t>Sure. Yeah. No, this is very much a combination of two growing companies. We’re both well positioned for growth. The CEO of</w:t>
      </w:r>
      <w:r>
        <w:rPr>
          <w:rFonts w:ascii="Arial" w:cs="Arial" w:eastAsia="Arial" w:hAnsi="Arial"/>
          <w:sz w:val="18"/>
          <w:szCs w:val="18"/>
          <w:b w:val="1"/>
          <w:bCs w:val="1"/>
          <w:color w:val="auto"/>
        </w:rPr>
        <w:t xml:space="preserve"> </w:t>
      </w:r>
      <w:r>
        <w:rPr>
          <w:rFonts w:ascii="Arial" w:cs="Arial" w:eastAsia="Arial" w:hAnsi="Arial"/>
          <w:sz w:val="18"/>
          <w:szCs w:val="18"/>
          <w:color w:val="auto"/>
        </w:rPr>
        <w:t>Inphi is Dr. Ford Tamer. He’s been the CEO there for 9 years. He’s going to be joining the Marvell board as part of this transaction. They were not looking to sell. They have a great plan on their own. But as we got to talking and we shared our vision of being the leading chip company in the world that moves data, stores data, processes data and secures the world’s data, the move piece of it fit extremely well and their view that the cloud and 5G were going to be two of the most important markets for Inphi were very consistent with ours and so as we started talking, we came up with a number of opportunities to drive revenue synergies and incremental growth over the long term, as well. So I think it’s going to be a great fit. We’re going to integrate the Inphi team into the Marvell family and I think together we can accomplish great things in two of the most important markets with long term secular growth trends, which is 5G and the cloud.</w:t>
      </w:r>
    </w:p>
    <w:p>
      <w:pPr>
        <w:sectPr>
          <w:pgSz w:w="11900" w:h="16838" w:orient="portrait"/>
          <w:cols w:equalWidth="0" w:num="1">
            <w:col w:w="11000"/>
          </w:cols>
          <w:pgMar w:left="440" w:top="270" w:right="459" w:bottom="1440" w:gutter="0" w:footer="0" w:header="0"/>
        </w:sectPr>
      </w:pPr>
    </w:p>
    <w:bookmarkStart w:id="2" w:name="page3"/>
    <w:bookmarkEnd w:id="2"/>
    <w:p>
      <w:pPr>
        <w:ind w:right="18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JULIA BOORSTIN: </w:t>
      </w:r>
      <w:r>
        <w:rPr>
          <w:rFonts w:ascii="Arial" w:cs="Arial" w:eastAsia="Arial" w:hAnsi="Arial"/>
          <w:sz w:val="18"/>
          <w:szCs w:val="18"/>
          <w:color w:val="auto"/>
        </w:rPr>
        <w:t>Matt, to that point about the value of having these two companies together, now that you’ll really be able to offer an end-to-end</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 why is that so important from a competitive stand point.</w:t>
      </w:r>
    </w:p>
    <w:p>
      <w:pPr>
        <w:spacing w:after="0" w:line="162"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b w:val="1"/>
          <w:bCs w:val="1"/>
          <w:color w:val="auto"/>
        </w:rPr>
        <w:t xml:space="preserve">MATT MURPHY: </w:t>
      </w:r>
      <w:r>
        <w:rPr>
          <w:rFonts w:ascii="Arial" w:cs="Arial" w:eastAsia="Arial" w:hAnsi="Arial"/>
          <w:sz w:val="16"/>
          <w:szCs w:val="16"/>
          <w:color w:val="auto"/>
        </w:rPr>
        <w:t>Sure, well, as we’ve seen — you know — as recently as this week and certainly this year, M&amp;A and semiconductors has been</w:t>
      </w:r>
      <w:r>
        <w:rPr>
          <w:rFonts w:ascii="Arial" w:cs="Arial" w:eastAsia="Arial" w:hAnsi="Arial"/>
          <w:sz w:val="16"/>
          <w:szCs w:val="16"/>
          <w:b w:val="1"/>
          <w:bCs w:val="1"/>
          <w:color w:val="auto"/>
        </w:rPr>
        <w:t xml:space="preserve"> </w:t>
      </w:r>
      <w:r>
        <w:rPr>
          <w:rFonts w:ascii="Arial" w:cs="Arial" w:eastAsia="Arial" w:hAnsi="Arial"/>
          <w:sz w:val="16"/>
          <w:szCs w:val="16"/>
          <w:color w:val="auto"/>
        </w:rPr>
        <w:t>robust. One of the reasons for that, it’s not the only reason, is that there is a huge benefit, Julia, in scale. Not only in scale in terms of manufacturing and cost, but also scale in terms of product portfolio and offering. And the types of accounts that we do business with, these would be the large hyper scale accounts you know. In fact, today, i think today is almost fang day. There are a number of results coming out today and you’re seeing actually strength from a number of these tier one cloud companies, as well as the 5G companies. They’re really looking for partners, Julia, that can come to them with a total solution, form very long term deep partnerships and the types of products that we do, both ourselves and Inphi, they’re fundamental to the architecture of how data centers are built or how 5G networks are built or in the future how car — the in-car network is built. And so they need partners who have a full solution set and a broad set of capabilities that they can trust and that they can partner with for a long time. And I think the combined scale of the two companies certainly reassures our customers that — that we’re extremely viable in that regard.</w:t>
      </w:r>
    </w:p>
    <w:p>
      <w:pPr>
        <w:spacing w:after="0" w:line="166"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 xml:space="preserve">CARL QUINTANILLA: </w:t>
      </w:r>
      <w:r>
        <w:rPr>
          <w:rFonts w:ascii="Arial" w:cs="Arial" w:eastAsia="Arial" w:hAnsi="Arial"/>
          <w:sz w:val="18"/>
          <w:szCs w:val="18"/>
          <w:color w:val="auto"/>
        </w:rPr>
        <w:t>Matt, one last quick question just onboard sentiment. When it comes to M&amp;A we’ve seen a lot of deals in the past couple of</w:t>
      </w:r>
      <w:r>
        <w:rPr>
          <w:rFonts w:ascii="Arial" w:cs="Arial" w:eastAsia="Arial" w:hAnsi="Arial"/>
          <w:sz w:val="18"/>
          <w:szCs w:val="18"/>
          <w:b w:val="1"/>
          <w:bCs w:val="1"/>
          <w:color w:val="auto"/>
        </w:rPr>
        <w:t xml:space="preserve"> </w:t>
      </w:r>
      <w:r>
        <w:rPr>
          <w:rFonts w:ascii="Arial" w:cs="Arial" w:eastAsia="Arial" w:hAnsi="Arial"/>
          <w:sz w:val="18"/>
          <w:szCs w:val="18"/>
          <w:color w:val="auto"/>
        </w:rPr>
        <w:t>weeks in energy and in tech. Is it a sense that we’re going to go out and actively hunt for targets or is it more of our lines are open if you have something, give us a call?</w:t>
      </w:r>
    </w:p>
    <w:p>
      <w:pPr>
        <w:spacing w:after="0" w:line="176" w:lineRule="exact"/>
        <w:rPr>
          <w:sz w:val="20"/>
          <w:szCs w:val="20"/>
          <w:color w:val="auto"/>
        </w:rPr>
      </w:pPr>
    </w:p>
    <w:p>
      <w:pPr>
        <w:spacing w:after="0" w:line="289" w:lineRule="auto"/>
        <w:rPr>
          <w:sz w:val="20"/>
          <w:szCs w:val="20"/>
          <w:color w:val="auto"/>
        </w:rPr>
      </w:pPr>
      <w:r>
        <w:rPr>
          <w:rFonts w:ascii="Arial" w:cs="Arial" w:eastAsia="Arial" w:hAnsi="Arial"/>
          <w:sz w:val="16"/>
          <w:szCs w:val="16"/>
          <w:b w:val="1"/>
          <w:bCs w:val="1"/>
          <w:color w:val="auto"/>
        </w:rPr>
        <w:t xml:space="preserve">MATT MURPHY: </w:t>
      </w:r>
      <w:r>
        <w:rPr>
          <w:rFonts w:ascii="Arial" w:cs="Arial" w:eastAsia="Arial" w:hAnsi="Arial"/>
          <w:sz w:val="16"/>
          <w:szCs w:val="16"/>
          <w:color w:val="auto"/>
        </w:rPr>
        <w:t>Well, Carl, I think that’s a great question. I think you’re seeing certainly, you know, in 2020 — and I have to think that some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had to do with the pandemic as well — it’s really forcing companies to — I think it is showing which companies are strong and growing and robust and in the right segments. I think it’s also showing where companies may need to decide to combine or merge up or scale up with other partners. From our standpoint, we’ve been fairly acquisitive over the years and we have also done some divestitures, as well, to really sharpen our focus. Our view has been, you know, we want to be one of the leading companies in the space we want to find like-minded partners and so at least from our board sentiment, we’ve been very much aligned around growth and growing the company. And there is a scarcity of assets, too, Carl. If you look at the number of M&amp;A deals that have gone on over the last four or five years and even into 2020, there is fewer and fewer, you know, pieces on the chess board if you will. And so we viewed Inphi and extremely strategic because they have revenue scale, they’re growing and they’re in some of most attractive end. So from a timing perspective, we see an inflection in their business and we thought this was the perfect time to join forces.</w:t>
      </w:r>
    </w:p>
    <w:p>
      <w:pPr>
        <w:sectPr>
          <w:pgSz w:w="11900" w:h="16838" w:orient="portrait"/>
          <w:cols w:equalWidth="0" w:num="1">
            <w:col w:w="10980"/>
          </w:cols>
          <w:pgMar w:left="440" w:top="270" w:right="47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About Marvell</w:t>
      </w:r>
    </w:p>
    <w:p>
      <w:pPr>
        <w:spacing w:after="0" w:line="12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 xml:space="preserve">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Arial" w:cs="Arial" w:eastAsia="Arial" w:hAnsi="Arial"/>
          <w:sz w:val="16"/>
          <w:szCs w:val="16"/>
          <w:u w:val="single" w:color="auto"/>
          <w:color w:val="auto"/>
        </w:rPr>
        <w:t>www.inphi.com</w:t>
      </w:r>
      <w:r>
        <w:rPr>
          <w:rFonts w:ascii="Arial" w:cs="Arial" w:eastAsia="Arial" w:hAnsi="Arial"/>
          <w:sz w:val="16"/>
          <w:szCs w:val="16"/>
          <w:color w:val="auto"/>
        </w:rPr>
        <w:t>.</w:t>
      </w:r>
    </w:p>
    <w:p>
      <w:pPr>
        <w:spacing w:after="0" w:line="157" w:lineRule="exact"/>
        <w:rPr>
          <w:sz w:val="20"/>
          <w:szCs w:val="20"/>
          <w:color w:val="auto"/>
        </w:rPr>
      </w:pPr>
    </w:p>
    <w:p>
      <w:pPr>
        <w:spacing w:after="0"/>
        <w:rPr>
          <w:sz w:val="20"/>
          <w:szCs w:val="20"/>
          <w:color w:val="auto"/>
        </w:rPr>
      </w:pPr>
      <w:r>
        <w:rPr>
          <w:rFonts w:ascii="Arial" w:cs="Arial" w:eastAsia="Arial" w:hAnsi="Arial"/>
          <w:sz w:val="16"/>
          <w:szCs w:val="16"/>
          <w:color w:val="auto"/>
        </w:rPr>
        <w:t>Inphi, the Inphi logo and Think fast are registered trademarks of Inphi. All other trademarks used herein are the property of their respective owners.</w:t>
      </w:r>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Inphi Corporate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408-606-6524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investors@inphi.com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1000"/>
          </w:cols>
          <w:pgMar w:left="440" w:top="270" w:right="459" w:bottom="1440" w:gutter="0" w:footer="0" w:header="0"/>
        </w:sectPr>
      </w:pPr>
    </w:p>
    <w:bookmarkStart w:id="4" w:name="page5"/>
    <w:bookmarkEnd w:id="4"/>
    <w:p>
      <w:pPr>
        <w:ind w:left="4"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7" w:lineRule="exact"/>
        <w:rPr>
          <w:sz w:val="20"/>
          <w:szCs w:val="20"/>
          <w:color w:val="auto"/>
        </w:rPr>
      </w:pPr>
    </w:p>
    <w:p>
      <w:pPr>
        <w:ind w:left="4" w:right="500"/>
        <w:spacing w:after="0" w:line="342" w:lineRule="auto"/>
        <w:rPr>
          <w:sz w:val="20"/>
          <w:szCs w:val="20"/>
          <w:color w:val="auto"/>
        </w:rPr>
      </w:pPr>
      <w:r>
        <w:rPr>
          <w:rFonts w:ascii="Arial" w:cs="Arial" w:eastAsia="Arial" w:hAnsi="Arial"/>
          <w:sz w:val="16"/>
          <w:szCs w:val="16"/>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Arial" w:cs="Arial" w:eastAsia="Arial" w:hAnsi="Arial"/>
          <w:sz w:val="16"/>
          <w:szCs w:val="16"/>
          <w:u w:val="single" w:color="auto"/>
          <w:color w:val="auto"/>
        </w:rPr>
        <w:t>www.sec.gov</w:t>
      </w:r>
      <w:r>
        <w:rPr>
          <w:rFonts w:ascii="Arial" w:cs="Arial" w:eastAsia="Arial" w:hAnsi="Arial"/>
          <w:sz w:val="16"/>
          <w:szCs w:val="16"/>
          <w:color w:val="auto"/>
        </w:rPr>
        <w:t>.</w:t>
      </w:r>
    </w:p>
    <w:p>
      <w:pPr>
        <w:spacing w:after="0" w:line="124" w:lineRule="exact"/>
        <w:rPr>
          <w:sz w:val="20"/>
          <w:szCs w:val="20"/>
          <w:color w:val="auto"/>
        </w:rPr>
      </w:pPr>
    </w:p>
    <w:p>
      <w:pPr>
        <w:ind w:left="4" w:right="8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70" w:lineRule="exact"/>
        <w:rPr>
          <w:sz w:val="20"/>
          <w:szCs w:val="20"/>
          <w:color w:val="auto"/>
        </w:rPr>
      </w:pPr>
    </w:p>
    <w:p>
      <w:pPr>
        <w:ind w:left="4" w:right="220"/>
        <w:spacing w:after="0" w:line="277" w:lineRule="auto"/>
        <w:rPr>
          <w:sz w:val="20"/>
          <w:szCs w:val="20"/>
          <w:color w:val="auto"/>
        </w:rPr>
      </w:pPr>
      <w:r>
        <w:rPr>
          <w:rFonts w:ascii="Arial" w:cs="Arial" w:eastAsia="Arial" w:hAnsi="Arial"/>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74"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Participants in the Solicitation</w:t>
      </w:r>
    </w:p>
    <w:p>
      <w:pPr>
        <w:spacing w:after="0" w:line="121" w:lineRule="exact"/>
        <w:rPr>
          <w:sz w:val="20"/>
          <w:szCs w:val="20"/>
          <w:color w:val="auto"/>
        </w:rPr>
      </w:pPr>
    </w:p>
    <w:p>
      <w:pPr>
        <w:ind w:left="4" w:right="20"/>
        <w:spacing w:after="0" w:line="289"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70"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spacing w:after="0" w:line="283"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86" w:lineRule="auto"/>
        <w:tabs>
          <w:tab w:leader="none" w:pos="269" w:val="left"/>
        </w:tabs>
        <w:numPr>
          <w:ilvl w:val="0"/>
          <w:numId w:val="1"/>
        </w:numPr>
        <w:rPr>
          <w:rFonts w:ascii="Arial" w:cs="Arial" w:eastAsia="Arial" w:hAnsi="Arial"/>
          <w:sz w:val="16"/>
          <w:szCs w:val="16"/>
          <w:color w:val="auto"/>
        </w:rPr>
      </w:pPr>
      <w:r>
        <w:rPr>
          <w:rFonts w:ascii="Arial" w:cs="Arial" w:eastAsia="Arial" w:hAnsi="Arial"/>
          <w:sz w:val="16"/>
          <w:szCs w:val="16"/>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64"/>
          </w:cols>
          <w:pgMar w:left="436" w:top="274" w:right="499" w:bottom="1440" w:gutter="0" w:footer="0" w:header="0"/>
        </w:sectPr>
      </w:pPr>
    </w:p>
    <w:bookmarkStart w:id="5" w:name="page6"/>
    <w:bookmarkEnd w:id="5"/>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 Offer or Solicitation</w:t>
      </w:r>
    </w:p>
    <w:p>
      <w:pPr>
        <w:spacing w:after="0" w:line="121"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2020-10-30T05:34:25Z</dcterms:created>
  <dcterms:modified xsi:type="dcterms:W3CDTF">2020-10-30T05:34:25Z</dcterms:modified>
</cp:coreProperties>
</file>