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Date of Report: October 29, 2020</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3"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94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Merger Agreement</w:t>
      </w:r>
    </w:p>
    <w:p>
      <w:pPr>
        <w:spacing w:after="0" w:line="121" w:lineRule="exact"/>
        <w:rPr>
          <w:sz w:val="20"/>
          <w:szCs w:val="20"/>
          <w:color w:val="auto"/>
        </w:rPr>
      </w:pPr>
    </w:p>
    <w:p>
      <w:pPr>
        <w:ind w:left="4" w:right="320"/>
        <w:spacing w:after="0" w:line="291" w:lineRule="auto"/>
        <w:rPr>
          <w:sz w:val="20"/>
          <w:szCs w:val="20"/>
          <w:color w:val="auto"/>
        </w:rPr>
      </w:pPr>
      <w:r>
        <w:rPr>
          <w:rFonts w:ascii="Arial" w:cs="Arial" w:eastAsia="Arial" w:hAnsi="Arial"/>
          <w:sz w:val="16"/>
          <w:szCs w:val="16"/>
          <w:color w:val="auto"/>
        </w:rPr>
        <w:t>On October 29, 2020, Marvell Technology Group Ltd. (“Marvell”) entered into an Agreement and Plan of Merger and Reorganization (the “Merger Agreement”), by and among Marvell,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166" w:lineRule="exact"/>
        <w:rPr>
          <w:sz w:val="20"/>
          <w:szCs w:val="20"/>
          <w:color w:val="auto"/>
        </w:rPr>
      </w:pPr>
    </w:p>
    <w:p>
      <w:pPr>
        <w:ind w:left="4" w:right="80"/>
        <w:spacing w:after="0" w:line="253" w:lineRule="auto"/>
        <w:rPr>
          <w:sz w:val="20"/>
          <w:szCs w:val="20"/>
          <w:color w:val="auto"/>
        </w:rPr>
      </w:pPr>
      <w:r>
        <w:rPr>
          <w:rFonts w:ascii="Arial" w:cs="Arial" w:eastAsia="Arial" w:hAnsi="Arial"/>
          <w:sz w:val="18"/>
          <w:szCs w:val="18"/>
          <w:color w:val="auto"/>
        </w:rPr>
        <w:t>Subject to the terms and conditions set forth in the Merger Agreement: (i) at the effective time of the Bermuda Merger, each common share, $0.002 par value per share, of Marvell (each, a “Marvell Share”) issued and outstanding immediately prior to the effective time of the Bermuda Merger (other than Marvell Shares held by Marvell (or held in Marvell’s treasury) or held, directly or indirectly, by HoldCo, Bermuda Merger Sub or any other subsidiary of Marvell or held, directly or indirectly, by Inphi or any subsidiary of Inphi) will be converted into the right to receive one share of common stock, $0.002 par value per share, of HoldCo (each, a “HoldCo Share”); and (ii) at the effective time of the Delaware Merger, each share of common stock, $0.001 par value per share, of Inphi (each, an “Inphi Share”) issued and outstanding immediately prior to the effective time of the Delaware Merger (other than (A) Inphi Shares held by Inphi (or held in Inphi’s treasury) or held, directly or indirectly, by Marvell, HoldCo, Delaware Merger Sub or any other subsidiary of Marvell or held, directly or indirectly, by any subsidiary of Inphi and (B) Inphi Shares with respect to which appraisal rights are properly exercised and not withdrawn under Delaware law) will be converted into the right to receive 2.323 HoldCo Shares and $66.00 in cash, without interest.</w:t>
      </w:r>
    </w:p>
    <w:p>
      <w:pPr>
        <w:spacing w:after="0" w:line="194" w:lineRule="exact"/>
        <w:rPr>
          <w:sz w:val="20"/>
          <w:szCs w:val="20"/>
          <w:color w:val="auto"/>
        </w:rPr>
      </w:pPr>
    </w:p>
    <w:p>
      <w:pPr>
        <w:ind w:left="4" w:right="160"/>
        <w:spacing w:after="0" w:line="311" w:lineRule="auto"/>
        <w:rPr>
          <w:sz w:val="20"/>
          <w:szCs w:val="20"/>
          <w:color w:val="auto"/>
        </w:rPr>
      </w:pPr>
      <w:r>
        <w:rPr>
          <w:rFonts w:ascii="Arial" w:cs="Arial" w:eastAsia="Arial" w:hAnsi="Arial"/>
          <w:sz w:val="16"/>
          <w:szCs w:val="16"/>
          <w:color w:val="auto"/>
        </w:rPr>
        <w:t>The consummation of the Mergers is subject to customary closing conditions, including, among other things: (i) approval by Marvell’s shareholders of the Merger Agreement and the Bermuda Merger; (ii) adoption by Inphi’s stockholders of the Merger Agreement; and (iii) the receipt of certain regulatory approvals, including the expiration or termination of the waiting period under the Hart-Scott-Rodino Antitrust Improvements Act of 1976.</w:t>
      </w:r>
    </w:p>
    <w:p>
      <w:pPr>
        <w:spacing w:after="0" w:line="149"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Merger Agreement contains representations, warranties and covenants of the parties customary for a transaction of this type.</w:t>
      </w:r>
    </w:p>
    <w:p>
      <w:pPr>
        <w:spacing w:after="0" w:line="225" w:lineRule="exact"/>
        <w:rPr>
          <w:sz w:val="20"/>
          <w:szCs w:val="20"/>
          <w:color w:val="auto"/>
        </w:rPr>
      </w:pPr>
    </w:p>
    <w:p>
      <w:pPr>
        <w:ind w:left="4"/>
        <w:spacing w:after="0" w:line="284" w:lineRule="auto"/>
        <w:rPr>
          <w:sz w:val="20"/>
          <w:szCs w:val="20"/>
          <w:color w:val="auto"/>
        </w:rPr>
      </w:pPr>
      <w:r>
        <w:rPr>
          <w:rFonts w:ascii="Arial" w:cs="Arial" w:eastAsia="Arial" w:hAnsi="Arial"/>
          <w:sz w:val="16"/>
          <w:szCs w:val="16"/>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(i) by Marvell or Inphi because the Mergers have not been consummated on or prior to 11:59 p.m. (California time) on June 29, 2021 (or, if extended by either party in accordance with the terms of the Merger Agreement, on such later date as provided for in the Merger Agreement) (the “Outside Date”) and (A) at or prior to termination of the Merger Agreement, a third-party offer or proposal to acquire Inphi has been made and Inphi’s stockholders have not taken a final vote on a proposal to adopt the Merger Agreement and</w:t>
      </w:r>
    </w:p>
    <w:p>
      <w:pPr>
        <w:spacing w:after="0" w:line="4" w:lineRule="exact"/>
        <w:rPr>
          <w:sz w:val="20"/>
          <w:szCs w:val="20"/>
          <w:color w:val="auto"/>
        </w:rPr>
      </w:pPr>
    </w:p>
    <w:p>
      <w:pPr>
        <w:ind w:left="4" w:right="60" w:hanging="4"/>
        <w:spacing w:after="0" w:line="285" w:lineRule="auto"/>
        <w:tabs>
          <w:tab w:leader="none" w:pos="289" w:val="left"/>
        </w:tabs>
        <w:numPr>
          <w:ilvl w:val="0"/>
          <w:numId w:val="3"/>
        </w:numPr>
        <w:rPr>
          <w:rFonts w:ascii="Arial" w:cs="Arial" w:eastAsia="Arial" w:hAnsi="Arial"/>
          <w:sz w:val="16"/>
          <w:szCs w:val="16"/>
          <w:color w:val="auto"/>
        </w:rPr>
      </w:pPr>
      <w:r>
        <w:rPr>
          <w:rFonts w:ascii="Arial" w:cs="Arial" w:eastAsia="Arial" w:hAnsi="Arial"/>
          <w:sz w:val="16"/>
          <w:szCs w:val="16"/>
          <w:color w:val="auto"/>
        </w:rPr>
        <w:t>within 12 months after the date of such termination, Inphi has consummated a transaction with a third party or has entered into a definitive agreement with a third party contemplating a transaction, in each case, relating to an acquisition of Inphi; (ii) by Marvell or Inphi because Inphi has failed to obtain the necessary stockholder vote to adopt the Merger Agreement and (A) at or prior to termination of the Merger Agreement, a third-party offer or proposal to acquire Inphi has been made and has not been publicly withdrawn at least 10 business days prior to the Inphi stockholders’ meeting called for purposes of voting on the proposal to adopt the Merger Agreement and (B) within 12 months after the date of such termination, Inphi has consummated a transaction with a third party or has entered into a definitive agreement with a third party contemplating a transaction, in each case, relating to an acquisition of Inphi; (iii) by Marvell upon the occurrence of a Company Triggering Event (as defined in the Merger Agreement); (iv) by Marvell or Inphi at any time during the period commencing on the occurrence of a Company Triggering Event and ending on the earlier of (A) the tenth day after the final vote by Inphi’s stockholders on a proposal to adopt the Merger Agreement and (B) the adoption of the Merger Agreement by Inphi’s stockholders; or (v) by Inphi in order to accept a Company Superior Offer (as defined in the Merger Agreement) and enter into a definitive agreement providing for consummation of the transaction contemplated by such Company Superior Offer.</w:t>
      </w:r>
    </w:p>
    <w:p>
      <w:pPr>
        <w:sectPr>
          <w:pgSz w:w="11900" w:h="16838" w:orient="portrait"/>
          <w:cols w:equalWidth="0" w:num="1">
            <w:col w:w="11004"/>
          </w:cols>
          <w:pgMar w:left="436" w:top="297" w:right="459" w:bottom="1440" w:gutter="0" w:footer="0" w:header="0"/>
        </w:sectPr>
      </w:pPr>
    </w:p>
    <w:bookmarkStart w:id="2" w:name="page3"/>
    <w:bookmarkEnd w:id="2"/>
    <w:p>
      <w:pPr>
        <w:ind w:right="2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The Merger Agreement provides that Marvell will be required to pay to Inphi, without duplication, a termination fee of: (i) $400 million if, among other things, the Merger Agreement is terminated (A) by Inphi upon the occurrence of a Marvell Triggering Event (as defined in the Merger Agreement), (B) by Marvell or Inphi at any time during the period commencing on the occurrence of a Marvell Triggering Event and ending on the earlier of (1) the tenth day after the final vote by Marvell’s shareholders on a proposal to approve the Merger Agreement and the Bermuda Merger and (2) the approval by Marvell’s shareholders of the Merger Agreement and the Bermuda Merger or (C) by Marvell in order to accept a Disruptive Marvell Superior Offer (as defined in the Merger Agreement) and enter into a definitive agreement providing for consummation of the transaction contemplated by such Disruptive Marvell Superior Offer; and (ii) $460 million if, among other things, (A) the Merger Agreement is terminated by Marvell or Inphi because the Mergers have not been consummated (1) on or prior to the Outside Date or (2) as a result of a suit or legal proceeding brought by certain specified governmental authorities and (B) as of the time of termination of the Merger Agreement, a Designated Circumstance (as defined in the Merger Agreements) exists and all of Marvell’s closing conditions (other than closing conditions related to the Designated Circumstance) have been satisfied.</w:t>
      </w:r>
    </w:p>
    <w:p>
      <w:pPr>
        <w:spacing w:after="0" w:line="168"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 foregoing description of the Merger Agreement is qualified in its entirety by the full text of the Merger Agreement, which is attached hereto as Exhibit 2.1 and incorporated herein by reference. The Merger Agreement has been attached to provide investors with information regarding its terms. It is not intended to provide any other factual information about Marvell or Inphi. In particular, the assertions embodied in the representations and warranties contained in the Merger Agreement are qualified by information in confidential disclosure schedules provided by each of Marvell and Inphi in connection with the signing of the Merger Agreement. These confidential disclosure schedules contain information that modifies, qualifies and creates exceptions to the representations and warranties and certain covenants set forth in the Merger Agreement. Moreover, certain representations and warranties in the Merger Agreement were used for the purpose of allocating risk between Marvell and Inphi rather than establishing matters as facts and were made only as of the date of the Merger Agreement (or such other date or dates as may be specified in the Merger Agreement). Accordingly, the representations and warranties in the Merger Agreement should not be relied upon as characterizations of the actual state of facts about Marvell or Inphi.</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Financing Commitment Letters</w:t>
      </w:r>
    </w:p>
    <w:p>
      <w:pPr>
        <w:spacing w:after="0" w:line="121" w:lineRule="exact"/>
        <w:rPr>
          <w:sz w:val="20"/>
          <w:szCs w:val="20"/>
          <w:color w:val="auto"/>
        </w:rPr>
      </w:pPr>
    </w:p>
    <w:p>
      <w:pPr>
        <w:ind w:right="80"/>
        <w:spacing w:after="0" w:line="284" w:lineRule="auto"/>
        <w:rPr>
          <w:sz w:val="20"/>
          <w:szCs w:val="20"/>
          <w:color w:val="auto"/>
        </w:rPr>
      </w:pPr>
      <w:r>
        <w:rPr>
          <w:rFonts w:ascii="Arial" w:cs="Arial" w:eastAsia="Arial" w:hAnsi="Arial"/>
          <w:sz w:val="16"/>
          <w:szCs w:val="16"/>
          <w:color w:val="auto"/>
        </w:rPr>
        <w:t>Marvell intends to pay the cash consideration portion of the consideration for the Mergers and other fees and expenses required to be paid in connection with the Mergers from cash on hand and borrowings. Marvell and HoldCo have obtained financing commitments for (i) a $2.5 billion senior 364-day bridge term loan facility (the “Bridge Facility”) pursuant to a commitment letter (the “Bridge Commitment Letter”) dated as of October 29, 2020, with JPMorgan Chase Bank, N.A. (“JPMorgan”), and (ii) a $1.5 billion senior unsecured term loan facility comprised of a $750.0 million 3-year term loan tranche (the “3 Year Term Loan”) and a $750.0 million 5-year term loan tranche (the “5-Year Term Loan,” and collectively with the 3-Year Term Loan, the “Term Loan Facility”) pursuant to a facilities commitment letter (the “Facilities Commitment Letter” and, together with the Bridge Commitment Letter, the “Debt Commitment Letters”) dated as of October 29, 2020, with JPMorgan. Pursuant to the Debt Commitment Letters, subject to the terms and conditions set forth therein, JPMorgan has committed to provide the full amount of the Bridge Facility and the Term Loan Facility, and</w:t>
      </w:r>
    </w:p>
    <w:p>
      <w:pPr>
        <w:spacing w:after="0" w:line="1"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$100.0 million under a revolving credit facility to be entered into in an aggregate committed amount of up to $750.0 million (the “Revolving Facility”), which Revolving Facility is expected to replace Marvell’s existing $500.0 million revolving credit facility. The funding of the Bridge Facility provided for in the Bridge Commitment Letter and the funding of the Term Loan Facility provided for in the Facilities Commitment Letter, in each case, is contingent upon the satisfaction of customary conditions, including (i) execution and delivery of definitive documentation with respect to the Bridge Facility and Term Loan Facility in accordance with the terms set forth in the applicable Debt Commitment Letters and (ii) consummation of the Mergers in accordance with the Merger Agreement. The actual documentation governing the Bridge Facility, the Term Loan Facility and the Revolving Facility has not been finalized, and accordingly, the actual terms may differ from the description of such terms in the applicable Debt Commitment Letters.</w:t>
      </w:r>
    </w:p>
    <w:p>
      <w:pPr>
        <w:spacing w:after="0" w:line="168"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Availability under the Bridge Facility will be reduced by the net cash proceeds from customary mandatory commitment reduction and prepayment events from issuances of equity, the incurrence of certain other debt or the sale of available assets, in each case subject to limited exceptions. Marvell expects to replace some or all of the Bridge Facility prior to the closing of the Mergers with permanent financing. There can be no assurance that the permanent financing will be completed.</w:t>
      </w:r>
    </w:p>
    <w:p>
      <w:pPr>
        <w:sectPr>
          <w:pgSz w:w="11900" w:h="16838" w:orient="portrait"/>
          <w:cols w:equalWidth="0" w:num="1">
            <w:col w:w="11020"/>
          </w:cols>
          <w:pgMar w:left="440" w:top="301" w:right="439" w:bottom="1440" w:gutter="0" w:footer="0" w:header="0"/>
        </w:sectPr>
      </w:pPr>
    </w:p>
    <w:bookmarkStart w:id="3" w:name="page4"/>
    <w:bookmarkEnd w:id="3"/>
    <w:p>
      <w:pPr>
        <w:ind w:right="2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43180"/>
                    </a:xfrm>
                    <a:prstGeom prst="rect">
                      <a:avLst/>
                    </a:prstGeom>
                    <a:noFill/>
                  </pic:spPr>
                </pic:pic>
              </a:graphicData>
            </a:graphic>
          </wp:anchor>
        </w:drawing>
        <w:t>The foregoing summary of the Debt Commitment Letters and the transactions contemplated thereby does not purport to be complete and is subject to, and qualified in its entirety by, the full text of the Debt Commitment Letters attached hereto as Exhibits 10.1 and 10.2 and incorporated herein by reference.</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ind w:right="180"/>
        <w:spacing w:after="0" w:line="270" w:lineRule="auto"/>
        <w:rPr>
          <w:sz w:val="20"/>
          <w:szCs w:val="20"/>
          <w:color w:val="auto"/>
        </w:rPr>
      </w:pPr>
      <w:r>
        <w:rPr>
          <w:rFonts w:ascii="Arial" w:cs="Arial" w:eastAsia="Arial" w:hAnsi="Arial"/>
          <w:sz w:val="17"/>
          <w:szCs w:val="17"/>
          <w:color w:val="auto"/>
        </w:rPr>
        <w:t>This communication relates to a proposed transaction between Marvell and Inphi. In connection with the proposed transaction, Marvell and Inphi will cause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20"/>
        <w:spacing w:after="0" w:line="275" w:lineRule="auto"/>
        <w:rPr>
          <w:sz w:val="20"/>
          <w:szCs w:val="20"/>
          <w:color w:val="auto"/>
        </w:rPr>
      </w:pPr>
      <w:r>
        <w:rPr>
          <w:rFonts w:ascii="Arial" w:cs="Arial" w:eastAsia="Arial" w:hAnsi="Arial"/>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Participants in the Solicitation</w:t>
      </w:r>
    </w:p>
    <w:p>
      <w:pPr>
        <w:spacing w:after="0" w:line="121"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and in Marvell’s Current Report on Form 8-K filed with the SEC on July 30,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w:t>
      </w:r>
    </w:p>
    <w:p>
      <w:pPr>
        <w:sectPr>
          <w:pgSz w:w="11900" w:h="16838" w:orient="portrait"/>
          <w:cols w:equalWidth="0" w:num="1">
            <w:col w:w="11000"/>
          </w:cols>
          <w:pgMar w:left="440" w:top="301" w:right="459" w:bottom="1440" w:gutter="0" w:footer="0" w:header="0"/>
        </w:sectPr>
      </w:pPr>
    </w:p>
    <w:bookmarkStart w:id="4" w:name="page5"/>
    <w:bookmarkEnd w:id="4"/>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43180"/>
                    </a:xfrm>
                    <a:prstGeom prst="rect">
                      <a:avLst/>
                    </a:prstGeom>
                    <a:noFill/>
                  </pic:spPr>
                </pic:pic>
              </a:graphicData>
            </a:graphic>
          </wp:anchor>
        </w:drawing>
        <w:t>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 Offer or Solicitation</w:t>
      </w:r>
    </w:p>
    <w:p>
      <w:pPr>
        <w:spacing w:after="0" w:line="121"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p>
      <w:pPr>
        <w:spacing w:after="0" w:line="316"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660" w:right="560" w:hanging="57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2.1</w:t>
      </w:r>
      <w:r>
        <w:rPr>
          <w:sz w:val="20"/>
          <w:szCs w:val="20"/>
          <w:color w:val="auto"/>
        </w:rPr>
        <w:tab/>
      </w:r>
      <w:hyperlink w:anchor="page7">
        <w:r>
          <w:rPr>
            <w:rFonts w:ascii="Arial" w:cs="Arial" w:eastAsia="Arial" w:hAnsi="Arial"/>
            <w:sz w:val="18"/>
            <w:szCs w:val="18"/>
            <w:u w:val="single" w:color="auto"/>
            <w:color w:val="0000EE"/>
          </w:rPr>
          <w:t>Agreement and Plan of Merger and Reorganization, dated as of October 29, 2020, by and among Marvell Technology Group Ltd., Inphi</w:t>
        </w:r>
      </w:hyperlink>
      <w:r>
        <w:rPr>
          <w:rFonts w:ascii="Arial" w:cs="Arial" w:eastAsia="Arial" w:hAnsi="Arial"/>
          <w:sz w:val="18"/>
          <w:szCs w:val="18"/>
          <w:u w:val="single" w:color="auto"/>
          <w:color w:val="0000EE"/>
        </w:rPr>
        <w:t xml:space="preserve"> </w:t>
      </w:r>
      <w:hyperlink w:anchor="page7">
        <w:r>
          <w:rPr>
            <w:rFonts w:ascii="Arial" w:cs="Arial" w:eastAsia="Arial" w:hAnsi="Arial"/>
            <w:sz w:val="18"/>
            <w:szCs w:val="18"/>
            <w:u w:val="single" w:color="auto"/>
            <w:color w:val="0000EE"/>
          </w:rPr>
          <w:t>Corporation, Maui HoldCo, Inc., Maui Acquisition Company Ltd and Indigo Acquisition Corp.</w:t>
        </w:r>
      </w:hyperlink>
    </w:p>
    <w:p>
      <w:pPr>
        <w:spacing w:after="0" w:line="62" w:lineRule="exact"/>
        <w:rPr>
          <w:sz w:val="20"/>
          <w:szCs w:val="20"/>
          <w:color w:val="auto"/>
        </w:rPr>
      </w:pPr>
    </w:p>
    <w:p>
      <w:pPr>
        <w:ind w:left="660" w:right="240" w:hanging="66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10.1</w:t>
      </w:r>
      <w:r>
        <w:rPr>
          <w:sz w:val="20"/>
          <w:szCs w:val="20"/>
          <w:color w:val="auto"/>
        </w:rPr>
        <w:tab/>
      </w:r>
      <w:hyperlink w:anchor="page125">
        <w:r>
          <w:rPr>
            <w:rFonts w:ascii="Arial" w:cs="Arial" w:eastAsia="Arial" w:hAnsi="Arial"/>
            <w:sz w:val="18"/>
            <w:szCs w:val="18"/>
            <w:u w:val="single" w:color="auto"/>
            <w:color w:val="0000EE"/>
          </w:rPr>
          <w:t>Commitment Letter, dated as of October 29, 2020, by and among Marvell Technology Group Ltd., Maui HoldCo, Inc., and JPMorgan Chase</w:t>
        </w:r>
      </w:hyperlink>
      <w:r>
        <w:rPr>
          <w:rFonts w:ascii="Arial" w:cs="Arial" w:eastAsia="Arial" w:hAnsi="Arial"/>
          <w:sz w:val="18"/>
          <w:szCs w:val="18"/>
          <w:u w:val="single" w:color="auto"/>
          <w:color w:val="0000EE"/>
        </w:rPr>
        <w:t xml:space="preserve"> </w:t>
      </w:r>
      <w:hyperlink w:anchor="page125">
        <w:r>
          <w:rPr>
            <w:rFonts w:ascii="Arial" w:cs="Arial" w:eastAsia="Arial" w:hAnsi="Arial"/>
            <w:sz w:val="18"/>
            <w:szCs w:val="18"/>
            <w:u w:val="single" w:color="auto"/>
            <w:color w:val="0000EE"/>
          </w:rPr>
          <w:t>Bank, N.A.</w:t>
        </w:r>
      </w:hyperlink>
    </w:p>
    <w:p>
      <w:pPr>
        <w:spacing w:after="0" w:line="62" w:lineRule="exact"/>
        <w:rPr>
          <w:sz w:val="20"/>
          <w:szCs w:val="20"/>
          <w:color w:val="auto"/>
        </w:rPr>
      </w:pPr>
    </w:p>
    <w:p>
      <w:pPr>
        <w:ind w:left="660" w:right="60" w:hanging="66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10.2</w:t>
      </w:r>
      <w:r>
        <w:rPr>
          <w:sz w:val="20"/>
          <w:szCs w:val="20"/>
          <w:color w:val="auto"/>
        </w:rPr>
        <w:tab/>
      </w:r>
      <w:hyperlink w:anchor="page159">
        <w:r>
          <w:rPr>
            <w:rFonts w:ascii="Arial" w:cs="Arial" w:eastAsia="Arial" w:hAnsi="Arial"/>
            <w:sz w:val="18"/>
            <w:szCs w:val="18"/>
            <w:u w:val="single" w:color="auto"/>
            <w:color w:val="0000EE"/>
          </w:rPr>
          <w:t>Facilities Commitment Letter, dated as of October 29, 2020, by and among Marvell Technology Group Ltd., Maui HoldCo, Inc. and JPMorgan</w:t>
        </w:r>
      </w:hyperlink>
      <w:r>
        <w:rPr>
          <w:rFonts w:ascii="Arial" w:cs="Arial" w:eastAsia="Arial" w:hAnsi="Arial"/>
          <w:sz w:val="18"/>
          <w:szCs w:val="18"/>
          <w:u w:val="single" w:color="auto"/>
          <w:color w:val="0000EE"/>
        </w:rPr>
        <w:t xml:space="preserve"> </w:t>
      </w:r>
      <w:hyperlink w:anchor="page159">
        <w:r>
          <w:rPr>
            <w:rFonts w:ascii="Arial" w:cs="Arial" w:eastAsia="Arial" w:hAnsi="Arial"/>
            <w:sz w:val="18"/>
            <w:szCs w:val="18"/>
            <w:u w:val="single" w:color="auto"/>
            <w:color w:val="0000EE"/>
          </w:rPr>
          <w:t>Chase Bank, N.A.</w:t>
        </w:r>
      </w:hyperlink>
    </w:p>
    <w:p>
      <w:pPr>
        <w:spacing w:after="0" w:line="6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00"/>
          </w:cols>
          <w:pgMar w:left="440" w:top="301" w:right="459" w:bottom="1440" w:gutter="0" w:footer="0" w:header="0"/>
        </w:sectPr>
      </w:pPr>
    </w:p>
    <w:bookmarkStart w:id="5" w:name="page6"/>
    <w:bookmarkEnd w:id="5"/>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431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October 30, 2020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Administration and Legal Officer and Secretary</w:t>
      </w:r>
    </w:p>
    <w:p>
      <w:pPr>
        <w:sectPr>
          <w:pgSz w:w="11900" w:h="16838" w:orient="portrait"/>
          <w:cols w:equalWidth="0" w:num="1">
            <w:col w:w="10660"/>
          </w:cols>
          <w:pgMar w:left="440" w:top="297" w:right="79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2.1</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74930</wp:posOffset>
            </wp:positionV>
            <wp:extent cx="699516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117475</wp:posOffset>
            </wp:positionV>
            <wp:extent cx="699516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AGREEMENT AND PLAN OF MERGER AND REORGANIZATION</w:t>
      </w:r>
    </w:p>
    <w:p>
      <w:pPr>
        <w:spacing w:after="0" w:line="22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ind w:left="368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 Delaware corporation;</w:t>
      </w:r>
    </w:p>
    <w:p>
      <w:pPr>
        <w:spacing w:after="0" w:line="20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ind w:left="3360"/>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 Delaware corporation;</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r>
        <w:rPr>
          <w:rFonts w:ascii="Arial" w:cs="Arial" w:eastAsia="Arial" w:hAnsi="Arial"/>
          <w:sz w:val="18"/>
          <w:szCs w:val="18"/>
          <w:b w:val="1"/>
          <w:bCs w:val="1"/>
          <w:color w:val="auto"/>
        </w:rPr>
        <w:t>,</w:t>
      </w:r>
    </w:p>
    <w:p>
      <w:pPr>
        <w:spacing w:after="0" w:line="27" w:lineRule="exact"/>
        <w:rPr>
          <w:sz w:val="20"/>
          <w:szCs w:val="20"/>
          <w:color w:val="auto"/>
        </w:rPr>
      </w:pPr>
    </w:p>
    <w:p>
      <w:pPr>
        <w:ind w:left="3660"/>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5" w:lineRule="exact"/>
        <w:rPr>
          <w:sz w:val="20"/>
          <w:szCs w:val="20"/>
          <w:color w:val="auto"/>
        </w:rPr>
      </w:pPr>
    </w:p>
    <w:p>
      <w:pPr>
        <w:ind w:left="3440"/>
        <w:spacing w:after="0"/>
        <w:rPr>
          <w:sz w:val="20"/>
          <w:szCs w:val="20"/>
          <w:color w:val="auto"/>
        </w:rPr>
      </w:pPr>
      <w:r>
        <w:rPr>
          <w:rFonts w:ascii="Arial" w:cs="Arial" w:eastAsia="Arial" w:hAnsi="Arial"/>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417830</wp:posOffset>
            </wp:positionV>
            <wp:extent cx="699516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460375</wp:posOffset>
            </wp:positionV>
            <wp:extent cx="699516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34"/>
        </w:trPr>
        <w:tc>
          <w:tcPr>
            <w:tcW w:w="1060" w:type="dxa"/>
            <w:vAlign w:val="bottom"/>
          </w:tcPr>
          <w:p>
            <w:pPr>
              <w:spacing w:after="0"/>
              <w:rPr>
                <w:sz w:val="20"/>
                <w:szCs w:val="20"/>
                <w:color w:val="auto"/>
              </w:rPr>
            </w:pPr>
          </w:p>
        </w:tc>
        <w:tc>
          <w:tcPr>
            <w:tcW w:w="9380" w:type="dxa"/>
            <w:vAlign w:val="bottom"/>
          </w:tcPr>
          <w:p>
            <w:pPr>
              <w:ind w:left="328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20"/>
                <w:szCs w:val="20"/>
                <w:color w:val="auto"/>
              </w:rPr>
            </w:pPr>
          </w:p>
        </w:tc>
      </w:tr>
      <w:tr>
        <w:trPr>
          <w:trHeight w:val="392"/>
        </w:trPr>
        <w:tc>
          <w:tcPr>
            <w:tcW w:w="1060" w:type="dxa"/>
            <w:vAlign w:val="bottom"/>
          </w:tcPr>
          <w:p>
            <w:pPr>
              <w:spacing w:after="0"/>
              <w:rPr>
                <w:sz w:val="24"/>
                <w:szCs w:val="24"/>
                <w:color w:val="auto"/>
              </w:rPr>
            </w:pPr>
          </w:p>
        </w:tc>
        <w:tc>
          <w:tcPr>
            <w:tcW w:w="9380" w:type="dxa"/>
            <w:vAlign w:val="bottom"/>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color w:val="auto"/>
                <w:w w:val="85"/>
              </w:rPr>
              <w:t>Page</w:t>
            </w:r>
          </w:p>
        </w:tc>
      </w:tr>
      <w:tr>
        <w:trPr>
          <w:trHeight w:val="290"/>
        </w:trPr>
        <w:tc>
          <w:tcPr>
            <w:tcW w:w="1060" w:type="dxa"/>
            <w:vAlign w:val="bottom"/>
          </w:tcPr>
          <w:p>
            <w:pPr>
              <w:spacing w:after="0"/>
              <w:rPr>
                <w:sz w:val="20"/>
                <w:szCs w:val="20"/>
                <w:color w:val="auto"/>
              </w:rPr>
            </w:pPr>
            <w:r>
              <w:rPr>
                <w:rFonts w:ascii="Arial" w:cs="Arial" w:eastAsia="Arial" w:hAnsi="Arial"/>
                <w:sz w:val="18"/>
                <w:szCs w:val="18"/>
                <w:color w:val="auto"/>
              </w:rPr>
              <w:t>SECTION 1.</w:t>
            </w:r>
          </w:p>
        </w:tc>
        <w:tc>
          <w:tcPr>
            <w:tcW w:w="9380" w:type="dxa"/>
            <w:vAlign w:val="bottom"/>
          </w:tcPr>
          <w:p>
            <w:pPr>
              <w:ind w:left="120"/>
              <w:spacing w:after="0"/>
              <w:rPr>
                <w:sz w:val="20"/>
                <w:szCs w:val="20"/>
                <w:color w:val="auto"/>
              </w:rPr>
            </w:pPr>
            <w:r>
              <w:rPr>
                <w:rFonts w:ascii="Arial" w:cs="Arial" w:eastAsia="Arial" w:hAnsi="Arial"/>
                <w:sz w:val="18"/>
                <w:szCs w:val="18"/>
                <w:color w:val="auto"/>
              </w:rPr>
              <w:t>DESCRIPTION OF TRANSACTIONS</w:t>
            </w:r>
          </w:p>
        </w:tc>
        <w:tc>
          <w:tcPr>
            <w:tcW w:w="32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w:t>
            </w:r>
          </w:p>
        </w:tc>
        <w:tc>
          <w:tcPr>
            <w:tcW w:w="9380" w:type="dxa"/>
            <w:vAlign w:val="bottom"/>
          </w:tcPr>
          <w:p>
            <w:pPr>
              <w:ind w:left="120"/>
              <w:spacing w:after="0"/>
              <w:rPr>
                <w:sz w:val="20"/>
                <w:szCs w:val="20"/>
                <w:color w:val="auto"/>
              </w:rPr>
            </w:pPr>
            <w:r>
              <w:rPr>
                <w:rFonts w:ascii="Arial" w:cs="Arial" w:eastAsia="Arial" w:hAnsi="Arial"/>
                <w:sz w:val="18"/>
                <w:szCs w:val="18"/>
                <w:color w:val="auto"/>
              </w:rPr>
              <w:t>The Mergers</w:t>
            </w:r>
          </w:p>
        </w:tc>
        <w:tc>
          <w:tcPr>
            <w:tcW w:w="32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1.2</w:t>
            </w:r>
          </w:p>
        </w:tc>
        <w:tc>
          <w:tcPr>
            <w:tcW w:w="9380" w:type="dxa"/>
            <w:vAlign w:val="bottom"/>
          </w:tcPr>
          <w:p>
            <w:pPr>
              <w:ind w:left="120"/>
              <w:spacing w:after="0"/>
              <w:rPr>
                <w:sz w:val="20"/>
                <w:szCs w:val="20"/>
                <w:color w:val="auto"/>
              </w:rPr>
            </w:pPr>
            <w:r>
              <w:rPr>
                <w:rFonts w:ascii="Arial" w:cs="Arial" w:eastAsia="Arial" w:hAnsi="Arial"/>
                <w:sz w:val="18"/>
                <w:szCs w:val="18"/>
                <w:color w:val="auto"/>
              </w:rPr>
              <w:t>Effects of the Mergers</w:t>
            </w:r>
          </w:p>
        </w:tc>
        <w:tc>
          <w:tcPr>
            <w:tcW w:w="32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1.3</w:t>
            </w:r>
          </w:p>
        </w:tc>
        <w:tc>
          <w:tcPr>
            <w:tcW w:w="9380" w:type="dxa"/>
            <w:vAlign w:val="bottom"/>
          </w:tcPr>
          <w:p>
            <w:pPr>
              <w:ind w:left="120"/>
              <w:spacing w:after="0"/>
              <w:rPr>
                <w:sz w:val="20"/>
                <w:szCs w:val="20"/>
                <w:color w:val="auto"/>
              </w:rPr>
            </w:pPr>
            <w:r>
              <w:rPr>
                <w:rFonts w:ascii="Arial" w:cs="Arial" w:eastAsia="Arial" w:hAnsi="Arial"/>
                <w:sz w:val="18"/>
                <w:szCs w:val="18"/>
                <w:color w:val="auto"/>
              </w:rPr>
              <w:t>Closing</w:t>
            </w:r>
          </w:p>
        </w:tc>
        <w:tc>
          <w:tcPr>
            <w:tcW w:w="32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1.4</w:t>
            </w:r>
          </w:p>
        </w:tc>
        <w:tc>
          <w:tcPr>
            <w:tcW w:w="9380" w:type="dxa"/>
            <w:vAlign w:val="bottom"/>
          </w:tcPr>
          <w:p>
            <w:pPr>
              <w:ind w:left="120"/>
              <w:spacing w:after="0"/>
              <w:rPr>
                <w:sz w:val="20"/>
                <w:szCs w:val="20"/>
                <w:color w:val="auto"/>
              </w:rPr>
            </w:pPr>
            <w:r>
              <w:rPr>
                <w:rFonts w:ascii="Arial" w:cs="Arial" w:eastAsia="Arial" w:hAnsi="Arial"/>
                <w:sz w:val="18"/>
                <w:szCs w:val="18"/>
                <w:color w:val="auto"/>
              </w:rPr>
              <w:t>Bermuda Merger Effective Time; Delaware Merger Effective Time</w:t>
            </w:r>
          </w:p>
        </w:tc>
        <w:tc>
          <w:tcPr>
            <w:tcW w:w="32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1.5</w:t>
            </w:r>
          </w:p>
        </w:tc>
        <w:tc>
          <w:tcPr>
            <w:tcW w:w="9380" w:type="dxa"/>
            <w:vAlign w:val="bottom"/>
          </w:tcPr>
          <w:p>
            <w:pPr>
              <w:ind w:left="120"/>
              <w:spacing w:after="0"/>
              <w:rPr>
                <w:sz w:val="20"/>
                <w:szCs w:val="20"/>
                <w:color w:val="auto"/>
              </w:rPr>
            </w:pPr>
            <w:r>
              <w:rPr>
                <w:rFonts w:ascii="Arial" w:cs="Arial" w:eastAsia="Arial" w:hAnsi="Arial"/>
                <w:sz w:val="18"/>
                <w:szCs w:val="18"/>
                <w:color w:val="auto"/>
              </w:rPr>
              <w:t>Constituent Documents</w:t>
            </w:r>
          </w:p>
        </w:tc>
        <w:tc>
          <w:tcPr>
            <w:tcW w:w="32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1.6</w:t>
            </w:r>
          </w:p>
        </w:tc>
        <w:tc>
          <w:tcPr>
            <w:tcW w:w="9380" w:type="dxa"/>
            <w:vAlign w:val="bottom"/>
          </w:tcPr>
          <w:p>
            <w:pPr>
              <w:ind w:left="120"/>
              <w:spacing w:after="0"/>
              <w:rPr>
                <w:sz w:val="20"/>
                <w:szCs w:val="20"/>
                <w:color w:val="auto"/>
              </w:rPr>
            </w:pPr>
            <w:r>
              <w:rPr>
                <w:rFonts w:ascii="Arial" w:cs="Arial" w:eastAsia="Arial" w:hAnsi="Arial"/>
                <w:sz w:val="18"/>
                <w:szCs w:val="18"/>
                <w:color w:val="auto"/>
              </w:rPr>
              <w:t>Directors and Officers</w:t>
            </w:r>
          </w:p>
        </w:tc>
        <w:tc>
          <w:tcPr>
            <w:tcW w:w="3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1.7</w:t>
            </w:r>
          </w:p>
        </w:tc>
        <w:tc>
          <w:tcPr>
            <w:tcW w:w="9380" w:type="dxa"/>
            <w:vAlign w:val="bottom"/>
          </w:tcPr>
          <w:p>
            <w:pPr>
              <w:ind w:left="120"/>
              <w:spacing w:after="0"/>
              <w:rPr>
                <w:sz w:val="20"/>
                <w:szCs w:val="20"/>
                <w:color w:val="auto"/>
              </w:rPr>
            </w:pPr>
            <w:r>
              <w:rPr>
                <w:rFonts w:ascii="Arial" w:cs="Arial" w:eastAsia="Arial" w:hAnsi="Arial"/>
                <w:sz w:val="18"/>
                <w:szCs w:val="18"/>
                <w:color w:val="auto"/>
              </w:rPr>
              <w:t>Conversion of Shares</w:t>
            </w:r>
          </w:p>
        </w:tc>
        <w:tc>
          <w:tcPr>
            <w:tcW w:w="32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1.8</w:t>
            </w:r>
          </w:p>
        </w:tc>
        <w:tc>
          <w:tcPr>
            <w:tcW w:w="9380" w:type="dxa"/>
            <w:vAlign w:val="bottom"/>
          </w:tcPr>
          <w:p>
            <w:pPr>
              <w:ind w:left="120"/>
              <w:spacing w:after="0"/>
              <w:rPr>
                <w:sz w:val="20"/>
                <w:szCs w:val="20"/>
                <w:color w:val="auto"/>
              </w:rPr>
            </w:pPr>
            <w:r>
              <w:rPr>
                <w:rFonts w:ascii="Arial" w:cs="Arial" w:eastAsia="Arial" w:hAnsi="Arial"/>
                <w:sz w:val="18"/>
                <w:szCs w:val="18"/>
                <w:color w:val="auto"/>
              </w:rPr>
              <w:t>Closing of Transfer Books</w:t>
            </w:r>
          </w:p>
        </w:tc>
        <w:tc>
          <w:tcPr>
            <w:tcW w:w="32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1.9</w:t>
            </w:r>
          </w:p>
        </w:tc>
        <w:tc>
          <w:tcPr>
            <w:tcW w:w="9380" w:type="dxa"/>
            <w:vAlign w:val="bottom"/>
          </w:tcPr>
          <w:p>
            <w:pPr>
              <w:ind w:left="120"/>
              <w:spacing w:after="0"/>
              <w:rPr>
                <w:sz w:val="20"/>
                <w:szCs w:val="20"/>
                <w:color w:val="auto"/>
              </w:rPr>
            </w:pPr>
            <w:r>
              <w:rPr>
                <w:rFonts w:ascii="Arial" w:cs="Arial" w:eastAsia="Arial" w:hAnsi="Arial"/>
                <w:sz w:val="18"/>
                <w:szCs w:val="18"/>
                <w:color w:val="auto"/>
              </w:rPr>
              <w:t>Exchange Fund</w:t>
            </w:r>
          </w:p>
        </w:tc>
        <w:tc>
          <w:tcPr>
            <w:tcW w:w="32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1.10</w:t>
            </w:r>
          </w:p>
        </w:tc>
        <w:tc>
          <w:tcPr>
            <w:tcW w:w="9380" w:type="dxa"/>
            <w:vAlign w:val="bottom"/>
          </w:tcPr>
          <w:p>
            <w:pPr>
              <w:ind w:left="120"/>
              <w:spacing w:after="0"/>
              <w:rPr>
                <w:sz w:val="20"/>
                <w:szCs w:val="20"/>
                <w:color w:val="auto"/>
              </w:rPr>
            </w:pPr>
            <w:r>
              <w:rPr>
                <w:rFonts w:ascii="Arial" w:cs="Arial" w:eastAsia="Arial" w:hAnsi="Arial"/>
                <w:sz w:val="18"/>
                <w:szCs w:val="18"/>
                <w:color w:val="auto"/>
              </w:rPr>
              <w:t>Exchange of Marvell Share Certificates</w:t>
            </w:r>
          </w:p>
        </w:tc>
        <w:tc>
          <w:tcPr>
            <w:tcW w:w="32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1.11</w:t>
            </w:r>
          </w:p>
        </w:tc>
        <w:tc>
          <w:tcPr>
            <w:tcW w:w="9380" w:type="dxa"/>
            <w:vAlign w:val="bottom"/>
          </w:tcPr>
          <w:p>
            <w:pPr>
              <w:ind w:left="120"/>
              <w:spacing w:after="0"/>
              <w:rPr>
                <w:sz w:val="20"/>
                <w:szCs w:val="20"/>
                <w:color w:val="auto"/>
              </w:rPr>
            </w:pPr>
            <w:r>
              <w:rPr>
                <w:rFonts w:ascii="Arial" w:cs="Arial" w:eastAsia="Arial" w:hAnsi="Arial"/>
                <w:sz w:val="18"/>
                <w:szCs w:val="18"/>
                <w:color w:val="auto"/>
              </w:rPr>
              <w:t>Exchange of Company Stock Certificates</w:t>
            </w:r>
          </w:p>
        </w:tc>
        <w:tc>
          <w:tcPr>
            <w:tcW w:w="32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1.12</w:t>
            </w:r>
          </w:p>
        </w:tc>
        <w:tc>
          <w:tcPr>
            <w:tcW w:w="9380" w:type="dxa"/>
            <w:vAlign w:val="bottom"/>
          </w:tcPr>
          <w:p>
            <w:pPr>
              <w:ind w:left="120"/>
              <w:spacing w:after="0"/>
              <w:rPr>
                <w:sz w:val="20"/>
                <w:szCs w:val="20"/>
                <w:color w:val="auto"/>
              </w:rPr>
            </w:pPr>
            <w:r>
              <w:rPr>
                <w:rFonts w:ascii="Arial" w:cs="Arial" w:eastAsia="Arial" w:hAnsi="Arial"/>
                <w:sz w:val="18"/>
                <w:szCs w:val="18"/>
                <w:color w:val="auto"/>
              </w:rPr>
              <w:t>Dissenting Company Stockholders</w:t>
            </w:r>
          </w:p>
        </w:tc>
        <w:tc>
          <w:tcPr>
            <w:tcW w:w="32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1.13</w:t>
            </w:r>
          </w:p>
        </w:tc>
        <w:tc>
          <w:tcPr>
            <w:tcW w:w="9380" w:type="dxa"/>
            <w:vAlign w:val="bottom"/>
          </w:tcPr>
          <w:p>
            <w:pPr>
              <w:ind w:left="120"/>
              <w:spacing w:after="0"/>
              <w:rPr>
                <w:sz w:val="20"/>
                <w:szCs w:val="20"/>
                <w:color w:val="auto"/>
              </w:rPr>
            </w:pPr>
            <w:r>
              <w:rPr>
                <w:rFonts w:ascii="Arial" w:cs="Arial" w:eastAsia="Arial" w:hAnsi="Arial"/>
                <w:sz w:val="18"/>
                <w:szCs w:val="18"/>
                <w:color w:val="auto"/>
              </w:rPr>
              <w:t>Dissenting Marvell Shareholders</w:t>
            </w:r>
          </w:p>
        </w:tc>
        <w:tc>
          <w:tcPr>
            <w:tcW w:w="32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1.14</w:t>
            </w:r>
          </w:p>
        </w:tc>
        <w:tc>
          <w:tcPr>
            <w:tcW w:w="9380" w:type="dxa"/>
            <w:vAlign w:val="bottom"/>
          </w:tcPr>
          <w:p>
            <w:pPr>
              <w:ind w:left="120"/>
              <w:spacing w:after="0"/>
              <w:rPr>
                <w:sz w:val="20"/>
                <w:szCs w:val="20"/>
                <w:color w:val="auto"/>
              </w:rPr>
            </w:pPr>
            <w:r>
              <w:rPr>
                <w:rFonts w:ascii="Arial" w:cs="Arial" w:eastAsia="Arial" w:hAnsi="Arial"/>
                <w:sz w:val="18"/>
                <w:szCs w:val="18"/>
                <w:color w:val="auto"/>
              </w:rPr>
              <w:t>Further Action</w:t>
            </w:r>
          </w:p>
        </w:tc>
        <w:tc>
          <w:tcPr>
            <w:tcW w:w="32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2.</w:t>
            </w:r>
          </w:p>
        </w:tc>
        <w:tc>
          <w:tcPr>
            <w:tcW w:w="9380" w:type="dxa"/>
            <w:vAlign w:val="bottom"/>
          </w:tcPr>
          <w:p>
            <w:pPr>
              <w:ind w:left="120"/>
              <w:spacing w:after="0"/>
              <w:rPr>
                <w:sz w:val="20"/>
                <w:szCs w:val="20"/>
                <w:color w:val="auto"/>
              </w:rPr>
            </w:pPr>
            <w:r>
              <w:rPr>
                <w:rFonts w:ascii="Arial" w:cs="Arial" w:eastAsia="Arial" w:hAnsi="Arial"/>
                <w:sz w:val="18"/>
                <w:szCs w:val="18"/>
                <w:color w:val="auto"/>
              </w:rPr>
              <w:t>REPRESENTATIONS AND WARRANTIES OF THE COMPANY</w:t>
            </w:r>
          </w:p>
        </w:tc>
        <w:tc>
          <w:tcPr>
            <w:tcW w:w="32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w:t>
            </w:r>
          </w:p>
        </w:tc>
        <w:tc>
          <w:tcPr>
            <w:tcW w:w="9380" w:type="dxa"/>
            <w:vAlign w:val="bottom"/>
          </w:tcPr>
          <w:p>
            <w:pPr>
              <w:ind w:left="120"/>
              <w:spacing w:after="0"/>
              <w:rPr>
                <w:sz w:val="20"/>
                <w:szCs w:val="20"/>
                <w:color w:val="auto"/>
              </w:rPr>
            </w:pPr>
            <w:r>
              <w:rPr>
                <w:rFonts w:ascii="Arial" w:cs="Arial" w:eastAsia="Arial" w:hAnsi="Arial"/>
                <w:sz w:val="18"/>
                <w:szCs w:val="18"/>
                <w:color w:val="auto"/>
              </w:rPr>
              <w:t>Subsidiaries; Due Organization; Etc.</w:t>
            </w:r>
          </w:p>
        </w:tc>
        <w:tc>
          <w:tcPr>
            <w:tcW w:w="32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w:t>
            </w:r>
          </w:p>
        </w:tc>
        <w:tc>
          <w:tcPr>
            <w:tcW w:w="9380" w:type="dxa"/>
            <w:vAlign w:val="bottom"/>
          </w:tcPr>
          <w:p>
            <w:pPr>
              <w:ind w:left="120"/>
              <w:spacing w:after="0"/>
              <w:rPr>
                <w:sz w:val="20"/>
                <w:szCs w:val="20"/>
                <w:color w:val="auto"/>
              </w:rPr>
            </w:pPr>
            <w:r>
              <w:rPr>
                <w:rFonts w:ascii="Arial" w:cs="Arial" w:eastAsia="Arial" w:hAnsi="Arial"/>
                <w:sz w:val="18"/>
                <w:szCs w:val="18"/>
                <w:color w:val="auto"/>
              </w:rPr>
              <w:t>Certificate of Incorporation and Bylaws</w:t>
            </w:r>
          </w:p>
        </w:tc>
        <w:tc>
          <w:tcPr>
            <w:tcW w:w="32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2.3</w:t>
            </w:r>
          </w:p>
        </w:tc>
        <w:tc>
          <w:tcPr>
            <w:tcW w:w="9380" w:type="dxa"/>
            <w:vAlign w:val="bottom"/>
          </w:tcPr>
          <w:p>
            <w:pPr>
              <w:ind w:left="120"/>
              <w:spacing w:after="0"/>
              <w:rPr>
                <w:sz w:val="20"/>
                <w:szCs w:val="20"/>
                <w:color w:val="auto"/>
              </w:rPr>
            </w:pPr>
            <w:r>
              <w:rPr>
                <w:rFonts w:ascii="Arial" w:cs="Arial" w:eastAsia="Arial" w:hAnsi="Arial"/>
                <w:sz w:val="18"/>
                <w:szCs w:val="18"/>
                <w:color w:val="auto"/>
              </w:rPr>
              <w:t>Capitalization, Etc.</w:t>
            </w:r>
          </w:p>
        </w:tc>
        <w:tc>
          <w:tcPr>
            <w:tcW w:w="32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2.4</w:t>
            </w:r>
          </w:p>
        </w:tc>
        <w:tc>
          <w:tcPr>
            <w:tcW w:w="9380" w:type="dxa"/>
            <w:vAlign w:val="bottom"/>
          </w:tcPr>
          <w:p>
            <w:pPr>
              <w:ind w:left="120"/>
              <w:spacing w:after="0"/>
              <w:rPr>
                <w:sz w:val="20"/>
                <w:szCs w:val="20"/>
                <w:color w:val="auto"/>
              </w:rPr>
            </w:pPr>
            <w:r>
              <w:rPr>
                <w:rFonts w:ascii="Arial" w:cs="Arial" w:eastAsia="Arial" w:hAnsi="Arial"/>
                <w:sz w:val="18"/>
                <w:szCs w:val="18"/>
                <w:color w:val="auto"/>
              </w:rPr>
              <w:t>SEC Filings; Financial Statements</w:t>
            </w:r>
          </w:p>
        </w:tc>
        <w:tc>
          <w:tcPr>
            <w:tcW w:w="32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2.5</w:t>
            </w:r>
          </w:p>
        </w:tc>
        <w:tc>
          <w:tcPr>
            <w:tcW w:w="9380" w:type="dxa"/>
            <w:vAlign w:val="bottom"/>
          </w:tcPr>
          <w:p>
            <w:pPr>
              <w:ind w:left="120"/>
              <w:spacing w:after="0"/>
              <w:rPr>
                <w:sz w:val="20"/>
                <w:szCs w:val="20"/>
                <w:color w:val="auto"/>
              </w:rPr>
            </w:pPr>
            <w:r>
              <w:rPr>
                <w:rFonts w:ascii="Arial" w:cs="Arial" w:eastAsia="Arial" w:hAnsi="Arial"/>
                <w:sz w:val="18"/>
                <w:szCs w:val="18"/>
                <w:color w:val="auto"/>
              </w:rPr>
              <w:t>Absence of Changes</w:t>
            </w:r>
          </w:p>
        </w:tc>
        <w:tc>
          <w:tcPr>
            <w:tcW w:w="32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2.6</w:t>
            </w:r>
          </w:p>
        </w:tc>
        <w:tc>
          <w:tcPr>
            <w:tcW w:w="9380" w:type="dxa"/>
            <w:vAlign w:val="bottom"/>
          </w:tcPr>
          <w:p>
            <w:pPr>
              <w:ind w:left="120"/>
              <w:spacing w:after="0"/>
              <w:rPr>
                <w:sz w:val="20"/>
                <w:szCs w:val="20"/>
                <w:color w:val="auto"/>
              </w:rPr>
            </w:pPr>
            <w:r>
              <w:rPr>
                <w:rFonts w:ascii="Arial" w:cs="Arial" w:eastAsia="Arial" w:hAnsi="Arial"/>
                <w:sz w:val="18"/>
                <w:szCs w:val="18"/>
                <w:color w:val="auto"/>
              </w:rPr>
              <w:t>Title to Assets</w:t>
            </w:r>
          </w:p>
        </w:tc>
        <w:tc>
          <w:tcPr>
            <w:tcW w:w="32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2.7</w:t>
            </w:r>
          </w:p>
        </w:tc>
        <w:tc>
          <w:tcPr>
            <w:tcW w:w="9380" w:type="dxa"/>
            <w:vAlign w:val="bottom"/>
          </w:tcPr>
          <w:p>
            <w:pPr>
              <w:ind w:left="120"/>
              <w:spacing w:after="0"/>
              <w:rPr>
                <w:sz w:val="20"/>
                <w:szCs w:val="20"/>
                <w:color w:val="auto"/>
              </w:rPr>
            </w:pPr>
            <w:r>
              <w:rPr>
                <w:rFonts w:ascii="Arial" w:cs="Arial" w:eastAsia="Arial" w:hAnsi="Arial"/>
                <w:sz w:val="18"/>
                <w:szCs w:val="18"/>
                <w:color w:val="auto"/>
              </w:rPr>
              <w:t>Real Property; Equipment; Leasehold</w:t>
            </w:r>
          </w:p>
        </w:tc>
        <w:tc>
          <w:tcPr>
            <w:tcW w:w="32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2.8</w:t>
            </w:r>
          </w:p>
        </w:tc>
        <w:tc>
          <w:tcPr>
            <w:tcW w:w="9380" w:type="dxa"/>
            <w:vAlign w:val="bottom"/>
          </w:tcPr>
          <w:p>
            <w:pPr>
              <w:ind w:left="120"/>
              <w:spacing w:after="0"/>
              <w:rPr>
                <w:sz w:val="20"/>
                <w:szCs w:val="20"/>
                <w:color w:val="auto"/>
              </w:rPr>
            </w:pPr>
            <w:r>
              <w:rPr>
                <w:rFonts w:ascii="Arial" w:cs="Arial" w:eastAsia="Arial" w:hAnsi="Arial"/>
                <w:sz w:val="18"/>
                <w:szCs w:val="18"/>
                <w:color w:val="auto"/>
              </w:rPr>
              <w:t>Intellectual Property</w:t>
            </w:r>
          </w:p>
        </w:tc>
        <w:tc>
          <w:tcPr>
            <w:tcW w:w="32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2.9</w:t>
            </w:r>
          </w:p>
        </w:tc>
        <w:tc>
          <w:tcPr>
            <w:tcW w:w="9380" w:type="dxa"/>
            <w:vAlign w:val="bottom"/>
          </w:tcPr>
          <w:p>
            <w:pPr>
              <w:ind w:left="120"/>
              <w:spacing w:after="0"/>
              <w:rPr>
                <w:sz w:val="20"/>
                <w:szCs w:val="20"/>
                <w:color w:val="auto"/>
              </w:rPr>
            </w:pPr>
            <w:r>
              <w:rPr>
                <w:rFonts w:ascii="Arial" w:cs="Arial" w:eastAsia="Arial" w:hAnsi="Arial"/>
                <w:sz w:val="18"/>
                <w:szCs w:val="18"/>
                <w:color w:val="auto"/>
              </w:rPr>
              <w:t>Material Contracts</w:t>
            </w:r>
          </w:p>
        </w:tc>
        <w:tc>
          <w:tcPr>
            <w:tcW w:w="32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2.10</w:t>
            </w:r>
          </w:p>
        </w:tc>
        <w:tc>
          <w:tcPr>
            <w:tcW w:w="9380" w:type="dxa"/>
            <w:vAlign w:val="bottom"/>
          </w:tcPr>
          <w:p>
            <w:pPr>
              <w:ind w:left="120"/>
              <w:spacing w:after="0"/>
              <w:rPr>
                <w:sz w:val="20"/>
                <w:szCs w:val="20"/>
                <w:color w:val="auto"/>
              </w:rPr>
            </w:pPr>
            <w:r>
              <w:rPr>
                <w:rFonts w:ascii="Arial" w:cs="Arial" w:eastAsia="Arial" w:hAnsi="Arial"/>
                <w:sz w:val="18"/>
                <w:szCs w:val="18"/>
                <w:color w:val="auto"/>
              </w:rPr>
              <w:t>Inphi Products</w:t>
            </w:r>
          </w:p>
        </w:tc>
        <w:tc>
          <w:tcPr>
            <w:tcW w:w="32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2.11</w:t>
            </w:r>
          </w:p>
        </w:tc>
        <w:tc>
          <w:tcPr>
            <w:tcW w:w="9380" w:type="dxa"/>
            <w:vAlign w:val="bottom"/>
          </w:tcPr>
          <w:p>
            <w:pPr>
              <w:ind w:left="120"/>
              <w:spacing w:after="0"/>
              <w:rPr>
                <w:sz w:val="20"/>
                <w:szCs w:val="20"/>
                <w:color w:val="auto"/>
              </w:rPr>
            </w:pPr>
            <w:r>
              <w:rPr>
                <w:rFonts w:ascii="Arial" w:cs="Arial" w:eastAsia="Arial" w:hAnsi="Arial"/>
                <w:sz w:val="18"/>
                <w:szCs w:val="18"/>
                <w:color w:val="auto"/>
              </w:rPr>
              <w:t>Major Customers and Suppliers</w:t>
            </w:r>
          </w:p>
        </w:tc>
        <w:tc>
          <w:tcPr>
            <w:tcW w:w="32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2.12</w:t>
            </w:r>
          </w:p>
        </w:tc>
        <w:tc>
          <w:tcPr>
            <w:tcW w:w="9380" w:type="dxa"/>
            <w:vAlign w:val="bottom"/>
          </w:tcPr>
          <w:p>
            <w:pPr>
              <w:ind w:left="120"/>
              <w:spacing w:after="0"/>
              <w:rPr>
                <w:sz w:val="20"/>
                <w:szCs w:val="20"/>
                <w:color w:val="auto"/>
              </w:rPr>
            </w:pPr>
            <w:r>
              <w:rPr>
                <w:rFonts w:ascii="Arial" w:cs="Arial" w:eastAsia="Arial" w:hAnsi="Arial"/>
                <w:sz w:val="18"/>
                <w:szCs w:val="18"/>
                <w:color w:val="auto"/>
              </w:rPr>
              <w:t>Liabilities</w:t>
            </w:r>
          </w:p>
        </w:tc>
        <w:tc>
          <w:tcPr>
            <w:tcW w:w="32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2.13</w:t>
            </w:r>
          </w:p>
        </w:tc>
        <w:tc>
          <w:tcPr>
            <w:tcW w:w="9380" w:type="dxa"/>
            <w:vAlign w:val="bottom"/>
          </w:tcPr>
          <w:p>
            <w:pPr>
              <w:ind w:left="120"/>
              <w:spacing w:after="0"/>
              <w:rPr>
                <w:sz w:val="20"/>
                <w:szCs w:val="20"/>
                <w:color w:val="auto"/>
              </w:rPr>
            </w:pPr>
            <w:r>
              <w:rPr>
                <w:rFonts w:ascii="Arial" w:cs="Arial" w:eastAsia="Arial" w:hAnsi="Arial"/>
                <w:sz w:val="18"/>
                <w:szCs w:val="18"/>
                <w:color w:val="auto"/>
              </w:rPr>
              <w:t>Compliance with Legal Requirements</w:t>
            </w:r>
          </w:p>
        </w:tc>
        <w:tc>
          <w:tcPr>
            <w:tcW w:w="32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2.14</w:t>
            </w:r>
          </w:p>
        </w:tc>
        <w:tc>
          <w:tcPr>
            <w:tcW w:w="9380" w:type="dxa"/>
            <w:vAlign w:val="bottom"/>
          </w:tcPr>
          <w:p>
            <w:pPr>
              <w:ind w:left="120"/>
              <w:spacing w:after="0"/>
              <w:rPr>
                <w:sz w:val="20"/>
                <w:szCs w:val="20"/>
                <w:color w:val="auto"/>
              </w:rPr>
            </w:pPr>
            <w:r>
              <w:rPr>
                <w:rFonts w:ascii="Arial" w:cs="Arial" w:eastAsia="Arial" w:hAnsi="Arial"/>
                <w:sz w:val="18"/>
                <w:szCs w:val="18"/>
                <w:color w:val="auto"/>
              </w:rPr>
              <w:t>Governmental Authorizations</w:t>
            </w:r>
          </w:p>
        </w:tc>
        <w:tc>
          <w:tcPr>
            <w:tcW w:w="32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2.15</w:t>
            </w:r>
          </w:p>
        </w:tc>
        <w:tc>
          <w:tcPr>
            <w:tcW w:w="9380" w:type="dxa"/>
            <w:vAlign w:val="bottom"/>
          </w:tcPr>
          <w:p>
            <w:pPr>
              <w:ind w:left="120"/>
              <w:spacing w:after="0"/>
              <w:rPr>
                <w:sz w:val="20"/>
                <w:szCs w:val="20"/>
                <w:color w:val="auto"/>
              </w:rPr>
            </w:pPr>
            <w:r>
              <w:rPr>
                <w:rFonts w:ascii="Arial" w:cs="Arial" w:eastAsia="Arial" w:hAnsi="Arial"/>
                <w:sz w:val="18"/>
                <w:szCs w:val="18"/>
                <w:color w:val="auto"/>
              </w:rPr>
              <w:t>Tax Matters</w:t>
            </w:r>
          </w:p>
        </w:tc>
        <w:tc>
          <w:tcPr>
            <w:tcW w:w="32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2.16</w:t>
            </w:r>
          </w:p>
        </w:tc>
        <w:tc>
          <w:tcPr>
            <w:tcW w:w="9380" w:type="dxa"/>
            <w:vAlign w:val="bottom"/>
          </w:tcPr>
          <w:p>
            <w:pPr>
              <w:ind w:left="120"/>
              <w:spacing w:after="0"/>
              <w:rPr>
                <w:sz w:val="20"/>
                <w:szCs w:val="20"/>
                <w:color w:val="auto"/>
              </w:rPr>
            </w:pPr>
            <w:r>
              <w:rPr>
                <w:rFonts w:ascii="Arial" w:cs="Arial" w:eastAsia="Arial" w:hAnsi="Arial"/>
                <w:sz w:val="18"/>
                <w:szCs w:val="18"/>
                <w:color w:val="auto"/>
              </w:rPr>
              <w:t>Employee and Labor Matters; Benefit Plans</w:t>
            </w:r>
          </w:p>
        </w:tc>
        <w:tc>
          <w:tcPr>
            <w:tcW w:w="32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2.17</w:t>
            </w:r>
          </w:p>
        </w:tc>
        <w:tc>
          <w:tcPr>
            <w:tcW w:w="9380" w:type="dxa"/>
            <w:vAlign w:val="bottom"/>
          </w:tcPr>
          <w:p>
            <w:pPr>
              <w:ind w:left="120"/>
              <w:spacing w:after="0"/>
              <w:rPr>
                <w:sz w:val="20"/>
                <w:szCs w:val="20"/>
                <w:color w:val="auto"/>
              </w:rPr>
            </w:pPr>
            <w:r>
              <w:rPr>
                <w:rFonts w:ascii="Arial" w:cs="Arial" w:eastAsia="Arial" w:hAnsi="Arial"/>
                <w:sz w:val="18"/>
                <w:szCs w:val="18"/>
                <w:color w:val="auto"/>
              </w:rPr>
              <w:t>Environmental Matters</w:t>
            </w:r>
          </w:p>
        </w:tc>
        <w:tc>
          <w:tcPr>
            <w:tcW w:w="3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2.18</w:t>
            </w:r>
          </w:p>
        </w:tc>
        <w:tc>
          <w:tcPr>
            <w:tcW w:w="9380" w:type="dxa"/>
            <w:vAlign w:val="bottom"/>
          </w:tcPr>
          <w:p>
            <w:pPr>
              <w:ind w:left="120"/>
              <w:spacing w:after="0"/>
              <w:rPr>
                <w:sz w:val="20"/>
                <w:szCs w:val="20"/>
                <w:color w:val="auto"/>
              </w:rPr>
            </w:pPr>
            <w:r>
              <w:rPr>
                <w:rFonts w:ascii="Arial" w:cs="Arial" w:eastAsia="Arial" w:hAnsi="Arial"/>
                <w:sz w:val="18"/>
                <w:szCs w:val="18"/>
                <w:color w:val="auto"/>
              </w:rPr>
              <w:t>Insurance</w:t>
            </w:r>
          </w:p>
        </w:tc>
        <w:tc>
          <w:tcPr>
            <w:tcW w:w="3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2.19</w:t>
            </w:r>
          </w:p>
        </w:tc>
        <w:tc>
          <w:tcPr>
            <w:tcW w:w="9380" w:type="dxa"/>
            <w:vAlign w:val="bottom"/>
          </w:tcPr>
          <w:p>
            <w:pPr>
              <w:ind w:left="120"/>
              <w:spacing w:after="0"/>
              <w:rPr>
                <w:sz w:val="20"/>
                <w:szCs w:val="20"/>
                <w:color w:val="auto"/>
              </w:rPr>
            </w:pPr>
            <w:r>
              <w:rPr>
                <w:rFonts w:ascii="Arial" w:cs="Arial" w:eastAsia="Arial" w:hAnsi="Arial"/>
                <w:sz w:val="18"/>
                <w:szCs w:val="18"/>
                <w:color w:val="auto"/>
              </w:rPr>
              <w:t>Legal Proceedings; Orders</w:t>
            </w: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2.20</w:t>
            </w:r>
          </w:p>
        </w:tc>
        <w:tc>
          <w:tcPr>
            <w:tcW w:w="9380" w:type="dxa"/>
            <w:vAlign w:val="bottom"/>
          </w:tcPr>
          <w:p>
            <w:pPr>
              <w:ind w:left="120"/>
              <w:spacing w:after="0"/>
              <w:rPr>
                <w:sz w:val="20"/>
                <w:szCs w:val="20"/>
                <w:color w:val="auto"/>
              </w:rPr>
            </w:pPr>
            <w:r>
              <w:rPr>
                <w:rFonts w:ascii="Arial" w:cs="Arial" w:eastAsia="Arial" w:hAnsi="Arial"/>
                <w:sz w:val="18"/>
                <w:szCs w:val="18"/>
                <w:color w:val="auto"/>
              </w:rPr>
              <w:t>Authority; Binding Nature of Agreement</w:t>
            </w: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2.21</w:t>
            </w:r>
          </w:p>
        </w:tc>
        <w:tc>
          <w:tcPr>
            <w:tcW w:w="9380" w:type="dxa"/>
            <w:vAlign w:val="bottom"/>
          </w:tcPr>
          <w:p>
            <w:pPr>
              <w:ind w:left="120"/>
              <w:spacing w:after="0"/>
              <w:rPr>
                <w:sz w:val="20"/>
                <w:szCs w:val="20"/>
                <w:color w:val="auto"/>
              </w:rPr>
            </w:pPr>
            <w:r>
              <w:rPr>
                <w:rFonts w:ascii="Arial" w:cs="Arial" w:eastAsia="Arial" w:hAnsi="Arial"/>
                <w:sz w:val="18"/>
                <w:szCs w:val="18"/>
                <w:color w:val="auto"/>
              </w:rPr>
              <w:t>Takeover Statutes; No Rights Plan</w:t>
            </w: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2.22</w:t>
            </w:r>
          </w:p>
        </w:tc>
        <w:tc>
          <w:tcPr>
            <w:tcW w:w="9380" w:type="dxa"/>
            <w:vAlign w:val="bottom"/>
          </w:tcPr>
          <w:p>
            <w:pPr>
              <w:ind w:left="120"/>
              <w:spacing w:after="0"/>
              <w:rPr>
                <w:sz w:val="20"/>
                <w:szCs w:val="20"/>
                <w:color w:val="auto"/>
              </w:rPr>
            </w:pPr>
            <w:r>
              <w:rPr>
                <w:rFonts w:ascii="Arial" w:cs="Arial" w:eastAsia="Arial" w:hAnsi="Arial"/>
                <w:sz w:val="18"/>
                <w:szCs w:val="18"/>
                <w:color w:val="auto"/>
              </w:rPr>
              <w:t>No Existing Discussions</w:t>
            </w: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2.23</w:t>
            </w:r>
          </w:p>
        </w:tc>
        <w:tc>
          <w:tcPr>
            <w:tcW w:w="9380" w:type="dxa"/>
            <w:vAlign w:val="bottom"/>
          </w:tcPr>
          <w:p>
            <w:pPr>
              <w:ind w:left="120"/>
              <w:spacing w:after="0"/>
              <w:rPr>
                <w:sz w:val="20"/>
                <w:szCs w:val="20"/>
                <w:color w:val="auto"/>
              </w:rPr>
            </w:pPr>
            <w:r>
              <w:rPr>
                <w:rFonts w:ascii="Arial" w:cs="Arial" w:eastAsia="Arial" w:hAnsi="Arial"/>
                <w:sz w:val="18"/>
                <w:szCs w:val="18"/>
                <w:color w:val="auto"/>
              </w:rPr>
              <w:t>Vote Required</w:t>
            </w: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2.24</w:t>
            </w:r>
          </w:p>
        </w:tc>
        <w:tc>
          <w:tcPr>
            <w:tcW w:w="9380" w:type="dxa"/>
            <w:vAlign w:val="bottom"/>
          </w:tcPr>
          <w:p>
            <w:pPr>
              <w:ind w:left="120"/>
              <w:spacing w:after="0"/>
              <w:rPr>
                <w:sz w:val="20"/>
                <w:szCs w:val="20"/>
                <w:color w:val="auto"/>
              </w:rPr>
            </w:pPr>
            <w:r>
              <w:rPr>
                <w:rFonts w:ascii="Arial" w:cs="Arial" w:eastAsia="Arial" w:hAnsi="Arial"/>
                <w:sz w:val="18"/>
                <w:szCs w:val="18"/>
                <w:color w:val="auto"/>
              </w:rPr>
              <w:t>Non-Contravention; Consents</w:t>
            </w:r>
          </w:p>
        </w:tc>
        <w:tc>
          <w:tcPr>
            <w:tcW w:w="3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2.25</w:t>
            </w:r>
          </w:p>
        </w:tc>
        <w:tc>
          <w:tcPr>
            <w:tcW w:w="9380" w:type="dxa"/>
            <w:vAlign w:val="bottom"/>
          </w:tcPr>
          <w:p>
            <w:pPr>
              <w:ind w:left="120"/>
              <w:spacing w:after="0"/>
              <w:rPr>
                <w:sz w:val="20"/>
                <w:szCs w:val="20"/>
                <w:color w:val="auto"/>
              </w:rPr>
            </w:pPr>
            <w:r>
              <w:rPr>
                <w:rFonts w:ascii="Arial" w:cs="Arial" w:eastAsia="Arial" w:hAnsi="Arial"/>
                <w:sz w:val="18"/>
                <w:szCs w:val="18"/>
                <w:color w:val="auto"/>
              </w:rPr>
              <w:t>Fairness Opinion</w:t>
            </w:r>
          </w:p>
        </w:tc>
        <w:tc>
          <w:tcPr>
            <w:tcW w:w="3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2.26</w:t>
            </w:r>
          </w:p>
        </w:tc>
        <w:tc>
          <w:tcPr>
            <w:tcW w:w="9380" w:type="dxa"/>
            <w:vAlign w:val="bottom"/>
          </w:tcPr>
          <w:p>
            <w:pPr>
              <w:ind w:left="120"/>
              <w:spacing w:after="0"/>
              <w:rPr>
                <w:sz w:val="20"/>
                <w:szCs w:val="20"/>
                <w:color w:val="auto"/>
              </w:rPr>
            </w:pPr>
            <w:r>
              <w:rPr>
                <w:rFonts w:ascii="Arial" w:cs="Arial" w:eastAsia="Arial" w:hAnsi="Arial"/>
                <w:sz w:val="18"/>
                <w:szCs w:val="18"/>
                <w:color w:val="auto"/>
              </w:rPr>
              <w:t>Advisors’ Fees</w:t>
            </w:r>
          </w:p>
        </w:tc>
        <w:tc>
          <w:tcPr>
            <w:tcW w:w="3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2.27</w:t>
            </w:r>
          </w:p>
        </w:tc>
        <w:tc>
          <w:tcPr>
            <w:tcW w:w="9380" w:type="dxa"/>
            <w:vAlign w:val="bottom"/>
          </w:tcPr>
          <w:p>
            <w:pPr>
              <w:ind w:left="120"/>
              <w:spacing w:after="0"/>
              <w:rPr>
                <w:sz w:val="20"/>
                <w:szCs w:val="20"/>
                <w:color w:val="auto"/>
              </w:rPr>
            </w:pPr>
            <w:r>
              <w:rPr>
                <w:rFonts w:ascii="Arial" w:cs="Arial" w:eastAsia="Arial" w:hAnsi="Arial"/>
                <w:sz w:val="18"/>
                <w:szCs w:val="18"/>
                <w:color w:val="auto"/>
              </w:rPr>
              <w:t>Disclosure</w:t>
            </w:r>
          </w:p>
        </w:tc>
        <w:tc>
          <w:tcPr>
            <w:tcW w:w="3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3.</w:t>
            </w:r>
          </w:p>
        </w:tc>
        <w:tc>
          <w:tcPr>
            <w:tcW w:w="9380" w:type="dxa"/>
            <w:vAlign w:val="bottom"/>
          </w:tcPr>
          <w:p>
            <w:pPr>
              <w:ind w:left="120"/>
              <w:spacing w:after="0"/>
              <w:rPr>
                <w:sz w:val="20"/>
                <w:szCs w:val="20"/>
                <w:color w:val="auto"/>
              </w:rPr>
            </w:pPr>
            <w:r>
              <w:rPr>
                <w:rFonts w:ascii="Arial" w:cs="Arial" w:eastAsia="Arial" w:hAnsi="Arial"/>
                <w:sz w:val="18"/>
                <w:szCs w:val="18"/>
                <w:color w:val="auto"/>
              </w:rPr>
              <w:t>REPRESENTATIONS AND WARRANTIES OF MARVELL</w:t>
            </w:r>
          </w:p>
        </w:tc>
        <w:tc>
          <w:tcPr>
            <w:tcW w:w="3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3.1</w:t>
            </w:r>
          </w:p>
        </w:tc>
        <w:tc>
          <w:tcPr>
            <w:tcW w:w="9380" w:type="dxa"/>
            <w:vAlign w:val="bottom"/>
          </w:tcPr>
          <w:p>
            <w:pPr>
              <w:ind w:left="120"/>
              <w:spacing w:after="0"/>
              <w:rPr>
                <w:sz w:val="20"/>
                <w:szCs w:val="20"/>
                <w:color w:val="auto"/>
              </w:rPr>
            </w:pPr>
            <w:r>
              <w:rPr>
                <w:rFonts w:ascii="Arial" w:cs="Arial" w:eastAsia="Arial" w:hAnsi="Arial"/>
                <w:sz w:val="18"/>
                <w:szCs w:val="18"/>
                <w:color w:val="auto"/>
              </w:rPr>
              <w:t>Due Organization</w:t>
            </w:r>
          </w:p>
        </w:tc>
        <w:tc>
          <w:tcPr>
            <w:tcW w:w="3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3.2</w:t>
            </w:r>
          </w:p>
        </w:tc>
        <w:tc>
          <w:tcPr>
            <w:tcW w:w="9380" w:type="dxa"/>
            <w:vAlign w:val="bottom"/>
          </w:tcPr>
          <w:p>
            <w:pPr>
              <w:ind w:left="120"/>
              <w:spacing w:after="0"/>
              <w:rPr>
                <w:sz w:val="20"/>
                <w:szCs w:val="20"/>
                <w:color w:val="auto"/>
              </w:rPr>
            </w:pPr>
            <w:r>
              <w:rPr>
                <w:rFonts w:ascii="Arial" w:cs="Arial" w:eastAsia="Arial" w:hAnsi="Arial"/>
                <w:sz w:val="18"/>
                <w:szCs w:val="18"/>
                <w:color w:val="auto"/>
              </w:rPr>
              <w:t>Organizational Documents</w:t>
            </w:r>
          </w:p>
        </w:tc>
        <w:tc>
          <w:tcPr>
            <w:tcW w:w="3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3.3</w:t>
            </w:r>
          </w:p>
        </w:tc>
        <w:tc>
          <w:tcPr>
            <w:tcW w:w="9380" w:type="dxa"/>
            <w:vAlign w:val="bottom"/>
          </w:tcPr>
          <w:p>
            <w:pPr>
              <w:ind w:left="120"/>
              <w:spacing w:after="0"/>
              <w:rPr>
                <w:sz w:val="20"/>
                <w:szCs w:val="20"/>
                <w:color w:val="auto"/>
              </w:rPr>
            </w:pPr>
            <w:r>
              <w:rPr>
                <w:rFonts w:ascii="Arial" w:cs="Arial" w:eastAsia="Arial" w:hAnsi="Arial"/>
                <w:sz w:val="18"/>
                <w:szCs w:val="18"/>
                <w:color w:val="auto"/>
              </w:rPr>
              <w:t>Capitalization, Etc.</w:t>
            </w:r>
          </w:p>
        </w:tc>
        <w:tc>
          <w:tcPr>
            <w:tcW w:w="3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30"/>
        </w:trPr>
        <w:tc>
          <w:tcPr>
            <w:tcW w:w="1060" w:type="dxa"/>
            <w:vAlign w:val="bottom"/>
          </w:tcPr>
          <w:p>
            <w:pPr>
              <w:ind w:left="620"/>
              <w:spacing w:after="0"/>
              <w:rPr>
                <w:sz w:val="20"/>
                <w:szCs w:val="20"/>
                <w:color w:val="auto"/>
              </w:rPr>
            </w:pPr>
            <w:r>
              <w:rPr>
                <w:rFonts w:ascii="Arial" w:cs="Arial" w:eastAsia="Arial" w:hAnsi="Arial"/>
                <w:sz w:val="18"/>
                <w:szCs w:val="18"/>
                <w:color w:val="auto"/>
              </w:rPr>
              <w:t>3.4</w:t>
            </w:r>
          </w:p>
        </w:tc>
        <w:tc>
          <w:tcPr>
            <w:tcW w:w="9380" w:type="dxa"/>
            <w:vAlign w:val="bottom"/>
          </w:tcPr>
          <w:p>
            <w:pPr>
              <w:ind w:left="120"/>
              <w:spacing w:after="0"/>
              <w:rPr>
                <w:sz w:val="20"/>
                <w:szCs w:val="20"/>
                <w:color w:val="auto"/>
              </w:rPr>
            </w:pPr>
            <w:r>
              <w:rPr>
                <w:rFonts w:ascii="Arial" w:cs="Arial" w:eastAsia="Arial" w:hAnsi="Arial"/>
                <w:sz w:val="18"/>
                <w:szCs w:val="18"/>
                <w:color w:val="auto"/>
              </w:rPr>
              <w:t>SEC Filings; Financial Statements</w:t>
            </w:r>
          </w:p>
        </w:tc>
        <w:tc>
          <w:tcPr>
            <w:tcW w:w="320" w:type="dxa"/>
            <w:vAlign w:val="bottom"/>
          </w:tcPr>
          <w:p>
            <w:pPr>
              <w:jc w:val="right"/>
              <w:spacing w:after="0"/>
              <w:rPr>
                <w:sz w:val="20"/>
                <w:szCs w:val="20"/>
                <w:color w:val="auto"/>
              </w:rPr>
            </w:pPr>
            <w:r>
              <w:rPr>
                <w:rFonts w:ascii="Arial" w:cs="Arial" w:eastAsia="Arial" w:hAnsi="Arial"/>
                <w:sz w:val="18"/>
                <w:szCs w:val="18"/>
                <w:color w:val="auto"/>
              </w:rPr>
              <w:t>32</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160"/>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760"/>
          </w:cols>
          <w:pgMar w:left="640" w:top="270" w:right="49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167"/>
        </w:trPr>
        <w:tc>
          <w:tcPr>
            <w:tcW w:w="1080" w:type="dxa"/>
            <w:vAlign w:val="bottom"/>
            <w:vMerge w:val="restart"/>
          </w:tcPr>
          <w:p>
            <w:pPr>
              <w:ind w:left="620"/>
              <w:spacing w:after="0"/>
              <w:rPr>
                <w:sz w:val="20"/>
                <w:szCs w:val="20"/>
                <w:color w:val="auto"/>
              </w:rPr>
            </w:pPr>
            <w:r>
              <w:rPr>
                <w:rFonts w:ascii="Arial" w:cs="Arial" w:eastAsia="Arial" w:hAnsi="Arial"/>
                <w:sz w:val="18"/>
                <w:szCs w:val="18"/>
                <w:color w:val="auto"/>
              </w:rPr>
              <w:t>3.5</w:t>
            </w:r>
          </w:p>
        </w:tc>
        <w:tc>
          <w:tcPr>
            <w:tcW w:w="9380" w:type="dxa"/>
            <w:vAlign w:val="bottom"/>
            <w:vMerge w:val="restart"/>
          </w:tcPr>
          <w:p>
            <w:pPr>
              <w:ind w:left="120"/>
              <w:spacing w:after="0"/>
              <w:rPr>
                <w:sz w:val="20"/>
                <w:szCs w:val="20"/>
                <w:color w:val="auto"/>
              </w:rPr>
            </w:pPr>
            <w:r>
              <w:rPr>
                <w:rFonts w:ascii="Arial" w:cs="Arial" w:eastAsia="Arial" w:hAnsi="Arial"/>
                <w:sz w:val="18"/>
                <w:szCs w:val="18"/>
                <w:color w:val="auto"/>
              </w:rPr>
              <w:t>Absence of Changes</w:t>
            </w:r>
          </w:p>
        </w:tc>
        <w:tc>
          <w:tcPr>
            <w:tcW w:w="340" w:type="dxa"/>
            <w:vAlign w:val="bottom"/>
            <w:gridSpan w:val="2"/>
          </w:tcPr>
          <w:p>
            <w:pPr>
              <w:ind w:left="20"/>
              <w:spacing w:after="0"/>
              <w:rPr>
                <w:sz w:val="20"/>
                <w:szCs w:val="20"/>
                <w:color w:val="auto"/>
              </w:rPr>
            </w:pPr>
            <w:r>
              <w:rPr>
                <w:rFonts w:ascii="Arial" w:cs="Arial" w:eastAsia="Arial" w:hAnsi="Arial"/>
                <w:sz w:val="14"/>
                <w:szCs w:val="14"/>
                <w:color w:val="auto"/>
                <w:w w:val="91"/>
              </w:rPr>
              <w:t>Page</w:t>
            </w:r>
          </w:p>
        </w:tc>
        <w:tc>
          <w:tcPr>
            <w:tcW w:w="0" w:type="dxa"/>
            <w:vAlign w:val="bottom"/>
          </w:tcPr>
          <w:p>
            <w:pPr>
              <w:spacing w:after="0"/>
              <w:rPr>
                <w:sz w:val="1"/>
                <w:szCs w:val="1"/>
                <w:color w:val="auto"/>
              </w:rPr>
            </w:pPr>
          </w:p>
        </w:tc>
      </w:tr>
      <w:tr>
        <w:trPr>
          <w:trHeight w:val="195"/>
        </w:trPr>
        <w:tc>
          <w:tcPr>
            <w:tcW w:w="1080" w:type="dxa"/>
            <w:vAlign w:val="bottom"/>
            <w:vMerge w:val="continue"/>
          </w:tcPr>
          <w:p>
            <w:pPr>
              <w:spacing w:after="0"/>
              <w:rPr>
                <w:sz w:val="16"/>
                <w:szCs w:val="16"/>
                <w:color w:val="auto"/>
              </w:rPr>
            </w:pPr>
          </w:p>
        </w:tc>
        <w:tc>
          <w:tcPr>
            <w:tcW w:w="9380" w:type="dxa"/>
            <w:vAlign w:val="bottom"/>
            <w:vMerge w:val="continue"/>
          </w:tcPr>
          <w:p>
            <w:pPr>
              <w:spacing w:after="0"/>
              <w:rPr>
                <w:sz w:val="16"/>
                <w:szCs w:val="16"/>
                <w:color w:val="auto"/>
              </w:rPr>
            </w:pPr>
          </w:p>
        </w:tc>
        <w:tc>
          <w:tcPr>
            <w:tcW w:w="3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3.6</w:t>
            </w:r>
          </w:p>
        </w:tc>
        <w:tc>
          <w:tcPr>
            <w:tcW w:w="9380" w:type="dxa"/>
            <w:vAlign w:val="bottom"/>
          </w:tcPr>
          <w:p>
            <w:pPr>
              <w:ind w:left="120"/>
              <w:spacing w:after="0"/>
              <w:rPr>
                <w:sz w:val="20"/>
                <w:szCs w:val="20"/>
                <w:color w:val="auto"/>
              </w:rPr>
            </w:pPr>
            <w:r>
              <w:rPr>
                <w:rFonts w:ascii="Arial" w:cs="Arial" w:eastAsia="Arial" w:hAnsi="Arial"/>
                <w:sz w:val="18"/>
                <w:szCs w:val="18"/>
                <w:color w:val="auto"/>
              </w:rPr>
              <w:t>Intellectual Property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3.7</w:t>
            </w:r>
          </w:p>
        </w:tc>
        <w:tc>
          <w:tcPr>
            <w:tcW w:w="9380" w:type="dxa"/>
            <w:vAlign w:val="bottom"/>
          </w:tcPr>
          <w:p>
            <w:pPr>
              <w:ind w:left="120"/>
              <w:spacing w:after="0"/>
              <w:rPr>
                <w:sz w:val="20"/>
                <w:szCs w:val="20"/>
                <w:color w:val="auto"/>
              </w:rPr>
            </w:pPr>
            <w:r>
              <w:rPr>
                <w:rFonts w:ascii="Arial" w:cs="Arial" w:eastAsia="Arial" w:hAnsi="Arial"/>
                <w:sz w:val="18"/>
                <w:szCs w:val="18"/>
                <w:color w:val="auto"/>
              </w:rPr>
              <w:t>Liabilities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3.8</w:t>
            </w:r>
          </w:p>
        </w:tc>
        <w:tc>
          <w:tcPr>
            <w:tcW w:w="9380" w:type="dxa"/>
            <w:vAlign w:val="bottom"/>
          </w:tcPr>
          <w:p>
            <w:pPr>
              <w:ind w:left="120"/>
              <w:spacing w:after="0"/>
              <w:rPr>
                <w:sz w:val="20"/>
                <w:szCs w:val="20"/>
                <w:color w:val="auto"/>
              </w:rPr>
            </w:pPr>
            <w:r>
              <w:rPr>
                <w:rFonts w:ascii="Arial" w:cs="Arial" w:eastAsia="Arial" w:hAnsi="Arial"/>
                <w:sz w:val="18"/>
                <w:szCs w:val="18"/>
                <w:color w:val="auto"/>
              </w:rPr>
              <w:t>Compliance with Legal Requirements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3.9</w:t>
            </w:r>
          </w:p>
        </w:tc>
        <w:tc>
          <w:tcPr>
            <w:tcW w:w="9380" w:type="dxa"/>
            <w:vAlign w:val="bottom"/>
          </w:tcPr>
          <w:p>
            <w:pPr>
              <w:ind w:left="120"/>
              <w:spacing w:after="0"/>
              <w:rPr>
                <w:sz w:val="20"/>
                <w:szCs w:val="20"/>
                <w:color w:val="auto"/>
              </w:rPr>
            </w:pPr>
            <w:r>
              <w:rPr>
                <w:rFonts w:ascii="Arial" w:cs="Arial" w:eastAsia="Arial" w:hAnsi="Arial"/>
                <w:sz w:val="18"/>
                <w:szCs w:val="18"/>
                <w:color w:val="auto"/>
              </w:rPr>
              <w:t>Governmental Authorizations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3.10</w:t>
            </w:r>
          </w:p>
        </w:tc>
        <w:tc>
          <w:tcPr>
            <w:tcW w:w="9380" w:type="dxa"/>
            <w:vAlign w:val="bottom"/>
          </w:tcPr>
          <w:p>
            <w:pPr>
              <w:ind w:left="120"/>
              <w:spacing w:after="0"/>
              <w:rPr>
                <w:sz w:val="20"/>
                <w:szCs w:val="20"/>
                <w:color w:val="auto"/>
              </w:rPr>
            </w:pPr>
            <w:r>
              <w:rPr>
                <w:rFonts w:ascii="Arial" w:cs="Arial" w:eastAsia="Arial" w:hAnsi="Arial"/>
                <w:sz w:val="18"/>
                <w:szCs w:val="18"/>
                <w:color w:val="auto"/>
              </w:rPr>
              <w:t>Tax Consequences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3.11</w:t>
            </w:r>
          </w:p>
        </w:tc>
        <w:tc>
          <w:tcPr>
            <w:tcW w:w="9380" w:type="dxa"/>
            <w:vAlign w:val="bottom"/>
          </w:tcPr>
          <w:p>
            <w:pPr>
              <w:ind w:left="120"/>
              <w:spacing w:after="0"/>
              <w:rPr>
                <w:sz w:val="20"/>
                <w:szCs w:val="20"/>
                <w:color w:val="auto"/>
              </w:rPr>
            </w:pPr>
            <w:r>
              <w:rPr>
                <w:rFonts w:ascii="Arial" w:cs="Arial" w:eastAsia="Arial" w:hAnsi="Arial"/>
                <w:sz w:val="18"/>
                <w:szCs w:val="18"/>
                <w:color w:val="auto"/>
              </w:rPr>
              <w:t>Environmental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3.12</w:t>
            </w:r>
          </w:p>
        </w:tc>
        <w:tc>
          <w:tcPr>
            <w:tcW w:w="9380" w:type="dxa"/>
            <w:vAlign w:val="bottom"/>
          </w:tcPr>
          <w:p>
            <w:pPr>
              <w:ind w:left="120"/>
              <w:spacing w:after="0"/>
              <w:rPr>
                <w:sz w:val="20"/>
                <w:szCs w:val="20"/>
                <w:color w:val="auto"/>
              </w:rPr>
            </w:pPr>
            <w:r>
              <w:rPr>
                <w:rFonts w:ascii="Arial" w:cs="Arial" w:eastAsia="Arial" w:hAnsi="Arial"/>
                <w:sz w:val="18"/>
                <w:szCs w:val="18"/>
                <w:color w:val="auto"/>
              </w:rPr>
              <w:t>Legal Proceedings; Orders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3.13</w:t>
            </w:r>
          </w:p>
        </w:tc>
        <w:tc>
          <w:tcPr>
            <w:tcW w:w="9380" w:type="dxa"/>
            <w:vAlign w:val="bottom"/>
          </w:tcPr>
          <w:p>
            <w:pPr>
              <w:ind w:left="120"/>
              <w:spacing w:after="0"/>
              <w:rPr>
                <w:sz w:val="20"/>
                <w:szCs w:val="20"/>
                <w:color w:val="auto"/>
              </w:rPr>
            </w:pPr>
            <w:r>
              <w:rPr>
                <w:rFonts w:ascii="Arial" w:cs="Arial" w:eastAsia="Arial" w:hAnsi="Arial"/>
                <w:sz w:val="18"/>
                <w:szCs w:val="18"/>
                <w:color w:val="auto"/>
              </w:rPr>
              <w:t>Authority; Binding Nature of Agreement</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3.14</w:t>
            </w:r>
          </w:p>
        </w:tc>
        <w:tc>
          <w:tcPr>
            <w:tcW w:w="9380" w:type="dxa"/>
            <w:vAlign w:val="bottom"/>
          </w:tcPr>
          <w:p>
            <w:pPr>
              <w:ind w:left="120"/>
              <w:spacing w:after="0"/>
              <w:rPr>
                <w:sz w:val="20"/>
                <w:szCs w:val="20"/>
                <w:color w:val="auto"/>
              </w:rPr>
            </w:pPr>
            <w:r>
              <w:rPr>
                <w:rFonts w:ascii="Arial" w:cs="Arial" w:eastAsia="Arial" w:hAnsi="Arial"/>
                <w:sz w:val="18"/>
                <w:szCs w:val="18"/>
                <w:color w:val="auto"/>
              </w:rPr>
              <w:t>Vote Required</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3.15</w:t>
            </w:r>
          </w:p>
        </w:tc>
        <w:tc>
          <w:tcPr>
            <w:tcW w:w="9380" w:type="dxa"/>
            <w:vAlign w:val="bottom"/>
          </w:tcPr>
          <w:p>
            <w:pPr>
              <w:ind w:left="120"/>
              <w:spacing w:after="0"/>
              <w:rPr>
                <w:sz w:val="20"/>
                <w:szCs w:val="20"/>
                <w:color w:val="auto"/>
              </w:rPr>
            </w:pPr>
            <w:r>
              <w:rPr>
                <w:rFonts w:ascii="Arial" w:cs="Arial" w:eastAsia="Arial" w:hAnsi="Arial"/>
                <w:sz w:val="18"/>
                <w:szCs w:val="18"/>
                <w:color w:val="auto"/>
              </w:rPr>
              <w:t>Non-Contravention; Consents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3.16</w:t>
            </w:r>
          </w:p>
        </w:tc>
        <w:tc>
          <w:tcPr>
            <w:tcW w:w="9380" w:type="dxa"/>
            <w:vAlign w:val="bottom"/>
          </w:tcPr>
          <w:p>
            <w:pPr>
              <w:ind w:left="120"/>
              <w:spacing w:after="0"/>
              <w:rPr>
                <w:sz w:val="20"/>
                <w:szCs w:val="20"/>
                <w:color w:val="auto"/>
              </w:rPr>
            </w:pPr>
            <w:r>
              <w:rPr>
                <w:rFonts w:ascii="Arial" w:cs="Arial" w:eastAsia="Arial" w:hAnsi="Arial"/>
                <w:sz w:val="18"/>
                <w:szCs w:val="18"/>
                <w:color w:val="auto"/>
              </w:rPr>
              <w:t>Stock Ownership</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3.17</w:t>
            </w:r>
          </w:p>
        </w:tc>
        <w:tc>
          <w:tcPr>
            <w:tcW w:w="9380" w:type="dxa"/>
            <w:vAlign w:val="bottom"/>
          </w:tcPr>
          <w:p>
            <w:pPr>
              <w:ind w:left="120"/>
              <w:spacing w:after="0"/>
              <w:rPr>
                <w:sz w:val="20"/>
                <w:szCs w:val="20"/>
                <w:color w:val="auto"/>
              </w:rPr>
            </w:pPr>
            <w:r>
              <w:rPr>
                <w:rFonts w:ascii="Arial" w:cs="Arial" w:eastAsia="Arial" w:hAnsi="Arial"/>
                <w:sz w:val="18"/>
                <w:szCs w:val="18"/>
                <w:color w:val="auto"/>
              </w:rPr>
              <w:t>Capitalization and Operations of HoldCo, Delaware Merger Sub and Bermuda Merger Sub</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3.18</w:t>
            </w:r>
          </w:p>
        </w:tc>
        <w:tc>
          <w:tcPr>
            <w:tcW w:w="9380" w:type="dxa"/>
            <w:vAlign w:val="bottom"/>
          </w:tcPr>
          <w:p>
            <w:pPr>
              <w:ind w:left="120"/>
              <w:spacing w:after="0"/>
              <w:rPr>
                <w:sz w:val="20"/>
                <w:szCs w:val="20"/>
                <w:color w:val="auto"/>
              </w:rPr>
            </w:pPr>
            <w:r>
              <w:rPr>
                <w:rFonts w:ascii="Arial" w:cs="Arial" w:eastAsia="Arial" w:hAnsi="Arial"/>
                <w:sz w:val="18"/>
                <w:szCs w:val="18"/>
                <w:color w:val="auto"/>
              </w:rPr>
              <w:t>Financing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3.19</w:t>
            </w:r>
          </w:p>
        </w:tc>
        <w:tc>
          <w:tcPr>
            <w:tcW w:w="9380" w:type="dxa"/>
            <w:vAlign w:val="bottom"/>
          </w:tcPr>
          <w:p>
            <w:pPr>
              <w:ind w:left="120"/>
              <w:spacing w:after="0"/>
              <w:rPr>
                <w:sz w:val="20"/>
                <w:szCs w:val="20"/>
                <w:color w:val="auto"/>
              </w:rPr>
            </w:pPr>
            <w:r>
              <w:rPr>
                <w:rFonts w:ascii="Arial" w:cs="Arial" w:eastAsia="Arial" w:hAnsi="Arial"/>
                <w:sz w:val="18"/>
                <w:szCs w:val="18"/>
                <w:color w:val="auto"/>
              </w:rPr>
              <w:t>Solvency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3.20</w:t>
            </w:r>
          </w:p>
        </w:tc>
        <w:tc>
          <w:tcPr>
            <w:tcW w:w="9380" w:type="dxa"/>
            <w:vAlign w:val="bottom"/>
          </w:tcPr>
          <w:p>
            <w:pPr>
              <w:ind w:left="120"/>
              <w:spacing w:after="0"/>
              <w:rPr>
                <w:sz w:val="20"/>
                <w:szCs w:val="20"/>
                <w:color w:val="auto"/>
              </w:rPr>
            </w:pPr>
            <w:r>
              <w:rPr>
                <w:rFonts w:ascii="Arial" w:cs="Arial" w:eastAsia="Arial" w:hAnsi="Arial"/>
                <w:sz w:val="18"/>
                <w:szCs w:val="18"/>
                <w:color w:val="auto"/>
              </w:rPr>
              <w:t>Fairness Opinion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3.21</w:t>
            </w:r>
          </w:p>
        </w:tc>
        <w:tc>
          <w:tcPr>
            <w:tcW w:w="9380" w:type="dxa"/>
            <w:vAlign w:val="bottom"/>
          </w:tcPr>
          <w:p>
            <w:pPr>
              <w:ind w:left="120"/>
              <w:spacing w:after="0"/>
              <w:rPr>
                <w:sz w:val="20"/>
                <w:szCs w:val="20"/>
                <w:color w:val="auto"/>
              </w:rPr>
            </w:pPr>
            <w:r>
              <w:rPr>
                <w:rFonts w:ascii="Arial" w:cs="Arial" w:eastAsia="Arial" w:hAnsi="Arial"/>
                <w:sz w:val="18"/>
                <w:szCs w:val="18"/>
                <w:color w:val="auto"/>
              </w:rPr>
              <w:t>Advisors’ Fees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3.22</w:t>
            </w:r>
          </w:p>
        </w:tc>
        <w:tc>
          <w:tcPr>
            <w:tcW w:w="9380" w:type="dxa"/>
            <w:vAlign w:val="bottom"/>
          </w:tcPr>
          <w:p>
            <w:pPr>
              <w:ind w:left="120"/>
              <w:spacing w:after="0"/>
              <w:rPr>
                <w:sz w:val="20"/>
                <w:szCs w:val="20"/>
                <w:color w:val="auto"/>
              </w:rPr>
            </w:pPr>
            <w:r>
              <w:rPr>
                <w:rFonts w:ascii="Arial" w:cs="Arial" w:eastAsia="Arial" w:hAnsi="Arial"/>
                <w:sz w:val="18"/>
                <w:szCs w:val="18"/>
                <w:color w:val="auto"/>
              </w:rPr>
              <w:t>Disclosure</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4.</w:t>
            </w:r>
          </w:p>
        </w:tc>
        <w:tc>
          <w:tcPr>
            <w:tcW w:w="9380" w:type="dxa"/>
            <w:vAlign w:val="bottom"/>
          </w:tcPr>
          <w:p>
            <w:pPr>
              <w:ind w:left="120"/>
              <w:spacing w:after="0"/>
              <w:rPr>
                <w:sz w:val="20"/>
                <w:szCs w:val="20"/>
                <w:color w:val="auto"/>
              </w:rPr>
            </w:pPr>
            <w:r>
              <w:rPr>
                <w:rFonts w:ascii="Arial" w:cs="Arial" w:eastAsia="Arial" w:hAnsi="Arial"/>
                <w:sz w:val="18"/>
                <w:szCs w:val="18"/>
                <w:color w:val="auto"/>
              </w:rPr>
              <w:t>CERTAIN COVENANTS OF THE COMPANY AND MARVELL</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4.1</w:t>
            </w:r>
          </w:p>
        </w:tc>
        <w:tc>
          <w:tcPr>
            <w:tcW w:w="9380" w:type="dxa"/>
            <w:vAlign w:val="bottom"/>
          </w:tcPr>
          <w:p>
            <w:pPr>
              <w:ind w:left="120"/>
              <w:spacing w:after="0"/>
              <w:rPr>
                <w:sz w:val="20"/>
                <w:szCs w:val="20"/>
                <w:color w:val="auto"/>
              </w:rPr>
            </w:pPr>
            <w:r>
              <w:rPr>
                <w:rFonts w:ascii="Arial" w:cs="Arial" w:eastAsia="Arial" w:hAnsi="Arial"/>
                <w:sz w:val="18"/>
                <w:szCs w:val="18"/>
                <w:color w:val="auto"/>
              </w:rPr>
              <w:t>Access and Investigation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4.2</w:t>
            </w:r>
          </w:p>
        </w:tc>
        <w:tc>
          <w:tcPr>
            <w:tcW w:w="9380" w:type="dxa"/>
            <w:vAlign w:val="bottom"/>
          </w:tcPr>
          <w:p>
            <w:pPr>
              <w:ind w:left="120"/>
              <w:spacing w:after="0"/>
              <w:rPr>
                <w:sz w:val="20"/>
                <w:szCs w:val="20"/>
                <w:color w:val="auto"/>
              </w:rPr>
            </w:pPr>
            <w:r>
              <w:rPr>
                <w:rFonts w:ascii="Arial" w:cs="Arial" w:eastAsia="Arial" w:hAnsi="Arial"/>
                <w:sz w:val="18"/>
                <w:szCs w:val="18"/>
                <w:color w:val="auto"/>
              </w:rPr>
              <w:t>Operation of the Company’s Business and Marvell’s Business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4.3</w:t>
            </w:r>
          </w:p>
        </w:tc>
        <w:tc>
          <w:tcPr>
            <w:tcW w:w="9380" w:type="dxa"/>
            <w:vAlign w:val="bottom"/>
          </w:tcPr>
          <w:p>
            <w:pPr>
              <w:ind w:left="120"/>
              <w:spacing w:after="0"/>
              <w:rPr>
                <w:sz w:val="20"/>
                <w:szCs w:val="20"/>
                <w:color w:val="auto"/>
              </w:rPr>
            </w:pPr>
            <w:r>
              <w:rPr>
                <w:rFonts w:ascii="Arial" w:cs="Arial" w:eastAsia="Arial" w:hAnsi="Arial"/>
                <w:sz w:val="18"/>
                <w:szCs w:val="18"/>
                <w:color w:val="auto"/>
              </w:rPr>
              <w:t>No Solicitation by the Company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4.4</w:t>
            </w:r>
          </w:p>
        </w:tc>
        <w:tc>
          <w:tcPr>
            <w:tcW w:w="9380" w:type="dxa"/>
            <w:vAlign w:val="bottom"/>
          </w:tcPr>
          <w:p>
            <w:pPr>
              <w:ind w:left="120"/>
              <w:spacing w:after="0"/>
              <w:rPr>
                <w:sz w:val="20"/>
                <w:szCs w:val="20"/>
                <w:color w:val="auto"/>
              </w:rPr>
            </w:pPr>
            <w:r>
              <w:rPr>
                <w:rFonts w:ascii="Arial" w:cs="Arial" w:eastAsia="Arial" w:hAnsi="Arial"/>
                <w:sz w:val="18"/>
                <w:szCs w:val="18"/>
                <w:color w:val="auto"/>
              </w:rPr>
              <w:t>No Solicitation by Marvell</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5.</w:t>
            </w:r>
          </w:p>
        </w:tc>
        <w:tc>
          <w:tcPr>
            <w:tcW w:w="9380" w:type="dxa"/>
            <w:vAlign w:val="bottom"/>
          </w:tcPr>
          <w:p>
            <w:pPr>
              <w:ind w:left="120"/>
              <w:spacing w:after="0"/>
              <w:rPr>
                <w:sz w:val="20"/>
                <w:szCs w:val="20"/>
                <w:color w:val="auto"/>
              </w:rPr>
            </w:pPr>
            <w:r>
              <w:rPr>
                <w:rFonts w:ascii="Arial" w:cs="Arial" w:eastAsia="Arial" w:hAnsi="Arial"/>
                <w:sz w:val="18"/>
                <w:szCs w:val="18"/>
                <w:color w:val="auto"/>
              </w:rPr>
              <w:t>ADDITIONAL COVENANTS OF THE PARTIES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w:t>
            </w:r>
          </w:p>
        </w:tc>
        <w:tc>
          <w:tcPr>
            <w:tcW w:w="9380" w:type="dxa"/>
            <w:vAlign w:val="bottom"/>
          </w:tcPr>
          <w:p>
            <w:pPr>
              <w:ind w:left="120"/>
              <w:spacing w:after="0"/>
              <w:rPr>
                <w:sz w:val="20"/>
                <w:szCs w:val="20"/>
                <w:color w:val="auto"/>
              </w:rPr>
            </w:pPr>
            <w:r>
              <w:rPr>
                <w:rFonts w:ascii="Arial" w:cs="Arial" w:eastAsia="Arial" w:hAnsi="Arial"/>
                <w:sz w:val="18"/>
                <w:szCs w:val="18"/>
                <w:color w:val="auto"/>
              </w:rPr>
              <w:t>Registration Statement; Joint Proxy Statement/Prospectus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5.2</w:t>
            </w:r>
          </w:p>
        </w:tc>
        <w:tc>
          <w:tcPr>
            <w:tcW w:w="9380" w:type="dxa"/>
            <w:vAlign w:val="bottom"/>
          </w:tcPr>
          <w:p>
            <w:pPr>
              <w:ind w:left="120"/>
              <w:spacing w:after="0"/>
              <w:rPr>
                <w:sz w:val="20"/>
                <w:szCs w:val="20"/>
                <w:color w:val="auto"/>
              </w:rPr>
            </w:pPr>
            <w:r>
              <w:rPr>
                <w:rFonts w:ascii="Arial" w:cs="Arial" w:eastAsia="Arial" w:hAnsi="Arial"/>
                <w:sz w:val="18"/>
                <w:szCs w:val="18"/>
                <w:color w:val="auto"/>
              </w:rPr>
              <w:t>Company Stockholders’ Meeting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5.3</w:t>
            </w:r>
          </w:p>
        </w:tc>
        <w:tc>
          <w:tcPr>
            <w:tcW w:w="9380" w:type="dxa"/>
            <w:vAlign w:val="bottom"/>
          </w:tcPr>
          <w:p>
            <w:pPr>
              <w:ind w:left="120"/>
              <w:spacing w:after="0"/>
              <w:rPr>
                <w:sz w:val="20"/>
                <w:szCs w:val="20"/>
                <w:color w:val="auto"/>
              </w:rPr>
            </w:pPr>
            <w:r>
              <w:rPr>
                <w:rFonts w:ascii="Arial" w:cs="Arial" w:eastAsia="Arial" w:hAnsi="Arial"/>
                <w:sz w:val="18"/>
                <w:szCs w:val="18"/>
                <w:color w:val="auto"/>
              </w:rPr>
              <w:t>Marvell Shareholders’ Meeting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5.4</w:t>
            </w:r>
          </w:p>
        </w:tc>
        <w:tc>
          <w:tcPr>
            <w:tcW w:w="9380" w:type="dxa"/>
            <w:vAlign w:val="bottom"/>
          </w:tcPr>
          <w:p>
            <w:pPr>
              <w:ind w:left="120"/>
              <w:spacing w:after="0"/>
              <w:rPr>
                <w:sz w:val="20"/>
                <w:szCs w:val="20"/>
                <w:color w:val="auto"/>
              </w:rPr>
            </w:pPr>
            <w:r>
              <w:rPr>
                <w:rFonts w:ascii="Arial" w:cs="Arial" w:eastAsia="Arial" w:hAnsi="Arial"/>
                <w:sz w:val="18"/>
                <w:szCs w:val="18"/>
                <w:color w:val="auto"/>
              </w:rPr>
              <w:t>Treatment of Company Equity Awards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5.5</w:t>
            </w:r>
          </w:p>
        </w:tc>
        <w:tc>
          <w:tcPr>
            <w:tcW w:w="9380" w:type="dxa"/>
            <w:vAlign w:val="bottom"/>
          </w:tcPr>
          <w:p>
            <w:pPr>
              <w:ind w:left="120"/>
              <w:spacing w:after="0"/>
              <w:rPr>
                <w:sz w:val="20"/>
                <w:szCs w:val="20"/>
                <w:color w:val="auto"/>
              </w:rPr>
            </w:pPr>
            <w:r>
              <w:rPr>
                <w:rFonts w:ascii="Arial" w:cs="Arial" w:eastAsia="Arial" w:hAnsi="Arial"/>
                <w:sz w:val="18"/>
                <w:szCs w:val="18"/>
                <w:color w:val="auto"/>
              </w:rPr>
              <w:t>Treatment of Company ESPP</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5.6</w:t>
            </w:r>
          </w:p>
        </w:tc>
        <w:tc>
          <w:tcPr>
            <w:tcW w:w="9380" w:type="dxa"/>
            <w:vAlign w:val="bottom"/>
          </w:tcPr>
          <w:p>
            <w:pPr>
              <w:ind w:left="120"/>
              <w:spacing w:after="0"/>
              <w:rPr>
                <w:sz w:val="20"/>
                <w:szCs w:val="20"/>
                <w:color w:val="auto"/>
              </w:rPr>
            </w:pPr>
            <w:r>
              <w:rPr>
                <w:rFonts w:ascii="Arial" w:cs="Arial" w:eastAsia="Arial" w:hAnsi="Arial"/>
                <w:sz w:val="18"/>
                <w:szCs w:val="18"/>
                <w:color w:val="auto"/>
              </w:rPr>
              <w:t>Treatment of Marvell Equity Awards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5.7</w:t>
            </w:r>
          </w:p>
        </w:tc>
        <w:tc>
          <w:tcPr>
            <w:tcW w:w="9380" w:type="dxa"/>
            <w:vAlign w:val="bottom"/>
          </w:tcPr>
          <w:p>
            <w:pPr>
              <w:ind w:left="120"/>
              <w:spacing w:after="0"/>
              <w:rPr>
                <w:sz w:val="20"/>
                <w:szCs w:val="20"/>
                <w:color w:val="auto"/>
              </w:rPr>
            </w:pPr>
            <w:r>
              <w:rPr>
                <w:rFonts w:ascii="Arial" w:cs="Arial" w:eastAsia="Arial" w:hAnsi="Arial"/>
                <w:sz w:val="18"/>
                <w:szCs w:val="18"/>
                <w:color w:val="auto"/>
              </w:rPr>
              <w:t>Employee Benefits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5.8</w:t>
            </w:r>
          </w:p>
        </w:tc>
        <w:tc>
          <w:tcPr>
            <w:tcW w:w="9380" w:type="dxa"/>
            <w:vAlign w:val="bottom"/>
          </w:tcPr>
          <w:p>
            <w:pPr>
              <w:ind w:left="120"/>
              <w:spacing w:after="0"/>
              <w:rPr>
                <w:sz w:val="20"/>
                <w:szCs w:val="20"/>
                <w:color w:val="auto"/>
              </w:rPr>
            </w:pPr>
            <w:r>
              <w:rPr>
                <w:rFonts w:ascii="Arial" w:cs="Arial" w:eastAsia="Arial" w:hAnsi="Arial"/>
                <w:sz w:val="18"/>
                <w:szCs w:val="18"/>
                <w:color w:val="auto"/>
              </w:rPr>
              <w:t>Indemnification of Officers and Directors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5.9</w:t>
            </w:r>
          </w:p>
        </w:tc>
        <w:tc>
          <w:tcPr>
            <w:tcW w:w="9380" w:type="dxa"/>
            <w:vAlign w:val="bottom"/>
          </w:tcPr>
          <w:p>
            <w:pPr>
              <w:ind w:left="120"/>
              <w:spacing w:after="0"/>
              <w:rPr>
                <w:sz w:val="20"/>
                <w:szCs w:val="20"/>
                <w:color w:val="auto"/>
              </w:rPr>
            </w:pPr>
            <w:r>
              <w:rPr>
                <w:rFonts w:ascii="Arial" w:cs="Arial" w:eastAsia="Arial" w:hAnsi="Arial"/>
                <w:sz w:val="18"/>
                <w:szCs w:val="18"/>
                <w:color w:val="auto"/>
              </w:rPr>
              <w:t>Regulatory Approvals and Related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5.10</w:t>
            </w:r>
          </w:p>
        </w:tc>
        <w:tc>
          <w:tcPr>
            <w:tcW w:w="9380" w:type="dxa"/>
            <w:vAlign w:val="bottom"/>
          </w:tcPr>
          <w:p>
            <w:pPr>
              <w:ind w:left="120"/>
              <w:spacing w:after="0"/>
              <w:rPr>
                <w:sz w:val="20"/>
                <w:szCs w:val="20"/>
                <w:color w:val="auto"/>
              </w:rPr>
            </w:pPr>
            <w:r>
              <w:rPr>
                <w:rFonts w:ascii="Arial" w:cs="Arial" w:eastAsia="Arial" w:hAnsi="Arial"/>
                <w:sz w:val="18"/>
                <w:szCs w:val="18"/>
                <w:color w:val="auto"/>
              </w:rPr>
              <w:t>Disclosure</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5.11</w:t>
            </w:r>
          </w:p>
        </w:tc>
        <w:tc>
          <w:tcPr>
            <w:tcW w:w="9380" w:type="dxa"/>
            <w:vAlign w:val="bottom"/>
          </w:tcPr>
          <w:p>
            <w:pPr>
              <w:ind w:left="120"/>
              <w:spacing w:after="0"/>
              <w:rPr>
                <w:sz w:val="20"/>
                <w:szCs w:val="20"/>
                <w:color w:val="auto"/>
              </w:rPr>
            </w:pPr>
            <w:r>
              <w:rPr>
                <w:rFonts w:ascii="Arial" w:cs="Arial" w:eastAsia="Arial" w:hAnsi="Arial"/>
                <w:sz w:val="18"/>
                <w:szCs w:val="18"/>
                <w:color w:val="auto"/>
              </w:rPr>
              <w:t>Resignation of Officers and Directors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5.12</w:t>
            </w:r>
          </w:p>
        </w:tc>
        <w:tc>
          <w:tcPr>
            <w:tcW w:w="9380" w:type="dxa"/>
            <w:vAlign w:val="bottom"/>
          </w:tcPr>
          <w:p>
            <w:pPr>
              <w:ind w:left="120"/>
              <w:spacing w:after="0"/>
              <w:rPr>
                <w:sz w:val="20"/>
                <w:szCs w:val="20"/>
                <w:color w:val="auto"/>
              </w:rPr>
            </w:pPr>
            <w:r>
              <w:rPr>
                <w:rFonts w:ascii="Arial" w:cs="Arial" w:eastAsia="Arial" w:hAnsi="Arial"/>
                <w:sz w:val="18"/>
                <w:szCs w:val="18"/>
                <w:color w:val="auto"/>
              </w:rPr>
              <w:t>Delisting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5.13</w:t>
            </w:r>
          </w:p>
        </w:tc>
        <w:tc>
          <w:tcPr>
            <w:tcW w:w="9380" w:type="dxa"/>
            <w:vAlign w:val="bottom"/>
          </w:tcPr>
          <w:p>
            <w:pPr>
              <w:ind w:left="120"/>
              <w:spacing w:after="0"/>
              <w:rPr>
                <w:sz w:val="20"/>
                <w:szCs w:val="20"/>
                <w:color w:val="auto"/>
              </w:rPr>
            </w:pPr>
            <w:r>
              <w:rPr>
                <w:rFonts w:ascii="Arial" w:cs="Arial" w:eastAsia="Arial" w:hAnsi="Arial"/>
                <w:sz w:val="18"/>
                <w:szCs w:val="18"/>
                <w:color w:val="auto"/>
              </w:rPr>
              <w:t>Nasdaq Listing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5.14</w:t>
            </w:r>
          </w:p>
        </w:tc>
        <w:tc>
          <w:tcPr>
            <w:tcW w:w="9380" w:type="dxa"/>
            <w:vAlign w:val="bottom"/>
          </w:tcPr>
          <w:p>
            <w:pPr>
              <w:ind w:left="120"/>
              <w:spacing w:after="0"/>
              <w:rPr>
                <w:sz w:val="20"/>
                <w:szCs w:val="20"/>
                <w:color w:val="auto"/>
              </w:rPr>
            </w:pPr>
            <w:r>
              <w:rPr>
                <w:rFonts w:ascii="Arial" w:cs="Arial" w:eastAsia="Arial" w:hAnsi="Arial"/>
                <w:sz w:val="18"/>
                <w:szCs w:val="18"/>
                <w:color w:val="auto"/>
              </w:rPr>
              <w:t>Section 16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5.15</w:t>
            </w:r>
          </w:p>
        </w:tc>
        <w:tc>
          <w:tcPr>
            <w:tcW w:w="9380" w:type="dxa"/>
            <w:vAlign w:val="bottom"/>
          </w:tcPr>
          <w:p>
            <w:pPr>
              <w:ind w:left="120"/>
              <w:spacing w:after="0"/>
              <w:rPr>
                <w:sz w:val="20"/>
                <w:szCs w:val="20"/>
                <w:color w:val="auto"/>
              </w:rPr>
            </w:pPr>
            <w:r>
              <w:rPr>
                <w:rFonts w:ascii="Arial" w:cs="Arial" w:eastAsia="Arial" w:hAnsi="Arial"/>
                <w:sz w:val="18"/>
                <w:szCs w:val="18"/>
                <w:color w:val="auto"/>
              </w:rPr>
              <w:t>Stockholder Litigation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5.16</w:t>
            </w:r>
          </w:p>
        </w:tc>
        <w:tc>
          <w:tcPr>
            <w:tcW w:w="9380" w:type="dxa"/>
            <w:vAlign w:val="bottom"/>
          </w:tcPr>
          <w:p>
            <w:pPr>
              <w:ind w:left="120"/>
              <w:spacing w:after="0"/>
              <w:rPr>
                <w:sz w:val="20"/>
                <w:szCs w:val="20"/>
                <w:color w:val="auto"/>
              </w:rPr>
            </w:pPr>
            <w:r>
              <w:rPr>
                <w:rFonts w:ascii="Arial" w:cs="Arial" w:eastAsia="Arial" w:hAnsi="Arial"/>
                <w:sz w:val="18"/>
                <w:szCs w:val="18"/>
                <w:color w:val="auto"/>
              </w:rPr>
              <w:t>Takeover Statutes and Rights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5.17</w:t>
            </w:r>
          </w:p>
        </w:tc>
        <w:tc>
          <w:tcPr>
            <w:tcW w:w="9380" w:type="dxa"/>
            <w:vAlign w:val="bottom"/>
          </w:tcPr>
          <w:p>
            <w:pPr>
              <w:ind w:left="120"/>
              <w:spacing w:after="0"/>
              <w:rPr>
                <w:sz w:val="20"/>
                <w:szCs w:val="20"/>
                <w:color w:val="auto"/>
              </w:rPr>
            </w:pPr>
            <w:r>
              <w:rPr>
                <w:rFonts w:ascii="Arial" w:cs="Arial" w:eastAsia="Arial" w:hAnsi="Arial"/>
                <w:sz w:val="18"/>
                <w:szCs w:val="18"/>
                <w:color w:val="auto"/>
              </w:rPr>
              <w:t>Tax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5.18</w:t>
            </w:r>
          </w:p>
        </w:tc>
        <w:tc>
          <w:tcPr>
            <w:tcW w:w="9380" w:type="dxa"/>
            <w:vAlign w:val="bottom"/>
          </w:tcPr>
          <w:p>
            <w:pPr>
              <w:ind w:left="120"/>
              <w:spacing w:after="0"/>
              <w:rPr>
                <w:sz w:val="20"/>
                <w:szCs w:val="20"/>
                <w:color w:val="auto"/>
              </w:rPr>
            </w:pPr>
            <w:r>
              <w:rPr>
                <w:rFonts w:ascii="Arial" w:cs="Arial" w:eastAsia="Arial" w:hAnsi="Arial"/>
                <w:sz w:val="18"/>
                <w:szCs w:val="18"/>
                <w:color w:val="auto"/>
              </w:rPr>
              <w:t>Financing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5.19</w:t>
            </w:r>
          </w:p>
        </w:tc>
        <w:tc>
          <w:tcPr>
            <w:tcW w:w="9380" w:type="dxa"/>
            <w:vAlign w:val="bottom"/>
          </w:tcPr>
          <w:p>
            <w:pPr>
              <w:ind w:left="120"/>
              <w:spacing w:after="0"/>
              <w:rPr>
                <w:sz w:val="20"/>
                <w:szCs w:val="20"/>
                <w:color w:val="auto"/>
              </w:rPr>
            </w:pPr>
            <w:r>
              <w:rPr>
                <w:rFonts w:ascii="Arial" w:cs="Arial" w:eastAsia="Arial" w:hAnsi="Arial"/>
                <w:sz w:val="18"/>
                <w:szCs w:val="18"/>
                <w:color w:val="auto"/>
              </w:rPr>
              <w:t>Convertible Notes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SECTION 6.</w:t>
            </w:r>
          </w:p>
        </w:tc>
        <w:tc>
          <w:tcPr>
            <w:tcW w:w="9380" w:type="dxa"/>
            <w:vAlign w:val="bottom"/>
          </w:tcPr>
          <w:p>
            <w:pPr>
              <w:ind w:left="120"/>
              <w:spacing w:after="0"/>
              <w:rPr>
                <w:sz w:val="20"/>
                <w:szCs w:val="20"/>
                <w:color w:val="auto"/>
              </w:rPr>
            </w:pPr>
            <w:r>
              <w:rPr>
                <w:rFonts w:ascii="Arial" w:cs="Arial" w:eastAsia="Arial" w:hAnsi="Arial"/>
                <w:sz w:val="18"/>
                <w:szCs w:val="18"/>
                <w:color w:val="auto"/>
              </w:rPr>
              <w:t>CONDITIONS PRECEDENT TO OBLIGATIONS OF MARVELL, HOLDCO, BERMUDA MERGER SUB AND</w:t>
            </w: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9380" w:type="dxa"/>
            <w:vAlign w:val="bottom"/>
          </w:tcPr>
          <w:p>
            <w:pPr>
              <w:ind w:left="120"/>
              <w:spacing w:after="0"/>
              <w:rPr>
                <w:sz w:val="20"/>
                <w:szCs w:val="20"/>
                <w:color w:val="auto"/>
              </w:rPr>
            </w:pPr>
            <w:r>
              <w:rPr>
                <w:rFonts w:ascii="Arial" w:cs="Arial" w:eastAsia="Arial" w:hAnsi="Arial"/>
                <w:sz w:val="18"/>
                <w:szCs w:val="18"/>
                <w:color w:val="auto"/>
              </w:rPr>
              <w:t>DELAWARE MERGER SUB</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6.1</w:t>
            </w:r>
          </w:p>
        </w:tc>
        <w:tc>
          <w:tcPr>
            <w:tcW w:w="9380" w:type="dxa"/>
            <w:vAlign w:val="bottom"/>
          </w:tcPr>
          <w:p>
            <w:pPr>
              <w:ind w:left="120"/>
              <w:spacing w:after="0"/>
              <w:rPr>
                <w:sz w:val="20"/>
                <w:szCs w:val="20"/>
                <w:color w:val="auto"/>
              </w:rPr>
            </w:pPr>
            <w:r>
              <w:rPr>
                <w:rFonts w:ascii="Arial" w:cs="Arial" w:eastAsia="Arial" w:hAnsi="Arial"/>
                <w:sz w:val="18"/>
                <w:szCs w:val="18"/>
                <w:color w:val="auto"/>
              </w:rPr>
              <w:t>Accuracy of Representations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6.2</w:t>
            </w:r>
          </w:p>
        </w:tc>
        <w:tc>
          <w:tcPr>
            <w:tcW w:w="9380" w:type="dxa"/>
            <w:vAlign w:val="bottom"/>
          </w:tcPr>
          <w:p>
            <w:pPr>
              <w:ind w:left="120"/>
              <w:spacing w:after="0"/>
              <w:rPr>
                <w:sz w:val="20"/>
                <w:szCs w:val="20"/>
                <w:color w:val="auto"/>
              </w:rPr>
            </w:pPr>
            <w:r>
              <w:rPr>
                <w:rFonts w:ascii="Arial" w:cs="Arial" w:eastAsia="Arial" w:hAnsi="Arial"/>
                <w:sz w:val="18"/>
                <w:szCs w:val="18"/>
                <w:color w:val="auto"/>
              </w:rPr>
              <w:t>Performance of Covenants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6.3</w:t>
            </w:r>
          </w:p>
        </w:tc>
        <w:tc>
          <w:tcPr>
            <w:tcW w:w="9380" w:type="dxa"/>
            <w:vAlign w:val="bottom"/>
          </w:tcPr>
          <w:p>
            <w:pPr>
              <w:ind w:left="120"/>
              <w:spacing w:after="0"/>
              <w:rPr>
                <w:sz w:val="20"/>
                <w:szCs w:val="20"/>
                <w:color w:val="auto"/>
              </w:rPr>
            </w:pPr>
            <w:r>
              <w:rPr>
                <w:rFonts w:ascii="Arial" w:cs="Arial" w:eastAsia="Arial" w:hAnsi="Arial"/>
                <w:sz w:val="18"/>
                <w:szCs w:val="18"/>
                <w:color w:val="auto"/>
              </w:rPr>
              <w:t>Effectiveness of Registration Statement</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1080" w:type="dxa"/>
            <w:vAlign w:val="bottom"/>
          </w:tcPr>
          <w:p>
            <w:pPr>
              <w:ind w:left="620"/>
              <w:spacing w:after="0"/>
              <w:rPr>
                <w:sz w:val="20"/>
                <w:szCs w:val="20"/>
                <w:color w:val="auto"/>
              </w:rPr>
            </w:pPr>
            <w:r>
              <w:rPr>
                <w:rFonts w:ascii="Arial" w:cs="Arial" w:eastAsia="Arial" w:hAnsi="Arial"/>
                <w:sz w:val="18"/>
                <w:szCs w:val="18"/>
                <w:color w:val="auto"/>
              </w:rPr>
              <w:t>6.4</w:t>
            </w:r>
          </w:p>
        </w:tc>
        <w:tc>
          <w:tcPr>
            <w:tcW w:w="9380" w:type="dxa"/>
            <w:vAlign w:val="bottom"/>
          </w:tcPr>
          <w:p>
            <w:pPr>
              <w:ind w:left="120"/>
              <w:spacing w:after="0"/>
              <w:rPr>
                <w:sz w:val="20"/>
                <w:szCs w:val="20"/>
                <w:color w:val="auto"/>
              </w:rPr>
            </w:pPr>
            <w:r>
              <w:rPr>
                <w:rFonts w:ascii="Arial" w:cs="Arial" w:eastAsia="Arial" w:hAnsi="Arial"/>
                <w:sz w:val="18"/>
                <w:szCs w:val="18"/>
                <w:color w:val="auto"/>
              </w:rPr>
              <w:t>Listing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30"/>
        </w:trPr>
        <w:tc>
          <w:tcPr>
            <w:tcW w:w="1080" w:type="dxa"/>
            <w:vAlign w:val="bottom"/>
          </w:tcPr>
          <w:p>
            <w:pPr>
              <w:ind w:left="620"/>
              <w:spacing w:after="0"/>
              <w:rPr>
                <w:sz w:val="20"/>
                <w:szCs w:val="20"/>
                <w:color w:val="auto"/>
              </w:rPr>
            </w:pPr>
            <w:r>
              <w:rPr>
                <w:rFonts w:ascii="Arial" w:cs="Arial" w:eastAsia="Arial" w:hAnsi="Arial"/>
                <w:sz w:val="18"/>
                <w:szCs w:val="18"/>
                <w:color w:val="auto"/>
              </w:rPr>
              <w:t>6.5</w:t>
            </w:r>
          </w:p>
        </w:tc>
        <w:tc>
          <w:tcPr>
            <w:tcW w:w="9380" w:type="dxa"/>
            <w:vAlign w:val="bottom"/>
          </w:tcPr>
          <w:p>
            <w:pPr>
              <w:ind w:left="120"/>
              <w:spacing w:after="0"/>
              <w:rPr>
                <w:sz w:val="20"/>
                <w:szCs w:val="20"/>
                <w:color w:val="auto"/>
              </w:rPr>
            </w:pPr>
            <w:r>
              <w:rPr>
                <w:rFonts w:ascii="Arial" w:cs="Arial" w:eastAsia="Arial" w:hAnsi="Arial"/>
                <w:sz w:val="18"/>
                <w:szCs w:val="18"/>
                <w:color w:val="auto"/>
              </w:rPr>
              <w:t>Shareholder Approvals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9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0780"/>
          </w:cols>
          <w:pgMar w:left="620" w:top="269" w:right="49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167"/>
        </w:trPr>
        <w:tc>
          <w:tcPr>
            <w:tcW w:w="1060" w:type="dxa"/>
            <w:vAlign w:val="bottom"/>
            <w:vMerge w:val="restart"/>
          </w:tcPr>
          <w:p>
            <w:pPr>
              <w:ind w:left="620"/>
              <w:spacing w:after="0"/>
              <w:rPr>
                <w:sz w:val="20"/>
                <w:szCs w:val="20"/>
                <w:color w:val="auto"/>
              </w:rPr>
            </w:pPr>
            <w:r>
              <w:rPr>
                <w:rFonts w:ascii="Arial" w:cs="Arial" w:eastAsia="Arial" w:hAnsi="Arial"/>
                <w:sz w:val="18"/>
                <w:szCs w:val="18"/>
                <w:color w:val="auto"/>
              </w:rPr>
              <w:t>6.6</w:t>
            </w:r>
          </w:p>
        </w:tc>
        <w:tc>
          <w:tcPr>
            <w:tcW w:w="9380" w:type="dxa"/>
            <w:vAlign w:val="bottom"/>
            <w:vMerge w:val="restart"/>
          </w:tcPr>
          <w:p>
            <w:pPr>
              <w:ind w:left="120"/>
              <w:spacing w:after="0"/>
              <w:rPr>
                <w:sz w:val="20"/>
                <w:szCs w:val="20"/>
                <w:color w:val="auto"/>
              </w:rPr>
            </w:pPr>
            <w:r>
              <w:rPr>
                <w:rFonts w:ascii="Arial" w:cs="Arial" w:eastAsia="Arial" w:hAnsi="Arial"/>
                <w:sz w:val="18"/>
                <w:szCs w:val="18"/>
                <w:color w:val="auto"/>
              </w:rPr>
              <w:t>Closing Certificate</w:t>
            </w:r>
          </w:p>
        </w:tc>
        <w:tc>
          <w:tcPr>
            <w:tcW w:w="340" w:type="dxa"/>
            <w:vAlign w:val="bottom"/>
            <w:gridSpan w:val="2"/>
          </w:tcPr>
          <w:p>
            <w:pPr>
              <w:ind w:left="20"/>
              <w:spacing w:after="0"/>
              <w:rPr>
                <w:sz w:val="20"/>
                <w:szCs w:val="20"/>
                <w:color w:val="auto"/>
              </w:rPr>
            </w:pPr>
            <w:r>
              <w:rPr>
                <w:rFonts w:ascii="Arial" w:cs="Arial" w:eastAsia="Arial" w:hAnsi="Arial"/>
                <w:sz w:val="14"/>
                <w:szCs w:val="14"/>
                <w:color w:val="auto"/>
                <w:w w:val="91"/>
              </w:rPr>
              <w:t>Page</w:t>
            </w:r>
          </w:p>
        </w:tc>
        <w:tc>
          <w:tcPr>
            <w:tcW w:w="0" w:type="dxa"/>
            <w:vAlign w:val="bottom"/>
          </w:tcPr>
          <w:p>
            <w:pPr>
              <w:spacing w:after="0"/>
              <w:rPr>
                <w:sz w:val="1"/>
                <w:szCs w:val="1"/>
                <w:color w:val="auto"/>
              </w:rPr>
            </w:pPr>
          </w:p>
        </w:tc>
      </w:tr>
      <w:tr>
        <w:trPr>
          <w:trHeight w:val="195"/>
        </w:trPr>
        <w:tc>
          <w:tcPr>
            <w:tcW w:w="1060" w:type="dxa"/>
            <w:vAlign w:val="bottom"/>
            <w:vMerge w:val="continue"/>
          </w:tcPr>
          <w:p>
            <w:pPr>
              <w:spacing w:after="0"/>
              <w:rPr>
                <w:sz w:val="16"/>
                <w:szCs w:val="16"/>
                <w:color w:val="auto"/>
              </w:rPr>
            </w:pPr>
          </w:p>
        </w:tc>
        <w:tc>
          <w:tcPr>
            <w:tcW w:w="9380" w:type="dxa"/>
            <w:vAlign w:val="bottom"/>
            <w:vMerge w:val="continue"/>
          </w:tcPr>
          <w:p>
            <w:pPr>
              <w:spacing w:after="0"/>
              <w:rPr>
                <w:sz w:val="16"/>
                <w:szCs w:val="16"/>
                <w:color w:val="auto"/>
              </w:rPr>
            </w:pPr>
          </w:p>
        </w:tc>
        <w:tc>
          <w:tcPr>
            <w:tcW w:w="3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6.7</w:t>
            </w:r>
          </w:p>
        </w:tc>
        <w:tc>
          <w:tcPr>
            <w:tcW w:w="9380" w:type="dxa"/>
            <w:vAlign w:val="bottom"/>
          </w:tcPr>
          <w:p>
            <w:pPr>
              <w:ind w:left="120"/>
              <w:spacing w:after="0"/>
              <w:rPr>
                <w:sz w:val="20"/>
                <w:szCs w:val="20"/>
                <w:color w:val="auto"/>
              </w:rPr>
            </w:pPr>
            <w:r>
              <w:rPr>
                <w:rFonts w:ascii="Arial" w:cs="Arial" w:eastAsia="Arial" w:hAnsi="Arial"/>
                <w:sz w:val="18"/>
                <w:szCs w:val="18"/>
                <w:color w:val="auto"/>
              </w:rPr>
              <w:t>No Material Adverse Effect on the Company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6.8</w:t>
            </w:r>
          </w:p>
        </w:tc>
        <w:tc>
          <w:tcPr>
            <w:tcW w:w="9380" w:type="dxa"/>
            <w:vAlign w:val="bottom"/>
          </w:tcPr>
          <w:p>
            <w:pPr>
              <w:ind w:left="120"/>
              <w:spacing w:after="0"/>
              <w:rPr>
                <w:sz w:val="20"/>
                <w:szCs w:val="20"/>
                <w:color w:val="auto"/>
              </w:rPr>
            </w:pPr>
            <w:r>
              <w:rPr>
                <w:rFonts w:ascii="Arial" w:cs="Arial" w:eastAsia="Arial" w:hAnsi="Arial"/>
                <w:sz w:val="18"/>
                <w:szCs w:val="18"/>
                <w:color w:val="auto"/>
              </w:rPr>
              <w:t>Regulatory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6.9</w:t>
            </w:r>
          </w:p>
        </w:tc>
        <w:tc>
          <w:tcPr>
            <w:tcW w:w="9380" w:type="dxa"/>
            <w:vAlign w:val="bottom"/>
          </w:tcPr>
          <w:p>
            <w:pPr>
              <w:ind w:left="120"/>
              <w:spacing w:after="0"/>
              <w:rPr>
                <w:sz w:val="20"/>
                <w:szCs w:val="20"/>
                <w:color w:val="auto"/>
              </w:rPr>
            </w:pPr>
            <w:r>
              <w:rPr>
                <w:rFonts w:ascii="Arial" w:cs="Arial" w:eastAsia="Arial" w:hAnsi="Arial"/>
                <w:sz w:val="18"/>
                <w:szCs w:val="18"/>
                <w:color w:val="auto"/>
              </w:rPr>
              <w:t>No Restraints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6.10</w:t>
            </w:r>
          </w:p>
        </w:tc>
        <w:tc>
          <w:tcPr>
            <w:tcW w:w="9380" w:type="dxa"/>
            <w:vAlign w:val="bottom"/>
          </w:tcPr>
          <w:p>
            <w:pPr>
              <w:ind w:left="120"/>
              <w:spacing w:after="0"/>
              <w:rPr>
                <w:sz w:val="20"/>
                <w:szCs w:val="20"/>
                <w:color w:val="auto"/>
              </w:rPr>
            </w:pPr>
            <w:r>
              <w:rPr>
                <w:rFonts w:ascii="Arial" w:cs="Arial" w:eastAsia="Arial" w:hAnsi="Arial"/>
                <w:sz w:val="18"/>
                <w:szCs w:val="18"/>
                <w:color w:val="auto"/>
              </w:rPr>
              <w:t>No Governmental Litigation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7.</w:t>
            </w:r>
          </w:p>
        </w:tc>
        <w:tc>
          <w:tcPr>
            <w:tcW w:w="9380" w:type="dxa"/>
            <w:vAlign w:val="bottom"/>
          </w:tcPr>
          <w:p>
            <w:pPr>
              <w:ind w:left="120"/>
              <w:spacing w:after="0"/>
              <w:rPr>
                <w:sz w:val="20"/>
                <w:szCs w:val="20"/>
                <w:color w:val="auto"/>
              </w:rPr>
            </w:pPr>
            <w:r>
              <w:rPr>
                <w:rFonts w:ascii="Arial" w:cs="Arial" w:eastAsia="Arial" w:hAnsi="Arial"/>
                <w:sz w:val="18"/>
                <w:szCs w:val="18"/>
                <w:color w:val="auto"/>
              </w:rPr>
              <w:t>CONDITIONS PRECEDENT TO OBLIGATION OF THE COMPANY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7.1</w:t>
            </w:r>
          </w:p>
        </w:tc>
        <w:tc>
          <w:tcPr>
            <w:tcW w:w="9380" w:type="dxa"/>
            <w:vAlign w:val="bottom"/>
          </w:tcPr>
          <w:p>
            <w:pPr>
              <w:ind w:left="120"/>
              <w:spacing w:after="0"/>
              <w:rPr>
                <w:sz w:val="20"/>
                <w:szCs w:val="20"/>
                <w:color w:val="auto"/>
              </w:rPr>
            </w:pPr>
            <w:r>
              <w:rPr>
                <w:rFonts w:ascii="Arial" w:cs="Arial" w:eastAsia="Arial" w:hAnsi="Arial"/>
                <w:sz w:val="18"/>
                <w:szCs w:val="18"/>
                <w:color w:val="auto"/>
              </w:rPr>
              <w:t>Accuracy of Representations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7.2</w:t>
            </w:r>
          </w:p>
        </w:tc>
        <w:tc>
          <w:tcPr>
            <w:tcW w:w="9380" w:type="dxa"/>
            <w:vAlign w:val="bottom"/>
          </w:tcPr>
          <w:p>
            <w:pPr>
              <w:ind w:left="120"/>
              <w:spacing w:after="0"/>
              <w:rPr>
                <w:sz w:val="20"/>
                <w:szCs w:val="20"/>
                <w:color w:val="auto"/>
              </w:rPr>
            </w:pPr>
            <w:r>
              <w:rPr>
                <w:rFonts w:ascii="Arial" w:cs="Arial" w:eastAsia="Arial" w:hAnsi="Arial"/>
                <w:sz w:val="18"/>
                <w:szCs w:val="18"/>
                <w:color w:val="auto"/>
              </w:rPr>
              <w:t>Performance of Covenants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7.3</w:t>
            </w:r>
          </w:p>
        </w:tc>
        <w:tc>
          <w:tcPr>
            <w:tcW w:w="9380" w:type="dxa"/>
            <w:vAlign w:val="bottom"/>
          </w:tcPr>
          <w:p>
            <w:pPr>
              <w:ind w:left="120"/>
              <w:spacing w:after="0"/>
              <w:rPr>
                <w:sz w:val="20"/>
                <w:szCs w:val="20"/>
                <w:color w:val="auto"/>
              </w:rPr>
            </w:pPr>
            <w:r>
              <w:rPr>
                <w:rFonts w:ascii="Arial" w:cs="Arial" w:eastAsia="Arial" w:hAnsi="Arial"/>
                <w:sz w:val="18"/>
                <w:szCs w:val="18"/>
                <w:color w:val="auto"/>
              </w:rPr>
              <w:t>Effectiveness of Registration Statement</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7.4</w:t>
            </w:r>
          </w:p>
        </w:tc>
        <w:tc>
          <w:tcPr>
            <w:tcW w:w="9380" w:type="dxa"/>
            <w:vAlign w:val="bottom"/>
          </w:tcPr>
          <w:p>
            <w:pPr>
              <w:ind w:left="120"/>
              <w:spacing w:after="0"/>
              <w:rPr>
                <w:sz w:val="20"/>
                <w:szCs w:val="20"/>
                <w:color w:val="auto"/>
              </w:rPr>
            </w:pPr>
            <w:r>
              <w:rPr>
                <w:rFonts w:ascii="Arial" w:cs="Arial" w:eastAsia="Arial" w:hAnsi="Arial"/>
                <w:sz w:val="18"/>
                <w:szCs w:val="18"/>
                <w:color w:val="auto"/>
              </w:rPr>
              <w:t>Listing</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7.5</w:t>
            </w:r>
          </w:p>
        </w:tc>
        <w:tc>
          <w:tcPr>
            <w:tcW w:w="9380" w:type="dxa"/>
            <w:vAlign w:val="bottom"/>
          </w:tcPr>
          <w:p>
            <w:pPr>
              <w:ind w:left="120"/>
              <w:spacing w:after="0"/>
              <w:rPr>
                <w:sz w:val="20"/>
                <w:szCs w:val="20"/>
                <w:color w:val="auto"/>
              </w:rPr>
            </w:pPr>
            <w:r>
              <w:rPr>
                <w:rFonts w:ascii="Arial" w:cs="Arial" w:eastAsia="Arial" w:hAnsi="Arial"/>
                <w:sz w:val="18"/>
                <w:szCs w:val="18"/>
                <w:color w:val="auto"/>
              </w:rPr>
              <w:t>Shareholder Approvals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7.6</w:t>
            </w:r>
          </w:p>
        </w:tc>
        <w:tc>
          <w:tcPr>
            <w:tcW w:w="9380" w:type="dxa"/>
            <w:vAlign w:val="bottom"/>
          </w:tcPr>
          <w:p>
            <w:pPr>
              <w:ind w:left="120"/>
              <w:spacing w:after="0"/>
              <w:rPr>
                <w:sz w:val="20"/>
                <w:szCs w:val="20"/>
                <w:color w:val="auto"/>
              </w:rPr>
            </w:pPr>
            <w:r>
              <w:rPr>
                <w:rFonts w:ascii="Arial" w:cs="Arial" w:eastAsia="Arial" w:hAnsi="Arial"/>
                <w:sz w:val="18"/>
                <w:szCs w:val="18"/>
                <w:color w:val="auto"/>
              </w:rPr>
              <w:t>Closing Certificate</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7.7</w:t>
            </w:r>
          </w:p>
        </w:tc>
        <w:tc>
          <w:tcPr>
            <w:tcW w:w="9380" w:type="dxa"/>
            <w:vAlign w:val="bottom"/>
          </w:tcPr>
          <w:p>
            <w:pPr>
              <w:ind w:left="120"/>
              <w:spacing w:after="0"/>
              <w:rPr>
                <w:sz w:val="20"/>
                <w:szCs w:val="20"/>
                <w:color w:val="auto"/>
              </w:rPr>
            </w:pPr>
            <w:r>
              <w:rPr>
                <w:rFonts w:ascii="Arial" w:cs="Arial" w:eastAsia="Arial" w:hAnsi="Arial"/>
                <w:sz w:val="18"/>
                <w:szCs w:val="18"/>
                <w:color w:val="auto"/>
              </w:rPr>
              <w:t>No Material Adverse Effect on Marvell</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7.8</w:t>
            </w:r>
          </w:p>
        </w:tc>
        <w:tc>
          <w:tcPr>
            <w:tcW w:w="9380" w:type="dxa"/>
            <w:vAlign w:val="bottom"/>
          </w:tcPr>
          <w:p>
            <w:pPr>
              <w:ind w:left="120"/>
              <w:spacing w:after="0"/>
              <w:rPr>
                <w:sz w:val="20"/>
                <w:szCs w:val="20"/>
                <w:color w:val="auto"/>
              </w:rPr>
            </w:pPr>
            <w:r>
              <w:rPr>
                <w:rFonts w:ascii="Arial" w:cs="Arial" w:eastAsia="Arial" w:hAnsi="Arial"/>
                <w:sz w:val="18"/>
                <w:szCs w:val="18"/>
                <w:color w:val="auto"/>
              </w:rPr>
              <w:t>Regulatory Matters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7.9</w:t>
            </w:r>
          </w:p>
        </w:tc>
        <w:tc>
          <w:tcPr>
            <w:tcW w:w="9380" w:type="dxa"/>
            <w:vAlign w:val="bottom"/>
          </w:tcPr>
          <w:p>
            <w:pPr>
              <w:ind w:left="120"/>
              <w:spacing w:after="0"/>
              <w:rPr>
                <w:sz w:val="20"/>
                <w:szCs w:val="20"/>
                <w:color w:val="auto"/>
              </w:rPr>
            </w:pPr>
            <w:r>
              <w:rPr>
                <w:rFonts w:ascii="Arial" w:cs="Arial" w:eastAsia="Arial" w:hAnsi="Arial"/>
                <w:sz w:val="18"/>
                <w:szCs w:val="18"/>
                <w:color w:val="auto"/>
              </w:rPr>
              <w:t>No Restraints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8.</w:t>
            </w:r>
          </w:p>
        </w:tc>
        <w:tc>
          <w:tcPr>
            <w:tcW w:w="9380" w:type="dxa"/>
            <w:vAlign w:val="bottom"/>
          </w:tcPr>
          <w:p>
            <w:pPr>
              <w:ind w:left="120"/>
              <w:spacing w:after="0"/>
              <w:rPr>
                <w:sz w:val="20"/>
                <w:szCs w:val="20"/>
                <w:color w:val="auto"/>
              </w:rPr>
            </w:pPr>
            <w:r>
              <w:rPr>
                <w:rFonts w:ascii="Arial" w:cs="Arial" w:eastAsia="Arial" w:hAnsi="Arial"/>
                <w:sz w:val="18"/>
                <w:szCs w:val="18"/>
                <w:color w:val="auto"/>
              </w:rPr>
              <w:t>TERMINATION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8.1</w:t>
            </w:r>
          </w:p>
        </w:tc>
        <w:tc>
          <w:tcPr>
            <w:tcW w:w="9380" w:type="dxa"/>
            <w:vAlign w:val="bottom"/>
          </w:tcPr>
          <w:p>
            <w:pPr>
              <w:ind w:left="120"/>
              <w:spacing w:after="0"/>
              <w:rPr>
                <w:sz w:val="20"/>
                <w:szCs w:val="20"/>
                <w:color w:val="auto"/>
              </w:rPr>
            </w:pPr>
            <w:r>
              <w:rPr>
                <w:rFonts w:ascii="Arial" w:cs="Arial" w:eastAsia="Arial" w:hAnsi="Arial"/>
                <w:sz w:val="18"/>
                <w:szCs w:val="18"/>
                <w:color w:val="auto"/>
              </w:rPr>
              <w:t>Termination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8.2</w:t>
            </w:r>
          </w:p>
        </w:tc>
        <w:tc>
          <w:tcPr>
            <w:tcW w:w="9380" w:type="dxa"/>
            <w:vAlign w:val="bottom"/>
          </w:tcPr>
          <w:p>
            <w:pPr>
              <w:ind w:left="120"/>
              <w:spacing w:after="0"/>
              <w:rPr>
                <w:sz w:val="20"/>
                <w:szCs w:val="20"/>
                <w:color w:val="auto"/>
              </w:rPr>
            </w:pPr>
            <w:r>
              <w:rPr>
                <w:rFonts w:ascii="Arial" w:cs="Arial" w:eastAsia="Arial" w:hAnsi="Arial"/>
                <w:sz w:val="18"/>
                <w:szCs w:val="18"/>
                <w:color w:val="auto"/>
              </w:rPr>
              <w:t>Effect of Termination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8.3</w:t>
            </w:r>
          </w:p>
        </w:tc>
        <w:tc>
          <w:tcPr>
            <w:tcW w:w="9380" w:type="dxa"/>
            <w:vAlign w:val="bottom"/>
          </w:tcPr>
          <w:p>
            <w:pPr>
              <w:ind w:left="120"/>
              <w:spacing w:after="0"/>
              <w:rPr>
                <w:sz w:val="20"/>
                <w:szCs w:val="20"/>
                <w:color w:val="auto"/>
              </w:rPr>
            </w:pPr>
            <w:r>
              <w:rPr>
                <w:rFonts w:ascii="Arial" w:cs="Arial" w:eastAsia="Arial" w:hAnsi="Arial"/>
                <w:sz w:val="18"/>
                <w:szCs w:val="18"/>
                <w:color w:val="auto"/>
              </w:rPr>
              <w:t>Expenses; Termination Fees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16"/>
        </w:trPr>
        <w:tc>
          <w:tcPr>
            <w:tcW w:w="1060" w:type="dxa"/>
            <w:vAlign w:val="bottom"/>
          </w:tcPr>
          <w:p>
            <w:pPr>
              <w:spacing w:after="0"/>
              <w:rPr>
                <w:sz w:val="20"/>
                <w:szCs w:val="20"/>
                <w:color w:val="auto"/>
              </w:rPr>
            </w:pPr>
            <w:r>
              <w:rPr>
                <w:rFonts w:ascii="Arial" w:cs="Arial" w:eastAsia="Arial" w:hAnsi="Arial"/>
                <w:sz w:val="18"/>
                <w:szCs w:val="18"/>
                <w:color w:val="auto"/>
              </w:rPr>
              <w:t>SECTION 9.</w:t>
            </w:r>
          </w:p>
        </w:tc>
        <w:tc>
          <w:tcPr>
            <w:tcW w:w="9380" w:type="dxa"/>
            <w:vAlign w:val="bottom"/>
          </w:tcPr>
          <w:p>
            <w:pPr>
              <w:ind w:left="120"/>
              <w:spacing w:after="0"/>
              <w:rPr>
                <w:sz w:val="20"/>
                <w:szCs w:val="20"/>
                <w:color w:val="auto"/>
              </w:rPr>
            </w:pPr>
            <w:r>
              <w:rPr>
                <w:rFonts w:ascii="Arial" w:cs="Arial" w:eastAsia="Arial" w:hAnsi="Arial"/>
                <w:sz w:val="18"/>
                <w:szCs w:val="18"/>
                <w:color w:val="auto"/>
              </w:rPr>
              <w:t>MISCELLANEOUS PROVISIONS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9.1</w:t>
            </w:r>
          </w:p>
        </w:tc>
        <w:tc>
          <w:tcPr>
            <w:tcW w:w="9380" w:type="dxa"/>
            <w:vAlign w:val="bottom"/>
          </w:tcPr>
          <w:p>
            <w:pPr>
              <w:ind w:left="120"/>
              <w:spacing w:after="0"/>
              <w:rPr>
                <w:sz w:val="20"/>
                <w:szCs w:val="20"/>
                <w:color w:val="auto"/>
              </w:rPr>
            </w:pPr>
            <w:r>
              <w:rPr>
                <w:rFonts w:ascii="Arial" w:cs="Arial" w:eastAsia="Arial" w:hAnsi="Arial"/>
                <w:sz w:val="18"/>
                <w:szCs w:val="18"/>
                <w:color w:val="auto"/>
              </w:rPr>
              <w:t>Amendment</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9.2</w:t>
            </w:r>
          </w:p>
        </w:tc>
        <w:tc>
          <w:tcPr>
            <w:tcW w:w="9380" w:type="dxa"/>
            <w:vAlign w:val="bottom"/>
          </w:tcPr>
          <w:p>
            <w:pPr>
              <w:ind w:left="120"/>
              <w:spacing w:after="0"/>
              <w:rPr>
                <w:sz w:val="20"/>
                <w:szCs w:val="20"/>
                <w:color w:val="auto"/>
              </w:rPr>
            </w:pPr>
            <w:r>
              <w:rPr>
                <w:rFonts w:ascii="Arial" w:cs="Arial" w:eastAsia="Arial" w:hAnsi="Arial"/>
                <w:sz w:val="18"/>
                <w:szCs w:val="18"/>
                <w:color w:val="auto"/>
              </w:rPr>
              <w:t>Waiver</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81</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9.3</w:t>
            </w:r>
          </w:p>
        </w:tc>
        <w:tc>
          <w:tcPr>
            <w:tcW w:w="9380" w:type="dxa"/>
            <w:vAlign w:val="bottom"/>
          </w:tcPr>
          <w:p>
            <w:pPr>
              <w:ind w:left="120"/>
              <w:spacing w:after="0"/>
              <w:rPr>
                <w:sz w:val="20"/>
                <w:szCs w:val="20"/>
                <w:color w:val="auto"/>
              </w:rPr>
            </w:pPr>
            <w:r>
              <w:rPr>
                <w:rFonts w:ascii="Arial" w:cs="Arial" w:eastAsia="Arial" w:hAnsi="Arial"/>
                <w:sz w:val="18"/>
                <w:szCs w:val="18"/>
                <w:color w:val="auto"/>
              </w:rPr>
              <w:t>No Survival of Representations and Warranties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9.4</w:t>
            </w:r>
          </w:p>
        </w:tc>
        <w:tc>
          <w:tcPr>
            <w:tcW w:w="9380" w:type="dxa"/>
            <w:vAlign w:val="bottom"/>
          </w:tcPr>
          <w:p>
            <w:pPr>
              <w:ind w:left="120"/>
              <w:spacing w:after="0"/>
              <w:rPr>
                <w:sz w:val="20"/>
                <w:szCs w:val="20"/>
                <w:color w:val="auto"/>
              </w:rPr>
            </w:pPr>
            <w:r>
              <w:rPr>
                <w:rFonts w:ascii="Arial" w:cs="Arial" w:eastAsia="Arial" w:hAnsi="Arial"/>
                <w:sz w:val="18"/>
                <w:szCs w:val="18"/>
                <w:color w:val="auto"/>
              </w:rPr>
              <w:t>Entire Agreement; Counterparts; Exchanges by Facsimile or Electronic Delivery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9.5</w:t>
            </w:r>
          </w:p>
        </w:tc>
        <w:tc>
          <w:tcPr>
            <w:tcW w:w="9380" w:type="dxa"/>
            <w:vAlign w:val="bottom"/>
          </w:tcPr>
          <w:p>
            <w:pPr>
              <w:ind w:left="120"/>
              <w:spacing w:after="0"/>
              <w:rPr>
                <w:sz w:val="20"/>
                <w:szCs w:val="20"/>
                <w:color w:val="auto"/>
              </w:rPr>
            </w:pPr>
            <w:r>
              <w:rPr>
                <w:rFonts w:ascii="Arial" w:cs="Arial" w:eastAsia="Arial" w:hAnsi="Arial"/>
                <w:sz w:val="18"/>
                <w:szCs w:val="18"/>
                <w:color w:val="auto"/>
              </w:rPr>
              <w:t>Applicable Law; Jurisdiction; Waiver of Jury Trial</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9.6</w:t>
            </w:r>
          </w:p>
        </w:tc>
        <w:tc>
          <w:tcPr>
            <w:tcW w:w="9380" w:type="dxa"/>
            <w:vAlign w:val="bottom"/>
          </w:tcPr>
          <w:p>
            <w:pPr>
              <w:ind w:left="120"/>
              <w:spacing w:after="0"/>
              <w:rPr>
                <w:sz w:val="20"/>
                <w:szCs w:val="20"/>
                <w:color w:val="auto"/>
              </w:rPr>
            </w:pPr>
            <w:r>
              <w:rPr>
                <w:rFonts w:ascii="Arial" w:cs="Arial" w:eastAsia="Arial" w:hAnsi="Arial"/>
                <w:sz w:val="18"/>
                <w:szCs w:val="18"/>
                <w:color w:val="auto"/>
              </w:rPr>
              <w:t>Disclosure Schedules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9.7</w:t>
            </w:r>
          </w:p>
        </w:tc>
        <w:tc>
          <w:tcPr>
            <w:tcW w:w="9380" w:type="dxa"/>
            <w:vAlign w:val="bottom"/>
          </w:tcPr>
          <w:p>
            <w:pPr>
              <w:ind w:left="120"/>
              <w:spacing w:after="0"/>
              <w:rPr>
                <w:sz w:val="20"/>
                <w:szCs w:val="20"/>
                <w:color w:val="auto"/>
              </w:rPr>
            </w:pPr>
            <w:r>
              <w:rPr>
                <w:rFonts w:ascii="Arial" w:cs="Arial" w:eastAsia="Arial" w:hAnsi="Arial"/>
                <w:sz w:val="18"/>
                <w:szCs w:val="18"/>
                <w:color w:val="auto"/>
              </w:rPr>
              <w:t>Assignability; No Third-Party Beneficiaries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9.8</w:t>
            </w:r>
          </w:p>
        </w:tc>
        <w:tc>
          <w:tcPr>
            <w:tcW w:w="9380" w:type="dxa"/>
            <w:vAlign w:val="bottom"/>
          </w:tcPr>
          <w:p>
            <w:pPr>
              <w:ind w:left="120"/>
              <w:spacing w:after="0"/>
              <w:rPr>
                <w:sz w:val="20"/>
                <w:szCs w:val="20"/>
                <w:color w:val="auto"/>
              </w:rPr>
            </w:pPr>
            <w:r>
              <w:rPr>
                <w:rFonts w:ascii="Arial" w:cs="Arial" w:eastAsia="Arial" w:hAnsi="Arial"/>
                <w:sz w:val="18"/>
                <w:szCs w:val="18"/>
                <w:color w:val="auto"/>
              </w:rPr>
              <w:t>Notices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9.9</w:t>
            </w:r>
          </w:p>
        </w:tc>
        <w:tc>
          <w:tcPr>
            <w:tcW w:w="9380" w:type="dxa"/>
            <w:vAlign w:val="bottom"/>
          </w:tcPr>
          <w:p>
            <w:pPr>
              <w:ind w:left="120"/>
              <w:spacing w:after="0"/>
              <w:rPr>
                <w:sz w:val="20"/>
                <w:szCs w:val="20"/>
                <w:color w:val="auto"/>
              </w:rPr>
            </w:pPr>
            <w:r>
              <w:rPr>
                <w:rFonts w:ascii="Arial" w:cs="Arial" w:eastAsia="Arial" w:hAnsi="Arial"/>
                <w:sz w:val="18"/>
                <w:szCs w:val="18"/>
                <w:color w:val="auto"/>
              </w:rPr>
              <w:t>Cooperation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9.10</w:t>
            </w:r>
          </w:p>
        </w:tc>
        <w:tc>
          <w:tcPr>
            <w:tcW w:w="9380" w:type="dxa"/>
            <w:vAlign w:val="bottom"/>
          </w:tcPr>
          <w:p>
            <w:pPr>
              <w:ind w:left="120"/>
              <w:spacing w:after="0"/>
              <w:rPr>
                <w:sz w:val="20"/>
                <w:szCs w:val="20"/>
                <w:color w:val="auto"/>
              </w:rPr>
            </w:pPr>
            <w:r>
              <w:rPr>
                <w:rFonts w:ascii="Arial" w:cs="Arial" w:eastAsia="Arial" w:hAnsi="Arial"/>
                <w:sz w:val="18"/>
                <w:szCs w:val="18"/>
                <w:color w:val="auto"/>
              </w:rPr>
              <w:t>Severability</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16"/>
        </w:trPr>
        <w:tc>
          <w:tcPr>
            <w:tcW w:w="1060" w:type="dxa"/>
            <w:vAlign w:val="bottom"/>
          </w:tcPr>
          <w:p>
            <w:pPr>
              <w:ind w:left="620"/>
              <w:spacing w:after="0"/>
              <w:rPr>
                <w:sz w:val="20"/>
                <w:szCs w:val="20"/>
                <w:color w:val="auto"/>
              </w:rPr>
            </w:pPr>
            <w:r>
              <w:rPr>
                <w:rFonts w:ascii="Arial" w:cs="Arial" w:eastAsia="Arial" w:hAnsi="Arial"/>
                <w:sz w:val="18"/>
                <w:szCs w:val="18"/>
                <w:color w:val="auto"/>
              </w:rPr>
              <w:t>9.11</w:t>
            </w:r>
          </w:p>
        </w:tc>
        <w:tc>
          <w:tcPr>
            <w:tcW w:w="9380" w:type="dxa"/>
            <w:vAlign w:val="bottom"/>
          </w:tcPr>
          <w:p>
            <w:pPr>
              <w:ind w:left="120"/>
              <w:spacing w:after="0"/>
              <w:rPr>
                <w:sz w:val="20"/>
                <w:szCs w:val="20"/>
                <w:color w:val="auto"/>
              </w:rPr>
            </w:pPr>
            <w:r>
              <w:rPr>
                <w:rFonts w:ascii="Arial" w:cs="Arial" w:eastAsia="Arial" w:hAnsi="Arial"/>
                <w:sz w:val="18"/>
                <w:szCs w:val="18"/>
                <w:color w:val="auto"/>
              </w:rPr>
              <w:t>Remedies</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30"/>
        </w:trPr>
        <w:tc>
          <w:tcPr>
            <w:tcW w:w="1060" w:type="dxa"/>
            <w:vAlign w:val="bottom"/>
          </w:tcPr>
          <w:p>
            <w:pPr>
              <w:ind w:left="620"/>
              <w:spacing w:after="0"/>
              <w:rPr>
                <w:sz w:val="20"/>
                <w:szCs w:val="20"/>
                <w:color w:val="auto"/>
              </w:rPr>
            </w:pPr>
            <w:r>
              <w:rPr>
                <w:rFonts w:ascii="Arial" w:cs="Arial" w:eastAsia="Arial" w:hAnsi="Arial"/>
                <w:sz w:val="18"/>
                <w:szCs w:val="18"/>
                <w:color w:val="auto"/>
              </w:rPr>
              <w:t>9.12</w:t>
            </w:r>
          </w:p>
        </w:tc>
        <w:tc>
          <w:tcPr>
            <w:tcW w:w="9380" w:type="dxa"/>
            <w:vAlign w:val="bottom"/>
          </w:tcPr>
          <w:p>
            <w:pPr>
              <w:ind w:left="120"/>
              <w:spacing w:after="0"/>
              <w:rPr>
                <w:sz w:val="20"/>
                <w:szCs w:val="20"/>
                <w:color w:val="auto"/>
              </w:rPr>
            </w:pPr>
            <w:r>
              <w:rPr>
                <w:rFonts w:ascii="Arial" w:cs="Arial" w:eastAsia="Arial" w:hAnsi="Arial"/>
                <w:sz w:val="18"/>
                <w:szCs w:val="18"/>
                <w:color w:val="auto"/>
              </w:rPr>
              <w:t>Construction</w:t>
            </w:r>
          </w:p>
        </w:tc>
        <w:tc>
          <w:tcPr>
            <w:tcW w:w="340" w:type="dxa"/>
            <w:vAlign w:val="bottom"/>
            <w:gridSpan w:val="2"/>
          </w:tcPr>
          <w:p>
            <w:pPr>
              <w:jc w:val="right"/>
              <w:ind w:right="2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jc w:val="center"/>
        <w:ind w:right="-7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760"/>
          </w:cols>
          <w:pgMar w:left="640" w:top="269" w:right="499" w:bottom="1440" w:gutter="0" w:footer="0" w:header="0"/>
        </w:sectPr>
      </w:pPr>
    </w:p>
    <w:bookmarkStart w:id="10" w:name="page11"/>
    <w:bookmarkEnd w:id="10"/>
    <w:p>
      <w:pPr>
        <w:ind w:left="51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w:t>
      </w:r>
      <w:r>
        <w:rPr>
          <w:rFonts w:ascii="Arial" w:cs="Arial" w:eastAsia="Arial" w:hAnsi="Arial"/>
          <w:sz w:val="14"/>
          <w:szCs w:val="14"/>
          <w:b w:val="1"/>
          <w:bCs w:val="1"/>
          <w:color w:val="auto"/>
        </w:rPr>
        <w:t>XHIBITS</w:t>
      </w:r>
    </w:p>
    <w:p>
      <w:pPr>
        <w:sectPr>
          <w:pgSz w:w="11900" w:h="16838" w:orient="portrait"/>
          <w:cols w:equalWidth="0" w:num="1">
            <w:col w:w="10019"/>
          </w:cols>
          <w:pgMar w:left="440" w:top="270" w:right="1440" w:bottom="1440" w:gutter="0" w:footer="0" w:header="0"/>
        </w:sectPr>
      </w:pPr>
    </w:p>
    <w:p>
      <w:pPr>
        <w:spacing w:after="0" w:line="378" w:lineRule="exact"/>
        <w:rPr>
          <w:sz w:val="20"/>
          <w:szCs w:val="20"/>
          <w:color w:val="auto"/>
        </w:rPr>
      </w:pPr>
    </w:p>
    <w:p>
      <w:pPr>
        <w:jc w:val="both"/>
        <w:spacing w:after="0" w:line="407" w:lineRule="auto"/>
        <w:rPr>
          <w:sz w:val="20"/>
          <w:szCs w:val="20"/>
          <w:color w:val="auto"/>
        </w:rPr>
      </w:pPr>
      <w:r>
        <w:rPr>
          <w:rFonts w:ascii="Arial" w:cs="Arial" w:eastAsia="Arial" w:hAnsi="Arial"/>
          <w:sz w:val="17"/>
          <w:szCs w:val="17"/>
          <w:color w:val="auto"/>
        </w:rPr>
        <w:t>Exhibit A Exhibit B Exhibit C Exhibit D 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6"/>
          <w:szCs w:val="16"/>
          <w:color w:val="auto"/>
        </w:rPr>
        <w:t>-</w:t>
      </w:r>
      <w:r>
        <w:rPr>
          <w:sz w:val="20"/>
          <w:szCs w:val="20"/>
          <w:color w:val="auto"/>
        </w:rPr>
        <w:tab/>
      </w:r>
      <w:r>
        <w:rPr>
          <w:rFonts w:ascii="Arial" w:cs="Arial" w:eastAsia="Arial" w:hAnsi="Arial"/>
          <w:sz w:val="16"/>
          <w:szCs w:val="16"/>
          <w:color w:val="auto"/>
        </w:rPr>
        <w:t>Form of Amended and Restated Certificate of Incorporation of HoldCo</w:t>
      </w:r>
    </w:p>
    <w:p>
      <w:pPr>
        <w:spacing w:after="0" w:line="14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Marvell Bye-Law Amendment</w:t>
      </w:r>
    </w:p>
    <w:p>
      <w:pPr>
        <w:spacing w:after="0" w:line="157" w:lineRule="exact"/>
        <w:rPr>
          <w:sz w:val="20"/>
          <w:szCs w:val="20"/>
          <w:color w:val="auto"/>
        </w:rPr>
      </w:pPr>
    </w:p>
    <w:p>
      <w:pPr>
        <w:sectPr>
          <w:pgSz w:w="11900" w:h="16838" w:orient="portrait"/>
          <w:cols w:equalWidth="0" w:num="2">
            <w:col w:w="700" w:space="600"/>
            <w:col w:w="8719"/>
          </w:cols>
          <w:pgMar w:left="440" w:top="270" w:right="1440" w:bottom="1440" w:gutter="0" w:footer="0" w:header="0"/>
          <w:type w:val="continuous"/>
        </w:sectPr>
      </w:pPr>
    </w:p>
    <w:p>
      <w:pPr>
        <w:ind w:left="5440"/>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0019"/>
          </w:cols>
          <w:pgMar w:left="440" w:top="270" w:right="1440" w:bottom="1440" w:gutter="0" w:footer="0" w:header="0"/>
          <w:type w:val="continuous"/>
        </w:sectPr>
      </w:pPr>
    </w:p>
    <w:bookmarkStart w:id="11" w:name="page12"/>
    <w:bookmarkEnd w:id="11"/>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AGREEMENT AND PLAN OF MERGER AND REORGANIZATION</w:t>
      </w:r>
    </w:p>
    <w:p>
      <w:pPr>
        <w:spacing w:after="0" w:line="225"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4"/>
          <w:szCs w:val="14"/>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 AND</w:t>
      </w:r>
      <w:r>
        <w:rPr>
          <w:rFonts w:ascii="Arial" w:cs="Arial" w:eastAsia="Arial" w:hAnsi="Arial"/>
          <w:sz w:val="18"/>
          <w:szCs w:val="18"/>
          <w:b w:val="1"/>
          <w:bCs w:val="1"/>
          <w:color w:val="auto"/>
        </w:rPr>
        <w:t xml:space="preserve"> R</w:t>
      </w:r>
      <w:r>
        <w:rPr>
          <w:rFonts w:ascii="Arial" w:cs="Arial" w:eastAsia="Arial" w:hAnsi="Arial"/>
          <w:sz w:val="14"/>
          <w:szCs w:val="14"/>
          <w:b w:val="1"/>
          <w:bCs w:val="1"/>
          <w:color w:val="auto"/>
        </w:rPr>
        <w:t>EORGANIZATION</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October 29, 2020, by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among: (a) </w:t>
      </w: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color w:val="auto"/>
        </w:rPr>
        <w:t xml:space="preserve"> </w:t>
      </w:r>
      <w:r>
        <w:rPr>
          <w:rFonts w:ascii="Arial" w:cs="Arial" w:eastAsia="Arial" w:hAnsi="Arial"/>
          <w:sz w:val="18"/>
          <w:szCs w:val="18"/>
          <w:b w:val="1"/>
          <w:bCs w:val="1"/>
          <w:color w:val="auto"/>
        </w:rPr>
        <w:t>T</w:t>
      </w:r>
      <w:r>
        <w:rPr>
          <w:rFonts w:ascii="Arial" w:cs="Arial" w:eastAsia="Arial" w:hAnsi="Arial"/>
          <w:sz w:val="14"/>
          <w:szCs w:val="14"/>
          <w:b w:val="1"/>
          <w:bCs w:val="1"/>
          <w:color w:val="auto"/>
        </w:rPr>
        <w:t>ECHNOLOGY</w:t>
      </w:r>
      <w:r>
        <w:rPr>
          <w:rFonts w:ascii="Arial" w:cs="Arial" w:eastAsia="Arial" w:hAnsi="Arial"/>
          <w:sz w:val="18"/>
          <w:szCs w:val="18"/>
          <w:color w:val="auto"/>
        </w:rPr>
        <w:t xml:space="preserve"> </w:t>
      </w:r>
      <w:r>
        <w:rPr>
          <w:rFonts w:ascii="Arial" w:cs="Arial" w:eastAsia="Arial" w:hAnsi="Arial"/>
          <w:sz w:val="18"/>
          <w:szCs w:val="18"/>
          <w:b w:val="1"/>
          <w:bCs w:val="1"/>
          <w:color w:val="auto"/>
        </w:rPr>
        <w:t>G</w:t>
      </w:r>
      <w:r>
        <w:rPr>
          <w:rFonts w:ascii="Arial" w:cs="Arial" w:eastAsia="Arial" w:hAnsi="Arial"/>
          <w:sz w:val="14"/>
          <w:szCs w:val="14"/>
          <w:b w:val="1"/>
          <w:bCs w:val="1"/>
          <w:color w:val="auto"/>
        </w:rPr>
        <w:t>ROUP</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Marvell</w:t>
      </w:r>
      <w:r>
        <w:rPr>
          <w:rFonts w:ascii="Arial" w:cs="Arial" w:eastAsia="Arial" w:hAnsi="Arial"/>
          <w:sz w:val="18"/>
          <w:szCs w:val="18"/>
          <w:color w:val="auto"/>
        </w:rPr>
        <w:t xml:space="preserve">”); (b)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Marvell (“</w:t>
      </w:r>
      <w:r>
        <w:rPr>
          <w:rFonts w:ascii="Arial" w:cs="Arial" w:eastAsia="Arial" w:hAnsi="Arial"/>
          <w:sz w:val="18"/>
          <w:szCs w:val="18"/>
          <w:u w:val="single" w:color="auto"/>
          <w:color w:val="auto"/>
        </w:rPr>
        <w:t>HoldCo</w:t>
      </w:r>
      <w:r>
        <w:rPr>
          <w:rFonts w:ascii="Arial" w:cs="Arial" w:eastAsia="Arial" w:hAnsi="Arial"/>
          <w:sz w:val="18"/>
          <w:szCs w:val="18"/>
          <w:color w:val="auto"/>
        </w:rPr>
        <w:t xml:space="preserve">”); (c)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OMPANY</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color w:val="auto"/>
        </w:rPr>
        <w:t>, a Bermuda exempted company and a wholly owned Subsidiary of HoldCo (“</w:t>
      </w:r>
      <w:r>
        <w:rPr>
          <w:rFonts w:ascii="Arial" w:cs="Arial" w:eastAsia="Arial" w:hAnsi="Arial"/>
          <w:sz w:val="18"/>
          <w:szCs w:val="18"/>
          <w:u w:val="single" w:color="auto"/>
          <w:color w:val="auto"/>
        </w:rPr>
        <w:t>Bermuda Merger Sub</w:t>
      </w:r>
      <w:r>
        <w:rPr>
          <w:rFonts w:ascii="Arial" w:cs="Arial" w:eastAsia="Arial" w:hAnsi="Arial"/>
          <w:sz w:val="18"/>
          <w:szCs w:val="18"/>
          <w:color w:val="auto"/>
        </w:rPr>
        <w:t xml:space="preserve">”); (d) </w:t>
      </w: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HoldCo (“</w:t>
      </w:r>
      <w:r>
        <w:rPr>
          <w:rFonts w:ascii="Arial" w:cs="Arial" w:eastAsia="Arial" w:hAnsi="Arial"/>
          <w:sz w:val="18"/>
          <w:szCs w:val="18"/>
          <w:u w:val="single" w:color="auto"/>
          <w:color w:val="auto"/>
        </w:rPr>
        <w:t>Delaware Merger Sub</w:t>
      </w:r>
      <w:r>
        <w:rPr>
          <w:rFonts w:ascii="Arial" w:cs="Arial" w:eastAsia="Arial" w:hAnsi="Arial"/>
          <w:sz w:val="18"/>
          <w:szCs w:val="18"/>
          <w:color w:val="auto"/>
        </w:rPr>
        <w:t xml:space="preserve">”); and (e) </w:t>
      </w: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ORPORATION</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Arial" w:cs="Arial" w:eastAsia="Arial" w:hAnsi="Arial"/>
          <w:sz w:val="18"/>
          <w:szCs w:val="18"/>
          <w:u w:val="single" w:color="auto"/>
          <w:color w:val="auto"/>
        </w:rPr>
        <w:t>Principal Parties</w:t>
      </w:r>
      <w:r>
        <w:rPr>
          <w:rFonts w:ascii="Arial" w:cs="Arial" w:eastAsia="Arial" w:hAnsi="Arial"/>
          <w:sz w:val="18"/>
          <w:szCs w:val="18"/>
          <w:color w:val="auto"/>
        </w:rPr>
        <w:t>” and individually as a “</w:t>
      </w:r>
      <w:r>
        <w:rPr>
          <w:rFonts w:ascii="Arial" w:cs="Arial" w:eastAsia="Arial" w:hAnsi="Arial"/>
          <w:sz w:val="18"/>
          <w:szCs w:val="18"/>
          <w:u w:val="single" w:color="auto"/>
          <w:color w:val="auto"/>
        </w:rPr>
        <w:t>Principal Party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00" w:lineRule="exact"/>
        <w:rPr>
          <w:sz w:val="20"/>
          <w:szCs w:val="20"/>
          <w:color w:val="auto"/>
        </w:rPr>
      </w:pPr>
    </w:p>
    <w:p>
      <w:pPr>
        <w:spacing w:after="0" w:line="20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4"/>
          <w:szCs w:val="14"/>
          <w:b w:val="1"/>
          <w:bCs w:val="1"/>
          <w:color w:val="auto"/>
        </w:rPr>
        <w:t>ECITALS</w:t>
      </w:r>
    </w:p>
    <w:p>
      <w:pPr>
        <w:spacing w:after="0" w:line="225" w:lineRule="exact"/>
        <w:rPr>
          <w:sz w:val="20"/>
          <w:szCs w:val="20"/>
          <w:color w:val="auto"/>
        </w:rPr>
      </w:pPr>
    </w:p>
    <w:p>
      <w:pPr>
        <w:ind w:right="220" w:firstLine="440"/>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Marvell organized HoldCo, and HoldCo organized each of Bermuda Merger Sub and Delaware Merger Sub, for the purpose of effecting the</w:t>
      </w:r>
      <w:r>
        <w:rPr>
          <w:rFonts w:ascii="Arial" w:cs="Arial" w:eastAsia="Arial" w:hAnsi="Arial"/>
          <w:sz w:val="18"/>
          <w:szCs w:val="18"/>
          <w:b w:val="1"/>
          <w:bCs w:val="1"/>
          <w:color w:val="auto"/>
        </w:rPr>
        <w:t xml:space="preserve"> </w:t>
      </w:r>
      <w:r>
        <w:rPr>
          <w:rFonts w:ascii="Arial" w:cs="Arial" w:eastAsia="Arial" w:hAnsi="Arial"/>
          <w:sz w:val="18"/>
          <w:szCs w:val="18"/>
          <w:color w:val="auto"/>
        </w:rPr>
        <w:t>transactions contemplated by this Agreement.</w:t>
      </w:r>
    </w:p>
    <w:p>
      <w:pPr>
        <w:spacing w:after="0" w:line="162" w:lineRule="exact"/>
        <w:rPr>
          <w:sz w:val="20"/>
          <w:szCs w:val="20"/>
          <w:color w:val="auto"/>
        </w:rPr>
      </w:pPr>
    </w:p>
    <w:p>
      <w:pPr>
        <w:ind w:right="220" w:firstLine="440"/>
        <w:spacing w:after="0" w:line="261"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Marvell, HoldCo and Bermuda Merger Sub intend to effect a merger of Bermuda Merger Sub into Marvell (the “</w:t>
      </w:r>
      <w:r>
        <w:rPr>
          <w:rFonts w:ascii="Arial" w:cs="Arial" w:eastAsia="Arial" w:hAnsi="Arial"/>
          <w:sz w:val="18"/>
          <w:szCs w:val="18"/>
          <w:u w:val="single" w:color="auto"/>
          <w:color w:val="auto"/>
        </w:rPr>
        <w:t>Bermuda Merger</w:t>
      </w:r>
      <w:r>
        <w:rPr>
          <w:rFonts w:ascii="Arial" w:cs="Arial" w:eastAsia="Arial" w:hAnsi="Arial"/>
          <w:sz w:val="18"/>
          <w:szCs w:val="18"/>
          <w:color w:val="auto"/>
        </w:rPr>
        <w:t>”) 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accordance with this Agreement, a Statutory Merger Agreement in substantially the form of </w:t>
      </w:r>
      <w:r>
        <w:rPr>
          <w:rFonts w:ascii="Arial" w:cs="Arial" w:eastAsia="Arial" w:hAnsi="Arial"/>
          <w:sz w:val="18"/>
          <w:szCs w:val="18"/>
          <w:u w:val="single" w:color="auto"/>
          <w:color w:val="auto"/>
        </w:rPr>
        <w:t>Exhibit B</w:t>
      </w:r>
      <w:r>
        <w:rPr>
          <w:rFonts w:ascii="Arial" w:cs="Arial" w:eastAsia="Arial" w:hAnsi="Arial"/>
          <w:sz w:val="18"/>
          <w:szCs w:val="18"/>
          <w:color w:val="auto"/>
        </w:rPr>
        <w:t xml:space="preserve"> (the “</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and the Companies Act 1981 of Bermuda (the “</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Upon consummation of the Bermuda Merger, Bermuda Merger Sub will cease to exist and Marvell will become a wholly owned Subsidiary of HoldCo.</w:t>
      </w:r>
    </w:p>
    <w:p>
      <w:pPr>
        <w:spacing w:after="0" w:line="180" w:lineRule="exact"/>
        <w:rPr>
          <w:sz w:val="20"/>
          <w:szCs w:val="20"/>
          <w:color w:val="auto"/>
        </w:rPr>
      </w:pPr>
    </w:p>
    <w:p>
      <w:pPr>
        <w:ind w:right="120" w:firstLine="440"/>
        <w:spacing w:after="0" w:line="261"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Immediately after the consummation of the Bermuda Merger, the Company, HoldCo and Delaware Merger Sub intend to effect a merger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Sub into the Company (the “</w:t>
      </w:r>
      <w:r>
        <w:rPr>
          <w:rFonts w:ascii="Arial" w:cs="Arial" w:eastAsia="Arial" w:hAnsi="Arial"/>
          <w:sz w:val="18"/>
          <w:szCs w:val="18"/>
          <w:u w:val="single" w:color="auto"/>
          <w:color w:val="auto"/>
        </w:rPr>
        <w:t>Delaware Merger</w:t>
      </w:r>
      <w:r>
        <w:rPr>
          <w:rFonts w:ascii="Arial" w:cs="Arial" w:eastAsia="Arial" w:hAnsi="Arial"/>
          <w:sz w:val="18"/>
          <w:szCs w:val="18"/>
          <w:color w:val="auto"/>
        </w:rPr>
        <w:t>” and, together with the Bermuda Merger, the “</w:t>
      </w:r>
      <w:r>
        <w:rPr>
          <w:rFonts w:ascii="Arial" w:cs="Arial" w:eastAsia="Arial" w:hAnsi="Arial"/>
          <w:sz w:val="18"/>
          <w:szCs w:val="18"/>
          <w:u w:val="single" w:color="auto"/>
          <w:color w:val="auto"/>
        </w:rPr>
        <w:t>Mergers</w:t>
      </w:r>
      <w:r>
        <w:rPr>
          <w:rFonts w:ascii="Arial" w:cs="Arial" w:eastAsia="Arial" w:hAnsi="Arial"/>
          <w:sz w:val="18"/>
          <w:szCs w:val="18"/>
          <w:color w:val="auto"/>
        </w:rPr>
        <w:t>”) in accordance with this Agreement and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 Upon consummation of the Delaware Merger, Delaware Merger Sub will cease to exist and the Company will become a wholly owned Subsidiary of HoldCo.</w:t>
      </w:r>
    </w:p>
    <w:p>
      <w:pPr>
        <w:spacing w:after="0" w:line="180" w:lineRule="exact"/>
        <w:rPr>
          <w:sz w:val="20"/>
          <w:szCs w:val="20"/>
          <w:color w:val="auto"/>
        </w:rPr>
      </w:pPr>
    </w:p>
    <w:p>
      <w:pPr>
        <w:ind w:right="640" w:firstLine="440"/>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The respective boards of directors of HoldCo, Marvell and Bermuda Merger Sub have approved this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w:t>
      </w:r>
    </w:p>
    <w:p>
      <w:pPr>
        <w:spacing w:after="0" w:line="162" w:lineRule="exact"/>
        <w:rPr>
          <w:sz w:val="20"/>
          <w:szCs w:val="20"/>
          <w:color w:val="auto"/>
        </w:rPr>
      </w:pPr>
    </w:p>
    <w:p>
      <w:pPr>
        <w:ind w:right="520" w:firstLine="440"/>
        <w:spacing w:after="0" w:line="282" w:lineRule="auto"/>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The respective boards of directors of HoldCo, Delaware Merger Sub and the Company have approved this Agreement and the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Merger.</w:t>
      </w:r>
    </w:p>
    <w:p>
      <w:pPr>
        <w:spacing w:after="0" w:line="162" w:lineRule="exact"/>
        <w:rPr>
          <w:sz w:val="20"/>
          <w:szCs w:val="20"/>
          <w:color w:val="auto"/>
        </w:rPr>
      </w:pPr>
    </w:p>
    <w:p>
      <w:pPr>
        <w:jc w:val="both"/>
        <w:ind w:firstLine="440"/>
        <w:spacing w:after="0" w:line="266" w:lineRule="auto"/>
        <w:rPr>
          <w:sz w:val="20"/>
          <w:szCs w:val="20"/>
          <w:color w:val="auto"/>
        </w:rPr>
      </w:pPr>
      <w:r>
        <w:rPr>
          <w:rFonts w:ascii="Arial" w:cs="Arial" w:eastAsia="Arial" w:hAnsi="Arial"/>
          <w:sz w:val="18"/>
          <w:szCs w:val="18"/>
          <w:b w:val="1"/>
          <w:bCs w:val="1"/>
          <w:color w:val="auto"/>
        </w:rPr>
        <w:t xml:space="preserve">F. </w:t>
      </w:r>
      <w:r>
        <w:rPr>
          <w:rFonts w:ascii="Arial" w:cs="Arial" w:eastAsia="Arial" w:hAnsi="Arial"/>
          <w:sz w:val="18"/>
          <w:szCs w:val="18"/>
          <w:color w:val="auto"/>
        </w:rPr>
        <w:t>For U.S. federal income Tax purposes, it is intended that: (i) the Mergers, taken together, qualify as a transaction described in Section 351(a) of</w:t>
      </w:r>
      <w:r>
        <w:rPr>
          <w:rFonts w:ascii="Arial" w:cs="Arial" w:eastAsia="Arial" w:hAnsi="Arial"/>
          <w:sz w:val="18"/>
          <w:szCs w:val="18"/>
          <w:b w:val="1"/>
          <w:bCs w:val="1"/>
          <w:color w:val="auto"/>
        </w:rPr>
        <w:t xml:space="preserve"> </w:t>
      </w:r>
      <w:r>
        <w:rPr>
          <w:rFonts w:ascii="Arial" w:cs="Arial" w:eastAsia="Arial" w:hAnsi="Arial"/>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92"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4"/>
          <w:szCs w:val="14"/>
          <w:b w:val="1"/>
          <w:bCs w:val="1"/>
          <w:color w:val="auto"/>
        </w:rPr>
        <w:t>GREEMENT</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4"/>
          <w:szCs w:val="14"/>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RANSACTIONS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1.1 The Mergers</w:t>
      </w:r>
      <w:r>
        <w:rPr>
          <w:rFonts w:ascii="Arial" w:cs="Arial" w:eastAsia="Arial" w:hAnsi="Arial"/>
          <w:sz w:val="18"/>
          <w:szCs w:val="18"/>
          <w:color w:val="auto"/>
        </w:rPr>
        <w:t>.</w:t>
      </w:r>
    </w:p>
    <w:p>
      <w:pPr>
        <w:spacing w:after="0" w:line="121" w:lineRule="exact"/>
        <w:rPr>
          <w:sz w:val="20"/>
          <w:szCs w:val="20"/>
          <w:color w:val="auto"/>
        </w:rPr>
      </w:pPr>
    </w:p>
    <w:p>
      <w:pPr>
        <w:jc w:val="both"/>
        <w:ind w:right="80" w:firstLine="987"/>
        <w:spacing w:after="0" w:line="259" w:lineRule="auto"/>
        <w:tabs>
          <w:tab w:leader="none" w:pos="1246" w:val="left"/>
        </w:tabs>
        <w:numPr>
          <w:ilvl w:val="0"/>
          <w:numId w:val="4"/>
        </w:numPr>
        <w:rPr>
          <w:rFonts w:ascii="Arial" w:cs="Arial" w:eastAsia="Arial" w:hAnsi="Arial"/>
          <w:sz w:val="18"/>
          <w:szCs w:val="18"/>
          <w:b w:val="1"/>
          <w:bCs w:val="1"/>
          <w:color w:val="auto"/>
        </w:rPr>
      </w:pPr>
      <w:r>
        <w:rPr>
          <w:rFonts w:ascii="Arial" w:cs="Arial" w:eastAsia="Arial" w:hAnsi="Arial"/>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w:t>
      </w:r>
    </w:p>
    <w:p>
      <w:pPr>
        <w:sectPr>
          <w:pgSz w:w="11900" w:h="16838" w:orient="portrait"/>
          <w:cols w:equalWidth="0" w:num="1">
            <w:col w:w="10960"/>
          </w:cols>
          <w:pgMar w:left="440" w:top="270" w:right="499" w:bottom="1440" w:gutter="0" w:footer="0" w:header="0"/>
        </w:sectPr>
      </w:pPr>
    </w:p>
    <w:bookmarkStart w:id="12" w:name="page13"/>
    <w:bookmarkEnd w:id="12"/>
    <w:p>
      <w:pPr>
        <w:jc w:val="both"/>
        <w:ind w:left="4" w:right="300" w:firstLine="987"/>
        <w:spacing w:after="0" w:line="311" w:lineRule="auto"/>
        <w:tabs>
          <w:tab w:leader="none" w:pos="1260" w:val="left"/>
        </w:tabs>
        <w:numPr>
          <w:ilvl w:val="0"/>
          <w:numId w:val="5"/>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Arial" w:cs="Arial" w:eastAsia="Arial" w:hAnsi="Arial"/>
          <w:sz w:val="16"/>
          <w:szCs w:val="16"/>
          <w:u w:val="single" w:color="auto"/>
          <w:color w:val="auto"/>
        </w:rPr>
        <w:t>Surviving Delaware Corporation</w:t>
      </w:r>
      <w:r>
        <w:rPr>
          <w:rFonts w:ascii="Arial" w:cs="Arial" w:eastAsia="Arial" w:hAnsi="Arial"/>
          <w:sz w:val="16"/>
          <w:szCs w:val="16"/>
          <w:color w:val="auto"/>
        </w:rPr>
        <w:t>”).</w:t>
      </w:r>
    </w:p>
    <w:p>
      <w:pPr>
        <w:spacing w:after="0" w:line="145" w:lineRule="exact"/>
        <w:rPr>
          <w:sz w:val="20"/>
          <w:szCs w:val="20"/>
          <w:color w:val="auto"/>
        </w:rPr>
      </w:pPr>
    </w:p>
    <w:p>
      <w:pPr>
        <w:ind w:left="4" w:right="300" w:firstLine="440"/>
        <w:spacing w:after="0" w:line="266" w:lineRule="auto"/>
        <w:rPr>
          <w:sz w:val="20"/>
          <w:szCs w:val="20"/>
          <w:color w:val="auto"/>
        </w:rPr>
      </w:pPr>
      <w:r>
        <w:rPr>
          <w:rFonts w:ascii="Arial" w:cs="Arial" w:eastAsia="Arial" w:hAnsi="Arial"/>
          <w:sz w:val="18"/>
          <w:szCs w:val="18"/>
          <w:b w:val="1"/>
          <w:bCs w:val="1"/>
          <w:color w:val="auto"/>
        </w:rPr>
        <w:t>1.2 Effects of the Mergers</w:t>
      </w:r>
      <w:r>
        <w:rPr>
          <w:rFonts w:ascii="Arial" w:cs="Arial" w:eastAsia="Arial" w:hAnsi="Arial"/>
          <w:sz w:val="18"/>
          <w:szCs w:val="18"/>
          <w:color w:val="auto"/>
        </w:rPr>
        <w:t>. The Bermuda Merger will have the effects set forth in this Agreement, the Statutory Merger Agreement and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provisions of the Bermuda Companies Act. The Delaware Merger will have the effects set forth in this Agreement and in the applicable provisions of the DGCL.</w:t>
      </w:r>
    </w:p>
    <w:p>
      <w:pPr>
        <w:spacing w:after="0" w:line="176" w:lineRule="exact"/>
        <w:rPr>
          <w:sz w:val="20"/>
          <w:szCs w:val="20"/>
          <w:color w:val="auto"/>
        </w:rPr>
      </w:pPr>
    </w:p>
    <w:p>
      <w:pPr>
        <w:ind w:left="4" w:right="20" w:firstLine="440"/>
        <w:spacing w:after="0" w:line="284" w:lineRule="auto"/>
        <w:rPr>
          <w:sz w:val="20"/>
          <w:szCs w:val="20"/>
          <w:color w:val="auto"/>
        </w:rPr>
      </w:pPr>
      <w:r>
        <w:rPr>
          <w:rFonts w:ascii="Arial" w:cs="Arial" w:eastAsia="Arial" w:hAnsi="Arial"/>
          <w:sz w:val="16"/>
          <w:szCs w:val="16"/>
          <w:b w:val="1"/>
          <w:bCs w:val="1"/>
          <w:color w:val="auto"/>
        </w:rPr>
        <w:t>1.3 Closing</w:t>
      </w:r>
      <w:r>
        <w:rPr>
          <w:rFonts w:ascii="Arial" w:cs="Arial" w:eastAsia="Arial" w:hAnsi="Arial"/>
          <w:sz w:val="16"/>
          <w:szCs w:val="16"/>
          <w:color w:val="auto"/>
        </w:rPr>
        <w:t>. The consummation of the Contemplated Transactions (the “</w:t>
      </w:r>
      <w:r>
        <w:rPr>
          <w:rFonts w:ascii="Arial" w:cs="Arial" w:eastAsia="Arial" w:hAnsi="Arial"/>
          <w:sz w:val="16"/>
          <w:szCs w:val="16"/>
          <w:u w:val="single" w:color="auto"/>
          <w:color w:val="auto"/>
        </w:rPr>
        <w:t>Closing”</w:t>
      </w:r>
      <w:r>
        <w:rPr>
          <w:rFonts w:ascii="Arial" w:cs="Arial" w:eastAsia="Arial" w:hAnsi="Arial"/>
          <w:sz w:val="16"/>
          <w:szCs w:val="16"/>
          <w:color w:val="auto"/>
        </w:rPr>
        <w:t>) will take place at the offices of Hogan Lovells US LLP, 4085</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xml:space="preserve">, which are to be satisfied at the Closing, but subject to the satisfaction or waiver of each of such conditions), or at such other place, time or date as the Principal Parties may jointly designate. Notwithstanding anything to the contrary contained in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if the Closing would otherwise be required to occur under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during the last seven days of any fiscal quarter of Marvell, then, subject to the continued satisfaction or waiver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3" w:lineRule="exact"/>
        <w:rPr>
          <w:sz w:val="20"/>
          <w:szCs w:val="20"/>
          <w:color w:val="auto"/>
        </w:rPr>
      </w:pPr>
    </w:p>
    <w:p>
      <w:pPr>
        <w:ind w:left="4" w:right="440" w:hanging="4"/>
        <w:spacing w:after="0" w:line="260" w:lineRule="auto"/>
        <w:tabs>
          <w:tab w:leader="none" w:pos="259"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End Date, unless the Principal Parties jointly designate another date. The date on which the Closing actually takes place is referred to as the “</w:t>
      </w:r>
      <w:r>
        <w:rPr>
          <w:rFonts w:ascii="Arial" w:cs="Arial" w:eastAsia="Arial" w:hAnsi="Arial"/>
          <w:sz w:val="18"/>
          <w:szCs w:val="18"/>
          <w:u w:val="single" w:color="auto"/>
          <w:color w:val="auto"/>
        </w:rPr>
        <w:t>Closing Date</w:t>
      </w:r>
      <w:r>
        <w:rPr>
          <w:rFonts w:ascii="Arial" w:cs="Arial" w:eastAsia="Arial" w:hAnsi="Arial"/>
          <w:sz w:val="18"/>
          <w:szCs w:val="18"/>
          <w:color w:val="auto"/>
        </w:rPr>
        <w:t>.”</w:t>
      </w:r>
    </w:p>
    <w:p>
      <w:pPr>
        <w:spacing w:after="0" w:line="181"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1.4 Bermuda Merger Effective Time; Delaware Merger Effective Time</w:t>
      </w:r>
      <w:r>
        <w:rPr>
          <w:rFonts w:ascii="Arial" w:cs="Arial" w:eastAsia="Arial" w:hAnsi="Arial"/>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1"/>
          <w:numId w:val="7"/>
        </w:numPr>
        <w:rPr>
          <w:rFonts w:ascii="Arial" w:cs="Arial" w:eastAsia="Arial" w:hAnsi="Arial"/>
          <w:sz w:val="16"/>
          <w:szCs w:val="16"/>
          <w:b w:val="1"/>
          <w:bCs w:val="1"/>
          <w:color w:val="auto"/>
        </w:rPr>
      </w:pPr>
      <w:r>
        <w:rPr>
          <w:rFonts w:ascii="Arial" w:cs="Arial" w:eastAsia="Arial" w:hAnsi="Arial"/>
          <w:sz w:val="16"/>
          <w:szCs w:val="16"/>
          <w:color w:val="auto"/>
        </w:rPr>
        <w:t>Subject to the provisions of this Agreement and the Statutory Merger Agreement, Marvell, HoldCo and Bermuda Merger Sub shall:</w:t>
      </w:r>
    </w:p>
    <w:p>
      <w:pPr>
        <w:spacing w:after="0" w:line="46" w:lineRule="exact"/>
        <w:rPr>
          <w:rFonts w:ascii="Arial" w:cs="Arial" w:eastAsia="Arial" w:hAnsi="Arial"/>
          <w:sz w:val="16"/>
          <w:szCs w:val="16"/>
          <w:b w:val="1"/>
          <w:bCs w:val="1"/>
          <w:color w:val="auto"/>
        </w:rPr>
      </w:pPr>
    </w:p>
    <w:p>
      <w:pPr>
        <w:ind w:left="4" w:hanging="4"/>
        <w:spacing w:after="0" w:line="251" w:lineRule="auto"/>
        <w:tabs>
          <w:tab w:leader="none" w:pos="219" w:val="left"/>
        </w:tabs>
        <w:numPr>
          <w:ilvl w:val="0"/>
          <w:numId w:val="8"/>
        </w:numPr>
        <w:rPr>
          <w:rFonts w:ascii="Arial" w:cs="Arial" w:eastAsia="Arial" w:hAnsi="Arial"/>
          <w:sz w:val="18"/>
          <w:szCs w:val="18"/>
          <w:color w:val="auto"/>
        </w:rPr>
      </w:pPr>
      <w:r>
        <w:rPr>
          <w:rFonts w:ascii="Arial" w:cs="Arial" w:eastAsia="Arial" w:hAnsi="Arial"/>
          <w:sz w:val="18"/>
          <w:szCs w:val="18"/>
          <w:color w:val="auto"/>
        </w:rPr>
        <w:t>duly execute the Statutory Merger Agreement on the Closing Date; (ii) on or prior to the Closing Date, cause an application for registration of the Surviving Bermuda Company (the “</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to be executed and delivered to the Registrar of Companies in Bermuda (the “</w:t>
      </w:r>
      <w:r>
        <w:rPr>
          <w:rFonts w:ascii="Arial" w:cs="Arial" w:eastAsia="Arial" w:hAnsi="Arial"/>
          <w:sz w:val="18"/>
          <w:szCs w:val="18"/>
          <w:u w:val="single" w:color="auto"/>
          <w:color w:val="auto"/>
        </w:rPr>
        <w:t>Registrar</w:t>
      </w:r>
      <w:r>
        <w:rPr>
          <w:rFonts w:ascii="Arial" w:cs="Arial" w:eastAsia="Arial" w:hAnsi="Arial"/>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Arial" w:cs="Arial" w:eastAsia="Arial" w:hAnsi="Arial"/>
          <w:sz w:val="18"/>
          <w:szCs w:val="18"/>
          <w:u w:val="single" w:color="auto"/>
          <w:color w:val="auto"/>
        </w:rPr>
        <w:t>Bermuda Merger Effective</w:t>
      </w:r>
      <w:r>
        <w:rPr>
          <w:rFonts w:ascii="Arial" w:cs="Arial" w:eastAsia="Arial" w:hAnsi="Arial"/>
          <w:sz w:val="18"/>
          <w:szCs w:val="18"/>
          <w:color w:val="auto"/>
        </w:rPr>
        <w:t xml:space="preserve"> </w:t>
      </w:r>
      <w:r>
        <w:rPr>
          <w:rFonts w:ascii="Arial" w:cs="Arial" w:eastAsia="Arial" w:hAnsi="Arial"/>
          <w:sz w:val="18"/>
          <w:szCs w:val="18"/>
          <w:u w:val="single" w:color="auto"/>
          <w:color w:val="auto"/>
        </w:rPr>
        <w:t>Time</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4" w:right="60" w:firstLine="987"/>
        <w:spacing w:after="0" w:line="257" w:lineRule="auto"/>
        <w:tabs>
          <w:tab w:leader="none" w:pos="1260" w:val="left"/>
        </w:tabs>
        <w:numPr>
          <w:ilvl w:val="1"/>
          <w:numId w:val="8"/>
        </w:numPr>
        <w:rPr>
          <w:rFonts w:ascii="Arial" w:cs="Arial" w:eastAsia="Arial" w:hAnsi="Arial"/>
          <w:sz w:val="18"/>
          <w:szCs w:val="18"/>
          <w:b w:val="1"/>
          <w:bCs w:val="1"/>
          <w:color w:val="auto"/>
        </w:rPr>
      </w:pPr>
      <w:r>
        <w:rPr>
          <w:rFonts w:ascii="Arial" w:cs="Arial" w:eastAsia="Arial" w:hAnsi="Arial"/>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1.5 Constituent Documents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jc w:val="both"/>
        <w:ind w:left="444" w:right="320" w:firstLine="419"/>
        <w:spacing w:after="0" w:line="311" w:lineRule="auto"/>
        <w:tabs>
          <w:tab w:leader="none" w:pos="1122" w:val="left"/>
        </w:tabs>
        <w:numPr>
          <w:ilvl w:val="0"/>
          <w:numId w:val="9"/>
        </w:numPr>
        <w:rPr>
          <w:rFonts w:ascii="Arial" w:cs="Arial" w:eastAsia="Arial" w:hAnsi="Arial"/>
          <w:sz w:val="16"/>
          <w:szCs w:val="16"/>
          <w:b w:val="1"/>
          <w:bCs w:val="1"/>
          <w:color w:val="auto"/>
        </w:rPr>
      </w:pPr>
      <w:r>
        <w:rPr>
          <w:rFonts w:ascii="Arial" w:cs="Arial" w:eastAsia="Arial" w:hAnsi="Arial"/>
          <w:sz w:val="16"/>
          <w:szCs w:val="16"/>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8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13" w:name="page14"/>
    <w:bookmarkEnd w:id="13"/>
    <w:p>
      <w:pPr>
        <w:jc w:val="both"/>
        <w:ind w:left="440" w:right="360" w:firstLine="419"/>
        <w:spacing w:after="0" w:line="311" w:lineRule="auto"/>
        <w:tabs>
          <w:tab w:leader="none" w:pos="1128" w:val="left"/>
        </w:tabs>
        <w:numPr>
          <w:ilvl w:val="0"/>
          <w:numId w:val="10"/>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40" w:lineRule="exact"/>
        <w:rPr>
          <w:rFonts w:ascii="Arial" w:cs="Arial" w:eastAsia="Arial" w:hAnsi="Arial"/>
          <w:sz w:val="16"/>
          <w:szCs w:val="16"/>
          <w:b w:val="1"/>
          <w:bCs w:val="1"/>
          <w:color w:val="auto"/>
        </w:rPr>
      </w:pPr>
    </w:p>
    <w:p>
      <w:pPr>
        <w:ind w:left="440" w:firstLine="419"/>
        <w:spacing w:after="0" w:line="263" w:lineRule="auto"/>
        <w:tabs>
          <w:tab w:leader="none" w:pos="1107" w:val="left"/>
        </w:tabs>
        <w:numPr>
          <w:ilvl w:val="0"/>
          <w:numId w:val="10"/>
        </w:numPr>
        <w:rPr>
          <w:rFonts w:ascii="Arial" w:cs="Arial" w:eastAsia="Arial" w:hAnsi="Arial"/>
          <w:sz w:val="18"/>
          <w:szCs w:val="18"/>
          <w:b w:val="1"/>
          <w:bCs w:val="1"/>
          <w:color w:val="auto"/>
        </w:rPr>
      </w:pPr>
      <w:r>
        <w:rPr>
          <w:rFonts w:ascii="Arial" w:cs="Arial" w:eastAsia="Arial" w:hAnsi="Arial"/>
          <w:sz w:val="18"/>
          <w:szCs w:val="18"/>
          <w:color w:val="auto"/>
        </w:rPr>
        <w:t xml:space="preserve">the certificate of incorporation and bylaws of HoldCo will be amended and restated as of the Bermuda Merger Effective Time to conform to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respectively (it being understood and agreed that the name of the Entity set forth in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may be changed by Marvell prior to the Closing).</w:t>
      </w:r>
    </w:p>
    <w:p>
      <w:pPr>
        <w:spacing w:after="0" w:line="18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1.6 Directors and Officers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ind w:left="440" w:right="120" w:firstLine="419"/>
        <w:spacing w:after="0" w:line="259" w:lineRule="auto"/>
        <w:tabs>
          <w:tab w:leader="none" w:pos="1118" w:val="left"/>
        </w:tabs>
        <w:numPr>
          <w:ilvl w:val="0"/>
          <w:numId w:val="11"/>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8" w:lineRule="exact"/>
        <w:rPr>
          <w:rFonts w:ascii="Arial" w:cs="Arial" w:eastAsia="Arial" w:hAnsi="Arial"/>
          <w:sz w:val="18"/>
          <w:szCs w:val="18"/>
          <w:b w:val="1"/>
          <w:bCs w:val="1"/>
          <w:color w:val="auto"/>
        </w:rPr>
      </w:pPr>
    </w:p>
    <w:p>
      <w:pPr>
        <w:ind w:left="440" w:right="260" w:firstLine="419"/>
        <w:spacing w:after="0" w:line="259" w:lineRule="auto"/>
        <w:tabs>
          <w:tab w:leader="none" w:pos="1128" w:val="left"/>
        </w:tabs>
        <w:numPr>
          <w:ilvl w:val="0"/>
          <w:numId w:val="11"/>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8" w:lineRule="exact"/>
        <w:rPr>
          <w:rFonts w:ascii="Arial" w:cs="Arial" w:eastAsia="Arial" w:hAnsi="Arial"/>
          <w:sz w:val="18"/>
          <w:szCs w:val="18"/>
          <w:b w:val="1"/>
          <w:bCs w:val="1"/>
          <w:color w:val="auto"/>
        </w:rPr>
      </w:pPr>
    </w:p>
    <w:p>
      <w:pPr>
        <w:ind w:left="440" w:firstLine="419"/>
        <w:spacing w:after="0" w:line="263" w:lineRule="auto"/>
        <w:tabs>
          <w:tab w:leader="none" w:pos="1107" w:val="left"/>
        </w:tabs>
        <w:numPr>
          <w:ilvl w:val="0"/>
          <w:numId w:val="11"/>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84"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1.7 Conversion of Shares</w:t>
      </w:r>
      <w:r>
        <w:rPr>
          <w:rFonts w:ascii="Arial" w:cs="Arial" w:eastAsia="Arial" w:hAnsi="Arial"/>
          <w:sz w:val="18"/>
          <w:szCs w:val="18"/>
          <w:color w:val="auto"/>
        </w:rPr>
        <w:t>.</w:t>
      </w:r>
    </w:p>
    <w:p>
      <w:pPr>
        <w:spacing w:after="0" w:line="229" w:lineRule="exact"/>
        <w:rPr>
          <w:sz w:val="20"/>
          <w:szCs w:val="20"/>
          <w:color w:val="auto"/>
        </w:rPr>
      </w:pPr>
    </w:p>
    <w:p>
      <w:pPr>
        <w:ind w:right="560" w:firstLine="987"/>
        <w:spacing w:after="0" w:line="277" w:lineRule="auto"/>
        <w:tabs>
          <w:tab w:leader="none" w:pos="1246" w:val="left"/>
        </w:tabs>
        <w:numPr>
          <w:ilvl w:val="0"/>
          <w:numId w:val="12"/>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further action on the part of Marvell, HoldCo, Bermuda Merger Sub or any shareholder of Marvell:</w:t>
      </w:r>
    </w:p>
    <w:p>
      <w:pPr>
        <w:spacing w:after="0" w:line="62" w:lineRule="exact"/>
        <w:rPr>
          <w:rFonts w:ascii="Arial" w:cs="Arial" w:eastAsia="Arial" w:hAnsi="Arial"/>
          <w:sz w:val="18"/>
          <w:szCs w:val="18"/>
          <w:b w:val="1"/>
          <w:bCs w:val="1"/>
          <w:color w:val="auto"/>
        </w:rPr>
      </w:pPr>
    </w:p>
    <w:p>
      <w:pPr>
        <w:ind w:left="440" w:right="20" w:firstLine="948"/>
        <w:spacing w:after="0" w:line="286" w:lineRule="auto"/>
        <w:tabs>
          <w:tab w:leader="none" w:pos="1607" w:val="left"/>
        </w:tabs>
        <w:numPr>
          <w:ilvl w:val="1"/>
          <w:numId w:val="12"/>
        </w:numPr>
        <w:rPr>
          <w:rFonts w:ascii="Arial" w:cs="Arial" w:eastAsia="Arial" w:hAnsi="Arial"/>
          <w:sz w:val="17"/>
          <w:szCs w:val="17"/>
          <w:b w:val="1"/>
          <w:bCs w:val="1"/>
          <w:color w:val="auto"/>
        </w:rPr>
      </w:pPr>
      <w:r>
        <w:rPr>
          <w:rFonts w:ascii="Arial" w:cs="Arial" w:eastAsia="Arial" w:hAnsi="Arial"/>
          <w:sz w:val="17"/>
          <w:szCs w:val="17"/>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57" w:lineRule="exact"/>
        <w:rPr>
          <w:rFonts w:ascii="Arial" w:cs="Arial" w:eastAsia="Arial" w:hAnsi="Arial"/>
          <w:sz w:val="17"/>
          <w:szCs w:val="17"/>
          <w:b w:val="1"/>
          <w:bCs w:val="1"/>
          <w:color w:val="auto"/>
        </w:rPr>
      </w:pPr>
    </w:p>
    <w:p>
      <w:pPr>
        <w:ind w:left="440" w:right="40" w:firstLine="948"/>
        <w:spacing w:after="0" w:line="263" w:lineRule="auto"/>
        <w:tabs>
          <w:tab w:leader="none" w:pos="1657" w:val="left"/>
        </w:tabs>
        <w:numPr>
          <w:ilvl w:val="1"/>
          <w:numId w:val="12"/>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440" w:right="80" w:firstLine="948"/>
        <w:spacing w:after="0" w:line="263" w:lineRule="auto"/>
        <w:tabs>
          <w:tab w:leader="none" w:pos="1707" w:val="left"/>
        </w:tabs>
        <w:numPr>
          <w:ilvl w:val="1"/>
          <w:numId w:val="12"/>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Sections 1.7(a)(i)</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1.7(a)(ii)</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1.7(d)</w:t>
      </w:r>
      <w:r>
        <w:rPr>
          <w:rFonts w:ascii="Arial" w:cs="Arial" w:eastAsia="Arial" w:hAnsi="Arial"/>
          <w:sz w:val="18"/>
          <w:szCs w:val="18"/>
          <w:color w:val="auto"/>
        </w:rPr>
        <w:t xml:space="preserve">, </w:t>
      </w:r>
      <w:r>
        <w:rPr>
          <w:rFonts w:ascii="Arial" w:cs="Arial" w:eastAsia="Arial" w:hAnsi="Arial"/>
          <w:sz w:val="18"/>
          <w:szCs w:val="18"/>
          <w:u w:val="single" w:color="auto"/>
          <w:color w:val="auto"/>
        </w:rPr>
        <w:t>1.10</w:t>
      </w:r>
      <w:r>
        <w:rPr>
          <w:rFonts w:ascii="Arial" w:cs="Arial" w:eastAsia="Arial" w:hAnsi="Arial"/>
          <w:sz w:val="18"/>
          <w:szCs w:val="18"/>
          <w:color w:val="auto"/>
        </w:rPr>
        <w:t xml:space="preserve">, </w:t>
      </w:r>
      <w:r>
        <w:rPr>
          <w:rFonts w:ascii="Arial" w:cs="Arial" w:eastAsia="Arial" w:hAnsi="Arial"/>
          <w:sz w:val="18"/>
          <w:szCs w:val="18"/>
          <w:u w:val="single" w:color="auto"/>
          <w:color w:val="auto"/>
        </w:rPr>
        <w:t>1.11(g)</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1.13</w:t>
      </w:r>
      <w:r>
        <w:rPr>
          <w:rFonts w:ascii="Arial" w:cs="Arial" w:eastAsia="Arial" w:hAnsi="Arial"/>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75" w:lineRule="exact"/>
        <w:rPr>
          <w:rFonts w:ascii="Arial" w:cs="Arial" w:eastAsia="Arial" w:hAnsi="Arial"/>
          <w:sz w:val="18"/>
          <w:szCs w:val="18"/>
          <w:b w:val="1"/>
          <w:bCs w:val="1"/>
          <w:color w:val="auto"/>
        </w:rPr>
      </w:pPr>
    </w:p>
    <w:p>
      <w:pPr>
        <w:ind w:left="440" w:right="660" w:firstLine="948"/>
        <w:spacing w:after="0" w:line="308" w:lineRule="auto"/>
        <w:tabs>
          <w:tab w:leader="none" w:pos="1696" w:val="left"/>
        </w:tabs>
        <w:numPr>
          <w:ilvl w:val="1"/>
          <w:numId w:val="12"/>
        </w:numPr>
        <w:rPr>
          <w:rFonts w:ascii="Arial" w:cs="Arial" w:eastAsia="Arial" w:hAnsi="Arial"/>
          <w:sz w:val="17"/>
          <w:szCs w:val="17"/>
          <w:b w:val="1"/>
          <w:bCs w:val="1"/>
          <w:color w:val="auto"/>
        </w:rPr>
      </w:pPr>
      <w:r>
        <w:rPr>
          <w:rFonts w:ascii="Arial" w:cs="Arial" w:eastAsia="Arial" w:hAnsi="Arial"/>
          <w:sz w:val="17"/>
          <w:szCs w:val="17"/>
          <w:color w:val="auto"/>
        </w:rPr>
        <w:t>each common share, $1.00 par value per share, of Bermuda Merger Sub issued and outstanding immediately prior to the Bermuda Merger Effective Time will be converted into one common share of the Surviving Bermuda Company.</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4" w:name="page15"/>
    <w:bookmarkEnd w:id="14"/>
    <w:p>
      <w:pPr>
        <w:ind w:left="-20" w:right="60" w:firstLine="987"/>
        <w:spacing w:after="0" w:line="286" w:lineRule="auto"/>
        <w:tabs>
          <w:tab w:leader="none" w:pos="1236" w:val="left"/>
        </w:tabs>
        <w:numPr>
          <w:ilvl w:val="0"/>
          <w:numId w:val="13"/>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65" w:lineRule="exact"/>
        <w:rPr>
          <w:rFonts w:ascii="Arial" w:cs="Arial" w:eastAsia="Arial" w:hAnsi="Arial"/>
          <w:sz w:val="17"/>
          <w:szCs w:val="17"/>
          <w:b w:val="1"/>
          <w:bCs w:val="1"/>
          <w:color w:val="auto"/>
        </w:rPr>
      </w:pPr>
    </w:p>
    <w:p>
      <w:pPr>
        <w:ind w:left="-20" w:right="100" w:firstLine="987"/>
        <w:spacing w:after="0" w:line="277" w:lineRule="auto"/>
        <w:tabs>
          <w:tab w:leader="none" w:pos="1216" w:val="left"/>
        </w:tabs>
        <w:numPr>
          <w:ilvl w:val="0"/>
          <w:numId w:val="13"/>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further action on the part of the Company, HoldCo, Delaware Merger Sub or any stockholder of the Company:</w:t>
      </w:r>
    </w:p>
    <w:p>
      <w:pPr>
        <w:spacing w:after="0" w:line="62" w:lineRule="exact"/>
        <w:rPr>
          <w:rFonts w:ascii="Arial" w:cs="Arial" w:eastAsia="Arial" w:hAnsi="Arial"/>
          <w:sz w:val="18"/>
          <w:szCs w:val="18"/>
          <w:b w:val="1"/>
          <w:bCs w:val="1"/>
          <w:color w:val="auto"/>
        </w:rPr>
      </w:pPr>
    </w:p>
    <w:p>
      <w:pPr>
        <w:ind w:left="420" w:firstLine="948"/>
        <w:spacing w:after="0" w:line="311" w:lineRule="auto"/>
        <w:tabs>
          <w:tab w:leader="none" w:pos="1587" w:val="left"/>
        </w:tabs>
        <w:numPr>
          <w:ilvl w:val="1"/>
          <w:numId w:val="13"/>
        </w:numPr>
        <w:rPr>
          <w:rFonts w:ascii="Arial" w:cs="Arial" w:eastAsia="Arial" w:hAnsi="Arial"/>
          <w:sz w:val="16"/>
          <w:szCs w:val="16"/>
          <w:b w:val="1"/>
          <w:bCs w:val="1"/>
          <w:color w:val="auto"/>
        </w:rPr>
      </w:pPr>
      <w:r>
        <w:rPr>
          <w:rFonts w:ascii="Arial" w:cs="Arial" w:eastAsia="Arial" w:hAnsi="Arial"/>
          <w:sz w:val="16"/>
          <w:szCs w:val="16"/>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40" w:lineRule="exact"/>
        <w:rPr>
          <w:rFonts w:ascii="Arial" w:cs="Arial" w:eastAsia="Arial" w:hAnsi="Arial"/>
          <w:sz w:val="16"/>
          <w:szCs w:val="16"/>
          <w:b w:val="1"/>
          <w:bCs w:val="1"/>
          <w:color w:val="auto"/>
        </w:rPr>
      </w:pPr>
    </w:p>
    <w:p>
      <w:pPr>
        <w:jc w:val="both"/>
        <w:ind w:left="420" w:right="220" w:firstLine="948"/>
        <w:spacing w:after="0" w:line="263" w:lineRule="auto"/>
        <w:tabs>
          <w:tab w:leader="none" w:pos="1637" w:val="left"/>
        </w:tabs>
        <w:numPr>
          <w:ilvl w:val="1"/>
          <w:numId w:val="13"/>
        </w:numPr>
        <w:rPr>
          <w:rFonts w:ascii="Arial" w:cs="Arial" w:eastAsia="Arial" w:hAnsi="Arial"/>
          <w:sz w:val="18"/>
          <w:szCs w:val="18"/>
          <w:b w:val="1"/>
          <w:bCs w:val="1"/>
          <w:color w:val="auto"/>
        </w:rPr>
      </w:pPr>
      <w:r>
        <w:rPr>
          <w:rFonts w:ascii="Arial" w:cs="Arial" w:eastAsia="Arial" w:hAnsi="Arial"/>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420" w:right="180" w:firstLine="948"/>
        <w:spacing w:after="0" w:line="311" w:lineRule="auto"/>
        <w:tabs>
          <w:tab w:leader="none" w:pos="1687" w:val="left"/>
        </w:tabs>
        <w:numPr>
          <w:ilvl w:val="1"/>
          <w:numId w:val="13"/>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Sections 1.7(c)(i)</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1.7(c)(ii)</w:t>
      </w:r>
      <w:r>
        <w:rPr>
          <w:rFonts w:ascii="Arial" w:cs="Arial" w:eastAsia="Arial" w:hAnsi="Arial"/>
          <w:sz w:val="16"/>
          <w:szCs w:val="16"/>
          <w:color w:val="auto"/>
        </w:rPr>
        <w:t xml:space="preserve">, and subject to </w:t>
      </w:r>
      <w:r>
        <w:rPr>
          <w:rFonts w:ascii="Arial" w:cs="Arial" w:eastAsia="Arial" w:hAnsi="Arial"/>
          <w:sz w:val="16"/>
          <w:szCs w:val="16"/>
          <w:u w:val="single" w:color="auto"/>
          <w:color w:val="auto"/>
        </w:rPr>
        <w:t>Sections 1.7(d)</w:t>
      </w:r>
      <w:r>
        <w:rPr>
          <w:rFonts w:ascii="Arial" w:cs="Arial" w:eastAsia="Arial" w:hAnsi="Arial"/>
          <w:sz w:val="16"/>
          <w:szCs w:val="16"/>
          <w:color w:val="auto"/>
        </w:rPr>
        <w:t xml:space="preserve">, </w:t>
      </w:r>
      <w:r>
        <w:rPr>
          <w:rFonts w:ascii="Arial" w:cs="Arial" w:eastAsia="Arial" w:hAnsi="Arial"/>
          <w:sz w:val="16"/>
          <w:szCs w:val="16"/>
          <w:u w:val="single" w:color="auto"/>
          <w:color w:val="auto"/>
        </w:rPr>
        <w:t>1.11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1.12</w:t>
      </w:r>
      <w:r>
        <w:rPr>
          <w:rFonts w:ascii="Arial" w:cs="Arial" w:eastAsia="Arial" w:hAnsi="Arial"/>
          <w:sz w:val="16"/>
          <w:szCs w:val="16"/>
          <w:color w:val="auto"/>
        </w:rPr>
        <w:t>, each share of Company Common Stock outstanding immediately prior to the Delaware Merger Effective Time will be converted into the right to receive: (A) 2.323 (the “</w:t>
      </w:r>
      <w:r>
        <w:rPr>
          <w:rFonts w:ascii="Arial" w:cs="Arial" w:eastAsia="Arial" w:hAnsi="Arial"/>
          <w:sz w:val="16"/>
          <w:szCs w:val="16"/>
          <w:u w:val="single" w:color="auto"/>
          <w:color w:val="auto"/>
        </w:rPr>
        <w:t>Exchange Ratio</w:t>
      </w:r>
      <w:r>
        <w:rPr>
          <w:rFonts w:ascii="Arial" w:cs="Arial" w:eastAsia="Arial" w:hAnsi="Arial"/>
          <w:sz w:val="16"/>
          <w:szCs w:val="16"/>
          <w:color w:val="auto"/>
        </w:rPr>
        <w:t>”) shares of HoldCo Common Stock; and (B) $66.00 in cash, without interest (the “</w:t>
      </w:r>
      <w:r>
        <w:rPr>
          <w:rFonts w:ascii="Arial" w:cs="Arial" w:eastAsia="Arial" w:hAnsi="Arial"/>
          <w:sz w:val="16"/>
          <w:szCs w:val="16"/>
          <w:u w:val="single" w:color="auto"/>
          <w:color w:val="auto"/>
        </w:rPr>
        <w:t>Per Share Cash Amount</w:t>
      </w:r>
      <w:r>
        <w:rPr>
          <w:rFonts w:ascii="Arial" w:cs="Arial" w:eastAsia="Arial" w:hAnsi="Arial"/>
          <w:sz w:val="16"/>
          <w:szCs w:val="16"/>
          <w:color w:val="auto"/>
        </w:rPr>
        <w:t>”); and</w:t>
      </w:r>
    </w:p>
    <w:p>
      <w:pPr>
        <w:spacing w:after="0" w:line="40" w:lineRule="exact"/>
        <w:rPr>
          <w:rFonts w:ascii="Arial" w:cs="Arial" w:eastAsia="Arial" w:hAnsi="Arial"/>
          <w:sz w:val="16"/>
          <w:szCs w:val="16"/>
          <w:b w:val="1"/>
          <w:bCs w:val="1"/>
          <w:color w:val="auto"/>
        </w:rPr>
      </w:pPr>
    </w:p>
    <w:p>
      <w:pPr>
        <w:ind w:left="420" w:right="440" w:firstLine="948"/>
        <w:spacing w:after="0" w:line="308" w:lineRule="auto"/>
        <w:tabs>
          <w:tab w:leader="none" w:pos="1676" w:val="left"/>
        </w:tabs>
        <w:numPr>
          <w:ilvl w:val="1"/>
          <w:numId w:val="13"/>
        </w:numPr>
        <w:rPr>
          <w:rFonts w:ascii="Arial" w:cs="Arial" w:eastAsia="Arial" w:hAnsi="Arial"/>
          <w:sz w:val="17"/>
          <w:szCs w:val="17"/>
          <w:b w:val="1"/>
          <w:bCs w:val="1"/>
          <w:color w:val="auto"/>
        </w:rPr>
      </w:pPr>
      <w:r>
        <w:rPr>
          <w:rFonts w:ascii="Arial" w:cs="Arial" w:eastAsia="Arial" w:hAnsi="Arial"/>
          <w:sz w:val="17"/>
          <w:szCs w:val="17"/>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46" w:lineRule="exact"/>
        <w:rPr>
          <w:rFonts w:ascii="Arial" w:cs="Arial" w:eastAsia="Arial" w:hAnsi="Arial"/>
          <w:sz w:val="17"/>
          <w:szCs w:val="17"/>
          <w:b w:val="1"/>
          <w:bCs w:val="1"/>
          <w:color w:val="auto"/>
        </w:rPr>
      </w:pPr>
    </w:p>
    <w:p>
      <w:pPr>
        <w:ind w:left="-20" w:firstLine="987"/>
        <w:spacing w:after="0" w:line="287" w:lineRule="auto"/>
        <w:tabs>
          <w:tab w:leader="none" w:pos="1236" w:val="left"/>
        </w:tabs>
        <w:numPr>
          <w:ilvl w:val="0"/>
          <w:numId w:val="13"/>
        </w:numPr>
        <w:rPr>
          <w:rFonts w:ascii="Arial" w:cs="Arial" w:eastAsia="Arial" w:hAnsi="Arial"/>
          <w:sz w:val="16"/>
          <w:szCs w:val="16"/>
          <w:b w:val="1"/>
          <w:bCs w:val="1"/>
          <w:color w:val="auto"/>
        </w:rPr>
      </w:pPr>
      <w:r>
        <w:rPr>
          <w:rFonts w:ascii="Arial" w:cs="Arial" w:eastAsia="Arial" w:hAnsi="Arial"/>
          <w:sz w:val="16"/>
          <w:szCs w:val="16"/>
          <w:color w:val="auto"/>
        </w:rPr>
        <w:t>If, during the period commencing on the date of this Agreement and ending at the Delaware Merger Effective Time (the “</w:t>
      </w:r>
      <w:r>
        <w:rPr>
          <w:rFonts w:ascii="Arial" w:cs="Arial" w:eastAsia="Arial" w:hAnsi="Arial"/>
          <w:sz w:val="16"/>
          <w:szCs w:val="16"/>
          <w:u w:val="single" w:color="auto"/>
          <w:color w:val="auto"/>
        </w:rPr>
        <w:t>Pre-Closing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Period</w:t>
      </w:r>
      <w:r>
        <w:rPr>
          <w:rFonts w:ascii="Arial" w:cs="Arial" w:eastAsia="Arial" w:hAnsi="Arial"/>
          <w:sz w:val="16"/>
          <w:szCs w:val="16"/>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Arial" w:cs="Arial" w:eastAsia="Arial" w:hAnsi="Arial"/>
          <w:sz w:val="16"/>
          <w:szCs w:val="16"/>
          <w:u w:val="single" w:color="auto"/>
          <w:color w:val="auto"/>
        </w:rPr>
        <w:t>Section 1.7(a)(iii)</w:t>
      </w:r>
      <w:r>
        <w:rPr>
          <w:rFonts w:ascii="Arial" w:cs="Arial" w:eastAsia="Arial" w:hAnsi="Arial"/>
          <w:sz w:val="16"/>
          <w:szCs w:val="16"/>
          <w:color w:val="auto"/>
        </w:rPr>
        <w:t xml:space="preserve"> will be adjusted to the extent appropriate to provide the same economic effect as contemplated by this Agreement prior to such action.</w:t>
      </w:r>
    </w:p>
    <w:p>
      <w:pPr>
        <w:spacing w:after="0" w:line="171" w:lineRule="exact"/>
        <w:rPr>
          <w:rFonts w:ascii="Arial" w:cs="Arial" w:eastAsia="Arial" w:hAnsi="Arial"/>
          <w:sz w:val="16"/>
          <w:szCs w:val="16"/>
          <w:b w:val="1"/>
          <w:bCs w:val="1"/>
          <w:color w:val="auto"/>
        </w:rPr>
      </w:pPr>
    </w:p>
    <w:p>
      <w:pPr>
        <w:ind w:left="-20" w:right="20" w:firstLine="987"/>
        <w:spacing w:after="0" w:line="273" w:lineRule="auto"/>
        <w:tabs>
          <w:tab w:leader="none" w:pos="1216" w:val="left"/>
        </w:tabs>
        <w:numPr>
          <w:ilvl w:val="0"/>
          <w:numId w:val="13"/>
        </w:numPr>
        <w:rPr>
          <w:rFonts w:ascii="Arial" w:cs="Arial" w:eastAsia="Arial" w:hAnsi="Arial"/>
          <w:sz w:val="17"/>
          <w:szCs w:val="17"/>
          <w:b w:val="1"/>
          <w:bCs w:val="1"/>
          <w:color w:val="auto"/>
        </w:rPr>
      </w:pPr>
      <w:r>
        <w:rPr>
          <w:rFonts w:ascii="Arial" w:cs="Arial" w:eastAsia="Arial" w:hAnsi="Arial"/>
          <w:sz w:val="17"/>
          <w:szCs w:val="17"/>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1.8 Closing of Transfer Books</w:t>
      </w:r>
      <w:r>
        <w:rPr>
          <w:rFonts w:ascii="Arial" w:cs="Arial" w:eastAsia="Arial" w:hAnsi="Arial"/>
          <w:sz w:val="18"/>
          <w:szCs w:val="18"/>
          <w:color w:val="auto"/>
        </w:rPr>
        <w:t>.</w:t>
      </w:r>
    </w:p>
    <w:p>
      <w:pPr>
        <w:spacing w:after="0" w:line="229" w:lineRule="exact"/>
        <w:rPr>
          <w:sz w:val="20"/>
          <w:szCs w:val="20"/>
          <w:color w:val="auto"/>
        </w:rPr>
      </w:pPr>
    </w:p>
    <w:p>
      <w:pPr>
        <w:ind w:left="-20" w:right="660" w:firstLine="987"/>
        <w:spacing w:after="0" w:line="277" w:lineRule="auto"/>
        <w:tabs>
          <w:tab w:leader="none" w:pos="1226" w:val="left"/>
        </w:tabs>
        <w:numPr>
          <w:ilvl w:val="0"/>
          <w:numId w:val="14"/>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460" w:top="274" w:right="479" w:bottom="1440" w:gutter="0" w:footer="0" w:header="0"/>
        </w:sectPr>
      </w:pPr>
    </w:p>
    <w:bookmarkStart w:id="15" w:name="page16"/>
    <w:bookmarkEnd w:id="15"/>
    <w:p>
      <w:pPr>
        <w:ind w:right="2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Effective Time in accordance with </w:t>
      </w:r>
      <w:r>
        <w:rPr>
          <w:rFonts w:ascii="Arial" w:cs="Arial" w:eastAsia="Arial" w:hAnsi="Arial"/>
          <w:sz w:val="17"/>
          <w:szCs w:val="17"/>
          <w:u w:val="single" w:color="auto"/>
          <w:color w:val="auto"/>
        </w:rPr>
        <w:t>Section 1.7(a)(i)</w:t>
      </w:r>
      <w:r>
        <w:rPr>
          <w:rFonts w:ascii="Arial" w:cs="Arial" w:eastAsia="Arial" w:hAnsi="Arial"/>
          <w:sz w:val="17"/>
          <w:szCs w:val="17"/>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Arial" w:cs="Arial" w:eastAsia="Arial" w:hAnsi="Arial"/>
          <w:sz w:val="17"/>
          <w:szCs w:val="17"/>
          <w:u w:val="single" w:color="auto"/>
          <w:color w:val="auto"/>
        </w:rPr>
        <w:t>Marvell Share Certificate</w:t>
      </w:r>
      <w:r>
        <w:rPr>
          <w:rFonts w:ascii="Arial" w:cs="Arial" w:eastAsia="Arial" w:hAnsi="Arial"/>
          <w:sz w:val="17"/>
          <w:szCs w:val="17"/>
          <w:color w:val="auto"/>
        </w:rPr>
        <w:t>”) or uncertificated Marvell Common Shares represented by book entry positions (each such share, an “</w:t>
      </w:r>
      <w:r>
        <w:rPr>
          <w:rFonts w:ascii="Arial" w:cs="Arial" w:eastAsia="Arial" w:hAnsi="Arial"/>
          <w:sz w:val="17"/>
          <w:szCs w:val="17"/>
          <w:u w:val="single" w:color="auto"/>
          <w:color w:val="auto"/>
        </w:rPr>
        <w:t>Uncertificated Marvell Share</w:t>
      </w:r>
      <w:r>
        <w:rPr>
          <w:rFonts w:ascii="Arial" w:cs="Arial" w:eastAsia="Arial" w:hAnsi="Arial"/>
          <w:sz w:val="17"/>
          <w:szCs w:val="17"/>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Arial" w:cs="Arial" w:eastAsia="Arial" w:hAnsi="Arial"/>
          <w:sz w:val="17"/>
          <w:szCs w:val="17"/>
          <w:u w:val="single" w:color="auto"/>
          <w:color w:val="auto"/>
        </w:rPr>
        <w:t>Section 1.10</w:t>
      </w:r>
      <w:r>
        <w:rPr>
          <w:rFonts w:ascii="Arial" w:cs="Arial" w:eastAsia="Arial" w:hAnsi="Arial"/>
          <w:sz w:val="17"/>
          <w:szCs w:val="17"/>
          <w:color w:val="auto"/>
        </w:rPr>
        <w:t>.</w:t>
      </w:r>
    </w:p>
    <w:p>
      <w:pPr>
        <w:spacing w:after="0" w:line="185" w:lineRule="exact"/>
        <w:rPr>
          <w:sz w:val="20"/>
          <w:szCs w:val="20"/>
          <w:color w:val="auto"/>
        </w:rPr>
      </w:pPr>
    </w:p>
    <w:p>
      <w:pPr>
        <w:ind w:firstLine="987"/>
        <w:spacing w:after="0" w:line="288" w:lineRule="auto"/>
        <w:tabs>
          <w:tab w:leader="none" w:pos="1256" w:val="left"/>
        </w:tabs>
        <w:numPr>
          <w:ilvl w:val="0"/>
          <w:numId w:val="15"/>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or uncertificated shares of Company Common Stock represented by book entry positions (each such share, an “</w:t>
      </w:r>
      <w:r>
        <w:rPr>
          <w:rFonts w:ascii="Arial" w:cs="Arial" w:eastAsia="Arial" w:hAnsi="Arial"/>
          <w:sz w:val="16"/>
          <w:szCs w:val="16"/>
          <w:u w:val="single" w:color="auto"/>
          <w:color w:val="auto"/>
        </w:rPr>
        <w:t>Uncertificated Company Share</w:t>
      </w:r>
      <w:r>
        <w:rPr>
          <w:rFonts w:ascii="Arial" w:cs="Arial" w:eastAsia="Arial" w:hAnsi="Arial"/>
          <w:sz w:val="16"/>
          <w:szCs w:val="16"/>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Arial" w:cs="Arial" w:eastAsia="Arial" w:hAnsi="Arial"/>
          <w:sz w:val="16"/>
          <w:szCs w:val="16"/>
          <w:u w:val="single" w:color="auto"/>
          <w:color w:val="auto"/>
        </w:rPr>
        <w:t>Section 1.11</w:t>
      </w:r>
      <w:r>
        <w:rPr>
          <w:rFonts w:ascii="Arial" w:cs="Arial" w:eastAsia="Arial" w:hAnsi="Arial"/>
          <w:sz w:val="16"/>
          <w:szCs w:val="16"/>
          <w:color w:val="auto"/>
        </w:rPr>
        <w:t>.</w:t>
      </w:r>
    </w:p>
    <w:p>
      <w:pPr>
        <w:spacing w:after="0" w:line="164" w:lineRule="exact"/>
        <w:rPr>
          <w:sz w:val="20"/>
          <w:szCs w:val="20"/>
          <w:color w:val="auto"/>
        </w:rPr>
      </w:pPr>
    </w:p>
    <w:p>
      <w:pPr>
        <w:ind w:left="440"/>
        <w:spacing w:after="0"/>
        <w:rPr>
          <w:sz w:val="20"/>
          <w:szCs w:val="20"/>
          <w:color w:val="auto"/>
        </w:rPr>
      </w:pPr>
      <w:r>
        <w:rPr>
          <w:rFonts w:ascii="Arial" w:cs="Arial" w:eastAsia="Arial" w:hAnsi="Arial"/>
          <w:sz w:val="16"/>
          <w:szCs w:val="16"/>
          <w:b w:val="1"/>
          <w:bCs w:val="1"/>
          <w:color w:val="auto"/>
        </w:rPr>
        <w:t>1.9 Exchange Fund</w:t>
      </w:r>
      <w:r>
        <w:rPr>
          <w:rFonts w:ascii="Arial" w:cs="Arial" w:eastAsia="Arial" w:hAnsi="Arial"/>
          <w:sz w:val="16"/>
          <w:szCs w:val="16"/>
          <w:color w:val="auto"/>
        </w:rPr>
        <w:t>. On or prior to the Closing Date, HoldCo shall, and Marvell shall cause HoldCo to, select a reputable bank or trust company</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reasonably acceptable to the Company to act as exchange agent in the Mergers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Subject to </w:t>
      </w:r>
      <w:r>
        <w:rPr>
          <w:rFonts w:ascii="Arial" w:cs="Arial" w:eastAsia="Arial" w:hAnsi="Arial"/>
          <w:sz w:val="16"/>
          <w:szCs w:val="16"/>
          <w:u w:val="single" w:color="auto"/>
          <w:color w:val="auto"/>
        </w:rPr>
        <w:t>Section 1.12</w:t>
      </w:r>
      <w:r>
        <w:rPr>
          <w:rFonts w:ascii="Arial" w:cs="Arial" w:eastAsia="Arial" w:hAnsi="Arial"/>
          <w:sz w:val="16"/>
          <w:szCs w:val="16"/>
          <w:color w:val="auto"/>
        </w:rPr>
        <w:t>, promptly after the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Delaware Merger Effective Time on the Closing Date, HoldCo shall: (a) deposit with the Exchange Agent certificates or book entry positions</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 xml:space="preserve">representing the shares of HoldCo Common Stock issuable pursuant to </w:t>
      </w:r>
      <w:r>
        <w:rPr>
          <w:rFonts w:ascii="Arial" w:cs="Arial" w:eastAsia="Arial" w:hAnsi="Arial"/>
          <w:sz w:val="17"/>
          <w:szCs w:val="17"/>
          <w:u w:val="single" w:color="auto"/>
          <w:color w:val="auto"/>
        </w:rPr>
        <w:t>Sections 1.7(a)(iii)</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1.7(c)(iii)</w:t>
      </w:r>
      <w:r>
        <w:rPr>
          <w:rFonts w:ascii="Arial" w:cs="Arial" w:eastAsia="Arial" w:hAnsi="Arial"/>
          <w:sz w:val="17"/>
          <w:szCs w:val="17"/>
          <w:color w:val="auto"/>
        </w:rPr>
        <w:t>; and (b) cause to be deposited with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Exchange Agent cash sufficient to make payments of the cash consideration payable pursuant to </w:t>
      </w:r>
      <w:r>
        <w:rPr>
          <w:rFonts w:ascii="Arial" w:cs="Arial" w:eastAsia="Arial" w:hAnsi="Arial"/>
          <w:sz w:val="16"/>
          <w:szCs w:val="16"/>
          <w:u w:val="single" w:color="auto"/>
          <w:color w:val="auto"/>
        </w:rPr>
        <w:t>Section 1.7(c)(iii)</w:t>
      </w:r>
      <w:r>
        <w:rPr>
          <w:rFonts w:ascii="Arial" w:cs="Arial" w:eastAsia="Arial" w:hAnsi="Arial"/>
          <w:sz w:val="16"/>
          <w:szCs w:val="16"/>
          <w:color w:val="auto"/>
        </w:rPr>
        <w:t xml:space="preserve"> (including payments to be made in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lieu of fractional shares). The HoldCo Common Stock and cash amounts so deposited with the Exchange Agent, together with any dividends or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distributions received by the Exchange Agent with respect to the deposited shares of HoldCo Common Stock are referred to collectively as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portion of the Exchange Fund will be invested by the Exchange Agent as directed by HoldCo;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any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such investments shall be in short-term obligations of the United States with maturities of no more than 30 days or guaranteed by the United States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backed by the full faith and credit of the United States. No investment of the Exchange Fund shall relieve HoldCo or the Exchange Agent from promptly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paying the cash consideration payable pursuant to </w:t>
      </w:r>
      <w:r>
        <w:rPr>
          <w:rFonts w:ascii="Arial" w:cs="Arial" w:eastAsia="Arial" w:hAnsi="Arial"/>
          <w:sz w:val="16"/>
          <w:szCs w:val="16"/>
          <w:u w:val="single" w:color="auto"/>
          <w:color w:val="auto"/>
        </w:rPr>
        <w:t>Section 1.11(a)</w:t>
      </w:r>
      <w:r>
        <w:rPr>
          <w:rFonts w:ascii="Arial" w:cs="Arial" w:eastAsia="Arial" w:hAnsi="Arial"/>
          <w:sz w:val="16"/>
          <w:szCs w:val="16"/>
          <w:color w:val="auto"/>
        </w:rPr>
        <w:t>, and following any losses from any such investment, HoldCo shall promptly provide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additional cash funds to the Exchange Agent in the amount of such losses to the extent the funds in the Exchange Fund are insufficient for such</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purposes, which additional funds will be deemed to be part of the Exchange Fund.</w:t>
      </w:r>
    </w:p>
    <w:p>
      <w:pPr>
        <w:spacing w:after="0" w:line="207" w:lineRule="exact"/>
        <w:rPr>
          <w:sz w:val="20"/>
          <w:szCs w:val="20"/>
          <w:color w:val="auto"/>
        </w:rPr>
      </w:pPr>
    </w:p>
    <w:p>
      <w:pPr>
        <w:ind w:firstLine="440"/>
        <w:spacing w:after="0" w:line="281" w:lineRule="auto"/>
        <w:rPr>
          <w:sz w:val="20"/>
          <w:szCs w:val="20"/>
          <w:color w:val="auto"/>
        </w:rPr>
      </w:pPr>
      <w:r>
        <w:rPr>
          <w:rFonts w:ascii="Arial" w:cs="Arial" w:eastAsia="Arial" w:hAnsi="Arial"/>
          <w:sz w:val="17"/>
          <w:szCs w:val="17"/>
          <w:b w:val="1"/>
          <w:bCs w:val="1"/>
          <w:color w:val="auto"/>
        </w:rPr>
        <w:t>1.10 Exchange of Marvell Share Certificates</w:t>
      </w:r>
      <w:r>
        <w:rPr>
          <w:rFonts w:ascii="Arial" w:cs="Arial" w:eastAsia="Arial" w:hAnsi="Arial"/>
          <w:sz w:val="17"/>
          <w:szCs w:val="17"/>
          <w:color w:val="auto"/>
        </w:rPr>
        <w:t>. Each Marvell Share Certificate, other than a certificate representing a Disregarded Marvell Share,</w:t>
      </w:r>
      <w:r>
        <w:rPr>
          <w:rFonts w:ascii="Arial" w:cs="Arial" w:eastAsia="Arial" w:hAnsi="Arial"/>
          <w:sz w:val="17"/>
          <w:szCs w:val="17"/>
          <w:b w:val="1"/>
          <w:bCs w:val="1"/>
          <w:color w:val="auto"/>
        </w:rPr>
        <w:t xml:space="preserve"> </w:t>
      </w:r>
      <w:r>
        <w:rPr>
          <w:rFonts w:ascii="Arial" w:cs="Arial" w:eastAsia="Arial" w:hAnsi="Arial"/>
          <w:sz w:val="17"/>
          <w:szCs w:val="17"/>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6" w:name="page17"/>
    <w:bookmarkEnd w:id="16"/>
    <w:p>
      <w:pPr>
        <w:jc w:val="both"/>
        <w:ind w:right="2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8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1.11 Exchange of Company Stock Certificates</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86" w:lineRule="auto"/>
        <w:tabs>
          <w:tab w:leader="none" w:pos="1246" w:val="left"/>
        </w:tabs>
        <w:numPr>
          <w:ilvl w:val="0"/>
          <w:numId w:val="16"/>
        </w:numPr>
        <w:rPr>
          <w:rFonts w:ascii="Arial" w:cs="Arial" w:eastAsia="Arial" w:hAnsi="Arial"/>
          <w:sz w:val="16"/>
          <w:szCs w:val="16"/>
          <w:b w:val="1"/>
          <w:bCs w:val="1"/>
          <w:color w:val="auto"/>
        </w:rPr>
      </w:pPr>
      <w:r>
        <w:rPr>
          <w:rFonts w:ascii="Arial" w:cs="Arial" w:eastAsia="Arial" w:hAnsi="Arial"/>
          <w:sz w:val="16"/>
          <w:szCs w:val="16"/>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Arial" w:cs="Arial" w:eastAsia="Arial" w:hAnsi="Arial"/>
          <w:sz w:val="16"/>
          <w:szCs w:val="16"/>
          <w:u w:val="single" w:color="auto"/>
          <w:color w:val="auto"/>
        </w:rPr>
        <w:t>Section 1.7</w:t>
      </w:r>
      <w:r>
        <w:rPr>
          <w:rFonts w:ascii="Arial" w:cs="Arial" w:eastAsia="Arial" w:hAnsi="Arial"/>
          <w:sz w:val="16"/>
          <w:szCs w:val="16"/>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Arial" w:cs="Arial" w:eastAsia="Arial" w:hAnsi="Arial"/>
          <w:sz w:val="16"/>
          <w:szCs w:val="16"/>
          <w:u w:val="single" w:color="auto"/>
          <w:color w:val="auto"/>
        </w:rPr>
        <w:t>Section 1.11(a)</w:t>
      </w:r>
      <w:r>
        <w:rPr>
          <w:rFonts w:ascii="Arial" w:cs="Arial" w:eastAsia="Arial" w:hAnsi="Arial"/>
          <w:sz w:val="16"/>
          <w:szCs w:val="16"/>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Arial" w:cs="Arial" w:eastAsia="Arial" w:hAnsi="Arial"/>
          <w:sz w:val="16"/>
          <w:szCs w:val="16"/>
          <w:u w:val="single" w:color="auto"/>
          <w:color w:val="auto"/>
        </w:rPr>
        <w:t>Section 1.7(c)</w:t>
      </w:r>
      <w:r>
        <w:rPr>
          <w:rFonts w:ascii="Arial" w:cs="Arial" w:eastAsia="Arial" w:hAnsi="Arial"/>
          <w:sz w:val="16"/>
          <w:szCs w:val="16"/>
          <w:color w:val="auto"/>
        </w:rPr>
        <w:t>.</w:t>
      </w:r>
    </w:p>
    <w:p>
      <w:pPr>
        <w:spacing w:after="0" w:line="167" w:lineRule="exact"/>
        <w:rPr>
          <w:rFonts w:ascii="Arial" w:cs="Arial" w:eastAsia="Arial" w:hAnsi="Arial"/>
          <w:sz w:val="16"/>
          <w:szCs w:val="16"/>
          <w:b w:val="1"/>
          <w:bCs w:val="1"/>
          <w:color w:val="auto"/>
        </w:rPr>
      </w:pPr>
    </w:p>
    <w:p>
      <w:pPr>
        <w:ind w:right="300" w:firstLine="987"/>
        <w:spacing w:after="0" w:line="255" w:lineRule="auto"/>
        <w:tabs>
          <w:tab w:leader="none" w:pos="1256" w:val="left"/>
        </w:tabs>
        <w:numPr>
          <w:ilvl w:val="0"/>
          <w:numId w:val="16"/>
        </w:numPr>
        <w:rPr>
          <w:rFonts w:ascii="Arial" w:cs="Arial" w:eastAsia="Arial" w:hAnsi="Arial"/>
          <w:sz w:val="18"/>
          <w:szCs w:val="18"/>
          <w:b w:val="1"/>
          <w:bCs w:val="1"/>
          <w:color w:val="auto"/>
        </w:rPr>
      </w:pPr>
      <w:r>
        <w:rPr>
          <w:rFonts w:ascii="Arial" w:cs="Arial" w:eastAsia="Arial" w:hAnsi="Arial"/>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(at which time such holder shall be entitled, subject to the effect of applicable escheat or similar laws, to receive all such dividends and distributions, without interest).</w:t>
      </w:r>
    </w:p>
    <w:p>
      <w:pPr>
        <w:spacing w:after="0" w:line="192" w:lineRule="exact"/>
        <w:rPr>
          <w:rFonts w:ascii="Arial" w:cs="Arial" w:eastAsia="Arial" w:hAnsi="Arial"/>
          <w:sz w:val="18"/>
          <w:szCs w:val="18"/>
          <w:b w:val="1"/>
          <w:bCs w:val="1"/>
          <w:color w:val="auto"/>
        </w:rPr>
      </w:pPr>
    </w:p>
    <w:p>
      <w:pPr>
        <w:ind w:right="20" w:firstLine="987"/>
        <w:spacing w:after="0" w:line="273" w:lineRule="auto"/>
        <w:tabs>
          <w:tab w:leader="none" w:pos="1236" w:val="left"/>
        </w:tabs>
        <w:numPr>
          <w:ilvl w:val="0"/>
          <w:numId w:val="16"/>
        </w:numPr>
        <w:rPr>
          <w:rFonts w:ascii="Arial" w:cs="Arial" w:eastAsia="Arial" w:hAnsi="Arial"/>
          <w:sz w:val="17"/>
          <w:szCs w:val="17"/>
          <w:b w:val="1"/>
          <w:bCs w:val="1"/>
          <w:color w:val="auto"/>
        </w:rPr>
      </w:pPr>
      <w:r>
        <w:rPr>
          <w:rFonts w:ascii="Arial" w:cs="Arial" w:eastAsia="Arial" w:hAnsi="Arial"/>
          <w:sz w:val="17"/>
          <w:szCs w:val="17"/>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77" w:lineRule="exact"/>
        <w:rPr>
          <w:rFonts w:ascii="Arial" w:cs="Arial" w:eastAsia="Arial" w:hAnsi="Arial"/>
          <w:sz w:val="17"/>
          <w:szCs w:val="17"/>
          <w:b w:val="1"/>
          <w:bCs w:val="1"/>
          <w:color w:val="auto"/>
        </w:rPr>
      </w:pPr>
    </w:p>
    <w:p>
      <w:pPr>
        <w:ind w:right="40" w:firstLine="987"/>
        <w:spacing w:after="0" w:line="273" w:lineRule="auto"/>
        <w:tabs>
          <w:tab w:leader="none" w:pos="1256" w:val="left"/>
        </w:tabs>
        <w:numPr>
          <w:ilvl w:val="0"/>
          <w:numId w:val="16"/>
        </w:numPr>
        <w:rPr>
          <w:rFonts w:ascii="Arial" w:cs="Arial" w:eastAsia="Arial" w:hAnsi="Arial"/>
          <w:sz w:val="17"/>
          <w:szCs w:val="17"/>
          <w:b w:val="1"/>
          <w:bCs w:val="1"/>
          <w:color w:val="auto"/>
        </w:rPr>
      </w:pPr>
      <w:r>
        <w:rPr>
          <w:rFonts w:ascii="Arial" w:cs="Arial" w:eastAsia="Arial" w:hAnsi="Arial"/>
          <w:sz w:val="17"/>
          <w:szCs w:val="17"/>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Arial" w:cs="Arial" w:eastAsia="Arial" w:hAnsi="Arial"/>
          <w:sz w:val="17"/>
          <w:szCs w:val="17"/>
          <w:u w:val="single" w:color="auto"/>
          <w:color w:val="auto"/>
        </w:rPr>
        <w:t>Section 1.7</w:t>
      </w:r>
      <w:r>
        <w:rPr>
          <w:rFonts w:ascii="Arial" w:cs="Arial" w:eastAsia="Arial" w:hAnsi="Arial"/>
          <w:sz w:val="17"/>
          <w:szCs w:val="17"/>
          <w:color w:val="auto"/>
        </w:rPr>
        <w:t>.</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60"/>
          </w:cols>
          <w:pgMar w:left="440" w:top="274" w:right="499" w:bottom="1440" w:gutter="0" w:footer="0" w:header="0"/>
        </w:sectPr>
      </w:pPr>
    </w:p>
    <w:bookmarkStart w:id="17" w:name="page18"/>
    <w:bookmarkEnd w:id="17"/>
    <w:p>
      <w:pPr>
        <w:ind w:firstLine="987"/>
        <w:spacing w:after="0" w:line="255" w:lineRule="auto"/>
        <w:tabs>
          <w:tab w:leader="none" w:pos="1236" w:val="left"/>
        </w:tabs>
        <w:numPr>
          <w:ilvl w:val="1"/>
          <w:numId w:val="17"/>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92" w:lineRule="exact"/>
        <w:rPr>
          <w:rFonts w:ascii="Arial" w:cs="Arial" w:eastAsia="Arial" w:hAnsi="Arial"/>
          <w:sz w:val="18"/>
          <w:szCs w:val="18"/>
          <w:b w:val="1"/>
          <w:bCs w:val="1"/>
          <w:color w:val="auto"/>
        </w:rPr>
      </w:pPr>
    </w:p>
    <w:p>
      <w:pPr>
        <w:ind w:right="20" w:firstLine="987"/>
        <w:spacing w:after="0" w:line="270" w:lineRule="auto"/>
        <w:tabs>
          <w:tab w:leader="none" w:pos="1216" w:val="left"/>
        </w:tabs>
        <w:numPr>
          <w:ilvl w:val="1"/>
          <w:numId w:val="17"/>
        </w:numPr>
        <w:rPr>
          <w:rFonts w:ascii="Arial" w:cs="Arial" w:eastAsia="Arial" w:hAnsi="Arial"/>
          <w:sz w:val="17"/>
          <w:szCs w:val="17"/>
          <w:b w:val="1"/>
          <w:bCs w:val="1"/>
          <w:color w:val="auto"/>
        </w:rPr>
      </w:pPr>
      <w:r>
        <w:rPr>
          <w:rFonts w:ascii="Arial" w:cs="Arial" w:eastAsia="Arial" w:hAnsi="Arial"/>
          <w:sz w:val="17"/>
          <w:szCs w:val="17"/>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0" w:lineRule="exact"/>
        <w:rPr>
          <w:rFonts w:ascii="Arial" w:cs="Arial" w:eastAsia="Arial" w:hAnsi="Arial"/>
          <w:sz w:val="17"/>
          <w:szCs w:val="17"/>
          <w:b w:val="1"/>
          <w:bCs w:val="1"/>
          <w:color w:val="auto"/>
        </w:rPr>
      </w:pPr>
    </w:p>
    <w:p>
      <w:pPr>
        <w:ind w:right="80" w:firstLine="436"/>
        <w:spacing w:after="0" w:line="293" w:lineRule="auto"/>
        <w:tabs>
          <w:tab w:leader="none" w:pos="695" w:val="left"/>
        </w:tabs>
        <w:numPr>
          <w:ilvl w:val="0"/>
          <w:numId w:val="18"/>
        </w:numPr>
        <w:rPr>
          <w:rFonts w:ascii="Arial" w:cs="Arial" w:eastAsia="Arial" w:hAnsi="Arial"/>
          <w:sz w:val="16"/>
          <w:szCs w:val="16"/>
          <w:b w:val="1"/>
          <w:bCs w:val="1"/>
          <w:color w:val="auto"/>
        </w:rPr>
      </w:pPr>
      <w:r>
        <w:rPr>
          <w:rFonts w:ascii="Arial" w:cs="Arial" w:eastAsia="Arial" w:hAnsi="Arial"/>
          <w:sz w:val="16"/>
          <w:szCs w:val="16"/>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6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1.12 Dissenting Company Stockholders</w:t>
      </w:r>
      <w:r>
        <w:rPr>
          <w:rFonts w:ascii="Arial" w:cs="Arial" w:eastAsia="Arial" w:hAnsi="Arial"/>
          <w:sz w:val="18"/>
          <w:szCs w:val="18"/>
          <w:color w:val="auto"/>
        </w:rPr>
        <w:t>.</w:t>
      </w:r>
    </w:p>
    <w:p>
      <w:pPr>
        <w:spacing w:after="0" w:line="229" w:lineRule="exact"/>
        <w:rPr>
          <w:sz w:val="20"/>
          <w:szCs w:val="20"/>
          <w:color w:val="auto"/>
        </w:rPr>
      </w:pPr>
    </w:p>
    <w:p>
      <w:pPr>
        <w:ind w:right="40" w:firstLine="987"/>
        <w:spacing w:after="0" w:line="273" w:lineRule="auto"/>
        <w:tabs>
          <w:tab w:leader="none" w:pos="1246" w:val="left"/>
        </w:tabs>
        <w:numPr>
          <w:ilvl w:val="0"/>
          <w:numId w:val="19"/>
        </w:numPr>
        <w:rPr>
          <w:rFonts w:ascii="Arial" w:cs="Arial" w:eastAsia="Arial" w:hAnsi="Arial"/>
          <w:sz w:val="17"/>
          <w:szCs w:val="17"/>
          <w:b w:val="1"/>
          <w:bCs w:val="1"/>
          <w:color w:val="auto"/>
        </w:rPr>
      </w:pPr>
      <w:r>
        <w:rPr>
          <w:rFonts w:ascii="Arial" w:cs="Arial" w:eastAsia="Arial" w:hAnsi="Arial"/>
          <w:sz w:val="17"/>
          <w:szCs w:val="17"/>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Arial" w:cs="Arial" w:eastAsia="Arial" w:hAnsi="Arial"/>
          <w:sz w:val="17"/>
          <w:szCs w:val="17"/>
          <w:u w:val="single" w:color="auto"/>
          <w:color w:val="auto"/>
        </w:rPr>
        <w:t>Dissenting Company Shares</w:t>
      </w:r>
      <w:r>
        <w:rPr>
          <w:rFonts w:ascii="Arial" w:cs="Arial" w:eastAsia="Arial" w:hAnsi="Arial"/>
          <w:sz w:val="17"/>
          <w:szCs w:val="17"/>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Arial" w:cs="Arial" w:eastAsia="Arial" w:hAnsi="Arial"/>
          <w:sz w:val="17"/>
          <w:szCs w:val="17"/>
          <w:u w:val="single" w:color="auto"/>
          <w:color w:val="auto"/>
        </w:rPr>
        <w:t>Section 1.7(c)(iii)</w:t>
      </w:r>
      <w:r>
        <w:rPr>
          <w:rFonts w:ascii="Arial" w:cs="Arial" w:eastAsia="Arial" w:hAnsi="Arial"/>
          <w:sz w:val="17"/>
          <w:szCs w:val="17"/>
          <w:color w:val="auto"/>
        </w:rPr>
        <w:t>, but shall be entitled only to such rights as are granted by the DGCL to a holder of Dissenting Company Shares.</w:t>
      </w:r>
    </w:p>
    <w:p>
      <w:pPr>
        <w:spacing w:after="0" w:line="177" w:lineRule="exact"/>
        <w:rPr>
          <w:rFonts w:ascii="Arial" w:cs="Arial" w:eastAsia="Arial" w:hAnsi="Arial"/>
          <w:sz w:val="17"/>
          <w:szCs w:val="17"/>
          <w:b w:val="1"/>
          <w:bCs w:val="1"/>
          <w:color w:val="auto"/>
        </w:rPr>
      </w:pPr>
    </w:p>
    <w:p>
      <w:pPr>
        <w:ind w:right="60" w:firstLine="987"/>
        <w:spacing w:after="0" w:line="254" w:lineRule="auto"/>
        <w:tabs>
          <w:tab w:leader="none" w:pos="1256" w:val="left"/>
        </w:tabs>
        <w:numPr>
          <w:ilvl w:val="0"/>
          <w:numId w:val="19"/>
        </w:numPr>
        <w:rPr>
          <w:rFonts w:ascii="Arial" w:cs="Arial" w:eastAsia="Arial" w:hAnsi="Arial"/>
          <w:sz w:val="18"/>
          <w:szCs w:val="18"/>
          <w:b w:val="1"/>
          <w:bCs w:val="1"/>
          <w:color w:val="auto"/>
        </w:rPr>
      </w:pPr>
      <w:r>
        <w:rPr>
          <w:rFonts w:ascii="Arial" w:cs="Arial" w:eastAsia="Arial" w:hAnsi="Arial"/>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Arial" w:cs="Arial" w:eastAsia="Arial" w:hAnsi="Arial"/>
          <w:sz w:val="18"/>
          <w:szCs w:val="18"/>
          <w:u w:val="single" w:color="auto"/>
          <w:color w:val="auto"/>
        </w:rPr>
        <w:t>Section 1.7</w:t>
      </w:r>
      <w:r>
        <w:rPr>
          <w:rFonts w:ascii="Arial" w:cs="Arial" w:eastAsia="Arial" w:hAnsi="Arial"/>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8" w:name="page19"/>
    <w:bookmarkEnd w:id="18"/>
    <w:p>
      <w:pPr>
        <w:ind w:right="220" w:firstLine="987"/>
        <w:spacing w:after="0" w:line="255" w:lineRule="auto"/>
        <w:tabs>
          <w:tab w:leader="none" w:pos="1236" w:val="left"/>
        </w:tabs>
        <w:numPr>
          <w:ilvl w:val="0"/>
          <w:numId w:val="2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1.13 Dissenting Marvell Shareholders</w:t>
      </w:r>
      <w:r>
        <w:rPr>
          <w:rFonts w:ascii="Arial" w:cs="Arial" w:eastAsia="Arial" w:hAnsi="Arial"/>
          <w:sz w:val="18"/>
          <w:szCs w:val="18"/>
          <w:color w:val="auto"/>
        </w:rPr>
        <w:t>.</w:t>
      </w:r>
    </w:p>
    <w:p>
      <w:pPr>
        <w:spacing w:after="0" w:line="229" w:lineRule="exact"/>
        <w:rPr>
          <w:sz w:val="20"/>
          <w:szCs w:val="20"/>
          <w:color w:val="auto"/>
        </w:rPr>
      </w:pPr>
    </w:p>
    <w:p>
      <w:pPr>
        <w:ind w:right="60" w:firstLine="987"/>
        <w:spacing w:after="0" w:line="273" w:lineRule="auto"/>
        <w:tabs>
          <w:tab w:leader="none" w:pos="1246" w:val="left"/>
        </w:tabs>
        <w:numPr>
          <w:ilvl w:val="0"/>
          <w:numId w:val="21"/>
        </w:numPr>
        <w:rPr>
          <w:rFonts w:ascii="Arial" w:cs="Arial" w:eastAsia="Arial" w:hAnsi="Arial"/>
          <w:sz w:val="17"/>
          <w:szCs w:val="17"/>
          <w:b w:val="1"/>
          <w:bCs w:val="1"/>
          <w:color w:val="auto"/>
        </w:rPr>
      </w:pPr>
      <w:r>
        <w:rPr>
          <w:rFonts w:ascii="Arial" w:cs="Arial" w:eastAsia="Arial" w:hAnsi="Arial"/>
          <w:sz w:val="17"/>
          <w:szCs w:val="17"/>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Arial" w:cs="Arial" w:eastAsia="Arial" w:hAnsi="Arial"/>
          <w:sz w:val="17"/>
          <w:szCs w:val="17"/>
          <w:u w:val="single" w:color="auto"/>
          <w:color w:val="auto"/>
        </w:rPr>
        <w:t>Section 1.7(a)(iii)</w:t>
      </w:r>
      <w:r>
        <w:rPr>
          <w:rFonts w:ascii="Arial" w:cs="Arial" w:eastAsia="Arial" w:hAnsi="Arial"/>
          <w:sz w:val="17"/>
          <w:szCs w:val="17"/>
          <w:color w:val="auto"/>
        </w:rPr>
        <w:t>, and any holder of Dissenting Marvell Shares shall, if the fair value of a Dissenting Marvell Share as appraised by the Supreme Court of Bermuda under Section 106(6) of the Bermuda Companies Act (the “</w:t>
      </w:r>
      <w:r>
        <w:rPr>
          <w:rFonts w:ascii="Arial" w:cs="Arial" w:eastAsia="Arial" w:hAnsi="Arial"/>
          <w:sz w:val="17"/>
          <w:szCs w:val="17"/>
          <w:u w:val="single" w:color="auto"/>
          <w:color w:val="auto"/>
        </w:rPr>
        <w:t>Appraised Fair Value</w:t>
      </w:r>
      <w:r>
        <w:rPr>
          <w:rFonts w:ascii="Arial" w:cs="Arial" w:eastAsia="Arial" w:hAnsi="Arial"/>
          <w:sz w:val="17"/>
          <w:szCs w:val="17"/>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77" w:lineRule="exact"/>
        <w:rPr>
          <w:rFonts w:ascii="Arial" w:cs="Arial" w:eastAsia="Arial" w:hAnsi="Arial"/>
          <w:sz w:val="17"/>
          <w:szCs w:val="17"/>
          <w:b w:val="1"/>
          <w:bCs w:val="1"/>
          <w:color w:val="auto"/>
        </w:rPr>
      </w:pPr>
    </w:p>
    <w:p>
      <w:pPr>
        <w:jc w:val="both"/>
        <w:ind w:firstLine="987"/>
        <w:spacing w:after="0" w:line="263" w:lineRule="auto"/>
        <w:tabs>
          <w:tab w:leader="none" w:pos="1256" w:val="left"/>
        </w:tabs>
        <w:numPr>
          <w:ilvl w:val="0"/>
          <w:numId w:val="21"/>
        </w:numPr>
        <w:rPr>
          <w:rFonts w:ascii="Arial" w:cs="Arial" w:eastAsia="Arial" w:hAnsi="Arial"/>
          <w:sz w:val="18"/>
          <w:szCs w:val="18"/>
          <w:b w:val="1"/>
          <w:bCs w:val="1"/>
          <w:color w:val="auto"/>
        </w:rPr>
      </w:pPr>
      <w:r>
        <w:rPr>
          <w:rFonts w:ascii="Arial" w:cs="Arial" w:eastAsia="Arial" w:hAnsi="Arial"/>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then such holder shall have no other rights with respect to such Dissenting Marvell Shares other than as contemplated by </w:t>
      </w:r>
      <w:r>
        <w:rPr>
          <w:rFonts w:ascii="Arial" w:cs="Arial" w:eastAsia="Arial" w:hAnsi="Arial"/>
          <w:sz w:val="18"/>
          <w:szCs w:val="18"/>
          <w:u w:val="single" w:color="auto"/>
          <w:color w:val="auto"/>
        </w:rPr>
        <w:t>Section 1.7(a)(iii)</w:t>
      </w:r>
      <w:r>
        <w:rPr>
          <w:rFonts w:ascii="Arial" w:cs="Arial" w:eastAsia="Arial" w:hAnsi="Arial"/>
          <w:sz w:val="18"/>
          <w:szCs w:val="18"/>
          <w:color w:val="auto"/>
        </w:rPr>
        <w:t>.</w:t>
      </w:r>
    </w:p>
    <w:p>
      <w:pPr>
        <w:spacing w:after="0" w:line="180" w:lineRule="exact"/>
        <w:rPr>
          <w:sz w:val="20"/>
          <w:szCs w:val="20"/>
          <w:color w:val="auto"/>
        </w:rPr>
      </w:pPr>
    </w:p>
    <w:p>
      <w:pPr>
        <w:ind w:right="60" w:firstLine="440"/>
        <w:spacing w:after="0" w:line="298" w:lineRule="auto"/>
        <w:rPr>
          <w:sz w:val="20"/>
          <w:szCs w:val="20"/>
          <w:color w:val="auto"/>
        </w:rPr>
      </w:pPr>
      <w:r>
        <w:rPr>
          <w:rFonts w:ascii="Arial" w:cs="Arial" w:eastAsia="Arial" w:hAnsi="Arial"/>
          <w:sz w:val="16"/>
          <w:szCs w:val="16"/>
          <w:b w:val="1"/>
          <w:bCs w:val="1"/>
          <w:color w:val="auto"/>
        </w:rPr>
        <w:t>1.14 Further Action</w:t>
      </w:r>
      <w:r>
        <w:rPr>
          <w:rFonts w:ascii="Arial" w:cs="Arial" w:eastAsia="Arial" w:hAnsi="Arial"/>
          <w:sz w:val="16"/>
          <w:szCs w:val="16"/>
          <w:color w:val="auto"/>
        </w:rPr>
        <w:t>. If, at any time after the Delaware Merger Effective Time, any further action is determined by HoldCo to be necessary or</w:t>
      </w:r>
      <w:r>
        <w:rPr>
          <w:rFonts w:ascii="Arial" w:cs="Arial" w:eastAsia="Arial" w:hAnsi="Arial"/>
          <w:sz w:val="16"/>
          <w:szCs w:val="16"/>
          <w:b w:val="1"/>
          <w:bCs w:val="1"/>
          <w:color w:val="auto"/>
        </w:rPr>
        <w:t xml:space="preserve"> </w:t>
      </w:r>
      <w:r>
        <w:rPr>
          <w:rFonts w:ascii="Arial" w:cs="Arial" w:eastAsia="Arial" w:hAnsi="Arial"/>
          <w:sz w:val="16"/>
          <w:szCs w:val="16"/>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229"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 xml:space="preserve">The Company represents and warrants to Marvell, HoldCo, Delaware Merger Sub and Bermuda Merger Sub as follows (it being understood that the representations and warranties contained in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are subject to: (a) the exceptions and disclosures set forth in the Company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Arial" w:cs="Arial" w:eastAsia="Arial" w:hAnsi="Arial"/>
          <w:sz w:val="16"/>
          <w:szCs w:val="16"/>
          <w:u w:val="single" w:color="auto"/>
          <w:color w:val="auto"/>
        </w:rPr>
        <w:t>EDGAR</w:t>
      </w:r>
      <w:r>
        <w:rPr>
          <w:rFonts w:ascii="Arial" w:cs="Arial" w:eastAsia="Arial" w:hAnsi="Arial"/>
          <w:sz w:val="16"/>
          <w:szCs w:val="16"/>
          <w:color w:val="auto"/>
        </w:rPr>
        <w:t>”) on the date that is three Business Days before the date of this Agreement)):</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2.1 Subsidiaries; Due Organization; Etc</w:t>
      </w:r>
      <w:r>
        <w:rPr>
          <w:rFonts w:ascii="Arial" w:cs="Arial" w:eastAsia="Arial" w:hAnsi="Arial"/>
          <w:sz w:val="18"/>
          <w:szCs w:val="18"/>
          <w:color w:val="auto"/>
        </w:rPr>
        <w:t>.</w:t>
      </w:r>
    </w:p>
    <w:p>
      <w:pPr>
        <w:spacing w:after="0" w:line="229" w:lineRule="exact"/>
        <w:rPr>
          <w:sz w:val="20"/>
          <w:szCs w:val="20"/>
          <w:color w:val="auto"/>
        </w:rPr>
      </w:pPr>
    </w:p>
    <w:p>
      <w:pPr>
        <w:jc w:val="both"/>
        <w:ind w:right="40" w:firstLine="987"/>
        <w:spacing w:after="0" w:line="279" w:lineRule="auto"/>
        <w:tabs>
          <w:tab w:leader="none" w:pos="1246" w:val="left"/>
        </w:tabs>
        <w:numPr>
          <w:ilvl w:val="0"/>
          <w:numId w:val="22"/>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2.1(a)</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19" w:name="page20"/>
    <w:bookmarkEnd w:id="19"/>
    <w:p>
      <w:pPr>
        <w:ind w:right="8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57" w:lineRule="exact"/>
        <w:rPr>
          <w:sz w:val="20"/>
          <w:szCs w:val="20"/>
          <w:color w:val="auto"/>
        </w:rPr>
      </w:pPr>
    </w:p>
    <w:p>
      <w:pPr>
        <w:ind w:right="20" w:firstLine="987"/>
        <w:spacing w:after="0" w:line="290" w:lineRule="auto"/>
        <w:tabs>
          <w:tab w:leader="none" w:pos="1256" w:val="left"/>
        </w:tabs>
        <w:numPr>
          <w:ilvl w:val="0"/>
          <w:numId w:val="23"/>
        </w:numPr>
        <w:rPr>
          <w:rFonts w:ascii="Arial" w:cs="Arial" w:eastAsia="Arial" w:hAnsi="Arial"/>
          <w:sz w:val="16"/>
          <w:szCs w:val="16"/>
          <w:b w:val="1"/>
          <w:bCs w:val="1"/>
          <w:color w:val="auto"/>
        </w:rPr>
      </w:pPr>
      <w:r>
        <w:rPr>
          <w:rFonts w:ascii="Arial" w:cs="Arial" w:eastAsia="Arial" w:hAnsi="Arial"/>
          <w:sz w:val="16"/>
          <w:szCs w:val="16"/>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61"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b w:val="1"/>
          <w:bCs w:val="1"/>
          <w:color w:val="auto"/>
        </w:rPr>
        <w:t>2.2 Certificate of Incorporation and Bylaws</w:t>
      </w:r>
      <w:r>
        <w:rPr>
          <w:rFonts w:ascii="Arial" w:cs="Arial" w:eastAsia="Arial" w:hAnsi="Arial"/>
          <w:sz w:val="17"/>
          <w:szCs w:val="17"/>
          <w:color w:val="auto"/>
        </w:rPr>
        <w:t>. The Company has Made Available to Marvell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70" w:lineRule="auto"/>
        <w:tabs>
          <w:tab w:leader="none" w:pos="1246" w:val="left"/>
        </w:tabs>
        <w:numPr>
          <w:ilvl w:val="0"/>
          <w:numId w:val="24"/>
        </w:numPr>
        <w:rPr>
          <w:rFonts w:ascii="Arial" w:cs="Arial" w:eastAsia="Arial" w:hAnsi="Arial"/>
          <w:sz w:val="17"/>
          <w:szCs w:val="17"/>
          <w:b w:val="1"/>
          <w:bCs w:val="1"/>
          <w:color w:val="auto"/>
        </w:rPr>
      </w:pPr>
      <w:r>
        <w:rPr>
          <w:rFonts w:ascii="Arial" w:cs="Arial" w:eastAsia="Arial" w:hAnsi="Arial"/>
          <w:sz w:val="17"/>
          <w:szCs w:val="17"/>
          <w:color w:val="auto"/>
        </w:rPr>
        <w:t>The authorized capital stock of the Company consists of: (i) 500,000,000 shares of Company Common Stock, of which 52,102,241 shares were issued and outstanding as of the close of business on October 26, 2020 (the “</w:t>
      </w:r>
      <w:r>
        <w:rPr>
          <w:rFonts w:ascii="Arial" w:cs="Arial" w:eastAsia="Arial" w:hAnsi="Arial"/>
          <w:sz w:val="17"/>
          <w:szCs w:val="17"/>
          <w:u w:val="single" w:color="auto"/>
          <w:color w:val="auto"/>
        </w:rPr>
        <w:t>Inphi Listing Date</w:t>
      </w:r>
      <w:r>
        <w:rPr>
          <w:rFonts w:ascii="Arial" w:cs="Arial" w:eastAsia="Arial" w:hAnsi="Arial"/>
          <w:sz w:val="17"/>
          <w:szCs w:val="17"/>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0" w:lineRule="exact"/>
        <w:rPr>
          <w:rFonts w:ascii="Arial" w:cs="Arial" w:eastAsia="Arial" w:hAnsi="Arial"/>
          <w:sz w:val="17"/>
          <w:szCs w:val="17"/>
          <w:b w:val="1"/>
          <w:bCs w:val="1"/>
          <w:color w:val="auto"/>
        </w:rPr>
      </w:pPr>
    </w:p>
    <w:p>
      <w:pPr>
        <w:jc w:val="both"/>
        <w:ind w:right="100" w:firstLine="987"/>
        <w:spacing w:after="0" w:line="311" w:lineRule="auto"/>
        <w:tabs>
          <w:tab w:leader="none" w:pos="1256" w:val="left"/>
        </w:tabs>
        <w:numPr>
          <w:ilvl w:val="0"/>
          <w:numId w:val="24"/>
        </w:numPr>
        <w:rPr>
          <w:rFonts w:ascii="Arial" w:cs="Arial" w:eastAsia="Arial" w:hAnsi="Arial"/>
          <w:sz w:val="16"/>
          <w:szCs w:val="16"/>
          <w:b w:val="1"/>
          <w:bCs w:val="1"/>
          <w:color w:val="auto"/>
        </w:rPr>
      </w:pPr>
      <w:r>
        <w:rPr>
          <w:rFonts w:ascii="Arial" w:cs="Arial" w:eastAsia="Arial" w:hAnsi="Arial"/>
          <w:sz w:val="16"/>
          <w:szCs w:val="16"/>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Arial" w:cs="Arial" w:eastAsia="Arial" w:hAnsi="Arial"/>
          <w:sz w:val="16"/>
          <w:szCs w:val="16"/>
          <w:u w:val="single" w:color="auto"/>
          <w:color w:val="auto"/>
        </w:rPr>
        <w:t>Company ESPP</w:t>
      </w:r>
      <w:r>
        <w:rPr>
          <w:rFonts w:ascii="Arial" w:cs="Arial" w:eastAsia="Arial" w:hAnsi="Arial"/>
          <w:sz w:val="16"/>
          <w:szCs w:val="16"/>
          <w:color w:val="auto"/>
        </w:rPr>
        <w:t>”); (iii) (A) 3,749,548</w:t>
      </w:r>
    </w:p>
    <w:p>
      <w:pPr>
        <w:spacing w:after="0" w:line="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80"/>
          </w:cols>
          <w:pgMar w:left="440" w:top="274" w:right="479" w:bottom="1440" w:gutter="0" w:footer="0" w:header="0"/>
        </w:sectPr>
      </w:pPr>
    </w:p>
    <w:bookmarkStart w:id="20" w:name="page21"/>
    <w:bookmarkEnd w:id="20"/>
    <w:p>
      <w:pPr>
        <w:ind w:left="4" w:right="10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1" w:lineRule="exact"/>
        <w:rPr>
          <w:sz w:val="20"/>
          <w:szCs w:val="20"/>
          <w:color w:val="auto"/>
        </w:rPr>
      </w:pPr>
    </w:p>
    <w:p>
      <w:pPr>
        <w:ind w:left="264" w:hanging="264"/>
        <w:spacing w:after="0"/>
        <w:tabs>
          <w:tab w:leader="none" w:pos="264" w:val="left"/>
        </w:tabs>
        <w:numPr>
          <w:ilvl w:val="0"/>
          <w:numId w:val="25"/>
        </w:numPr>
        <w:rPr>
          <w:rFonts w:ascii="Arial" w:cs="Arial" w:eastAsia="Arial" w:hAnsi="Arial"/>
          <w:sz w:val="16"/>
          <w:szCs w:val="16"/>
          <w:color w:val="auto"/>
        </w:rPr>
      </w:pPr>
      <w:r>
        <w:rPr>
          <w:rFonts w:ascii="Arial" w:cs="Arial" w:eastAsia="Arial" w:hAnsi="Arial"/>
          <w:sz w:val="16"/>
          <w:szCs w:val="16"/>
          <w:color w:val="auto"/>
        </w:rPr>
        <w:t>no shares of Company Common Stock are subject to stock appreciation rights, whether granted under the Company Equity Plans or otherwise;</w:t>
      </w:r>
    </w:p>
    <w:p>
      <w:pPr>
        <w:spacing w:after="0" w:line="32" w:lineRule="exact"/>
        <w:rPr>
          <w:rFonts w:ascii="Arial" w:cs="Arial" w:eastAsia="Arial" w:hAnsi="Arial"/>
          <w:sz w:val="16"/>
          <w:szCs w:val="16"/>
          <w:color w:val="auto"/>
        </w:rPr>
      </w:pPr>
    </w:p>
    <w:p>
      <w:pPr>
        <w:ind w:left="4" w:right="20" w:hanging="4"/>
        <w:spacing w:after="0" w:line="281" w:lineRule="auto"/>
        <w:tabs>
          <w:tab w:leader="none" w:pos="309" w:val="left"/>
        </w:tabs>
        <w:numPr>
          <w:ilvl w:val="0"/>
          <w:numId w:val="25"/>
        </w:numPr>
        <w:rPr>
          <w:rFonts w:ascii="Arial" w:cs="Arial" w:eastAsia="Arial" w:hAnsi="Arial"/>
          <w:sz w:val="16"/>
          <w:szCs w:val="16"/>
          <w:color w:val="auto"/>
        </w:rPr>
      </w:pPr>
      <w:r>
        <w:rPr>
          <w:rFonts w:ascii="Arial" w:cs="Arial" w:eastAsia="Arial" w:hAnsi="Arial"/>
          <w:sz w:val="16"/>
          <w:szCs w:val="16"/>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4" w:lineRule="exact"/>
        <w:rPr>
          <w:rFonts w:ascii="Arial" w:cs="Arial" w:eastAsia="Arial" w:hAnsi="Arial"/>
          <w:sz w:val="16"/>
          <w:szCs w:val="16"/>
          <w:color w:val="auto"/>
        </w:rPr>
      </w:pPr>
    </w:p>
    <w:p>
      <w:pPr>
        <w:ind w:left="4" w:right="20"/>
        <w:spacing w:after="0" w:line="281" w:lineRule="auto"/>
        <w:rPr>
          <w:rFonts w:ascii="Arial" w:cs="Arial" w:eastAsia="Arial" w:hAnsi="Arial"/>
          <w:sz w:val="16"/>
          <w:szCs w:val="16"/>
          <w:color w:val="auto"/>
        </w:rPr>
      </w:pPr>
      <w:r>
        <w:rPr>
          <w:rFonts w:ascii="Arial" w:cs="Arial" w:eastAsia="Arial" w:hAnsi="Arial"/>
          <w:sz w:val="16"/>
          <w:szCs w:val="16"/>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Arial" w:cs="Arial" w:eastAsia="Arial" w:hAnsi="Arial"/>
          <w:sz w:val="16"/>
          <w:szCs w:val="16"/>
          <w:u w:val="single" w:color="auto"/>
          <w:color w:val="auto"/>
        </w:rPr>
        <w:t>Section 409A</w:t>
      </w:r>
      <w:r>
        <w:rPr>
          <w:rFonts w:ascii="Arial" w:cs="Arial" w:eastAsia="Arial" w:hAnsi="Arial"/>
          <w:sz w:val="16"/>
          <w:szCs w:val="16"/>
          <w:color w:val="auto"/>
        </w:rPr>
        <w:t>”); (10) if such Company Equity Award is a Company RSU, the dates on which shares of Company Common Stock are scheduled to be delivered, if different from the applicable vesting schedule; and</w:t>
      </w:r>
    </w:p>
    <w:p>
      <w:pPr>
        <w:spacing w:after="0" w:line="2" w:lineRule="exact"/>
        <w:rPr>
          <w:rFonts w:ascii="Arial" w:cs="Arial" w:eastAsia="Arial" w:hAnsi="Arial"/>
          <w:sz w:val="16"/>
          <w:szCs w:val="16"/>
          <w:color w:val="auto"/>
        </w:rPr>
      </w:pPr>
    </w:p>
    <w:p>
      <w:pPr>
        <w:ind w:left="4"/>
        <w:spacing w:after="0" w:line="268" w:lineRule="auto"/>
        <w:rPr>
          <w:rFonts w:ascii="Arial" w:cs="Arial" w:eastAsia="Arial" w:hAnsi="Arial"/>
          <w:sz w:val="16"/>
          <w:szCs w:val="16"/>
          <w:color w:val="auto"/>
        </w:rPr>
      </w:pPr>
      <w:r>
        <w:rPr>
          <w:rFonts w:ascii="Arial" w:cs="Arial" w:eastAsia="Arial" w:hAnsi="Arial"/>
          <w:sz w:val="17"/>
          <w:szCs w:val="17"/>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81" w:lineRule="exact"/>
        <w:rPr>
          <w:rFonts w:ascii="Arial" w:cs="Arial" w:eastAsia="Arial" w:hAnsi="Arial"/>
          <w:sz w:val="16"/>
          <w:szCs w:val="16"/>
          <w:color w:val="auto"/>
        </w:rPr>
      </w:pPr>
    </w:p>
    <w:p>
      <w:pPr>
        <w:ind w:left="4" w:right="40" w:firstLine="987"/>
        <w:spacing w:after="0" w:line="255" w:lineRule="auto"/>
        <w:tabs>
          <w:tab w:leader="none" w:pos="1240" w:val="left"/>
        </w:tabs>
        <w:numPr>
          <w:ilvl w:val="1"/>
          <w:numId w:val="25"/>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92" w:lineRule="exact"/>
        <w:rPr>
          <w:rFonts w:ascii="Arial" w:cs="Arial" w:eastAsia="Arial" w:hAnsi="Arial"/>
          <w:sz w:val="18"/>
          <w:szCs w:val="18"/>
          <w:b w:val="1"/>
          <w:bCs w:val="1"/>
          <w:color w:val="auto"/>
        </w:rPr>
      </w:pPr>
    </w:p>
    <w:p>
      <w:pPr>
        <w:ind w:left="4" w:right="40" w:firstLine="987"/>
        <w:spacing w:after="0" w:line="285" w:lineRule="auto"/>
        <w:tabs>
          <w:tab w:leader="none" w:pos="1260" w:val="left"/>
        </w:tabs>
        <w:numPr>
          <w:ilvl w:val="1"/>
          <w:numId w:val="25"/>
        </w:numPr>
        <w:rPr>
          <w:rFonts w:ascii="Arial" w:cs="Arial" w:eastAsia="Arial" w:hAnsi="Arial"/>
          <w:sz w:val="16"/>
          <w:szCs w:val="16"/>
          <w:b w:val="1"/>
          <w:bCs w:val="1"/>
          <w:color w:val="auto"/>
        </w:rPr>
      </w:pPr>
      <w:r>
        <w:rPr>
          <w:rFonts w:ascii="Arial" w:cs="Arial" w:eastAsia="Arial" w:hAnsi="Arial"/>
          <w:sz w:val="16"/>
          <w:szCs w:val="16"/>
          <w:color w:val="auto"/>
        </w:rPr>
        <w:t xml:space="preserve">Except (w) as set forth in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Arial" w:cs="Arial" w:eastAsia="Arial" w:hAnsi="Arial"/>
          <w:sz w:val="16"/>
          <w:szCs w:val="16"/>
          <w:u w:val="single" w:color="auto"/>
          <w:color w:val="auto"/>
        </w:rPr>
        <w:t>Section 4.2(b)(ii)</w:t>
      </w:r>
      <w:r>
        <w:rPr>
          <w:rFonts w:ascii="Arial" w:cs="Arial" w:eastAsia="Arial" w:hAnsi="Arial"/>
          <w:sz w:val="16"/>
          <w:szCs w:val="16"/>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1" w:lineRule="exact"/>
        <w:rPr>
          <w:rFonts w:ascii="Arial" w:cs="Arial" w:eastAsia="Arial" w:hAnsi="Arial"/>
          <w:sz w:val="16"/>
          <w:szCs w:val="16"/>
          <w:b w:val="1"/>
          <w:bCs w:val="1"/>
          <w:color w:val="auto"/>
        </w:rPr>
      </w:pPr>
    </w:p>
    <w:p>
      <w:pPr>
        <w:ind w:left="264" w:hanging="264"/>
        <w:spacing w:after="0"/>
        <w:tabs>
          <w:tab w:leader="none" w:pos="264" w:val="left"/>
        </w:tabs>
        <w:numPr>
          <w:ilvl w:val="0"/>
          <w:numId w:val="26"/>
        </w:numPr>
        <w:rPr>
          <w:rFonts w:ascii="Arial" w:cs="Arial" w:eastAsia="Arial" w:hAnsi="Arial"/>
          <w:sz w:val="18"/>
          <w:szCs w:val="18"/>
          <w:color w:val="auto"/>
        </w:rPr>
      </w:pPr>
      <w:r>
        <w:rPr>
          <w:rFonts w:ascii="Arial" w:cs="Arial" w:eastAsia="Arial" w:hAnsi="Arial"/>
          <w:sz w:val="18"/>
          <w:szCs w:val="18"/>
          <w:color w:val="auto"/>
        </w:rPr>
        <w:t>outstanding security, instrument or obligation</w:t>
      </w:r>
    </w:p>
    <w:p>
      <w:pPr>
        <w:spacing w:after="0" w:line="14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4"/>
          </w:cols>
          <w:pgMar w:left="436" w:top="274" w:right="459" w:bottom="1440" w:gutter="0" w:footer="0" w:header="0"/>
        </w:sectPr>
      </w:pPr>
    </w:p>
    <w:bookmarkStart w:id="21" w:name="page22"/>
    <w:bookmarkEnd w:id="21"/>
    <w:p>
      <w:pPr>
        <w:ind w:left="4"/>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that is or may become convertible into or exchangeable for any shares of the capital stock or other securities of any of the Inphi Entities; or</w:t>
      </w:r>
    </w:p>
    <w:p>
      <w:pPr>
        <w:spacing w:after="0" w:line="35" w:lineRule="exact"/>
        <w:rPr>
          <w:sz w:val="20"/>
          <w:szCs w:val="20"/>
          <w:color w:val="auto"/>
        </w:rPr>
      </w:pPr>
    </w:p>
    <w:p>
      <w:pPr>
        <w:ind w:left="4" w:right="400" w:hanging="4"/>
        <w:spacing w:after="0" w:line="290" w:lineRule="auto"/>
        <w:tabs>
          <w:tab w:leader="none" w:pos="319" w:val="left"/>
        </w:tabs>
        <w:numPr>
          <w:ilvl w:val="0"/>
          <w:numId w:val="27"/>
        </w:numPr>
        <w:rPr>
          <w:rFonts w:ascii="Arial" w:cs="Arial" w:eastAsia="Arial" w:hAnsi="Arial"/>
          <w:sz w:val="17"/>
          <w:szCs w:val="17"/>
          <w:color w:val="auto"/>
        </w:rPr>
      </w:pPr>
      <w:r>
        <w:rPr>
          <w:rFonts w:ascii="Arial" w:cs="Arial" w:eastAsia="Arial" w:hAnsi="Arial"/>
          <w:sz w:val="17"/>
          <w:szCs w:val="17"/>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61" w:lineRule="exact"/>
        <w:rPr>
          <w:rFonts w:ascii="Arial" w:cs="Arial" w:eastAsia="Arial" w:hAnsi="Arial"/>
          <w:sz w:val="17"/>
          <w:szCs w:val="17"/>
          <w:color w:val="auto"/>
        </w:rPr>
      </w:pPr>
    </w:p>
    <w:p>
      <w:pPr>
        <w:jc w:val="both"/>
        <w:ind w:left="4" w:right="100" w:firstLine="987"/>
        <w:spacing w:after="0" w:line="259" w:lineRule="auto"/>
        <w:tabs>
          <w:tab w:leader="none" w:pos="1240" w:val="left"/>
        </w:tabs>
        <w:numPr>
          <w:ilvl w:val="1"/>
          <w:numId w:val="27"/>
        </w:numPr>
        <w:rPr>
          <w:rFonts w:ascii="Arial" w:cs="Arial" w:eastAsia="Arial" w:hAnsi="Arial"/>
          <w:sz w:val="18"/>
          <w:szCs w:val="18"/>
          <w:b w:val="1"/>
          <w:bCs w:val="1"/>
          <w:color w:val="auto"/>
        </w:rPr>
      </w:pPr>
      <w:r>
        <w:rPr>
          <w:rFonts w:ascii="Arial" w:cs="Arial" w:eastAsia="Arial" w:hAnsi="Arial"/>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86" w:lineRule="exact"/>
        <w:rPr>
          <w:rFonts w:ascii="Arial" w:cs="Arial" w:eastAsia="Arial" w:hAnsi="Arial"/>
          <w:sz w:val="18"/>
          <w:szCs w:val="18"/>
          <w:b w:val="1"/>
          <w:bCs w:val="1"/>
          <w:color w:val="auto"/>
        </w:rPr>
      </w:pPr>
    </w:p>
    <w:p>
      <w:pPr>
        <w:ind w:left="4" w:right="160" w:firstLine="987"/>
        <w:spacing w:after="0" w:line="263" w:lineRule="auto"/>
        <w:tabs>
          <w:tab w:leader="none" w:pos="1220" w:val="left"/>
        </w:tabs>
        <w:numPr>
          <w:ilvl w:val="1"/>
          <w:numId w:val="27"/>
        </w:numPr>
        <w:rPr>
          <w:rFonts w:ascii="Arial" w:cs="Arial" w:eastAsia="Arial" w:hAnsi="Arial"/>
          <w:sz w:val="18"/>
          <w:szCs w:val="18"/>
          <w:b w:val="1"/>
          <w:bCs w:val="1"/>
          <w:color w:val="auto"/>
        </w:rPr>
      </w:pPr>
      <w:r>
        <w:rPr>
          <w:rFonts w:ascii="Arial" w:cs="Arial" w:eastAsia="Arial" w:hAnsi="Arial"/>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80"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2.4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0"/>
          <w:numId w:val="28"/>
        </w:numPr>
        <w:rPr>
          <w:rFonts w:ascii="Arial" w:cs="Arial" w:eastAsia="Arial" w:hAnsi="Arial"/>
          <w:sz w:val="17"/>
          <w:szCs w:val="17"/>
          <w:b w:val="1"/>
          <w:bCs w:val="1"/>
          <w:color w:val="auto"/>
        </w:rPr>
      </w:pPr>
      <w:r>
        <w:rPr>
          <w:rFonts w:ascii="Arial" w:cs="Arial" w:eastAsia="Arial" w:hAnsi="Arial"/>
          <w:sz w:val="17"/>
          <w:szCs w:val="17"/>
          <w:color w:val="auto"/>
        </w:rPr>
        <w:t>All statements, reports, schedules, forms and other documents required to have been filed by the Company with the SEC since</w:t>
      </w:r>
    </w:p>
    <w:p>
      <w:pPr>
        <w:spacing w:after="0" w:line="35" w:lineRule="exact"/>
        <w:rPr>
          <w:sz w:val="20"/>
          <w:szCs w:val="20"/>
          <w:color w:val="auto"/>
        </w:rPr>
      </w:pPr>
    </w:p>
    <w:p>
      <w:pPr>
        <w:ind w:left="4"/>
        <w:spacing w:after="0" w:line="267" w:lineRule="auto"/>
        <w:rPr>
          <w:sz w:val="20"/>
          <w:szCs w:val="20"/>
          <w:color w:val="auto"/>
        </w:rPr>
      </w:pPr>
      <w:r>
        <w:rPr>
          <w:rFonts w:ascii="Arial" w:cs="Arial" w:eastAsia="Arial" w:hAnsi="Arial"/>
          <w:sz w:val="17"/>
          <w:szCs w:val="17"/>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(A)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officer</w:t>
      </w:r>
      <w:r>
        <w:rPr>
          <w:rFonts w:ascii="Arial" w:cs="Arial" w:eastAsia="Arial" w:hAnsi="Arial"/>
          <w:sz w:val="17"/>
          <w:szCs w:val="17"/>
          <w:color w:val="auto"/>
        </w:rPr>
        <w:t>” shall have the meanings given to such terms in the Sarbanes-Oxley Act and (B) the term “</w:t>
      </w:r>
      <w:r>
        <w:rPr>
          <w:rFonts w:ascii="Arial" w:cs="Arial" w:eastAsia="Arial" w:hAnsi="Arial"/>
          <w:sz w:val="17"/>
          <w:szCs w:val="17"/>
          <w:u w:val="single" w:color="auto"/>
          <w:color w:val="auto"/>
        </w:rPr>
        <w:t>file</w:t>
      </w:r>
      <w:r>
        <w:rPr>
          <w:rFonts w:ascii="Arial" w:cs="Arial" w:eastAsia="Arial" w:hAnsi="Arial"/>
          <w:sz w:val="17"/>
          <w:szCs w:val="17"/>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81" w:lineRule="exact"/>
        <w:rPr>
          <w:sz w:val="20"/>
          <w:szCs w:val="20"/>
          <w:color w:val="auto"/>
        </w:rPr>
      </w:pPr>
    </w:p>
    <w:p>
      <w:pPr>
        <w:ind w:left="1264" w:hanging="273"/>
        <w:spacing w:after="0"/>
        <w:tabs>
          <w:tab w:leader="none" w:pos="1264" w:val="left"/>
        </w:tabs>
        <w:numPr>
          <w:ilvl w:val="0"/>
          <w:numId w:val="29"/>
        </w:numPr>
        <w:rPr>
          <w:rFonts w:ascii="Arial" w:cs="Arial" w:eastAsia="Arial" w:hAnsi="Arial"/>
          <w:sz w:val="17"/>
          <w:szCs w:val="17"/>
          <w:b w:val="1"/>
          <w:bCs w:val="1"/>
          <w:color w:val="auto"/>
        </w:rPr>
      </w:pPr>
      <w:r>
        <w:rPr>
          <w:rFonts w:ascii="Arial" w:cs="Arial" w:eastAsia="Arial" w:hAnsi="Arial"/>
          <w:sz w:val="17"/>
          <w:szCs w:val="17"/>
          <w:color w:val="auto"/>
        </w:rPr>
        <w:t>The consolidated financial statements (including any related notes) contained or incorporated by reference in the Company SEC</w:t>
      </w:r>
    </w:p>
    <w:p>
      <w:pPr>
        <w:spacing w:after="0" w:line="34" w:lineRule="exact"/>
        <w:rPr>
          <w:rFonts w:ascii="Arial" w:cs="Arial" w:eastAsia="Arial" w:hAnsi="Arial"/>
          <w:sz w:val="17"/>
          <w:szCs w:val="17"/>
          <w:b w:val="1"/>
          <w:bCs w:val="1"/>
          <w:color w:val="auto"/>
        </w:rPr>
      </w:pPr>
    </w:p>
    <w:p>
      <w:pPr>
        <w:ind w:left="4" w:right="220"/>
        <w:spacing w:after="0" w:line="268" w:lineRule="auto"/>
        <w:rPr>
          <w:rFonts w:ascii="Arial" w:cs="Arial" w:eastAsia="Arial" w:hAnsi="Arial"/>
          <w:sz w:val="17"/>
          <w:szCs w:val="17"/>
          <w:b w:val="1"/>
          <w:bCs w:val="1"/>
          <w:color w:val="auto"/>
        </w:rPr>
      </w:pPr>
      <w:r>
        <w:rPr>
          <w:rFonts w:ascii="Arial" w:cs="Arial" w:eastAsia="Arial" w:hAnsi="Arial"/>
          <w:sz w:val="17"/>
          <w:szCs w:val="17"/>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83" w:lineRule="exact"/>
        <w:rPr>
          <w:rFonts w:ascii="Arial" w:cs="Arial" w:eastAsia="Arial" w:hAnsi="Arial"/>
          <w:sz w:val="17"/>
          <w:szCs w:val="17"/>
          <w:b w:val="1"/>
          <w:bCs w:val="1"/>
          <w:color w:val="auto"/>
        </w:rPr>
      </w:pPr>
    </w:p>
    <w:p>
      <w:pPr>
        <w:ind w:left="4" w:right="580" w:firstLine="987"/>
        <w:spacing w:after="0" w:line="277" w:lineRule="auto"/>
        <w:tabs>
          <w:tab w:leader="none" w:pos="1240" w:val="left"/>
        </w:tabs>
        <w:numPr>
          <w:ilvl w:val="0"/>
          <w:numId w:val="29"/>
        </w:numPr>
        <w:rPr>
          <w:rFonts w:ascii="Arial" w:cs="Arial" w:eastAsia="Arial" w:hAnsi="Arial"/>
          <w:sz w:val="18"/>
          <w:szCs w:val="18"/>
          <w:b w:val="1"/>
          <w:bCs w:val="1"/>
          <w:color w:val="auto"/>
        </w:rPr>
      </w:pPr>
      <w:r>
        <w:rPr>
          <w:rFonts w:ascii="Arial" w:cs="Arial" w:eastAsia="Arial" w:hAnsi="Arial"/>
          <w:sz w:val="18"/>
          <w:szCs w:val="18"/>
          <w:color w:val="auto"/>
        </w:rPr>
        <w:t>The Inphi Entities maintain: (i) “internal control over financial reporting” (as defined in Rule 13a-15(f) of the Exchange Act) as required by the Exchange Act and, to the Knowledge of the Company, the</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04"/>
          </w:cols>
          <w:pgMar w:left="436" w:top="274" w:right="459" w:bottom="1440" w:gutter="0" w:footer="0" w:header="0"/>
        </w:sectPr>
      </w:pPr>
    </w:p>
    <w:bookmarkStart w:id="22" w:name="page23"/>
    <w:bookmarkEnd w:id="22"/>
    <w:p>
      <w:pPr>
        <w:ind w:left="4"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4" w:hanging="4"/>
        <w:spacing w:after="0" w:line="268" w:lineRule="auto"/>
        <w:tabs>
          <w:tab w:leader="none" w:pos="289" w:val="left"/>
        </w:tabs>
        <w:numPr>
          <w:ilvl w:val="0"/>
          <w:numId w:val="30"/>
        </w:numPr>
        <w:rPr>
          <w:rFonts w:ascii="Arial" w:cs="Arial" w:eastAsia="Arial" w:hAnsi="Arial"/>
          <w:sz w:val="17"/>
          <w:szCs w:val="17"/>
          <w:color w:val="auto"/>
        </w:rPr>
      </w:pPr>
      <w:r>
        <w:rPr>
          <w:rFonts w:ascii="Arial" w:cs="Arial" w:eastAsia="Arial" w:hAnsi="Arial"/>
          <w:sz w:val="17"/>
          <w:szCs w:val="17"/>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83" w:lineRule="exact"/>
        <w:rPr>
          <w:rFonts w:ascii="Arial" w:cs="Arial" w:eastAsia="Arial" w:hAnsi="Arial"/>
          <w:sz w:val="17"/>
          <w:szCs w:val="17"/>
          <w:color w:val="auto"/>
        </w:rPr>
      </w:pPr>
    </w:p>
    <w:p>
      <w:pPr>
        <w:ind w:left="4" w:right="100" w:firstLine="987"/>
        <w:spacing w:after="0" w:line="263" w:lineRule="auto"/>
        <w:tabs>
          <w:tab w:leader="none" w:pos="1260" w:val="left"/>
        </w:tabs>
        <w:numPr>
          <w:ilvl w:val="1"/>
          <w:numId w:val="30"/>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83" w:lineRule="exact"/>
        <w:rPr>
          <w:rFonts w:ascii="Arial" w:cs="Arial" w:eastAsia="Arial" w:hAnsi="Arial"/>
          <w:sz w:val="18"/>
          <w:szCs w:val="18"/>
          <w:b w:val="1"/>
          <w:bCs w:val="1"/>
          <w:color w:val="auto"/>
        </w:rPr>
      </w:pPr>
    </w:p>
    <w:p>
      <w:pPr>
        <w:ind w:left="4" w:right="140" w:firstLine="987"/>
        <w:spacing w:after="0" w:line="263" w:lineRule="auto"/>
        <w:tabs>
          <w:tab w:leader="none" w:pos="1240" w:val="left"/>
        </w:tabs>
        <w:numPr>
          <w:ilvl w:val="1"/>
          <w:numId w:val="30"/>
        </w:numPr>
        <w:rPr>
          <w:rFonts w:ascii="Arial" w:cs="Arial" w:eastAsia="Arial" w:hAnsi="Arial"/>
          <w:sz w:val="18"/>
          <w:szCs w:val="18"/>
          <w:b w:val="1"/>
          <w:bCs w:val="1"/>
          <w:color w:val="auto"/>
        </w:rPr>
      </w:pPr>
      <w:r>
        <w:rPr>
          <w:rFonts w:ascii="Arial" w:cs="Arial" w:eastAsia="Arial" w:hAnsi="Arial"/>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left="4" w:right="40" w:firstLine="987"/>
        <w:spacing w:after="0" w:line="257" w:lineRule="auto"/>
        <w:tabs>
          <w:tab w:leader="none" w:pos="1220" w:val="left"/>
        </w:tabs>
        <w:numPr>
          <w:ilvl w:val="1"/>
          <w:numId w:val="30"/>
        </w:numPr>
        <w:rPr>
          <w:rFonts w:ascii="Arial" w:cs="Arial" w:eastAsia="Arial" w:hAnsi="Arial"/>
          <w:sz w:val="18"/>
          <w:szCs w:val="18"/>
          <w:b w:val="1"/>
          <w:bCs w:val="1"/>
          <w:color w:val="auto"/>
        </w:rPr>
      </w:pPr>
      <w:r>
        <w:rPr>
          <w:rFonts w:ascii="Arial" w:cs="Arial" w:eastAsia="Arial" w:hAnsi="Arial"/>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left="4" w:firstLine="440"/>
        <w:spacing w:after="0" w:line="289" w:lineRule="auto"/>
        <w:rPr>
          <w:sz w:val="20"/>
          <w:szCs w:val="20"/>
          <w:color w:val="auto"/>
        </w:rPr>
      </w:pPr>
      <w:r>
        <w:rPr>
          <w:rFonts w:ascii="Arial" w:cs="Arial" w:eastAsia="Arial" w:hAnsi="Arial"/>
          <w:sz w:val="16"/>
          <w:szCs w:val="16"/>
          <w:b w:val="1"/>
          <w:bCs w:val="1"/>
          <w:color w:val="auto"/>
        </w:rPr>
        <w:t>2.5 Absence of Changes</w:t>
      </w:r>
      <w:r>
        <w:rPr>
          <w:rFonts w:ascii="Arial" w:cs="Arial" w:eastAsia="Arial" w:hAnsi="Arial"/>
          <w:sz w:val="16"/>
          <w:szCs w:val="16"/>
          <w:color w:val="auto"/>
        </w:rPr>
        <w:t>. Between December 31, 2019 and the date of this Agreement, there has not been any Material Adverse Effect on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Arial" w:cs="Arial" w:eastAsia="Arial" w:hAnsi="Arial"/>
          <w:sz w:val="16"/>
          <w:szCs w:val="16"/>
          <w:u w:val="single" w:color="auto"/>
          <w:color w:val="auto"/>
        </w:rPr>
        <w:t>Section 4.2(b)(iii)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4.2(b)(iv)</w:t>
      </w:r>
      <w:r>
        <w:rPr>
          <w:rFonts w:ascii="Arial" w:cs="Arial" w:eastAsia="Arial" w:hAnsi="Arial"/>
          <w:sz w:val="16"/>
          <w:szCs w:val="16"/>
          <w:color w:val="auto"/>
        </w:rPr>
        <w:t xml:space="preserve"> (with respect to the Company itself), </w:t>
      </w:r>
      <w:r>
        <w:rPr>
          <w:rFonts w:ascii="Arial" w:cs="Arial" w:eastAsia="Arial" w:hAnsi="Arial"/>
          <w:sz w:val="16"/>
          <w:szCs w:val="16"/>
          <w:u w:val="single" w:color="auto"/>
          <w:color w:val="auto"/>
        </w:rPr>
        <w:t>Section 4.2(b)(v)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4.2(b)(xix)</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4.2(b)(xxi)</w:t>
      </w:r>
      <w:r>
        <w:rPr>
          <w:rFonts w:ascii="Arial" w:cs="Arial" w:eastAsia="Arial" w:hAnsi="Arial"/>
          <w:sz w:val="16"/>
          <w:szCs w:val="16"/>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61" w:lineRule="exact"/>
        <w:rPr>
          <w:sz w:val="20"/>
          <w:szCs w:val="20"/>
          <w:color w:val="auto"/>
        </w:rPr>
      </w:pPr>
    </w:p>
    <w:p>
      <w:pPr>
        <w:ind w:left="4" w:firstLine="440"/>
        <w:spacing w:after="0" w:line="281" w:lineRule="auto"/>
        <w:rPr>
          <w:sz w:val="20"/>
          <w:szCs w:val="20"/>
          <w:color w:val="auto"/>
        </w:rPr>
      </w:pPr>
      <w:r>
        <w:rPr>
          <w:rFonts w:ascii="Arial" w:cs="Arial" w:eastAsia="Arial" w:hAnsi="Arial"/>
          <w:sz w:val="17"/>
          <w:szCs w:val="17"/>
          <w:b w:val="1"/>
          <w:bCs w:val="1"/>
          <w:color w:val="auto"/>
        </w:rPr>
        <w:t>2.6 Title to Assets</w:t>
      </w:r>
      <w:r>
        <w:rPr>
          <w:rFonts w:ascii="Arial" w:cs="Arial" w:eastAsia="Arial" w:hAnsi="Arial"/>
          <w:sz w:val="17"/>
          <w:szCs w:val="17"/>
          <w:color w:val="auto"/>
        </w:rPr>
        <w:t>. Except with respect to the Inphi Entities’ real property (which is covered by</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2.7)</w:t>
      </w:r>
      <w:r>
        <w:rPr>
          <w:rFonts w:ascii="Arial" w:cs="Arial" w:eastAsia="Arial" w:hAnsi="Arial"/>
          <w:sz w:val="17"/>
          <w:szCs w:val="17"/>
          <w:b w:val="1"/>
          <w:bCs w:val="1"/>
          <w:color w:val="auto"/>
        </w:rPr>
        <w:t xml:space="preserve"> </w:t>
      </w:r>
      <w:r>
        <w:rPr>
          <w:rFonts w:ascii="Arial" w:cs="Arial" w:eastAsia="Arial" w:hAnsi="Arial"/>
          <w:sz w:val="17"/>
          <w:szCs w:val="17"/>
          <w:color w:val="auto"/>
        </w:rPr>
        <w:t>and with respect to the Inphi Entities’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Intellectual Property Rights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0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4"/>
          </w:cols>
          <w:pgMar w:left="436" w:top="274" w:right="459" w:bottom="1440" w:gutter="0" w:footer="0" w:header="0"/>
        </w:sectPr>
      </w:pPr>
    </w:p>
    <w:bookmarkStart w:id="23" w:name="page24"/>
    <w:bookmarkEnd w:id="23"/>
    <w:p>
      <w:pPr>
        <w:ind w:right="3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2.7 Real Property; Equipment; Leasehold</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70" w:lineRule="auto"/>
        <w:tabs>
          <w:tab w:leader="none" w:pos="1246" w:val="left"/>
        </w:tabs>
        <w:numPr>
          <w:ilvl w:val="0"/>
          <w:numId w:val="31"/>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owns any real property or any interest in real property. </w:t>
      </w:r>
      <w:r>
        <w:rPr>
          <w:rFonts w:ascii="Arial" w:cs="Arial" w:eastAsia="Arial" w:hAnsi="Arial"/>
          <w:sz w:val="17"/>
          <w:szCs w:val="17"/>
          <w:u w:val="single" w:color="auto"/>
          <w:color w:val="auto"/>
        </w:rPr>
        <w:t>Part 2.7(a)</w:t>
      </w:r>
      <w:r>
        <w:rPr>
          <w:rFonts w:ascii="Arial" w:cs="Arial" w:eastAsia="Arial" w:hAnsi="Arial"/>
          <w:sz w:val="17"/>
          <w:szCs w:val="17"/>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Arial" w:cs="Arial" w:eastAsia="Arial" w:hAnsi="Arial"/>
          <w:sz w:val="17"/>
          <w:szCs w:val="17"/>
          <w:u w:val="single" w:color="auto"/>
          <w:color w:val="auto"/>
        </w:rPr>
        <w:t>Leases</w:t>
      </w:r>
      <w:r>
        <w:rPr>
          <w:rFonts w:ascii="Arial" w:cs="Arial" w:eastAsia="Arial" w:hAnsi="Arial"/>
          <w:sz w:val="17"/>
          <w:szCs w:val="17"/>
          <w:color w:val="auto"/>
        </w:rPr>
        <w:t>”). (All real property leased or subleased to the Inphi Entities, including all buildings, structures, fixtures and other improvements leased or subleased to the Inphi Entities, are referred to as the “</w:t>
      </w:r>
      <w:r>
        <w:rPr>
          <w:rFonts w:ascii="Arial" w:cs="Arial" w:eastAsia="Arial" w:hAnsi="Arial"/>
          <w:sz w:val="17"/>
          <w:szCs w:val="17"/>
          <w:u w:val="single" w:color="auto"/>
          <w:color w:val="auto"/>
        </w:rPr>
        <w:t>Leased Real Property</w:t>
      </w:r>
      <w:r>
        <w:rPr>
          <w:rFonts w:ascii="Arial" w:cs="Arial" w:eastAsia="Arial" w:hAnsi="Arial"/>
          <w:sz w:val="17"/>
          <w:szCs w:val="17"/>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0" w:lineRule="exact"/>
        <w:rPr>
          <w:rFonts w:ascii="Arial" w:cs="Arial" w:eastAsia="Arial" w:hAnsi="Arial"/>
          <w:sz w:val="17"/>
          <w:szCs w:val="17"/>
          <w:b w:val="1"/>
          <w:bCs w:val="1"/>
          <w:color w:val="auto"/>
        </w:rPr>
      </w:pPr>
    </w:p>
    <w:p>
      <w:pPr>
        <w:ind w:firstLine="987"/>
        <w:spacing w:after="0" w:line="271" w:lineRule="auto"/>
        <w:tabs>
          <w:tab w:leader="none" w:pos="1256" w:val="left"/>
        </w:tabs>
        <w:numPr>
          <w:ilvl w:val="0"/>
          <w:numId w:val="31"/>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74"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2.8 Intellectual Property</w:t>
      </w:r>
      <w:r>
        <w:rPr>
          <w:rFonts w:ascii="Arial" w:cs="Arial" w:eastAsia="Arial" w:hAnsi="Arial"/>
          <w:sz w:val="18"/>
          <w:szCs w:val="18"/>
          <w:color w:val="auto"/>
        </w:rPr>
        <w:t>.</w:t>
      </w:r>
    </w:p>
    <w:p>
      <w:pPr>
        <w:spacing w:after="0" w:line="229" w:lineRule="exact"/>
        <w:rPr>
          <w:sz w:val="20"/>
          <w:szCs w:val="20"/>
          <w:color w:val="auto"/>
        </w:rPr>
      </w:pPr>
    </w:p>
    <w:p>
      <w:pPr>
        <w:ind w:right="420" w:firstLine="987"/>
        <w:spacing w:after="0" w:line="257" w:lineRule="auto"/>
        <w:tabs>
          <w:tab w:leader="none" w:pos="1246" w:val="left"/>
        </w:tabs>
        <w:numPr>
          <w:ilvl w:val="0"/>
          <w:numId w:val="32"/>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7" w:lineRule="exact"/>
        <w:rPr>
          <w:rFonts w:ascii="Arial" w:cs="Arial" w:eastAsia="Arial" w:hAnsi="Arial"/>
          <w:sz w:val="18"/>
          <w:szCs w:val="18"/>
          <w:b w:val="1"/>
          <w:bCs w:val="1"/>
          <w:color w:val="auto"/>
        </w:rPr>
      </w:pPr>
    </w:p>
    <w:p>
      <w:pPr>
        <w:ind w:right="340" w:firstLine="987"/>
        <w:spacing w:after="0" w:line="254" w:lineRule="auto"/>
        <w:tabs>
          <w:tab w:leader="none" w:pos="1256" w:val="left"/>
        </w:tabs>
        <w:numPr>
          <w:ilvl w:val="0"/>
          <w:numId w:val="32"/>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2.8(b)(i)</w:t>
      </w:r>
      <w:r>
        <w:rPr>
          <w:rFonts w:ascii="Arial" w:cs="Arial" w:eastAsia="Arial" w:hAnsi="Arial"/>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2.8(b)(ii)</w:t>
      </w:r>
      <w:r>
        <w:rPr>
          <w:rFonts w:ascii="Arial" w:cs="Arial" w:eastAsia="Arial" w:hAnsi="Arial"/>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Arial" w:cs="Arial" w:eastAsia="Arial" w:hAnsi="Arial"/>
          <w:sz w:val="18"/>
          <w:szCs w:val="18"/>
          <w:u w:val="single" w:color="auto"/>
          <w:color w:val="auto"/>
        </w:rPr>
        <w:t>Part 2.8(b)(iii)</w:t>
      </w:r>
      <w:r>
        <w:rPr>
          <w:rFonts w:ascii="Arial" w:cs="Arial" w:eastAsia="Arial" w:hAnsi="Arial"/>
          <w:sz w:val="18"/>
          <w:szCs w:val="18"/>
          <w:color w:val="auto"/>
        </w:rPr>
        <w:t xml:space="preserve"> of the Company Disclosure Schedule accurately identifies each Inphi Patent License. The Company has not exclusively licensed any of its APIs, firmware or other Software.</w:t>
      </w:r>
    </w:p>
    <w:p>
      <w:pPr>
        <w:spacing w:after="0" w:line="194" w:lineRule="exact"/>
        <w:rPr>
          <w:rFonts w:ascii="Arial" w:cs="Arial" w:eastAsia="Arial" w:hAnsi="Arial"/>
          <w:sz w:val="18"/>
          <w:szCs w:val="18"/>
          <w:b w:val="1"/>
          <w:bCs w:val="1"/>
          <w:color w:val="auto"/>
        </w:rPr>
      </w:pPr>
    </w:p>
    <w:p>
      <w:pPr>
        <w:ind w:right="340" w:firstLine="987"/>
        <w:spacing w:after="0" w:line="277" w:lineRule="auto"/>
        <w:tabs>
          <w:tab w:leader="none" w:pos="1236" w:val="left"/>
        </w:tabs>
        <w:numPr>
          <w:ilvl w:val="0"/>
          <w:numId w:val="32"/>
        </w:numPr>
        <w:rPr>
          <w:rFonts w:ascii="Arial" w:cs="Arial" w:eastAsia="Arial" w:hAnsi="Arial"/>
          <w:sz w:val="18"/>
          <w:szCs w:val="18"/>
          <w:b w:val="1"/>
          <w:bCs w:val="1"/>
          <w:color w:val="auto"/>
        </w:rPr>
      </w:pPr>
      <w:r>
        <w:rPr>
          <w:rFonts w:ascii="Arial" w:cs="Arial" w:eastAsia="Arial" w:hAnsi="Arial"/>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24" w:name="page25"/>
    <w:bookmarkEnd w:id="24"/>
    <w:p>
      <w:pPr>
        <w:ind w:left="4" w:right="2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Arial" w:cs="Arial" w:eastAsia="Arial" w:hAnsi="Arial"/>
          <w:sz w:val="16"/>
          <w:szCs w:val="16"/>
          <w:u w:val="single" w:color="auto"/>
          <w:color w:val="auto"/>
        </w:rPr>
        <w:t>Part 2.8(c)(iii)</w:t>
      </w:r>
      <w:r>
        <w:rPr>
          <w:rFonts w:ascii="Arial" w:cs="Arial" w:eastAsia="Arial" w:hAnsi="Arial"/>
          <w:sz w:val="16"/>
          <w:szCs w:val="16"/>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Arial" w:cs="Arial" w:eastAsia="Arial" w:hAnsi="Arial"/>
          <w:sz w:val="16"/>
          <w:szCs w:val="16"/>
          <w:u w:val="single" w:color="auto"/>
          <w:color w:val="auto"/>
        </w:rPr>
        <w:t>Part 2.8(c)(v)</w:t>
      </w:r>
      <w:r>
        <w:rPr>
          <w:rFonts w:ascii="Arial" w:cs="Arial" w:eastAsia="Arial" w:hAnsi="Arial"/>
          <w:sz w:val="16"/>
          <w:szCs w:val="16"/>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 Organization</w:t>
      </w:r>
      <w:r>
        <w:rPr>
          <w:rFonts w:ascii="Arial" w:cs="Arial" w:eastAsia="Arial" w:hAnsi="Arial"/>
          <w:sz w:val="16"/>
          <w:szCs w:val="16"/>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396" w:lineRule="exact"/>
        <w:rPr>
          <w:sz w:val="20"/>
          <w:szCs w:val="20"/>
          <w:color w:val="auto"/>
        </w:rPr>
      </w:pPr>
    </w:p>
    <w:p>
      <w:pPr>
        <w:ind w:left="4" w:right="40" w:firstLine="987"/>
        <w:spacing w:after="0" w:line="293" w:lineRule="auto"/>
        <w:tabs>
          <w:tab w:leader="none" w:pos="1260" w:val="left"/>
        </w:tabs>
        <w:numPr>
          <w:ilvl w:val="1"/>
          <w:numId w:val="33"/>
        </w:numPr>
        <w:rPr>
          <w:rFonts w:ascii="Arial" w:cs="Arial" w:eastAsia="Arial" w:hAnsi="Arial"/>
          <w:sz w:val="16"/>
          <w:szCs w:val="16"/>
          <w:b w:val="1"/>
          <w:bCs w:val="1"/>
          <w:color w:val="auto"/>
        </w:rPr>
      </w:pPr>
      <w:r>
        <w:rPr>
          <w:rFonts w:ascii="Arial" w:cs="Arial" w:eastAsia="Arial" w:hAnsi="Arial"/>
          <w:sz w:val="16"/>
          <w:szCs w:val="16"/>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64" w:lineRule="exact"/>
        <w:rPr>
          <w:rFonts w:ascii="Arial" w:cs="Arial" w:eastAsia="Arial" w:hAnsi="Arial"/>
          <w:sz w:val="16"/>
          <w:szCs w:val="16"/>
          <w:b w:val="1"/>
          <w:bCs w:val="1"/>
          <w:color w:val="auto"/>
        </w:rPr>
      </w:pPr>
    </w:p>
    <w:p>
      <w:pPr>
        <w:ind w:left="4" w:firstLine="987"/>
        <w:spacing w:after="0" w:line="284" w:lineRule="auto"/>
        <w:tabs>
          <w:tab w:leader="none" w:pos="1240" w:val="left"/>
        </w:tabs>
        <w:numPr>
          <w:ilvl w:val="1"/>
          <w:numId w:val="33"/>
        </w:numPr>
        <w:rPr>
          <w:rFonts w:ascii="Arial" w:cs="Arial" w:eastAsia="Arial" w:hAnsi="Arial"/>
          <w:sz w:val="16"/>
          <w:szCs w:val="16"/>
          <w:b w:val="1"/>
          <w:bCs w:val="1"/>
          <w:color w:val="auto"/>
        </w:rPr>
      </w:pPr>
      <w:r>
        <w:rPr>
          <w:rFonts w:ascii="Arial" w:cs="Arial" w:eastAsia="Arial" w:hAnsi="Arial"/>
          <w:sz w:val="16"/>
          <w:szCs w:val="16"/>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4" w:right="600" w:hanging="4"/>
        <w:spacing w:after="0" w:line="260" w:lineRule="auto"/>
        <w:tabs>
          <w:tab w:leader="none" w:pos="309" w:val="left"/>
        </w:tabs>
        <w:numPr>
          <w:ilvl w:val="0"/>
          <w:numId w:val="34"/>
        </w:numPr>
        <w:rPr>
          <w:rFonts w:ascii="Arial" w:cs="Arial" w:eastAsia="Arial" w:hAnsi="Arial"/>
          <w:sz w:val="18"/>
          <w:szCs w:val="18"/>
          <w:color w:val="auto"/>
        </w:rPr>
      </w:pPr>
      <w:r>
        <w:rPr>
          <w:rFonts w:ascii="Arial" w:cs="Arial" w:eastAsia="Arial" w:hAnsi="Arial"/>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8"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84"/>
          </w:cols>
          <w:pgMar w:left="436" w:top="274" w:right="479" w:bottom="1440" w:gutter="0" w:footer="0" w:header="0"/>
        </w:sectPr>
      </w:pPr>
    </w:p>
    <w:bookmarkStart w:id="25" w:name="page26"/>
    <w:bookmarkEnd w:id="25"/>
    <w:p>
      <w:pPr>
        <w:ind w:left="4"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7" w:lineRule="exact"/>
        <w:rPr>
          <w:sz w:val="20"/>
          <w:szCs w:val="20"/>
          <w:color w:val="auto"/>
        </w:rPr>
      </w:pPr>
    </w:p>
    <w:p>
      <w:pPr>
        <w:ind w:left="4" w:right="20" w:firstLine="987"/>
        <w:spacing w:after="0" w:line="283" w:lineRule="auto"/>
        <w:tabs>
          <w:tab w:leader="none" w:pos="1220" w:val="left"/>
        </w:tabs>
        <w:numPr>
          <w:ilvl w:val="1"/>
          <w:numId w:val="35"/>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4" w:lineRule="exact"/>
        <w:rPr>
          <w:rFonts w:ascii="Arial" w:cs="Arial" w:eastAsia="Arial" w:hAnsi="Arial"/>
          <w:sz w:val="16"/>
          <w:szCs w:val="16"/>
          <w:b w:val="1"/>
          <w:bCs w:val="1"/>
          <w:color w:val="auto"/>
        </w:rPr>
      </w:pPr>
    </w:p>
    <w:p>
      <w:pPr>
        <w:ind w:left="4" w:right="120" w:hanging="4"/>
        <w:spacing w:after="0" w:line="273" w:lineRule="auto"/>
        <w:tabs>
          <w:tab w:leader="none" w:pos="299" w:val="left"/>
        </w:tabs>
        <w:numPr>
          <w:ilvl w:val="0"/>
          <w:numId w:val="36"/>
        </w:numPr>
        <w:rPr>
          <w:rFonts w:ascii="Arial" w:cs="Arial" w:eastAsia="Arial" w:hAnsi="Arial"/>
          <w:sz w:val="17"/>
          <w:szCs w:val="17"/>
          <w:color w:val="auto"/>
        </w:rPr>
      </w:pPr>
      <w:r>
        <w:rPr>
          <w:rFonts w:ascii="Arial" w:cs="Arial" w:eastAsia="Arial" w:hAnsi="Arial"/>
          <w:sz w:val="17"/>
          <w:szCs w:val="17"/>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76" w:lineRule="exact"/>
        <w:rPr>
          <w:rFonts w:ascii="Arial" w:cs="Arial" w:eastAsia="Arial" w:hAnsi="Arial"/>
          <w:sz w:val="17"/>
          <w:szCs w:val="17"/>
          <w:color w:val="auto"/>
        </w:rPr>
      </w:pPr>
    </w:p>
    <w:p>
      <w:pPr>
        <w:ind w:left="4" w:right="20" w:firstLine="987"/>
        <w:spacing w:after="0" w:line="255" w:lineRule="auto"/>
        <w:tabs>
          <w:tab w:leader="none" w:pos="1250" w:val="left"/>
        </w:tabs>
        <w:numPr>
          <w:ilvl w:val="1"/>
          <w:numId w:val="36"/>
        </w:numPr>
        <w:rPr>
          <w:rFonts w:ascii="Arial" w:cs="Arial" w:eastAsia="Arial" w:hAnsi="Arial"/>
          <w:sz w:val="18"/>
          <w:szCs w:val="18"/>
          <w:b w:val="1"/>
          <w:bCs w:val="1"/>
          <w:color w:val="auto"/>
        </w:rPr>
      </w:pPr>
      <w:r>
        <w:rPr>
          <w:rFonts w:ascii="Arial" w:cs="Arial" w:eastAsia="Arial" w:hAnsi="Arial"/>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92" w:lineRule="exact"/>
        <w:rPr>
          <w:rFonts w:ascii="Arial" w:cs="Arial" w:eastAsia="Arial" w:hAnsi="Arial"/>
          <w:sz w:val="18"/>
          <w:szCs w:val="18"/>
          <w:b w:val="1"/>
          <w:bCs w:val="1"/>
          <w:color w:val="auto"/>
        </w:rPr>
      </w:pPr>
    </w:p>
    <w:p>
      <w:pPr>
        <w:jc w:val="both"/>
        <w:ind w:left="4" w:right="100" w:firstLine="987"/>
        <w:spacing w:after="0" w:line="286" w:lineRule="auto"/>
        <w:tabs>
          <w:tab w:leader="none" w:pos="1260" w:val="left"/>
        </w:tabs>
        <w:numPr>
          <w:ilvl w:val="1"/>
          <w:numId w:val="36"/>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and except as set forth on </w:t>
      </w:r>
      <w:r>
        <w:rPr>
          <w:rFonts w:ascii="Arial" w:cs="Arial" w:eastAsia="Arial" w:hAnsi="Arial"/>
          <w:sz w:val="16"/>
          <w:szCs w:val="16"/>
          <w:u w:val="single" w:color="auto"/>
          <w:color w:val="auto"/>
        </w:rPr>
        <w:t>Part 2.8(h)</w:t>
      </w:r>
      <w:r>
        <w:rPr>
          <w:rFonts w:ascii="Arial" w:cs="Arial" w:eastAsia="Arial" w:hAnsi="Arial"/>
          <w:sz w:val="16"/>
          <w:szCs w:val="16"/>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1" w:lineRule="exact"/>
        <w:rPr>
          <w:rFonts w:ascii="Arial" w:cs="Arial" w:eastAsia="Arial" w:hAnsi="Arial"/>
          <w:sz w:val="16"/>
          <w:szCs w:val="16"/>
          <w:b w:val="1"/>
          <w:bCs w:val="1"/>
          <w:color w:val="auto"/>
        </w:rPr>
      </w:pPr>
    </w:p>
    <w:p>
      <w:pPr>
        <w:ind w:left="4"/>
        <w:spacing w:after="0"/>
        <w:rPr>
          <w:rFonts w:ascii="Arial" w:cs="Arial" w:eastAsia="Arial" w:hAnsi="Arial"/>
          <w:sz w:val="16"/>
          <w:szCs w:val="16"/>
          <w:b w:val="1"/>
          <w:bCs w:val="1"/>
          <w:color w:val="auto"/>
        </w:rPr>
      </w:pPr>
      <w:r>
        <w:rPr>
          <w:rFonts w:ascii="Arial" w:cs="Arial" w:eastAsia="Arial" w:hAnsi="Arial"/>
          <w:sz w:val="17"/>
          <w:szCs w:val="17"/>
          <w:color w:val="auto"/>
        </w:rPr>
        <w:t>(i) disclosed, distributed or made available in source code form; (ii) licensed for the purpose of making modifications or derivative works; or</w:t>
      </w:r>
    </w:p>
    <w:p>
      <w:pPr>
        <w:spacing w:after="0" w:line="20" w:lineRule="exact"/>
        <w:rPr>
          <w:rFonts w:ascii="Arial" w:cs="Arial" w:eastAsia="Arial" w:hAnsi="Arial"/>
          <w:sz w:val="16"/>
          <w:szCs w:val="16"/>
          <w:b w:val="1"/>
          <w:bCs w:val="1"/>
          <w:color w:val="auto"/>
        </w:rPr>
      </w:pPr>
    </w:p>
    <w:p>
      <w:pPr>
        <w:ind w:left="4" w:right="280"/>
        <w:spacing w:after="0" w:line="260" w:lineRule="auto"/>
        <w:rPr>
          <w:rFonts w:ascii="Arial" w:cs="Arial" w:eastAsia="Arial" w:hAnsi="Arial"/>
          <w:sz w:val="16"/>
          <w:szCs w:val="16"/>
          <w:b w:val="1"/>
          <w:bCs w:val="1"/>
          <w:color w:val="auto"/>
        </w:rPr>
      </w:pPr>
      <w:r>
        <w:rPr>
          <w:rFonts w:ascii="Arial" w:cs="Arial" w:eastAsia="Arial" w:hAnsi="Arial"/>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5" w:lineRule="exact"/>
        <w:rPr>
          <w:rFonts w:ascii="Arial" w:cs="Arial" w:eastAsia="Arial" w:hAnsi="Arial"/>
          <w:sz w:val="16"/>
          <w:szCs w:val="16"/>
          <w:b w:val="1"/>
          <w:bCs w:val="1"/>
          <w:color w:val="auto"/>
        </w:rPr>
      </w:pPr>
    </w:p>
    <w:p>
      <w:pPr>
        <w:ind w:left="4" w:firstLine="987"/>
        <w:spacing w:after="0" w:line="257" w:lineRule="auto"/>
        <w:tabs>
          <w:tab w:leader="none" w:pos="1210" w:val="left"/>
        </w:tabs>
        <w:numPr>
          <w:ilvl w:val="1"/>
          <w:numId w:val="36"/>
        </w:numPr>
        <w:rPr>
          <w:rFonts w:ascii="Arial" w:cs="Arial" w:eastAsia="Arial" w:hAnsi="Arial"/>
          <w:sz w:val="18"/>
          <w:szCs w:val="18"/>
          <w:b w:val="1"/>
          <w:bCs w:val="1"/>
          <w:color w:val="auto"/>
        </w:rPr>
      </w:pPr>
      <w:r>
        <w:rPr>
          <w:rFonts w:ascii="Arial" w:cs="Arial" w:eastAsia="Arial" w:hAnsi="Arial"/>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84"/>
          </w:cols>
          <w:pgMar w:left="436" w:top="274" w:right="479" w:bottom="1440" w:gutter="0" w:footer="0" w:header="0"/>
        </w:sectPr>
      </w:pPr>
    </w:p>
    <w:bookmarkStart w:id="26" w:name="page27"/>
    <w:bookmarkEnd w:id="26"/>
    <w:p>
      <w:pPr>
        <w:ind w:left="4"/>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Protected Information in such Inphi Entity’s possession or under its control in connection with the operation of the business of such Inphi Entity.</w:t>
      </w:r>
    </w:p>
    <w:p>
      <w:pPr>
        <w:spacing w:after="0" w:line="237" w:lineRule="exact"/>
        <w:rPr>
          <w:sz w:val="20"/>
          <w:szCs w:val="20"/>
          <w:color w:val="auto"/>
        </w:rPr>
      </w:pPr>
    </w:p>
    <w:p>
      <w:pPr>
        <w:ind w:left="4" w:firstLine="987"/>
        <w:spacing w:after="0" w:line="257" w:lineRule="auto"/>
        <w:tabs>
          <w:tab w:leader="none" w:pos="1220" w:val="left"/>
        </w:tabs>
        <w:numPr>
          <w:ilvl w:val="1"/>
          <w:numId w:val="37"/>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7" w:lineRule="exact"/>
        <w:rPr>
          <w:rFonts w:ascii="Arial" w:cs="Arial" w:eastAsia="Arial" w:hAnsi="Arial"/>
          <w:sz w:val="18"/>
          <w:szCs w:val="18"/>
          <w:b w:val="1"/>
          <w:bCs w:val="1"/>
          <w:color w:val="auto"/>
        </w:rPr>
      </w:pPr>
    </w:p>
    <w:p>
      <w:pPr>
        <w:ind w:left="4" w:right="40" w:firstLine="987"/>
        <w:spacing w:after="0" w:line="268" w:lineRule="auto"/>
        <w:tabs>
          <w:tab w:leader="none" w:pos="1260" w:val="left"/>
        </w:tabs>
        <w:numPr>
          <w:ilvl w:val="1"/>
          <w:numId w:val="37"/>
        </w:numPr>
        <w:rPr>
          <w:rFonts w:ascii="Arial" w:cs="Arial" w:eastAsia="Arial" w:hAnsi="Arial"/>
          <w:sz w:val="17"/>
          <w:szCs w:val="17"/>
          <w:b w:val="1"/>
          <w:bCs w:val="1"/>
          <w:color w:val="auto"/>
        </w:rPr>
      </w:pPr>
      <w:r>
        <w:rPr>
          <w:rFonts w:ascii="Arial" w:cs="Arial" w:eastAsia="Arial" w:hAnsi="Arial"/>
          <w:sz w:val="17"/>
          <w:szCs w:val="17"/>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6" w:lineRule="exact"/>
        <w:rPr>
          <w:rFonts w:ascii="Arial" w:cs="Arial" w:eastAsia="Arial" w:hAnsi="Arial"/>
          <w:sz w:val="17"/>
          <w:szCs w:val="17"/>
          <w:b w:val="1"/>
          <w:bCs w:val="1"/>
          <w:color w:val="auto"/>
        </w:rPr>
      </w:pPr>
    </w:p>
    <w:p>
      <w:pPr>
        <w:ind w:left="4" w:right="60" w:firstLine="987"/>
        <w:spacing w:after="0" w:line="288" w:lineRule="auto"/>
        <w:tabs>
          <w:tab w:leader="none" w:pos="1210" w:val="left"/>
        </w:tabs>
        <w:numPr>
          <w:ilvl w:val="1"/>
          <w:numId w:val="37"/>
        </w:numPr>
        <w:rPr>
          <w:rFonts w:ascii="Arial" w:cs="Arial" w:eastAsia="Arial" w:hAnsi="Arial"/>
          <w:sz w:val="16"/>
          <w:szCs w:val="16"/>
          <w:b w:val="1"/>
          <w:bCs w:val="1"/>
          <w:color w:val="auto"/>
        </w:rPr>
      </w:pPr>
      <w:r>
        <w:rPr>
          <w:rFonts w:ascii="Arial" w:cs="Arial" w:eastAsia="Arial" w:hAnsi="Arial"/>
          <w:sz w:val="16"/>
          <w:szCs w:val="16"/>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Arial" w:cs="Arial" w:eastAsia="Arial" w:hAnsi="Arial"/>
          <w:sz w:val="16"/>
          <w:szCs w:val="16"/>
          <w:u w:val="single" w:color="auto"/>
          <w:color w:val="auto"/>
        </w:rPr>
        <w:t>Part 2.8(l)</w:t>
      </w:r>
      <w:r>
        <w:rPr>
          <w:rFonts w:ascii="Arial" w:cs="Arial" w:eastAsia="Arial" w:hAnsi="Arial"/>
          <w:sz w:val="16"/>
          <w:szCs w:val="16"/>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68" w:lineRule="exact"/>
        <w:rPr>
          <w:rFonts w:ascii="Arial" w:cs="Arial" w:eastAsia="Arial" w:hAnsi="Arial"/>
          <w:sz w:val="16"/>
          <w:szCs w:val="16"/>
          <w:b w:val="1"/>
          <w:bCs w:val="1"/>
          <w:color w:val="auto"/>
        </w:rPr>
      </w:pPr>
    </w:p>
    <w:p>
      <w:pPr>
        <w:jc w:val="both"/>
        <w:ind w:left="4" w:right="140" w:firstLine="987"/>
        <w:spacing w:after="0" w:line="259" w:lineRule="auto"/>
        <w:tabs>
          <w:tab w:leader="none" w:pos="1310" w:val="left"/>
        </w:tabs>
        <w:numPr>
          <w:ilvl w:val="1"/>
          <w:numId w:val="37"/>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86" w:lineRule="exact"/>
        <w:rPr>
          <w:rFonts w:ascii="Arial" w:cs="Arial" w:eastAsia="Arial" w:hAnsi="Arial"/>
          <w:sz w:val="18"/>
          <w:szCs w:val="18"/>
          <w:b w:val="1"/>
          <w:bCs w:val="1"/>
          <w:color w:val="auto"/>
        </w:rPr>
      </w:pPr>
    </w:p>
    <w:p>
      <w:pPr>
        <w:ind w:left="1264" w:hanging="273"/>
        <w:spacing w:after="0"/>
        <w:tabs>
          <w:tab w:leader="none" w:pos="1264" w:val="left"/>
        </w:tabs>
        <w:numPr>
          <w:ilvl w:val="1"/>
          <w:numId w:val="37"/>
        </w:numPr>
        <w:rPr>
          <w:rFonts w:ascii="Arial" w:cs="Arial" w:eastAsia="Arial" w:hAnsi="Arial"/>
          <w:sz w:val="17"/>
          <w:szCs w:val="17"/>
          <w:b w:val="1"/>
          <w:bCs w:val="1"/>
          <w:color w:val="auto"/>
        </w:rPr>
      </w:pPr>
      <w:r>
        <w:rPr>
          <w:rFonts w:ascii="Arial" w:cs="Arial" w:eastAsia="Arial" w:hAnsi="Arial"/>
          <w:sz w:val="17"/>
          <w:szCs w:val="17"/>
          <w:color w:val="auto"/>
        </w:rPr>
        <w:t>No Inphi Entity (i) is under investigation by any Governmental Body for a violation of any Information Privacy and Security Law; or</w:t>
      </w:r>
    </w:p>
    <w:p>
      <w:pPr>
        <w:spacing w:after="0" w:line="34" w:lineRule="exact"/>
        <w:rPr>
          <w:rFonts w:ascii="Arial" w:cs="Arial" w:eastAsia="Arial" w:hAnsi="Arial"/>
          <w:sz w:val="17"/>
          <w:szCs w:val="17"/>
          <w:b w:val="1"/>
          <w:bCs w:val="1"/>
          <w:color w:val="auto"/>
        </w:rPr>
      </w:pPr>
    </w:p>
    <w:p>
      <w:pPr>
        <w:ind w:left="264" w:hanging="264"/>
        <w:spacing w:after="0"/>
        <w:tabs>
          <w:tab w:leader="none" w:pos="264" w:val="left"/>
        </w:tabs>
        <w:numPr>
          <w:ilvl w:val="0"/>
          <w:numId w:val="38"/>
        </w:numPr>
        <w:rPr>
          <w:rFonts w:ascii="Arial" w:cs="Arial" w:eastAsia="Arial" w:hAnsi="Arial"/>
          <w:sz w:val="18"/>
          <w:szCs w:val="18"/>
          <w:color w:val="auto"/>
        </w:rPr>
      </w:pPr>
      <w:r>
        <w:rPr>
          <w:rFonts w:ascii="Arial" w:cs="Arial" w:eastAsia="Arial" w:hAnsi="Arial"/>
          <w:sz w:val="18"/>
          <w:szCs w:val="18"/>
          <w:color w:val="auto"/>
        </w:rPr>
        <w:t>has received any written notice or audit request from a Governmental Body relating to any such violation.</w:t>
      </w:r>
    </w:p>
    <w:p>
      <w:pPr>
        <w:spacing w:after="0" w:line="14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24"/>
          </w:cols>
          <w:pgMar w:left="436" w:top="274" w:right="439" w:bottom="1440" w:gutter="0" w:footer="0" w:header="0"/>
        </w:sectPr>
      </w:pPr>
    </w:p>
    <w:bookmarkStart w:id="27" w:name="page28"/>
    <w:bookmarkEnd w:id="27"/>
    <w:p>
      <w:pPr>
        <w:jc w:val="both"/>
        <w:ind w:left="-20" w:right="100" w:firstLine="987"/>
        <w:spacing w:after="0" w:line="257" w:lineRule="auto"/>
        <w:tabs>
          <w:tab w:leader="none" w:pos="1226" w:val="left"/>
        </w:tabs>
        <w:numPr>
          <w:ilvl w:val="0"/>
          <w:numId w:val="39"/>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2.9 Material Contracts</w:t>
      </w:r>
      <w:r>
        <w:rPr>
          <w:rFonts w:ascii="Arial" w:cs="Arial" w:eastAsia="Arial" w:hAnsi="Arial"/>
          <w:sz w:val="18"/>
          <w:szCs w:val="18"/>
          <w:color w:val="auto"/>
        </w:rPr>
        <w:t>.</w:t>
      </w:r>
    </w:p>
    <w:p>
      <w:pPr>
        <w:spacing w:after="0" w:line="229" w:lineRule="exact"/>
        <w:rPr>
          <w:sz w:val="20"/>
          <w:szCs w:val="20"/>
          <w:color w:val="auto"/>
        </w:rPr>
      </w:pPr>
    </w:p>
    <w:p>
      <w:pPr>
        <w:ind w:left="1220" w:hanging="253"/>
        <w:spacing w:after="0"/>
        <w:tabs>
          <w:tab w:leader="none" w:pos="1220" w:val="left"/>
        </w:tabs>
        <w:numPr>
          <w:ilvl w:val="0"/>
          <w:numId w:val="40"/>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2.9(a)</w:t>
      </w:r>
      <w:r>
        <w:rPr>
          <w:rFonts w:ascii="Arial" w:cs="Arial" w:eastAsia="Arial" w:hAnsi="Arial"/>
          <w:sz w:val="16"/>
          <w:szCs w:val="16"/>
          <w:color w:val="auto"/>
        </w:rPr>
        <w:t xml:space="preserve"> of the Company Disclosure Schedule identifies, as of the date of this Agreement, each of the following Inphi Contracts:</w:t>
      </w:r>
    </w:p>
    <w:p>
      <w:pPr>
        <w:spacing w:after="0" w:line="140" w:lineRule="exact"/>
        <w:rPr>
          <w:rFonts w:ascii="Arial" w:cs="Arial" w:eastAsia="Arial" w:hAnsi="Arial"/>
          <w:sz w:val="16"/>
          <w:szCs w:val="16"/>
          <w:b w:val="1"/>
          <w:bCs w:val="1"/>
          <w:color w:val="auto"/>
        </w:rPr>
      </w:pPr>
    </w:p>
    <w:p>
      <w:pPr>
        <w:ind w:left="420" w:right="20" w:firstLine="948"/>
        <w:spacing w:after="0" w:line="275" w:lineRule="auto"/>
        <w:tabs>
          <w:tab w:leader="none" w:pos="1587" w:val="left"/>
        </w:tabs>
        <w:numPr>
          <w:ilvl w:val="1"/>
          <w:numId w:val="40"/>
        </w:numPr>
        <w:rPr>
          <w:rFonts w:ascii="Arial" w:cs="Arial" w:eastAsia="Arial" w:hAnsi="Arial"/>
          <w:sz w:val="17"/>
          <w:szCs w:val="17"/>
          <w:b w:val="1"/>
          <w:bCs w:val="1"/>
          <w:color w:val="auto"/>
        </w:rPr>
      </w:pPr>
      <w:r>
        <w:rPr>
          <w:rFonts w:ascii="Arial" w:cs="Arial" w:eastAsia="Arial" w:hAnsi="Arial"/>
          <w:sz w:val="17"/>
          <w:szCs w:val="17"/>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68" w:lineRule="exact"/>
        <w:rPr>
          <w:rFonts w:ascii="Arial" w:cs="Arial" w:eastAsia="Arial" w:hAnsi="Arial"/>
          <w:sz w:val="17"/>
          <w:szCs w:val="17"/>
          <w:b w:val="1"/>
          <w:bCs w:val="1"/>
          <w:color w:val="auto"/>
        </w:rPr>
      </w:pPr>
    </w:p>
    <w:p>
      <w:pPr>
        <w:ind w:left="420" w:right="60" w:firstLine="948"/>
        <w:spacing w:after="0" w:line="263" w:lineRule="auto"/>
        <w:tabs>
          <w:tab w:leader="none" w:pos="1637"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75" w:lineRule="exact"/>
        <w:rPr>
          <w:rFonts w:ascii="Arial" w:cs="Arial" w:eastAsia="Arial" w:hAnsi="Arial"/>
          <w:sz w:val="18"/>
          <w:szCs w:val="18"/>
          <w:b w:val="1"/>
          <w:bCs w:val="1"/>
          <w:color w:val="auto"/>
        </w:rPr>
      </w:pPr>
    </w:p>
    <w:p>
      <w:pPr>
        <w:ind w:left="1680" w:hanging="312"/>
        <w:spacing w:after="0"/>
        <w:tabs>
          <w:tab w:leader="none" w:pos="1680"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collective bargaining, union or works council agreement;</w:t>
      </w:r>
    </w:p>
    <w:p>
      <w:pPr>
        <w:spacing w:after="0" w:line="117" w:lineRule="exact"/>
        <w:rPr>
          <w:rFonts w:ascii="Arial" w:cs="Arial" w:eastAsia="Arial" w:hAnsi="Arial"/>
          <w:sz w:val="18"/>
          <w:szCs w:val="18"/>
          <w:b w:val="1"/>
          <w:bCs w:val="1"/>
          <w:color w:val="auto"/>
        </w:rPr>
      </w:pPr>
    </w:p>
    <w:p>
      <w:pPr>
        <w:ind w:left="420" w:right="20" w:firstLine="948"/>
        <w:spacing w:after="0" w:line="263" w:lineRule="auto"/>
        <w:tabs>
          <w:tab w:leader="none" w:pos="1676"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420" w:right="380" w:firstLine="948"/>
        <w:spacing w:after="0" w:line="277" w:lineRule="auto"/>
        <w:tabs>
          <w:tab w:leader="none" w:pos="1626"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62" w:lineRule="exact"/>
        <w:rPr>
          <w:rFonts w:ascii="Arial" w:cs="Arial" w:eastAsia="Arial" w:hAnsi="Arial"/>
          <w:sz w:val="18"/>
          <w:szCs w:val="18"/>
          <w:b w:val="1"/>
          <w:bCs w:val="1"/>
          <w:color w:val="auto"/>
        </w:rPr>
      </w:pPr>
    </w:p>
    <w:p>
      <w:pPr>
        <w:ind w:left="420" w:right="140" w:firstLine="948"/>
        <w:spacing w:after="0" w:line="263" w:lineRule="auto"/>
        <w:tabs>
          <w:tab w:leader="none" w:pos="1676"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420" w:firstLine="948"/>
        <w:spacing w:after="0" w:line="257" w:lineRule="auto"/>
        <w:tabs>
          <w:tab w:leader="none" w:pos="1726"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9" w:lineRule="exact"/>
        <w:rPr>
          <w:rFonts w:ascii="Arial" w:cs="Arial" w:eastAsia="Arial" w:hAnsi="Arial"/>
          <w:sz w:val="18"/>
          <w:szCs w:val="18"/>
          <w:b w:val="1"/>
          <w:bCs w:val="1"/>
          <w:color w:val="auto"/>
        </w:rPr>
      </w:pPr>
    </w:p>
    <w:p>
      <w:pPr>
        <w:ind w:left="420" w:firstLine="948"/>
        <w:spacing w:after="0" w:line="257" w:lineRule="auto"/>
        <w:tabs>
          <w:tab w:leader="none" w:pos="1776" w:val="left"/>
        </w:tabs>
        <w:numPr>
          <w:ilvl w:val="1"/>
          <w:numId w:val="40"/>
        </w:numPr>
        <w:rPr>
          <w:rFonts w:ascii="Arial" w:cs="Arial" w:eastAsia="Arial" w:hAnsi="Arial"/>
          <w:sz w:val="18"/>
          <w:szCs w:val="18"/>
          <w:b w:val="1"/>
          <w:bCs w:val="1"/>
          <w:color w:val="auto"/>
        </w:rPr>
      </w:pPr>
      <w:r>
        <w:rPr>
          <w:rFonts w:ascii="Arial" w:cs="Arial" w:eastAsia="Arial" w:hAnsi="Arial"/>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60"/>
          </w:cols>
          <w:pgMar w:left="460" w:top="274" w:right="479" w:bottom="1440" w:gutter="0" w:footer="0" w:header="0"/>
        </w:sectPr>
      </w:pPr>
    </w:p>
    <w:bookmarkStart w:id="28" w:name="page29"/>
    <w:bookmarkEnd w:id="28"/>
    <w:p>
      <w:pPr>
        <w:ind w:left="1264" w:hanging="312"/>
        <w:spacing w:after="0"/>
        <w:tabs>
          <w:tab w:leader="none" w:pos="1264" w:val="left"/>
        </w:tabs>
        <w:numPr>
          <w:ilvl w:val="1"/>
          <w:numId w:val="41"/>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Contract that: (A) grants exclusive rights to license, market, sell or deliver any product or service of any Inphi Entity;</w:t>
      </w:r>
    </w:p>
    <w:p>
      <w:pPr>
        <w:spacing w:after="0" w:line="34" w:lineRule="exact"/>
        <w:rPr>
          <w:rFonts w:ascii="Arial" w:cs="Arial" w:eastAsia="Arial" w:hAnsi="Arial"/>
          <w:sz w:val="17"/>
          <w:szCs w:val="17"/>
          <w:b w:val="1"/>
          <w:bCs w:val="1"/>
          <w:color w:val="auto"/>
        </w:rPr>
      </w:pPr>
    </w:p>
    <w:p>
      <w:pPr>
        <w:ind w:left="4" w:right="60" w:hanging="4"/>
        <w:spacing w:after="0" w:line="277" w:lineRule="auto"/>
        <w:tabs>
          <w:tab w:leader="none" w:pos="288" w:val="left"/>
        </w:tabs>
        <w:numPr>
          <w:ilvl w:val="0"/>
          <w:numId w:val="42"/>
        </w:numPr>
        <w:rPr>
          <w:rFonts w:ascii="Arial" w:cs="Arial" w:eastAsia="Arial" w:hAnsi="Arial"/>
          <w:sz w:val="17"/>
          <w:szCs w:val="17"/>
          <w:color w:val="auto"/>
        </w:rPr>
      </w:pPr>
      <w:r>
        <w:rPr>
          <w:rFonts w:ascii="Arial" w:cs="Arial" w:eastAsia="Arial" w:hAnsi="Arial"/>
          <w:sz w:val="17"/>
          <w:szCs w:val="17"/>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64" w:lineRule="exact"/>
        <w:rPr>
          <w:rFonts w:ascii="Arial" w:cs="Arial" w:eastAsia="Arial" w:hAnsi="Arial"/>
          <w:sz w:val="17"/>
          <w:szCs w:val="17"/>
          <w:color w:val="auto"/>
        </w:rPr>
      </w:pPr>
    </w:p>
    <w:p>
      <w:pPr>
        <w:ind w:left="4" w:right="100" w:firstLine="948"/>
        <w:spacing w:after="0" w:line="259" w:lineRule="auto"/>
        <w:tabs>
          <w:tab w:leader="none" w:pos="1210"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b w:val="1"/>
          <w:bCs w:val="1"/>
          <w:color w:val="auto"/>
        </w:rPr>
      </w:pPr>
    </w:p>
    <w:p>
      <w:pPr>
        <w:ind w:left="4" w:right="460" w:firstLine="948"/>
        <w:spacing w:after="0" w:line="342" w:lineRule="auto"/>
        <w:tabs>
          <w:tab w:leader="none" w:pos="1260" w:val="left"/>
        </w:tabs>
        <w:numPr>
          <w:ilvl w:val="1"/>
          <w:numId w:val="42"/>
        </w:numPr>
        <w:rPr>
          <w:rFonts w:ascii="Arial" w:cs="Arial" w:eastAsia="Arial" w:hAnsi="Arial"/>
          <w:sz w:val="16"/>
          <w:szCs w:val="16"/>
          <w:b w:val="1"/>
          <w:bCs w:val="1"/>
          <w:color w:val="auto"/>
        </w:rPr>
      </w:pPr>
      <w:r>
        <w:rPr>
          <w:rFonts w:ascii="Arial" w:cs="Arial" w:eastAsia="Arial" w:hAnsi="Arial"/>
          <w:sz w:val="16"/>
          <w:szCs w:val="16"/>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15" w:lineRule="exact"/>
        <w:rPr>
          <w:rFonts w:ascii="Arial" w:cs="Arial" w:eastAsia="Arial" w:hAnsi="Arial"/>
          <w:sz w:val="16"/>
          <w:szCs w:val="16"/>
          <w:b w:val="1"/>
          <w:bCs w:val="1"/>
          <w:color w:val="auto"/>
        </w:rPr>
      </w:pPr>
    </w:p>
    <w:p>
      <w:pPr>
        <w:ind w:left="4" w:right="60" w:firstLine="948"/>
        <w:spacing w:after="0" w:line="296" w:lineRule="auto"/>
        <w:tabs>
          <w:tab w:leader="none" w:pos="1310" w:val="left"/>
        </w:tabs>
        <w:numPr>
          <w:ilvl w:val="1"/>
          <w:numId w:val="42"/>
        </w:numPr>
        <w:rPr>
          <w:rFonts w:ascii="Arial" w:cs="Arial" w:eastAsia="Arial" w:hAnsi="Arial"/>
          <w:sz w:val="16"/>
          <w:szCs w:val="16"/>
          <w:b w:val="1"/>
          <w:bCs w:val="1"/>
          <w:color w:val="auto"/>
        </w:rPr>
      </w:pPr>
      <w:r>
        <w:rPr>
          <w:rFonts w:ascii="Arial" w:cs="Arial" w:eastAsia="Arial" w:hAnsi="Arial"/>
          <w:sz w:val="16"/>
          <w:szCs w:val="16"/>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3" w:lineRule="exact"/>
        <w:rPr>
          <w:rFonts w:ascii="Arial" w:cs="Arial" w:eastAsia="Arial" w:hAnsi="Arial"/>
          <w:sz w:val="16"/>
          <w:szCs w:val="16"/>
          <w:b w:val="1"/>
          <w:bCs w:val="1"/>
          <w:color w:val="auto"/>
        </w:rPr>
      </w:pPr>
    </w:p>
    <w:p>
      <w:pPr>
        <w:ind w:left="4" w:right="60" w:firstLine="948"/>
        <w:spacing w:after="0" w:line="263" w:lineRule="auto"/>
        <w:tabs>
          <w:tab w:leader="none" w:pos="1360"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75" w:lineRule="exact"/>
        <w:rPr>
          <w:rFonts w:ascii="Arial" w:cs="Arial" w:eastAsia="Arial" w:hAnsi="Arial"/>
          <w:sz w:val="18"/>
          <w:szCs w:val="18"/>
          <w:b w:val="1"/>
          <w:bCs w:val="1"/>
          <w:color w:val="auto"/>
        </w:rPr>
      </w:pPr>
    </w:p>
    <w:p>
      <w:pPr>
        <w:ind w:left="4" w:firstLine="948"/>
        <w:spacing w:after="0" w:line="296" w:lineRule="auto"/>
        <w:tabs>
          <w:tab w:leader="none" w:pos="1350" w:val="left"/>
        </w:tabs>
        <w:numPr>
          <w:ilvl w:val="1"/>
          <w:numId w:val="42"/>
        </w:numPr>
        <w:rPr>
          <w:rFonts w:ascii="Arial" w:cs="Arial" w:eastAsia="Arial" w:hAnsi="Arial"/>
          <w:sz w:val="16"/>
          <w:szCs w:val="16"/>
          <w:b w:val="1"/>
          <w:bCs w:val="1"/>
          <w:color w:val="auto"/>
        </w:rPr>
      </w:pPr>
      <w:r>
        <w:rPr>
          <w:rFonts w:ascii="Arial" w:cs="Arial" w:eastAsia="Arial" w:hAnsi="Arial"/>
          <w:sz w:val="16"/>
          <w:szCs w:val="16"/>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53" w:lineRule="exact"/>
        <w:rPr>
          <w:rFonts w:ascii="Arial" w:cs="Arial" w:eastAsia="Arial" w:hAnsi="Arial"/>
          <w:sz w:val="16"/>
          <w:szCs w:val="16"/>
          <w:b w:val="1"/>
          <w:bCs w:val="1"/>
          <w:color w:val="auto"/>
        </w:rPr>
      </w:pPr>
    </w:p>
    <w:p>
      <w:pPr>
        <w:ind w:left="4" w:right="100" w:firstLine="948"/>
        <w:spacing w:after="0" w:line="263" w:lineRule="auto"/>
        <w:tabs>
          <w:tab w:leader="none" w:pos="1300"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75" w:lineRule="exact"/>
        <w:rPr>
          <w:rFonts w:ascii="Arial" w:cs="Arial" w:eastAsia="Arial" w:hAnsi="Arial"/>
          <w:sz w:val="18"/>
          <w:szCs w:val="18"/>
          <w:b w:val="1"/>
          <w:bCs w:val="1"/>
          <w:color w:val="auto"/>
        </w:rPr>
      </w:pPr>
    </w:p>
    <w:p>
      <w:pPr>
        <w:ind w:left="4" w:right="160" w:firstLine="948"/>
        <w:spacing w:after="0" w:line="277" w:lineRule="auto"/>
        <w:tabs>
          <w:tab w:leader="none" w:pos="1350"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62" w:lineRule="exact"/>
        <w:rPr>
          <w:rFonts w:ascii="Arial" w:cs="Arial" w:eastAsia="Arial" w:hAnsi="Arial"/>
          <w:sz w:val="18"/>
          <w:szCs w:val="18"/>
          <w:b w:val="1"/>
          <w:bCs w:val="1"/>
          <w:color w:val="auto"/>
        </w:rPr>
      </w:pPr>
    </w:p>
    <w:p>
      <w:pPr>
        <w:ind w:left="1404" w:hanging="452"/>
        <w:spacing w:after="0"/>
        <w:tabs>
          <w:tab w:leader="none" w:pos="1404" w:val="left"/>
        </w:tabs>
        <w:numPr>
          <w:ilvl w:val="1"/>
          <w:numId w:val="42"/>
        </w:numPr>
        <w:rPr>
          <w:rFonts w:ascii="Arial" w:cs="Arial" w:eastAsia="Arial" w:hAnsi="Arial"/>
          <w:sz w:val="18"/>
          <w:szCs w:val="18"/>
          <w:b w:val="1"/>
          <w:bCs w:val="1"/>
          <w:color w:val="auto"/>
        </w:rPr>
      </w:pPr>
      <w:r>
        <w:rPr>
          <w:rFonts w:ascii="Arial" w:cs="Arial" w:eastAsia="Arial" w:hAnsi="Arial"/>
          <w:sz w:val="18"/>
          <w:szCs w:val="18"/>
          <w:color w:val="auto"/>
        </w:rPr>
        <w:t>any material Government Contract;</w:t>
      </w:r>
    </w:p>
    <w:p>
      <w:pPr>
        <w:spacing w:after="0" w:line="117" w:lineRule="exact"/>
        <w:rPr>
          <w:rFonts w:ascii="Arial" w:cs="Arial" w:eastAsia="Arial" w:hAnsi="Arial"/>
          <w:sz w:val="18"/>
          <w:szCs w:val="18"/>
          <w:b w:val="1"/>
          <w:bCs w:val="1"/>
          <w:color w:val="auto"/>
        </w:rPr>
      </w:pPr>
    </w:p>
    <w:p>
      <w:pPr>
        <w:ind w:left="4" w:right="60" w:firstLine="948"/>
        <w:spacing w:after="0" w:line="275" w:lineRule="auto"/>
        <w:tabs>
          <w:tab w:leader="none" w:pos="1450" w:val="left"/>
        </w:tabs>
        <w:numPr>
          <w:ilvl w:val="1"/>
          <w:numId w:val="42"/>
        </w:numPr>
        <w:rPr>
          <w:rFonts w:ascii="Arial" w:cs="Arial" w:eastAsia="Arial" w:hAnsi="Arial"/>
          <w:sz w:val="17"/>
          <w:szCs w:val="17"/>
          <w:b w:val="1"/>
          <w:bCs w:val="1"/>
          <w:color w:val="auto"/>
        </w:rPr>
      </w:pPr>
      <w:r>
        <w:rPr>
          <w:rFonts w:ascii="Arial" w:cs="Arial" w:eastAsia="Arial" w:hAnsi="Arial"/>
          <w:sz w:val="17"/>
          <w:szCs w:val="17"/>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09" w:lineRule="exact"/>
        <w:rPr>
          <w:sz w:val="20"/>
          <w:szCs w:val="20"/>
          <w:color w:val="auto"/>
        </w:rPr>
      </w:pPr>
    </w:p>
    <w:p>
      <w:pPr>
        <w:jc w:val="center"/>
        <w:ind w:right="416"/>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564"/>
          </w:cols>
          <w:pgMar w:left="876" w:top="274" w:right="459" w:bottom="1440" w:gutter="0" w:footer="0" w:header="0"/>
        </w:sectPr>
      </w:pPr>
    </w:p>
    <w:bookmarkStart w:id="29" w:name="page30"/>
    <w:bookmarkEnd w:id="29"/>
    <w:p>
      <w:pPr>
        <w:ind w:left="440" w:right="180" w:firstLine="948"/>
        <w:spacing w:after="0" w:line="263" w:lineRule="auto"/>
        <w:tabs>
          <w:tab w:leader="none" w:pos="1787" w:val="left"/>
        </w:tabs>
        <w:numPr>
          <w:ilvl w:val="0"/>
          <w:numId w:val="43"/>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75" w:lineRule="exact"/>
        <w:rPr>
          <w:rFonts w:ascii="Arial" w:cs="Arial" w:eastAsia="Arial" w:hAnsi="Arial"/>
          <w:sz w:val="18"/>
          <w:szCs w:val="18"/>
          <w:b w:val="1"/>
          <w:bCs w:val="1"/>
          <w:color w:val="auto"/>
        </w:rPr>
      </w:pPr>
    </w:p>
    <w:p>
      <w:pPr>
        <w:ind w:left="440" w:right="460" w:firstLine="948"/>
        <w:spacing w:after="0" w:line="311" w:lineRule="auto"/>
        <w:tabs>
          <w:tab w:leader="none" w:pos="1737" w:val="left"/>
        </w:tabs>
        <w:numPr>
          <w:ilvl w:val="0"/>
          <w:numId w:val="43"/>
        </w:numPr>
        <w:rPr>
          <w:rFonts w:ascii="Arial" w:cs="Arial" w:eastAsia="Arial" w:hAnsi="Arial"/>
          <w:sz w:val="16"/>
          <w:szCs w:val="16"/>
          <w:b w:val="1"/>
          <w:bCs w:val="1"/>
          <w:color w:val="auto"/>
        </w:rPr>
      </w:pPr>
      <w:r>
        <w:rPr>
          <w:rFonts w:ascii="Arial" w:cs="Arial" w:eastAsia="Arial" w:hAnsi="Arial"/>
          <w:sz w:val="16"/>
          <w:szCs w:val="16"/>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40" w:lineRule="exact"/>
        <w:rPr>
          <w:rFonts w:ascii="Arial" w:cs="Arial" w:eastAsia="Arial" w:hAnsi="Arial"/>
          <w:sz w:val="16"/>
          <w:szCs w:val="16"/>
          <w:b w:val="1"/>
          <w:bCs w:val="1"/>
          <w:color w:val="auto"/>
        </w:rPr>
      </w:pPr>
    </w:p>
    <w:p>
      <w:pPr>
        <w:ind w:left="1780" w:hanging="392"/>
        <w:spacing w:after="0"/>
        <w:tabs>
          <w:tab w:leader="none" w:pos="1780" w:val="left"/>
        </w:tabs>
        <w:numPr>
          <w:ilvl w:val="0"/>
          <w:numId w:val="43"/>
        </w:numPr>
        <w:rPr>
          <w:rFonts w:ascii="Arial" w:cs="Arial" w:eastAsia="Arial" w:hAnsi="Arial"/>
          <w:sz w:val="16"/>
          <w:szCs w:val="16"/>
          <w:b w:val="1"/>
          <w:bCs w:val="1"/>
          <w:color w:val="auto"/>
        </w:rPr>
      </w:pPr>
      <w:r>
        <w:rPr>
          <w:rFonts w:ascii="Arial" w:cs="Arial" w:eastAsia="Arial" w:hAnsi="Arial"/>
          <w:sz w:val="16"/>
          <w:szCs w:val="16"/>
          <w:color w:val="auto"/>
        </w:rPr>
        <w:t>any other Contract, if a breach of such Contract could reasonably be expected to have or result in a Material Adverse Effect on</w:t>
      </w:r>
    </w:p>
    <w:p>
      <w:pPr>
        <w:spacing w:after="0" w:line="46" w:lineRule="exact"/>
        <w:rPr>
          <w:rFonts w:ascii="Arial" w:cs="Arial" w:eastAsia="Arial" w:hAnsi="Arial"/>
          <w:sz w:val="16"/>
          <w:szCs w:val="16"/>
          <w:b w:val="1"/>
          <w:bCs w:val="1"/>
          <w:color w:val="auto"/>
        </w:rPr>
      </w:pPr>
    </w:p>
    <w:p>
      <w:pPr>
        <w:ind w:left="440"/>
        <w:spacing w:after="0"/>
        <w:rPr>
          <w:rFonts w:ascii="Arial" w:cs="Arial" w:eastAsia="Arial" w:hAnsi="Arial"/>
          <w:sz w:val="16"/>
          <w:szCs w:val="16"/>
          <w:b w:val="1"/>
          <w:bCs w:val="1"/>
          <w:color w:val="auto"/>
        </w:rPr>
      </w:pPr>
      <w:r>
        <w:rPr>
          <w:rFonts w:ascii="Arial" w:cs="Arial" w:eastAsia="Arial" w:hAnsi="Arial"/>
          <w:sz w:val="18"/>
          <w:szCs w:val="18"/>
          <w:color w:val="auto"/>
        </w:rPr>
        <w:t>the Company.</w:t>
      </w:r>
    </w:p>
    <w:p>
      <w:pPr>
        <w:spacing w:after="0" w:line="211" w:lineRule="exact"/>
        <w:rPr>
          <w:sz w:val="20"/>
          <w:szCs w:val="20"/>
          <w:color w:val="auto"/>
        </w:rPr>
      </w:pPr>
    </w:p>
    <w:p>
      <w:pPr>
        <w:jc w:val="both"/>
        <w:ind w:right="120"/>
        <w:spacing w:after="0" w:line="286" w:lineRule="auto"/>
        <w:rPr>
          <w:sz w:val="20"/>
          <w:szCs w:val="20"/>
          <w:color w:val="auto"/>
        </w:rPr>
      </w:pPr>
      <w:r>
        <w:rPr>
          <w:rFonts w:ascii="Arial" w:cs="Arial" w:eastAsia="Arial" w:hAnsi="Arial"/>
          <w:sz w:val="17"/>
          <w:szCs w:val="17"/>
          <w:color w:val="auto"/>
        </w:rPr>
        <w:t xml:space="preserve">For purposes of this Agreement, Inphi Contracts of the type required to be set forth in </w:t>
      </w:r>
      <w:r>
        <w:rPr>
          <w:rFonts w:ascii="Arial" w:cs="Arial" w:eastAsia="Arial" w:hAnsi="Arial"/>
          <w:sz w:val="17"/>
          <w:szCs w:val="17"/>
          <w:u w:val="single" w:color="auto"/>
          <w:color w:val="auto"/>
        </w:rPr>
        <w:t>Part 2.9(a)</w:t>
      </w:r>
      <w:r>
        <w:rPr>
          <w:rFonts w:ascii="Arial" w:cs="Arial" w:eastAsia="Arial" w:hAnsi="Arial"/>
          <w:sz w:val="17"/>
          <w:szCs w:val="17"/>
          <w:color w:val="auto"/>
        </w:rPr>
        <w:t xml:space="preserve"> of the Company Disclosure Schedule, each “material contract” (as such term is defined in Item 601(b)(10) of Regulation S-K of the Securities Act) and each Lease shall be deemed to constitute a “</w:t>
      </w:r>
      <w:r>
        <w:rPr>
          <w:rFonts w:ascii="Arial" w:cs="Arial" w:eastAsia="Arial" w:hAnsi="Arial"/>
          <w:sz w:val="17"/>
          <w:szCs w:val="17"/>
          <w:u w:val="single" w:color="auto"/>
          <w:color w:val="auto"/>
        </w:rPr>
        <w:t>Material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Contract</w:t>
      </w:r>
      <w:r>
        <w:rPr>
          <w:rFonts w:ascii="Arial" w:cs="Arial" w:eastAsia="Arial" w:hAnsi="Arial"/>
          <w:sz w:val="17"/>
          <w:szCs w:val="17"/>
          <w:color w:val="auto"/>
        </w:rPr>
        <w:t>.” The Company has Made Available to Marvell an accurate and complete copy of each Material Contract.</w:t>
      </w:r>
    </w:p>
    <w:p>
      <w:pPr>
        <w:spacing w:after="0" w:line="165" w:lineRule="exact"/>
        <w:rPr>
          <w:sz w:val="20"/>
          <w:szCs w:val="20"/>
          <w:color w:val="auto"/>
        </w:rPr>
      </w:pPr>
    </w:p>
    <w:p>
      <w:pPr>
        <w:ind w:right="20" w:firstLine="987"/>
        <w:spacing w:after="0" w:line="269" w:lineRule="auto"/>
        <w:tabs>
          <w:tab w:leader="none" w:pos="1256" w:val="left"/>
        </w:tabs>
        <w:numPr>
          <w:ilvl w:val="0"/>
          <w:numId w:val="44"/>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78" w:lineRule="exact"/>
        <w:rPr>
          <w:sz w:val="20"/>
          <w:szCs w:val="20"/>
          <w:color w:val="auto"/>
        </w:rPr>
      </w:pPr>
    </w:p>
    <w:p>
      <w:pPr>
        <w:ind w:right="140" w:firstLine="440"/>
        <w:spacing w:after="0" w:line="261" w:lineRule="auto"/>
        <w:rPr>
          <w:sz w:val="20"/>
          <w:szCs w:val="20"/>
          <w:color w:val="auto"/>
        </w:rPr>
      </w:pPr>
      <w:r>
        <w:rPr>
          <w:rFonts w:ascii="Arial" w:cs="Arial" w:eastAsia="Arial" w:hAnsi="Arial"/>
          <w:sz w:val="18"/>
          <w:szCs w:val="18"/>
          <w:b w:val="1"/>
          <w:bCs w:val="1"/>
          <w:color w:val="auto"/>
        </w:rPr>
        <w:t>2.10 Inphi Products</w:t>
      </w:r>
      <w:r>
        <w:rPr>
          <w:rFonts w:ascii="Arial" w:cs="Arial" w:eastAsia="Arial" w:hAnsi="Arial"/>
          <w:sz w:val="18"/>
          <w:szCs w:val="18"/>
          <w:color w:val="auto"/>
        </w:rPr>
        <w:t>. No Inphi Entity is obligated to (a) provide any recipient of any Inphi Product or prototype (or any other Person) with any</w:t>
      </w:r>
      <w:r>
        <w:rPr>
          <w:rFonts w:ascii="Arial" w:cs="Arial" w:eastAsia="Arial" w:hAnsi="Arial"/>
          <w:sz w:val="18"/>
          <w:szCs w:val="18"/>
          <w:b w:val="1"/>
          <w:bCs w:val="1"/>
          <w:color w:val="auto"/>
        </w:rPr>
        <w:t xml:space="preserve"> </w:t>
      </w:r>
      <w:r>
        <w:rPr>
          <w:rFonts w:ascii="Arial" w:cs="Arial" w:eastAsia="Arial" w:hAnsi="Arial"/>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8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2.11 Major Customers and Suppliers</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89" w:lineRule="auto"/>
        <w:tabs>
          <w:tab w:leader="none" w:pos="1246" w:val="left"/>
        </w:tabs>
        <w:numPr>
          <w:ilvl w:val="0"/>
          <w:numId w:val="45"/>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2.11(a)</w:t>
      </w:r>
      <w:r>
        <w:rPr>
          <w:rFonts w:ascii="Arial" w:cs="Arial" w:eastAsia="Arial" w:hAnsi="Arial"/>
          <w:sz w:val="16"/>
          <w:szCs w:val="16"/>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Arial" w:cs="Arial" w:eastAsia="Arial" w:hAnsi="Arial"/>
          <w:sz w:val="16"/>
          <w:szCs w:val="16"/>
          <w:u w:val="single" w:color="auto"/>
          <w:color w:val="auto"/>
        </w:rPr>
        <w:t>Major Customer</w:t>
      </w:r>
      <w:r>
        <w:rPr>
          <w:rFonts w:ascii="Arial" w:cs="Arial" w:eastAsia="Arial" w:hAnsi="Arial"/>
          <w:sz w:val="16"/>
          <w:szCs w:val="16"/>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0"/>
          </w:cols>
          <w:pgMar w:left="440" w:top="274" w:right="459" w:bottom="1440" w:gutter="0" w:footer="0" w:header="0"/>
        </w:sectPr>
      </w:pPr>
    </w:p>
    <w:bookmarkStart w:id="30" w:name="page31"/>
    <w:bookmarkEnd w:id="30"/>
    <w:p>
      <w:pPr>
        <w:ind w:right="60" w:firstLine="987"/>
        <w:spacing w:after="0" w:line="254" w:lineRule="auto"/>
        <w:tabs>
          <w:tab w:leader="none" w:pos="1256" w:val="left"/>
        </w:tabs>
        <w:numPr>
          <w:ilvl w:val="0"/>
          <w:numId w:val="46"/>
        </w:numPr>
        <w:rPr>
          <w:rFonts w:ascii="Arial" w:cs="Arial" w:eastAsia="Arial" w:hAnsi="Arial"/>
          <w:sz w:val="18"/>
          <w:szCs w:val="18"/>
          <w:b w:val="1"/>
          <w:bCs w:val="1"/>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Part 2.11(b)</w:t>
      </w:r>
      <w:r>
        <w:rPr>
          <w:rFonts w:ascii="Arial" w:cs="Arial" w:eastAsia="Arial" w:hAnsi="Arial"/>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Arial" w:cs="Arial" w:eastAsia="Arial" w:hAnsi="Arial"/>
          <w:sz w:val="18"/>
          <w:szCs w:val="18"/>
          <w:u w:val="single" w:color="auto"/>
          <w:color w:val="auto"/>
        </w:rPr>
        <w:t>Major Supplier</w:t>
      </w:r>
      <w:r>
        <w:rPr>
          <w:rFonts w:ascii="Arial" w:cs="Arial" w:eastAsia="Arial" w:hAnsi="Arial"/>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91"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2.12 Liabilities</w:t>
      </w:r>
      <w:r>
        <w:rPr>
          <w:rFonts w:ascii="Arial" w:cs="Arial" w:eastAsia="Arial" w:hAnsi="Arial"/>
          <w:sz w:val="18"/>
          <w:szCs w:val="18"/>
          <w:color w:val="auto"/>
        </w:rPr>
        <w:t>.</w:t>
      </w:r>
    </w:p>
    <w:p>
      <w:pPr>
        <w:spacing w:after="0" w:line="229" w:lineRule="exact"/>
        <w:rPr>
          <w:sz w:val="20"/>
          <w:szCs w:val="20"/>
          <w:color w:val="auto"/>
        </w:rPr>
      </w:pPr>
    </w:p>
    <w:p>
      <w:pPr>
        <w:ind w:right="20" w:firstLine="987"/>
        <w:spacing w:after="0" w:line="254" w:lineRule="auto"/>
        <w:tabs>
          <w:tab w:leader="none" w:pos="1246" w:val="left"/>
        </w:tabs>
        <w:numPr>
          <w:ilvl w:val="0"/>
          <w:numId w:val="47"/>
        </w:numPr>
        <w:rPr>
          <w:rFonts w:ascii="Arial" w:cs="Arial" w:eastAsia="Arial" w:hAnsi="Arial"/>
          <w:sz w:val="18"/>
          <w:szCs w:val="18"/>
          <w:b w:val="1"/>
          <w:bCs w:val="1"/>
          <w:color w:val="auto"/>
        </w:rPr>
      </w:pPr>
      <w:r>
        <w:rPr>
          <w:rFonts w:ascii="Arial" w:cs="Arial" w:eastAsia="Arial" w:hAnsi="Arial"/>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Arial" w:cs="Arial" w:eastAsia="Arial" w:hAnsi="Arial"/>
          <w:sz w:val="18"/>
          <w:szCs w:val="18"/>
          <w:u w:val="single" w:color="auto"/>
          <w:color w:val="auto"/>
        </w:rPr>
        <w:t>Part 2.12(a)</w:t>
      </w:r>
      <w:r>
        <w:rPr>
          <w:rFonts w:ascii="Arial" w:cs="Arial" w:eastAsia="Arial" w:hAnsi="Arial"/>
          <w:sz w:val="18"/>
          <w:szCs w:val="18"/>
          <w:color w:val="auto"/>
        </w:rPr>
        <w:t xml:space="preserve"> of the Company Disclosure Schedule.</w:t>
      </w:r>
    </w:p>
    <w:p>
      <w:pPr>
        <w:spacing w:after="0" w:line="194" w:lineRule="exact"/>
        <w:rPr>
          <w:rFonts w:ascii="Arial" w:cs="Arial" w:eastAsia="Arial" w:hAnsi="Arial"/>
          <w:sz w:val="18"/>
          <w:szCs w:val="18"/>
          <w:b w:val="1"/>
          <w:bCs w:val="1"/>
          <w:color w:val="auto"/>
        </w:rPr>
      </w:pPr>
    </w:p>
    <w:p>
      <w:pPr>
        <w:ind w:right="80" w:firstLine="987"/>
        <w:spacing w:after="0" w:line="308" w:lineRule="auto"/>
        <w:tabs>
          <w:tab w:leader="none" w:pos="1256" w:val="left"/>
        </w:tabs>
        <w:numPr>
          <w:ilvl w:val="0"/>
          <w:numId w:val="47"/>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2.12(b)</w:t>
      </w:r>
      <w:r>
        <w:rPr>
          <w:rFonts w:ascii="Arial" w:cs="Arial" w:eastAsia="Arial" w:hAnsi="Arial"/>
          <w:sz w:val="17"/>
          <w:szCs w:val="17"/>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46" w:lineRule="exact"/>
        <w:rPr>
          <w:rFonts w:ascii="Arial" w:cs="Arial" w:eastAsia="Arial" w:hAnsi="Arial"/>
          <w:sz w:val="17"/>
          <w:szCs w:val="17"/>
          <w:b w:val="1"/>
          <w:bCs w:val="1"/>
          <w:color w:val="auto"/>
        </w:rPr>
      </w:pPr>
    </w:p>
    <w:p>
      <w:pPr>
        <w:ind w:right="320" w:firstLine="987"/>
        <w:spacing w:after="0" w:line="263" w:lineRule="auto"/>
        <w:tabs>
          <w:tab w:leader="none" w:pos="1236" w:val="left"/>
        </w:tabs>
        <w:numPr>
          <w:ilvl w:val="0"/>
          <w:numId w:val="47"/>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2.12(c)</w:t>
      </w:r>
      <w:r>
        <w:rPr>
          <w:rFonts w:ascii="Arial" w:cs="Arial" w:eastAsia="Arial" w:hAnsi="Arial"/>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8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2.13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right="20" w:firstLine="987"/>
        <w:spacing w:after="0" w:line="255" w:lineRule="auto"/>
        <w:tabs>
          <w:tab w:leader="none" w:pos="1246" w:val="left"/>
        </w:tabs>
        <w:numPr>
          <w:ilvl w:val="0"/>
          <w:numId w:val="48"/>
        </w:numPr>
        <w:rPr>
          <w:rFonts w:ascii="Arial" w:cs="Arial" w:eastAsia="Arial" w:hAnsi="Arial"/>
          <w:sz w:val="18"/>
          <w:szCs w:val="18"/>
          <w:b w:val="1"/>
          <w:bCs w:val="1"/>
          <w:color w:val="auto"/>
        </w:rPr>
      </w:pPr>
      <w:r>
        <w:rPr>
          <w:rFonts w:ascii="Arial" w:cs="Arial" w:eastAsia="Arial" w:hAnsi="Arial"/>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92" w:lineRule="exact"/>
        <w:rPr>
          <w:rFonts w:ascii="Arial" w:cs="Arial" w:eastAsia="Arial" w:hAnsi="Arial"/>
          <w:sz w:val="18"/>
          <w:szCs w:val="18"/>
          <w:b w:val="1"/>
          <w:bCs w:val="1"/>
          <w:color w:val="auto"/>
        </w:rPr>
      </w:pPr>
    </w:p>
    <w:p>
      <w:pPr>
        <w:ind w:firstLine="987"/>
        <w:spacing w:after="0" w:line="269" w:lineRule="auto"/>
        <w:tabs>
          <w:tab w:leader="none" w:pos="1256" w:val="left"/>
        </w:tabs>
        <w:numPr>
          <w:ilvl w:val="0"/>
          <w:numId w:val="48"/>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Arial" w:cs="Arial" w:eastAsia="Arial" w:hAnsi="Arial"/>
          <w:sz w:val="17"/>
          <w:szCs w:val="17"/>
          <w:u w:val="single" w:color="auto"/>
          <w:color w:val="auto"/>
        </w:rPr>
        <w:t>Section 2.13(b)</w:t>
      </w:r>
      <w:r>
        <w:rPr>
          <w:rFonts w:ascii="Arial" w:cs="Arial" w:eastAsia="Arial" w:hAnsi="Arial"/>
          <w:sz w:val="17"/>
          <w:szCs w:val="17"/>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4" w:right="459" w:bottom="1440" w:gutter="0" w:footer="0" w:header="0"/>
        </w:sectPr>
      </w:pPr>
    </w:p>
    <w:bookmarkStart w:id="31" w:name="page32"/>
    <w:bookmarkEnd w:id="31"/>
    <w:p>
      <w:pPr>
        <w:ind w:left="4"/>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84" w:lineRule="exact"/>
        <w:rPr>
          <w:sz w:val="20"/>
          <w:szCs w:val="20"/>
          <w:color w:val="auto"/>
        </w:rPr>
      </w:pPr>
    </w:p>
    <w:p>
      <w:pPr>
        <w:ind w:left="1244" w:hanging="253"/>
        <w:spacing w:after="0"/>
        <w:tabs>
          <w:tab w:leader="none" w:pos="1244" w:val="left"/>
        </w:tabs>
        <w:numPr>
          <w:ilvl w:val="1"/>
          <w:numId w:val="49"/>
        </w:numPr>
        <w:rPr>
          <w:rFonts w:ascii="Arial" w:cs="Arial" w:eastAsia="Arial" w:hAnsi="Arial"/>
          <w:sz w:val="16"/>
          <w:szCs w:val="16"/>
          <w:b w:val="1"/>
          <w:bCs w:val="1"/>
          <w:color w:val="auto"/>
        </w:rPr>
      </w:pPr>
      <w:r>
        <w:rPr>
          <w:rFonts w:ascii="Arial" w:cs="Arial" w:eastAsia="Arial" w:hAnsi="Arial"/>
          <w:sz w:val="16"/>
          <w:szCs w:val="16"/>
          <w:color w:val="auto"/>
        </w:rPr>
        <w:t>Since January 1, 2015, each of the Inphi Entities and, to the Knowledge of the Company, each Entity under any Inphi Entity’s control:</w:t>
      </w:r>
    </w:p>
    <w:p>
      <w:pPr>
        <w:spacing w:after="0" w:line="46" w:lineRule="exact"/>
        <w:rPr>
          <w:rFonts w:ascii="Arial" w:cs="Arial" w:eastAsia="Arial" w:hAnsi="Arial"/>
          <w:sz w:val="16"/>
          <w:szCs w:val="16"/>
          <w:b w:val="1"/>
          <w:bCs w:val="1"/>
          <w:color w:val="auto"/>
        </w:rPr>
      </w:pPr>
    </w:p>
    <w:p>
      <w:pPr>
        <w:ind w:left="224" w:hanging="224"/>
        <w:spacing w:after="0"/>
        <w:tabs>
          <w:tab w:leader="none" w:pos="224" w:val="left"/>
        </w:tabs>
        <w:numPr>
          <w:ilvl w:val="0"/>
          <w:numId w:val="50"/>
        </w:numPr>
        <w:rPr>
          <w:rFonts w:ascii="Arial" w:cs="Arial" w:eastAsia="Arial" w:hAnsi="Arial"/>
          <w:sz w:val="16"/>
          <w:szCs w:val="16"/>
          <w:color w:val="auto"/>
        </w:rPr>
      </w:pPr>
      <w:r>
        <w:rPr>
          <w:rFonts w:ascii="Arial" w:cs="Arial" w:eastAsia="Arial" w:hAnsi="Arial"/>
          <w:sz w:val="16"/>
          <w:szCs w:val="16"/>
          <w:color w:val="auto"/>
        </w:rPr>
        <w:t>has been and is in compliance, in all material respects, with all U.S. Export and Import Laws and all applicable Foreign Export and Import Laws; and</w:t>
      </w:r>
    </w:p>
    <w:p>
      <w:pPr>
        <w:spacing w:after="0" w:line="32" w:lineRule="exact"/>
        <w:rPr>
          <w:rFonts w:ascii="Arial" w:cs="Arial" w:eastAsia="Arial" w:hAnsi="Arial"/>
          <w:sz w:val="16"/>
          <w:szCs w:val="16"/>
          <w:color w:val="auto"/>
        </w:rPr>
      </w:pPr>
    </w:p>
    <w:p>
      <w:pPr>
        <w:ind w:left="4" w:right="300" w:hanging="4"/>
        <w:spacing w:after="0" w:line="260" w:lineRule="auto"/>
        <w:tabs>
          <w:tab w:leader="none" w:pos="269" w:val="left"/>
        </w:tabs>
        <w:numPr>
          <w:ilvl w:val="0"/>
          <w:numId w:val="50"/>
        </w:numPr>
        <w:rPr>
          <w:rFonts w:ascii="Arial" w:cs="Arial" w:eastAsia="Arial" w:hAnsi="Arial"/>
          <w:sz w:val="18"/>
          <w:szCs w:val="18"/>
          <w:color w:val="auto"/>
        </w:rPr>
      </w:pPr>
      <w:r>
        <w:rPr>
          <w:rFonts w:ascii="Arial" w:cs="Arial" w:eastAsia="Arial" w:hAnsi="Arial"/>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5" w:lineRule="exact"/>
        <w:rPr>
          <w:rFonts w:ascii="Arial" w:cs="Arial" w:eastAsia="Arial" w:hAnsi="Arial"/>
          <w:sz w:val="18"/>
          <w:szCs w:val="18"/>
          <w:color w:val="auto"/>
        </w:rPr>
      </w:pPr>
    </w:p>
    <w:p>
      <w:pPr>
        <w:ind w:left="4" w:firstLine="987"/>
        <w:spacing w:after="0" w:line="269" w:lineRule="auto"/>
        <w:tabs>
          <w:tab w:leader="none" w:pos="1260" w:val="left"/>
        </w:tabs>
        <w:numPr>
          <w:ilvl w:val="1"/>
          <w:numId w:val="50"/>
        </w:numPr>
        <w:rPr>
          <w:rFonts w:ascii="Arial" w:cs="Arial" w:eastAsia="Arial" w:hAnsi="Arial"/>
          <w:sz w:val="17"/>
          <w:szCs w:val="17"/>
          <w:b w:val="1"/>
          <w:bCs w:val="1"/>
          <w:color w:val="auto"/>
        </w:rPr>
      </w:pPr>
      <w:r>
        <w:rPr>
          <w:rFonts w:ascii="Arial" w:cs="Arial" w:eastAsia="Arial" w:hAnsi="Arial"/>
          <w:sz w:val="17"/>
          <w:szCs w:val="17"/>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81" w:lineRule="exact"/>
        <w:rPr>
          <w:rFonts w:ascii="Arial" w:cs="Arial" w:eastAsia="Arial" w:hAnsi="Arial"/>
          <w:sz w:val="17"/>
          <w:szCs w:val="17"/>
          <w:b w:val="1"/>
          <w:bCs w:val="1"/>
          <w:color w:val="auto"/>
        </w:rPr>
      </w:pPr>
    </w:p>
    <w:p>
      <w:pPr>
        <w:ind w:left="4" w:right="60" w:firstLine="987"/>
        <w:spacing w:after="0" w:line="279" w:lineRule="auto"/>
        <w:tabs>
          <w:tab w:leader="none" w:pos="1240" w:val="left"/>
        </w:tabs>
        <w:numPr>
          <w:ilvl w:val="1"/>
          <w:numId w:val="50"/>
        </w:numPr>
        <w:rPr>
          <w:rFonts w:ascii="Arial" w:cs="Arial" w:eastAsia="Arial" w:hAnsi="Arial"/>
          <w:sz w:val="17"/>
          <w:szCs w:val="17"/>
          <w:b w:val="1"/>
          <w:bCs w:val="1"/>
          <w:color w:val="auto"/>
        </w:rPr>
      </w:pPr>
      <w:r>
        <w:rPr>
          <w:rFonts w:ascii="Arial" w:cs="Arial" w:eastAsia="Arial" w:hAnsi="Arial"/>
          <w:sz w:val="17"/>
          <w:szCs w:val="17"/>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6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2.14 Governmental Authorizations</w:t>
      </w:r>
      <w:r>
        <w:rPr>
          <w:rFonts w:ascii="Arial" w:cs="Arial" w:eastAsia="Arial" w:hAnsi="Arial"/>
          <w:sz w:val="18"/>
          <w:szCs w:val="18"/>
          <w:color w:val="auto"/>
        </w:rPr>
        <w:t>.</w:t>
      </w:r>
    </w:p>
    <w:p>
      <w:pPr>
        <w:spacing w:after="0" w:line="229" w:lineRule="exact"/>
        <w:rPr>
          <w:sz w:val="20"/>
          <w:szCs w:val="20"/>
          <w:color w:val="auto"/>
        </w:rPr>
      </w:pPr>
    </w:p>
    <w:p>
      <w:pPr>
        <w:ind w:left="1244" w:hanging="253"/>
        <w:spacing w:after="0"/>
        <w:tabs>
          <w:tab w:leader="none" w:pos="1244" w:val="left"/>
        </w:tabs>
        <w:numPr>
          <w:ilvl w:val="1"/>
          <w:numId w:val="51"/>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be, individually or in the aggregate, material to the Inphi Entities, taken as a whole:</w:t>
      </w:r>
    </w:p>
    <w:p>
      <w:pPr>
        <w:spacing w:after="0" w:line="46" w:lineRule="exact"/>
        <w:rPr>
          <w:rFonts w:ascii="Arial" w:cs="Arial" w:eastAsia="Arial" w:hAnsi="Arial"/>
          <w:sz w:val="16"/>
          <w:szCs w:val="16"/>
          <w:b w:val="1"/>
          <w:bCs w:val="1"/>
          <w:color w:val="auto"/>
        </w:rPr>
      </w:pPr>
    </w:p>
    <w:p>
      <w:pPr>
        <w:ind w:left="4" w:right="100" w:hanging="4"/>
        <w:spacing w:after="0" w:line="281" w:lineRule="auto"/>
        <w:tabs>
          <w:tab w:leader="none" w:pos="219" w:val="left"/>
        </w:tabs>
        <w:numPr>
          <w:ilvl w:val="0"/>
          <w:numId w:val="52"/>
        </w:numPr>
        <w:rPr>
          <w:rFonts w:ascii="Arial" w:cs="Arial" w:eastAsia="Arial" w:hAnsi="Arial"/>
          <w:sz w:val="16"/>
          <w:szCs w:val="16"/>
          <w:color w:val="auto"/>
        </w:rPr>
      </w:pPr>
      <w:r>
        <w:rPr>
          <w:rFonts w:ascii="Arial" w:cs="Arial" w:eastAsia="Arial" w:hAnsi="Arial"/>
          <w:sz w:val="16"/>
          <w:szCs w:val="16"/>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2" w:lineRule="exact"/>
        <w:rPr>
          <w:rFonts w:ascii="Arial" w:cs="Arial" w:eastAsia="Arial" w:hAnsi="Arial"/>
          <w:sz w:val="16"/>
          <w:szCs w:val="16"/>
          <w:color w:val="auto"/>
        </w:rPr>
      </w:pPr>
    </w:p>
    <w:p>
      <w:pPr>
        <w:ind w:left="4" w:right="20" w:hanging="4"/>
        <w:spacing w:after="0" w:line="290" w:lineRule="auto"/>
        <w:tabs>
          <w:tab w:leader="none" w:pos="219" w:val="left"/>
        </w:tabs>
        <w:numPr>
          <w:ilvl w:val="0"/>
          <w:numId w:val="53"/>
        </w:numPr>
        <w:rPr>
          <w:rFonts w:ascii="Arial" w:cs="Arial" w:eastAsia="Arial" w:hAnsi="Arial"/>
          <w:sz w:val="17"/>
          <w:szCs w:val="17"/>
          <w:color w:val="auto"/>
        </w:rPr>
      </w:pPr>
      <w:r>
        <w:rPr>
          <w:rFonts w:ascii="Arial" w:cs="Arial" w:eastAsia="Arial" w:hAnsi="Arial"/>
          <w:sz w:val="17"/>
          <w:szCs w:val="17"/>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61" w:lineRule="exact"/>
        <w:rPr>
          <w:rFonts w:ascii="Arial" w:cs="Arial" w:eastAsia="Arial" w:hAnsi="Arial"/>
          <w:sz w:val="17"/>
          <w:szCs w:val="17"/>
          <w:color w:val="auto"/>
        </w:rPr>
      </w:pPr>
    </w:p>
    <w:p>
      <w:pPr>
        <w:ind w:left="4" w:right="20" w:firstLine="987"/>
        <w:spacing w:after="0" w:line="279" w:lineRule="auto"/>
        <w:tabs>
          <w:tab w:leader="none" w:pos="1260" w:val="left"/>
        </w:tabs>
        <w:numPr>
          <w:ilvl w:val="1"/>
          <w:numId w:val="53"/>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except where the failure to be in full compliance would not reasonably be expected to be, individually or in the</w:t>
      </w:r>
    </w:p>
    <w:p>
      <w:pPr>
        <w:spacing w:after="0" w:line="10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4"/>
          </w:cols>
          <w:pgMar w:left="436" w:top="274" w:right="459" w:bottom="1440" w:gutter="0" w:footer="0" w:header="0"/>
        </w:sectPr>
      </w:pPr>
    </w:p>
    <w:bookmarkStart w:id="32" w:name="page33"/>
    <w:bookmarkEnd w:id="32"/>
    <w:p>
      <w:pPr>
        <w:ind w:right="1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Arial" w:cs="Arial" w:eastAsia="Arial" w:hAnsi="Arial"/>
          <w:sz w:val="18"/>
          <w:szCs w:val="18"/>
          <w:u w:val="single" w:color="auto"/>
          <w:color w:val="auto"/>
        </w:rPr>
        <w:t>Part 2.14(b)</w:t>
      </w:r>
      <w:r>
        <w:rPr>
          <w:rFonts w:ascii="Arial" w:cs="Arial" w:eastAsia="Arial" w:hAnsi="Arial"/>
          <w:sz w:val="18"/>
          <w:szCs w:val="18"/>
          <w:color w:val="auto"/>
        </w:rPr>
        <w:t xml:space="preserve"> of the Company Disclosure Schedule.</w:t>
      </w:r>
    </w:p>
    <w:p>
      <w:pPr>
        <w:spacing w:after="0" w:line="183"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2.15 Tax Matters</w:t>
      </w:r>
      <w:r>
        <w:rPr>
          <w:rFonts w:ascii="Arial" w:cs="Arial" w:eastAsia="Arial" w:hAnsi="Arial"/>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440" w:right="140" w:firstLine="419"/>
        <w:spacing w:after="0" w:line="311" w:lineRule="auto"/>
        <w:tabs>
          <w:tab w:leader="none" w:pos="1118" w:val="left"/>
        </w:tabs>
        <w:numPr>
          <w:ilvl w:val="0"/>
          <w:numId w:val="54"/>
        </w:numPr>
        <w:rPr>
          <w:rFonts w:ascii="Arial" w:cs="Arial" w:eastAsia="Arial" w:hAnsi="Arial"/>
          <w:sz w:val="16"/>
          <w:szCs w:val="16"/>
          <w:b w:val="1"/>
          <w:bCs w:val="1"/>
          <w:color w:val="auto"/>
        </w:rPr>
      </w:pPr>
      <w:r>
        <w:rPr>
          <w:rFonts w:ascii="Arial" w:cs="Arial" w:eastAsia="Arial" w:hAnsi="Arial"/>
          <w:sz w:val="16"/>
          <w:szCs w:val="16"/>
          <w:color w:val="auto"/>
        </w:rPr>
        <w:t>(i) each of the Tax Returns required to be filed by or on behalf of any Inphi Entity with any Governmental Body (the “</w:t>
      </w:r>
      <w:r>
        <w:rPr>
          <w:rFonts w:ascii="Arial" w:cs="Arial" w:eastAsia="Arial" w:hAnsi="Arial"/>
          <w:sz w:val="16"/>
          <w:szCs w:val="16"/>
          <w:u w:val="single" w:color="auto"/>
          <w:color w:val="auto"/>
        </w:rPr>
        <w:t>Inphi Entity</w:t>
      </w:r>
      <w:r>
        <w:rPr>
          <w:rFonts w:ascii="Arial" w:cs="Arial" w:eastAsia="Arial" w:hAnsi="Arial"/>
          <w:sz w:val="16"/>
          <w:szCs w:val="16"/>
          <w:color w:val="auto"/>
        </w:rPr>
        <w:t xml:space="preserve"> </w:t>
      </w:r>
      <w:r>
        <w:rPr>
          <w:rFonts w:ascii="Arial" w:cs="Arial" w:eastAsia="Arial" w:hAnsi="Arial"/>
          <w:sz w:val="16"/>
          <w:szCs w:val="16"/>
          <w:u w:val="single" w:color="auto"/>
          <w:color w:val="auto"/>
        </w:rPr>
        <w:t>Returns</w:t>
      </w:r>
      <w:r>
        <w:rPr>
          <w:rFonts w:ascii="Arial" w:cs="Arial" w:eastAsia="Arial" w:hAnsi="Arial"/>
          <w:sz w:val="16"/>
          <w:szCs w:val="16"/>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40" w:lineRule="exact"/>
        <w:rPr>
          <w:rFonts w:ascii="Arial" w:cs="Arial" w:eastAsia="Arial" w:hAnsi="Arial"/>
          <w:sz w:val="16"/>
          <w:szCs w:val="16"/>
          <w:b w:val="1"/>
          <w:bCs w:val="1"/>
          <w:color w:val="auto"/>
        </w:rPr>
      </w:pPr>
    </w:p>
    <w:p>
      <w:pPr>
        <w:ind w:left="440" w:right="40" w:firstLine="419"/>
        <w:spacing w:after="0" w:line="263" w:lineRule="auto"/>
        <w:tabs>
          <w:tab w:leader="none" w:pos="1128"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75" w:lineRule="exact"/>
        <w:rPr>
          <w:rFonts w:ascii="Arial" w:cs="Arial" w:eastAsia="Arial" w:hAnsi="Arial"/>
          <w:sz w:val="18"/>
          <w:szCs w:val="18"/>
          <w:b w:val="1"/>
          <w:bCs w:val="1"/>
          <w:color w:val="auto"/>
        </w:rPr>
      </w:pPr>
    </w:p>
    <w:p>
      <w:pPr>
        <w:ind w:left="440" w:right="240" w:firstLine="419"/>
        <w:spacing w:after="0" w:line="277" w:lineRule="auto"/>
        <w:tabs>
          <w:tab w:leader="none" w:pos="1107"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no extension or waiver of the limitation period applicable to any of the Inphi Entity Returns has been granted (by the Company or any other Person) and remains in effect;</w:t>
      </w:r>
    </w:p>
    <w:p>
      <w:pPr>
        <w:spacing w:after="0" w:line="62" w:lineRule="exact"/>
        <w:rPr>
          <w:rFonts w:ascii="Arial" w:cs="Arial" w:eastAsia="Arial" w:hAnsi="Arial"/>
          <w:sz w:val="18"/>
          <w:szCs w:val="18"/>
          <w:b w:val="1"/>
          <w:bCs w:val="1"/>
          <w:color w:val="auto"/>
        </w:rPr>
      </w:pPr>
    </w:p>
    <w:p>
      <w:pPr>
        <w:ind w:left="440" w:right="60" w:firstLine="419"/>
        <w:spacing w:after="0" w:line="296" w:lineRule="auto"/>
        <w:tabs>
          <w:tab w:leader="none" w:pos="1128" w:val="left"/>
        </w:tabs>
        <w:numPr>
          <w:ilvl w:val="0"/>
          <w:numId w:val="54"/>
        </w:numPr>
        <w:rPr>
          <w:rFonts w:ascii="Arial" w:cs="Arial" w:eastAsia="Arial" w:hAnsi="Arial"/>
          <w:sz w:val="16"/>
          <w:szCs w:val="16"/>
          <w:b w:val="1"/>
          <w:bCs w:val="1"/>
          <w:color w:val="auto"/>
        </w:rPr>
      </w:pPr>
      <w:r>
        <w:rPr>
          <w:rFonts w:ascii="Arial" w:cs="Arial" w:eastAsia="Arial" w:hAnsi="Arial"/>
          <w:sz w:val="16"/>
          <w:szCs w:val="16"/>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3" w:lineRule="exact"/>
        <w:rPr>
          <w:rFonts w:ascii="Arial" w:cs="Arial" w:eastAsia="Arial" w:hAnsi="Arial"/>
          <w:sz w:val="16"/>
          <w:szCs w:val="16"/>
          <w:b w:val="1"/>
          <w:bCs w:val="1"/>
          <w:color w:val="auto"/>
        </w:rPr>
      </w:pPr>
    </w:p>
    <w:p>
      <w:pPr>
        <w:ind w:left="440" w:right="120" w:firstLine="419"/>
        <w:spacing w:after="0" w:line="263" w:lineRule="auto"/>
        <w:tabs>
          <w:tab w:leader="none" w:pos="1107"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75" w:lineRule="exact"/>
        <w:rPr>
          <w:rFonts w:ascii="Arial" w:cs="Arial" w:eastAsia="Arial" w:hAnsi="Arial"/>
          <w:sz w:val="18"/>
          <w:szCs w:val="18"/>
          <w:b w:val="1"/>
          <w:bCs w:val="1"/>
          <w:color w:val="auto"/>
        </w:rPr>
      </w:pPr>
    </w:p>
    <w:p>
      <w:pPr>
        <w:ind w:left="440" w:right="160" w:firstLine="419"/>
        <w:spacing w:after="0" w:line="257" w:lineRule="auto"/>
        <w:tabs>
          <w:tab w:leader="none" w:pos="1088"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9" w:lineRule="exact"/>
        <w:rPr>
          <w:rFonts w:ascii="Arial" w:cs="Arial" w:eastAsia="Arial" w:hAnsi="Arial"/>
          <w:sz w:val="18"/>
          <w:szCs w:val="18"/>
          <w:b w:val="1"/>
          <w:bCs w:val="1"/>
          <w:color w:val="auto"/>
        </w:rPr>
      </w:pPr>
    </w:p>
    <w:p>
      <w:pPr>
        <w:ind w:left="440" w:right="240" w:firstLine="419"/>
        <w:spacing w:after="0" w:line="263" w:lineRule="auto"/>
        <w:tabs>
          <w:tab w:leader="none" w:pos="1118"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75" w:lineRule="exact"/>
        <w:rPr>
          <w:rFonts w:ascii="Arial" w:cs="Arial" w:eastAsia="Arial" w:hAnsi="Arial"/>
          <w:sz w:val="18"/>
          <w:szCs w:val="18"/>
          <w:b w:val="1"/>
          <w:bCs w:val="1"/>
          <w:color w:val="auto"/>
        </w:rPr>
      </w:pPr>
    </w:p>
    <w:p>
      <w:pPr>
        <w:ind w:left="440" w:firstLine="419"/>
        <w:spacing w:after="0" w:line="263" w:lineRule="auto"/>
        <w:tabs>
          <w:tab w:leader="none" w:pos="1128"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75" w:lineRule="exact"/>
        <w:rPr>
          <w:rFonts w:ascii="Arial" w:cs="Arial" w:eastAsia="Arial" w:hAnsi="Arial"/>
          <w:sz w:val="18"/>
          <w:szCs w:val="18"/>
          <w:b w:val="1"/>
          <w:bCs w:val="1"/>
          <w:color w:val="auto"/>
        </w:rPr>
      </w:pPr>
    </w:p>
    <w:p>
      <w:pPr>
        <w:ind w:left="440" w:right="380" w:firstLine="419"/>
        <w:spacing w:after="0" w:line="277" w:lineRule="auto"/>
        <w:tabs>
          <w:tab w:leader="none" w:pos="1078"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62" w:lineRule="exact"/>
        <w:rPr>
          <w:rFonts w:ascii="Arial" w:cs="Arial" w:eastAsia="Arial" w:hAnsi="Arial"/>
          <w:sz w:val="18"/>
          <w:szCs w:val="18"/>
          <w:b w:val="1"/>
          <w:bCs w:val="1"/>
          <w:color w:val="auto"/>
        </w:rPr>
      </w:pPr>
    </w:p>
    <w:p>
      <w:pPr>
        <w:ind w:left="1080" w:hanging="221"/>
        <w:spacing w:after="0"/>
        <w:tabs>
          <w:tab w:leader="none" w:pos="1080" w:val="left"/>
        </w:tabs>
        <w:numPr>
          <w:ilvl w:val="0"/>
          <w:numId w:val="54"/>
        </w:numPr>
        <w:rPr>
          <w:rFonts w:ascii="Arial" w:cs="Arial" w:eastAsia="Arial" w:hAnsi="Arial"/>
          <w:sz w:val="18"/>
          <w:szCs w:val="18"/>
          <w:b w:val="1"/>
          <w:bCs w:val="1"/>
          <w:color w:val="auto"/>
        </w:rPr>
      </w:pPr>
      <w:r>
        <w:rPr>
          <w:rFonts w:ascii="Arial" w:cs="Arial" w:eastAsia="Arial" w:hAnsi="Arial"/>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33" w:name="page34"/>
    <w:bookmarkEnd w:id="33"/>
    <w:p>
      <w:pPr>
        <w:ind w:left="444" w:firstLine="419"/>
        <w:spacing w:after="0" w:line="291" w:lineRule="auto"/>
        <w:tabs>
          <w:tab w:leader="none" w:pos="1132" w:val="left"/>
        </w:tabs>
        <w:numPr>
          <w:ilvl w:val="0"/>
          <w:numId w:val="55"/>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58" w:lineRule="exact"/>
        <w:rPr>
          <w:rFonts w:ascii="Arial" w:cs="Arial" w:eastAsia="Arial" w:hAnsi="Arial"/>
          <w:sz w:val="16"/>
          <w:szCs w:val="16"/>
          <w:b w:val="1"/>
          <w:bCs w:val="1"/>
          <w:color w:val="auto"/>
        </w:rPr>
      </w:pPr>
    </w:p>
    <w:p>
      <w:pPr>
        <w:jc w:val="both"/>
        <w:ind w:left="444" w:firstLine="419"/>
        <w:spacing w:after="0" w:line="311" w:lineRule="auto"/>
        <w:tabs>
          <w:tab w:leader="none" w:pos="1082" w:val="left"/>
        </w:tabs>
        <w:numPr>
          <w:ilvl w:val="0"/>
          <w:numId w:val="55"/>
        </w:numPr>
        <w:rPr>
          <w:rFonts w:ascii="Arial" w:cs="Arial" w:eastAsia="Arial" w:hAnsi="Arial"/>
          <w:sz w:val="16"/>
          <w:szCs w:val="16"/>
          <w:b w:val="1"/>
          <w:bCs w:val="1"/>
          <w:color w:val="auto"/>
        </w:rPr>
      </w:pPr>
      <w:r>
        <w:rPr>
          <w:rFonts w:ascii="Arial" w:cs="Arial" w:eastAsia="Arial" w:hAnsi="Arial"/>
          <w:sz w:val="16"/>
          <w:szCs w:val="16"/>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40" w:lineRule="exact"/>
        <w:rPr>
          <w:rFonts w:ascii="Arial" w:cs="Arial" w:eastAsia="Arial" w:hAnsi="Arial"/>
          <w:sz w:val="16"/>
          <w:szCs w:val="16"/>
          <w:b w:val="1"/>
          <w:bCs w:val="1"/>
          <w:color w:val="auto"/>
        </w:rPr>
      </w:pPr>
    </w:p>
    <w:p>
      <w:pPr>
        <w:ind w:left="444" w:right="40" w:firstLine="419"/>
        <w:spacing w:after="0" w:line="259" w:lineRule="auto"/>
        <w:tabs>
          <w:tab w:leader="none" w:pos="1182" w:val="left"/>
        </w:tabs>
        <w:numPr>
          <w:ilvl w:val="0"/>
          <w:numId w:val="55"/>
        </w:numPr>
        <w:rPr>
          <w:rFonts w:ascii="Arial" w:cs="Arial" w:eastAsia="Arial" w:hAnsi="Arial"/>
          <w:sz w:val="18"/>
          <w:szCs w:val="18"/>
          <w:b w:val="1"/>
          <w:bCs w:val="1"/>
          <w:color w:val="auto"/>
        </w:rPr>
      </w:pPr>
      <w:r>
        <w:rPr>
          <w:rFonts w:ascii="Arial" w:cs="Arial" w:eastAsia="Arial" w:hAnsi="Arial"/>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83"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2.16 Employee and Labor Matters; Benefit Plans</w:t>
      </w:r>
      <w:r>
        <w:rPr>
          <w:rFonts w:ascii="Arial" w:cs="Arial" w:eastAsia="Arial" w:hAnsi="Arial"/>
          <w:sz w:val="18"/>
          <w:szCs w:val="18"/>
          <w:color w:val="auto"/>
        </w:rPr>
        <w:t>.</w:t>
      </w:r>
    </w:p>
    <w:p>
      <w:pPr>
        <w:spacing w:after="0" w:line="229" w:lineRule="exact"/>
        <w:rPr>
          <w:sz w:val="20"/>
          <w:szCs w:val="20"/>
          <w:color w:val="auto"/>
        </w:rPr>
      </w:pPr>
    </w:p>
    <w:p>
      <w:pPr>
        <w:ind w:left="4" w:firstLine="987"/>
        <w:spacing w:after="0" w:line="283" w:lineRule="auto"/>
        <w:tabs>
          <w:tab w:leader="none" w:pos="1250" w:val="left"/>
        </w:tabs>
        <w:numPr>
          <w:ilvl w:val="1"/>
          <w:numId w:val="56"/>
        </w:numPr>
        <w:rPr>
          <w:rFonts w:ascii="Arial" w:cs="Arial" w:eastAsia="Arial" w:hAnsi="Arial"/>
          <w:sz w:val="16"/>
          <w:szCs w:val="16"/>
          <w:b w:val="1"/>
          <w:bCs w:val="1"/>
          <w:color w:val="auto"/>
        </w:rPr>
      </w:pPr>
      <w:r>
        <w:rPr>
          <w:rFonts w:ascii="Arial" w:cs="Arial" w:eastAsia="Arial" w:hAnsi="Arial"/>
          <w:sz w:val="16"/>
          <w:szCs w:val="16"/>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4" w:lineRule="exact"/>
        <w:rPr>
          <w:rFonts w:ascii="Arial" w:cs="Arial" w:eastAsia="Arial" w:hAnsi="Arial"/>
          <w:sz w:val="16"/>
          <w:szCs w:val="16"/>
          <w:b w:val="1"/>
          <w:bCs w:val="1"/>
          <w:color w:val="auto"/>
        </w:rPr>
      </w:pPr>
    </w:p>
    <w:p>
      <w:pPr>
        <w:ind w:left="4" w:right="40" w:hanging="4"/>
        <w:spacing w:after="0" w:line="269" w:lineRule="auto"/>
        <w:tabs>
          <w:tab w:leader="none" w:pos="409" w:val="left"/>
        </w:tabs>
        <w:numPr>
          <w:ilvl w:val="0"/>
          <w:numId w:val="57"/>
        </w:numPr>
        <w:rPr>
          <w:rFonts w:ascii="Arial" w:cs="Arial" w:eastAsia="Arial" w:hAnsi="Arial"/>
          <w:sz w:val="17"/>
          <w:szCs w:val="17"/>
          <w:color w:val="auto"/>
        </w:rPr>
      </w:pPr>
      <w:r>
        <w:rPr>
          <w:rFonts w:ascii="Arial" w:cs="Arial" w:eastAsia="Arial" w:hAnsi="Arial"/>
          <w:sz w:val="17"/>
          <w:szCs w:val="17"/>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0" w:lineRule="exact"/>
        <w:rPr>
          <w:rFonts w:ascii="Arial" w:cs="Arial" w:eastAsia="Arial" w:hAnsi="Arial"/>
          <w:sz w:val="17"/>
          <w:szCs w:val="17"/>
          <w:color w:val="auto"/>
        </w:rPr>
      </w:pPr>
    </w:p>
    <w:p>
      <w:pPr>
        <w:jc w:val="both"/>
        <w:ind w:left="4" w:right="160" w:firstLine="987"/>
        <w:spacing w:after="0" w:line="279" w:lineRule="auto"/>
        <w:tabs>
          <w:tab w:leader="none" w:pos="1260" w:val="left"/>
        </w:tabs>
        <w:numPr>
          <w:ilvl w:val="1"/>
          <w:numId w:val="57"/>
        </w:numPr>
        <w:rPr>
          <w:rFonts w:ascii="Arial" w:cs="Arial" w:eastAsia="Arial" w:hAnsi="Arial"/>
          <w:sz w:val="17"/>
          <w:szCs w:val="17"/>
          <w:b w:val="1"/>
          <w:bCs w:val="1"/>
          <w:color w:val="auto"/>
        </w:rPr>
      </w:pPr>
      <w:r>
        <w:rPr>
          <w:rFonts w:ascii="Arial" w:cs="Arial" w:eastAsia="Arial" w:hAnsi="Arial"/>
          <w:sz w:val="17"/>
          <w:szCs w:val="17"/>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0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04"/>
          </w:cols>
          <w:pgMar w:left="436" w:top="274" w:right="459" w:bottom="1440" w:gutter="0" w:footer="0" w:header="0"/>
        </w:sectPr>
      </w:pPr>
    </w:p>
    <w:bookmarkStart w:id="34" w:name="page35"/>
    <w:bookmarkEnd w:id="34"/>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0" w:lineRule="exact"/>
        <w:rPr>
          <w:sz w:val="20"/>
          <w:szCs w:val="20"/>
          <w:color w:val="auto"/>
        </w:rPr>
      </w:pPr>
    </w:p>
    <w:p>
      <w:pPr>
        <w:ind w:right="320" w:firstLine="987"/>
        <w:spacing w:after="0" w:line="263" w:lineRule="auto"/>
        <w:tabs>
          <w:tab w:leader="none" w:pos="1236" w:val="left"/>
        </w:tabs>
        <w:numPr>
          <w:ilvl w:val="0"/>
          <w:numId w:val="58"/>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2.16(c)</w:t>
      </w:r>
      <w:r>
        <w:rPr>
          <w:rFonts w:ascii="Arial" w:cs="Arial" w:eastAsia="Arial" w:hAnsi="Arial"/>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75" w:lineRule="exact"/>
        <w:rPr>
          <w:rFonts w:ascii="Arial" w:cs="Arial" w:eastAsia="Arial" w:hAnsi="Arial"/>
          <w:sz w:val="18"/>
          <w:szCs w:val="18"/>
          <w:b w:val="1"/>
          <w:bCs w:val="1"/>
          <w:color w:val="auto"/>
        </w:rPr>
      </w:pPr>
    </w:p>
    <w:p>
      <w:pPr>
        <w:ind w:left="440" w:right="60" w:firstLine="948"/>
        <w:spacing w:after="0" w:line="263" w:lineRule="auto"/>
        <w:tabs>
          <w:tab w:leader="none" w:pos="1607" w:val="left"/>
        </w:tabs>
        <w:numPr>
          <w:ilvl w:val="1"/>
          <w:numId w:val="58"/>
        </w:numPr>
        <w:rPr>
          <w:rFonts w:ascii="Arial" w:cs="Arial" w:eastAsia="Arial" w:hAnsi="Arial"/>
          <w:sz w:val="18"/>
          <w:szCs w:val="18"/>
          <w:b w:val="1"/>
          <w:bCs w:val="1"/>
          <w:color w:val="auto"/>
        </w:rPr>
      </w:pPr>
      <w:r>
        <w:rPr>
          <w:rFonts w:ascii="Arial" w:cs="Arial" w:eastAsia="Arial" w:hAnsi="Arial"/>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75" w:lineRule="exact"/>
        <w:rPr>
          <w:rFonts w:ascii="Arial" w:cs="Arial" w:eastAsia="Arial" w:hAnsi="Arial"/>
          <w:sz w:val="18"/>
          <w:szCs w:val="18"/>
          <w:b w:val="1"/>
          <w:bCs w:val="1"/>
          <w:color w:val="auto"/>
        </w:rPr>
      </w:pPr>
    </w:p>
    <w:p>
      <w:pPr>
        <w:ind w:left="440" w:right="500" w:firstLine="948"/>
        <w:spacing w:after="0" w:line="277" w:lineRule="auto"/>
        <w:tabs>
          <w:tab w:leader="none" w:pos="1657" w:val="left"/>
        </w:tabs>
        <w:numPr>
          <w:ilvl w:val="1"/>
          <w:numId w:val="58"/>
        </w:numPr>
        <w:rPr>
          <w:rFonts w:ascii="Arial" w:cs="Arial" w:eastAsia="Arial" w:hAnsi="Arial"/>
          <w:sz w:val="18"/>
          <w:szCs w:val="18"/>
          <w:b w:val="1"/>
          <w:bCs w:val="1"/>
          <w:color w:val="auto"/>
        </w:rPr>
      </w:pPr>
      <w:r>
        <w:rPr>
          <w:rFonts w:ascii="Arial" w:cs="Arial" w:eastAsia="Arial" w:hAnsi="Arial"/>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62" w:lineRule="exact"/>
        <w:rPr>
          <w:rFonts w:ascii="Arial" w:cs="Arial" w:eastAsia="Arial" w:hAnsi="Arial"/>
          <w:sz w:val="18"/>
          <w:szCs w:val="18"/>
          <w:b w:val="1"/>
          <w:bCs w:val="1"/>
          <w:color w:val="auto"/>
        </w:rPr>
      </w:pPr>
    </w:p>
    <w:p>
      <w:pPr>
        <w:ind w:left="1700" w:hanging="312"/>
        <w:spacing w:after="0"/>
        <w:tabs>
          <w:tab w:leader="none" w:pos="1700" w:val="left"/>
        </w:tabs>
        <w:numPr>
          <w:ilvl w:val="1"/>
          <w:numId w:val="58"/>
        </w:numPr>
        <w:rPr>
          <w:rFonts w:ascii="Arial" w:cs="Arial" w:eastAsia="Arial" w:hAnsi="Arial"/>
          <w:sz w:val="17"/>
          <w:szCs w:val="17"/>
          <w:b w:val="1"/>
          <w:bCs w:val="1"/>
          <w:color w:val="auto"/>
        </w:rPr>
      </w:pPr>
      <w:r>
        <w:rPr>
          <w:rFonts w:ascii="Arial" w:cs="Arial" w:eastAsia="Arial" w:hAnsi="Arial"/>
          <w:sz w:val="17"/>
          <w:szCs w:val="17"/>
          <w:color w:val="auto"/>
        </w:rPr>
        <w:t>a description of such consultant or independent contractor’s performance objectives, services, duties and responsibilities;</w:t>
      </w:r>
    </w:p>
    <w:p>
      <w:pPr>
        <w:spacing w:after="0" w:line="128" w:lineRule="exact"/>
        <w:rPr>
          <w:rFonts w:ascii="Arial" w:cs="Arial" w:eastAsia="Arial" w:hAnsi="Arial"/>
          <w:sz w:val="17"/>
          <w:szCs w:val="17"/>
          <w:b w:val="1"/>
          <w:bCs w:val="1"/>
          <w:color w:val="auto"/>
        </w:rPr>
      </w:pPr>
    </w:p>
    <w:p>
      <w:pPr>
        <w:ind w:left="440" w:right="40" w:firstLine="948"/>
        <w:spacing w:after="0" w:line="263" w:lineRule="auto"/>
        <w:tabs>
          <w:tab w:leader="none" w:pos="1696" w:val="left"/>
        </w:tabs>
        <w:numPr>
          <w:ilvl w:val="1"/>
          <w:numId w:val="58"/>
        </w:numPr>
        <w:rPr>
          <w:rFonts w:ascii="Arial" w:cs="Arial" w:eastAsia="Arial" w:hAnsi="Arial"/>
          <w:sz w:val="18"/>
          <w:szCs w:val="18"/>
          <w:b w:val="1"/>
          <w:bCs w:val="1"/>
          <w:color w:val="auto"/>
        </w:rPr>
      </w:pPr>
      <w:r>
        <w:rPr>
          <w:rFonts w:ascii="Arial" w:cs="Arial" w:eastAsia="Arial" w:hAnsi="Arial"/>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75" w:lineRule="exact"/>
        <w:rPr>
          <w:rFonts w:ascii="Arial" w:cs="Arial" w:eastAsia="Arial" w:hAnsi="Arial"/>
          <w:sz w:val="18"/>
          <w:szCs w:val="18"/>
          <w:b w:val="1"/>
          <w:bCs w:val="1"/>
          <w:color w:val="auto"/>
        </w:rPr>
      </w:pPr>
    </w:p>
    <w:p>
      <w:pPr>
        <w:ind w:left="1640" w:hanging="252"/>
        <w:spacing w:after="0"/>
        <w:tabs>
          <w:tab w:leader="none" w:pos="1640" w:val="left"/>
        </w:tabs>
        <w:numPr>
          <w:ilvl w:val="1"/>
          <w:numId w:val="58"/>
        </w:numPr>
        <w:rPr>
          <w:rFonts w:ascii="Arial" w:cs="Arial" w:eastAsia="Arial" w:hAnsi="Arial"/>
          <w:sz w:val="18"/>
          <w:szCs w:val="18"/>
          <w:b w:val="1"/>
          <w:bCs w:val="1"/>
          <w:color w:val="auto"/>
        </w:rPr>
      </w:pPr>
      <w:r>
        <w:rPr>
          <w:rFonts w:ascii="Arial" w:cs="Arial" w:eastAsia="Arial" w:hAnsi="Arial"/>
          <w:sz w:val="18"/>
          <w:szCs w:val="18"/>
          <w:color w:val="auto"/>
        </w:rPr>
        <w:t>the terms of current compensation of such consultant or independent contractor; and</w:t>
      </w:r>
    </w:p>
    <w:p>
      <w:pPr>
        <w:spacing w:after="0" w:line="117" w:lineRule="exact"/>
        <w:rPr>
          <w:rFonts w:ascii="Arial" w:cs="Arial" w:eastAsia="Arial" w:hAnsi="Arial"/>
          <w:sz w:val="18"/>
          <w:szCs w:val="18"/>
          <w:b w:val="1"/>
          <w:bCs w:val="1"/>
          <w:color w:val="auto"/>
        </w:rPr>
      </w:pPr>
    </w:p>
    <w:p>
      <w:pPr>
        <w:ind w:left="440" w:right="420" w:firstLine="948"/>
        <w:spacing w:after="0" w:line="277" w:lineRule="auto"/>
        <w:tabs>
          <w:tab w:leader="none" w:pos="1696" w:val="left"/>
        </w:tabs>
        <w:numPr>
          <w:ilvl w:val="1"/>
          <w:numId w:val="58"/>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that is held by such consultant or independent contractor and that relates to or is useful in connection with the business of any Inphi Entity.</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60"/>
          </w:cols>
          <w:pgMar w:left="440" w:top="274" w:right="499" w:bottom="1440" w:gutter="0" w:footer="0" w:header="0"/>
        </w:sectPr>
      </w:pPr>
    </w:p>
    <w:bookmarkStart w:id="35" w:name="page36"/>
    <w:bookmarkEnd w:id="35"/>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Accurate and complete copies of all Contracts identified in </w:t>
      </w:r>
      <w:r>
        <w:rPr>
          <w:rFonts w:ascii="Arial" w:cs="Arial" w:eastAsia="Arial" w:hAnsi="Arial"/>
          <w:sz w:val="16"/>
          <w:szCs w:val="16"/>
          <w:u w:val="single" w:color="auto"/>
          <w:color w:val="auto"/>
        </w:rPr>
        <w:t>Part 2.16(c)(ii)</w:t>
      </w:r>
      <w:r>
        <w:rPr>
          <w:rFonts w:ascii="Arial" w:cs="Arial" w:eastAsia="Arial" w:hAnsi="Arial"/>
          <w:sz w:val="16"/>
          <w:szCs w:val="16"/>
          <w:color w:val="auto"/>
        </w:rPr>
        <w:t xml:space="preserve"> of the Company Disclosure Schedule have been Made Available to Marvell.</w:t>
      </w:r>
    </w:p>
    <w:p>
      <w:pPr>
        <w:spacing w:after="0" w:line="248" w:lineRule="exact"/>
        <w:rPr>
          <w:sz w:val="20"/>
          <w:szCs w:val="20"/>
          <w:color w:val="auto"/>
        </w:rPr>
      </w:pPr>
    </w:p>
    <w:p>
      <w:pPr>
        <w:ind w:right="120" w:firstLine="987"/>
        <w:spacing w:after="0" w:line="289" w:lineRule="auto"/>
        <w:tabs>
          <w:tab w:leader="none" w:pos="1256" w:val="left"/>
        </w:tabs>
        <w:numPr>
          <w:ilvl w:val="0"/>
          <w:numId w:val="59"/>
        </w:numPr>
        <w:rPr>
          <w:rFonts w:ascii="Arial" w:cs="Arial" w:eastAsia="Arial" w:hAnsi="Arial"/>
          <w:sz w:val="16"/>
          <w:szCs w:val="16"/>
          <w:b w:val="1"/>
          <w:bCs w:val="1"/>
          <w:color w:val="auto"/>
        </w:rPr>
      </w:pPr>
      <w:r>
        <w:rPr>
          <w:rFonts w:ascii="Arial" w:cs="Arial" w:eastAsia="Arial" w:hAnsi="Arial"/>
          <w:sz w:val="16"/>
          <w:szCs w:val="16"/>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66" w:lineRule="exact"/>
        <w:rPr>
          <w:rFonts w:ascii="Arial" w:cs="Arial" w:eastAsia="Arial" w:hAnsi="Arial"/>
          <w:sz w:val="16"/>
          <w:szCs w:val="16"/>
          <w:b w:val="1"/>
          <w:bCs w:val="1"/>
          <w:color w:val="auto"/>
        </w:rPr>
      </w:pPr>
    </w:p>
    <w:p>
      <w:pPr>
        <w:ind w:right="40" w:firstLine="987"/>
        <w:spacing w:after="0" w:line="287" w:lineRule="auto"/>
        <w:tabs>
          <w:tab w:leader="none" w:pos="1236" w:val="left"/>
        </w:tabs>
        <w:numPr>
          <w:ilvl w:val="0"/>
          <w:numId w:val="59"/>
        </w:numPr>
        <w:rPr>
          <w:rFonts w:ascii="Arial" w:cs="Arial" w:eastAsia="Arial" w:hAnsi="Arial"/>
          <w:sz w:val="16"/>
          <w:szCs w:val="16"/>
          <w:b w:val="1"/>
          <w:bCs w:val="1"/>
          <w:color w:val="auto"/>
        </w:rPr>
      </w:pPr>
      <w:r>
        <w:rPr>
          <w:rFonts w:ascii="Arial" w:cs="Arial" w:eastAsia="Arial" w:hAnsi="Arial"/>
          <w:sz w:val="16"/>
          <w:szCs w:val="16"/>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71" w:lineRule="exact"/>
        <w:rPr>
          <w:rFonts w:ascii="Arial" w:cs="Arial" w:eastAsia="Arial" w:hAnsi="Arial"/>
          <w:sz w:val="16"/>
          <w:szCs w:val="16"/>
          <w:b w:val="1"/>
          <w:bCs w:val="1"/>
          <w:color w:val="auto"/>
        </w:rPr>
      </w:pPr>
    </w:p>
    <w:p>
      <w:pPr>
        <w:ind w:firstLine="987"/>
        <w:spacing w:after="0" w:line="286" w:lineRule="auto"/>
        <w:tabs>
          <w:tab w:leader="none" w:pos="1216" w:val="left"/>
        </w:tabs>
        <w:numPr>
          <w:ilvl w:val="0"/>
          <w:numId w:val="59"/>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0"/>
          </w:cols>
          <w:pgMar w:left="440" w:top="274" w:right="459" w:bottom="1440" w:gutter="0" w:footer="0" w:header="0"/>
        </w:sectPr>
      </w:pPr>
    </w:p>
    <w:bookmarkStart w:id="36" w:name="page37"/>
    <w:bookmarkEnd w:id="36"/>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78" w:lineRule="exact"/>
        <w:rPr>
          <w:sz w:val="20"/>
          <w:szCs w:val="20"/>
          <w:color w:val="auto"/>
        </w:rPr>
      </w:pPr>
    </w:p>
    <w:p>
      <w:pPr>
        <w:ind w:right="160" w:firstLine="987"/>
        <w:spacing w:after="0" w:line="273" w:lineRule="auto"/>
        <w:tabs>
          <w:tab w:leader="none" w:pos="1246" w:val="left"/>
        </w:tabs>
        <w:numPr>
          <w:ilvl w:val="0"/>
          <w:numId w:val="60"/>
        </w:numPr>
        <w:rPr>
          <w:rFonts w:ascii="Arial" w:cs="Arial" w:eastAsia="Arial" w:hAnsi="Arial"/>
          <w:sz w:val="17"/>
          <w:szCs w:val="17"/>
          <w:b w:val="1"/>
          <w:bCs w:val="1"/>
          <w:color w:val="auto"/>
        </w:rPr>
      </w:pPr>
      <w:r>
        <w:rPr>
          <w:rFonts w:ascii="Arial" w:cs="Arial" w:eastAsia="Arial" w:hAnsi="Arial"/>
          <w:sz w:val="17"/>
          <w:szCs w:val="17"/>
          <w:color w:val="auto"/>
        </w:rPr>
        <w:t>Since January 1, 2016, no allegation, complaint, charge or claim (formal or informal) of sexual harassment, sexual assault, sexual misconduct, gender discrimination or similar behavior (a “</w:t>
      </w:r>
      <w:r>
        <w:rPr>
          <w:rFonts w:ascii="Arial" w:cs="Arial" w:eastAsia="Arial" w:hAnsi="Arial"/>
          <w:sz w:val="17"/>
          <w:szCs w:val="17"/>
          <w:u w:val="single" w:color="auto"/>
          <w:color w:val="auto"/>
        </w:rPr>
        <w:t>Sexual Misconduct Allegation</w:t>
      </w:r>
      <w:r>
        <w:rPr>
          <w:rFonts w:ascii="Arial" w:cs="Arial" w:eastAsia="Arial" w:hAnsi="Arial"/>
          <w:sz w:val="17"/>
          <w:szCs w:val="17"/>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77" w:lineRule="exact"/>
        <w:rPr>
          <w:rFonts w:ascii="Arial" w:cs="Arial" w:eastAsia="Arial" w:hAnsi="Arial"/>
          <w:sz w:val="17"/>
          <w:szCs w:val="17"/>
          <w:b w:val="1"/>
          <w:bCs w:val="1"/>
          <w:color w:val="auto"/>
        </w:rPr>
      </w:pPr>
    </w:p>
    <w:p>
      <w:pPr>
        <w:ind w:firstLine="987"/>
        <w:spacing w:after="0" w:line="286" w:lineRule="auto"/>
        <w:tabs>
          <w:tab w:leader="none" w:pos="1256" w:val="left"/>
        </w:tabs>
        <w:numPr>
          <w:ilvl w:val="0"/>
          <w:numId w:val="60"/>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2.16(h)</w:t>
      </w:r>
      <w:r>
        <w:rPr>
          <w:rFonts w:ascii="Arial" w:cs="Arial" w:eastAsia="Arial" w:hAnsi="Arial"/>
          <w:sz w:val="16"/>
          <w:szCs w:val="16"/>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Arial" w:cs="Arial" w:eastAsia="Arial" w:hAnsi="Arial"/>
          <w:sz w:val="16"/>
          <w:szCs w:val="16"/>
          <w:u w:val="single" w:color="auto"/>
          <w:color w:val="auto"/>
        </w:rPr>
        <w:t>Section 4.2(b)</w:t>
      </w:r>
      <w:r>
        <w:rPr>
          <w:rFonts w:ascii="Arial" w:cs="Arial" w:eastAsia="Arial" w:hAnsi="Arial"/>
          <w:sz w:val="16"/>
          <w:szCs w:val="16"/>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70" w:lineRule="exact"/>
        <w:rPr>
          <w:rFonts w:ascii="Arial" w:cs="Arial" w:eastAsia="Arial" w:hAnsi="Arial"/>
          <w:sz w:val="16"/>
          <w:szCs w:val="16"/>
          <w:b w:val="1"/>
          <w:bCs w:val="1"/>
          <w:color w:val="auto"/>
        </w:rPr>
      </w:pPr>
    </w:p>
    <w:p>
      <w:pPr>
        <w:ind w:right="160" w:firstLine="987"/>
        <w:spacing w:after="0" w:line="253" w:lineRule="auto"/>
        <w:tabs>
          <w:tab w:leader="none" w:pos="1206" w:val="left"/>
        </w:tabs>
        <w:numPr>
          <w:ilvl w:val="0"/>
          <w:numId w:val="60"/>
        </w:numPr>
        <w:rPr>
          <w:rFonts w:ascii="Arial" w:cs="Arial" w:eastAsia="Arial" w:hAnsi="Arial"/>
          <w:sz w:val="18"/>
          <w:szCs w:val="18"/>
          <w:b w:val="1"/>
          <w:bCs w:val="1"/>
          <w:color w:val="auto"/>
        </w:rPr>
      </w:pPr>
      <w:r>
        <w:rPr>
          <w:rFonts w:ascii="Arial" w:cs="Arial" w:eastAsia="Arial" w:hAnsi="Arial"/>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0"/>
          </w:cols>
          <w:pgMar w:left="440" w:top="274" w:right="459" w:bottom="1440" w:gutter="0" w:footer="0" w:header="0"/>
        </w:sectPr>
      </w:pPr>
    </w:p>
    <w:bookmarkStart w:id="37" w:name="page38"/>
    <w:bookmarkEnd w:id="37"/>
    <w:p>
      <w:pPr>
        <w:ind w:left="4" w:right="2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85" w:lineRule="exact"/>
        <w:rPr>
          <w:sz w:val="20"/>
          <w:szCs w:val="20"/>
          <w:color w:val="auto"/>
        </w:rPr>
      </w:pPr>
    </w:p>
    <w:p>
      <w:pPr>
        <w:ind w:left="4" w:firstLine="987"/>
        <w:spacing w:after="0" w:line="288" w:lineRule="auto"/>
        <w:tabs>
          <w:tab w:leader="none" w:pos="1220" w:val="left"/>
        </w:tabs>
        <w:numPr>
          <w:ilvl w:val="1"/>
          <w:numId w:val="61"/>
        </w:numPr>
        <w:rPr>
          <w:rFonts w:ascii="Arial" w:cs="Arial" w:eastAsia="Arial" w:hAnsi="Arial"/>
          <w:sz w:val="16"/>
          <w:szCs w:val="16"/>
          <w:b w:val="1"/>
          <w:bCs w:val="1"/>
          <w:color w:val="auto"/>
        </w:rPr>
      </w:pPr>
      <w:r>
        <w:rPr>
          <w:rFonts w:ascii="Arial" w:cs="Arial" w:eastAsia="Arial" w:hAnsi="Arial"/>
          <w:sz w:val="16"/>
          <w:szCs w:val="16"/>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68" w:lineRule="exact"/>
        <w:rPr>
          <w:rFonts w:ascii="Arial" w:cs="Arial" w:eastAsia="Arial" w:hAnsi="Arial"/>
          <w:sz w:val="16"/>
          <w:szCs w:val="16"/>
          <w:b w:val="1"/>
          <w:bCs w:val="1"/>
          <w:color w:val="auto"/>
        </w:rPr>
      </w:pPr>
    </w:p>
    <w:p>
      <w:pPr>
        <w:ind w:left="4" w:right="140" w:firstLine="987"/>
        <w:spacing w:after="0" w:line="257" w:lineRule="auto"/>
        <w:tabs>
          <w:tab w:leader="none" w:pos="1260" w:val="left"/>
        </w:tabs>
        <w:numPr>
          <w:ilvl w:val="1"/>
          <w:numId w:val="61"/>
        </w:numPr>
        <w:rPr>
          <w:rFonts w:ascii="Arial" w:cs="Arial" w:eastAsia="Arial" w:hAnsi="Arial"/>
          <w:sz w:val="18"/>
          <w:szCs w:val="18"/>
          <w:b w:val="1"/>
          <w:bCs w:val="1"/>
          <w:color w:val="auto"/>
        </w:rPr>
      </w:pPr>
      <w:r>
        <w:rPr>
          <w:rFonts w:ascii="Arial" w:cs="Arial" w:eastAsia="Arial" w:hAnsi="Arial"/>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7" w:lineRule="exact"/>
        <w:rPr>
          <w:rFonts w:ascii="Arial" w:cs="Arial" w:eastAsia="Arial" w:hAnsi="Arial"/>
          <w:sz w:val="18"/>
          <w:szCs w:val="18"/>
          <w:b w:val="1"/>
          <w:bCs w:val="1"/>
          <w:color w:val="auto"/>
        </w:rPr>
      </w:pPr>
    </w:p>
    <w:p>
      <w:pPr>
        <w:ind w:left="4" w:right="60" w:firstLine="987"/>
        <w:spacing w:after="0" w:line="286" w:lineRule="auto"/>
        <w:tabs>
          <w:tab w:leader="none" w:pos="1210" w:val="left"/>
        </w:tabs>
        <w:numPr>
          <w:ilvl w:val="1"/>
          <w:numId w:val="61"/>
        </w:numPr>
        <w:rPr>
          <w:rFonts w:ascii="Arial" w:cs="Arial" w:eastAsia="Arial" w:hAnsi="Arial"/>
          <w:sz w:val="16"/>
          <w:szCs w:val="16"/>
          <w:b w:val="1"/>
          <w:bCs w:val="1"/>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Part 2.16(l)</w:t>
      </w:r>
      <w:r>
        <w:rPr>
          <w:rFonts w:ascii="Arial" w:cs="Arial" w:eastAsia="Arial" w:hAnsi="Arial"/>
          <w:sz w:val="16"/>
          <w:szCs w:val="16"/>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1" w:lineRule="exact"/>
        <w:rPr>
          <w:rFonts w:ascii="Arial" w:cs="Arial" w:eastAsia="Arial" w:hAnsi="Arial"/>
          <w:sz w:val="16"/>
          <w:szCs w:val="16"/>
          <w:b w:val="1"/>
          <w:bCs w:val="1"/>
          <w:color w:val="auto"/>
        </w:rPr>
      </w:pPr>
    </w:p>
    <w:p>
      <w:pPr>
        <w:ind w:left="4" w:hanging="4"/>
        <w:spacing w:after="0" w:line="271" w:lineRule="auto"/>
        <w:tabs>
          <w:tab w:leader="none" w:pos="269" w:val="left"/>
        </w:tabs>
        <w:numPr>
          <w:ilvl w:val="0"/>
          <w:numId w:val="62"/>
        </w:numPr>
        <w:rPr>
          <w:rFonts w:ascii="Arial" w:cs="Arial" w:eastAsia="Arial" w:hAnsi="Arial"/>
          <w:sz w:val="17"/>
          <w:szCs w:val="17"/>
          <w:color w:val="auto"/>
        </w:rPr>
      </w:pPr>
      <w:r>
        <w:rPr>
          <w:rFonts w:ascii="Arial" w:cs="Arial" w:eastAsia="Arial" w:hAnsi="Arial"/>
          <w:sz w:val="17"/>
          <w:szCs w:val="17"/>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78" w:lineRule="exact"/>
        <w:rPr>
          <w:rFonts w:ascii="Arial" w:cs="Arial" w:eastAsia="Arial" w:hAnsi="Arial"/>
          <w:sz w:val="17"/>
          <w:szCs w:val="17"/>
          <w:color w:val="auto"/>
        </w:rPr>
      </w:pPr>
    </w:p>
    <w:p>
      <w:pPr>
        <w:ind w:left="4" w:right="140" w:firstLine="987"/>
        <w:spacing w:after="0" w:line="263" w:lineRule="auto"/>
        <w:tabs>
          <w:tab w:leader="none" w:pos="1310" w:val="left"/>
        </w:tabs>
        <w:numPr>
          <w:ilvl w:val="1"/>
          <w:numId w:val="62"/>
        </w:numPr>
        <w:rPr>
          <w:rFonts w:ascii="Arial" w:cs="Arial" w:eastAsia="Arial" w:hAnsi="Arial"/>
          <w:sz w:val="18"/>
          <w:szCs w:val="18"/>
          <w:b w:val="1"/>
          <w:bCs w:val="1"/>
          <w:color w:val="auto"/>
        </w:rPr>
      </w:pPr>
      <w:r>
        <w:rPr>
          <w:rFonts w:ascii="Arial" w:cs="Arial" w:eastAsia="Arial" w:hAnsi="Arial"/>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84"/>
          </w:cols>
          <w:pgMar w:left="436" w:top="274" w:right="479" w:bottom="1440" w:gutter="0" w:footer="0" w:header="0"/>
        </w:sectPr>
      </w:pPr>
    </w:p>
    <w:bookmarkStart w:id="38" w:name="page39"/>
    <w:bookmarkEnd w:id="38"/>
    <w:p>
      <w:pPr>
        <w:ind w:left="4" w:right="10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No Inphi Entity has any obligation to gross-up or otherwise reimburse any Inphi Associate for any tax incurred by such person pursuant to Section 409A.</w:t>
      </w:r>
    </w:p>
    <w:p>
      <w:pPr>
        <w:spacing w:after="0" w:line="170" w:lineRule="exact"/>
        <w:rPr>
          <w:sz w:val="20"/>
          <w:szCs w:val="20"/>
          <w:color w:val="auto"/>
        </w:rPr>
      </w:pPr>
    </w:p>
    <w:p>
      <w:pPr>
        <w:ind w:left="4" w:firstLine="987"/>
        <w:spacing w:after="0" w:line="285" w:lineRule="auto"/>
        <w:tabs>
          <w:tab w:leader="none" w:pos="1260" w:val="left"/>
        </w:tabs>
        <w:numPr>
          <w:ilvl w:val="1"/>
          <w:numId w:val="63"/>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1" w:lineRule="exact"/>
        <w:rPr>
          <w:rFonts w:ascii="Arial" w:cs="Arial" w:eastAsia="Arial" w:hAnsi="Arial"/>
          <w:sz w:val="16"/>
          <w:szCs w:val="16"/>
          <w:b w:val="1"/>
          <w:bCs w:val="1"/>
          <w:color w:val="auto"/>
        </w:rPr>
      </w:pPr>
    </w:p>
    <w:p>
      <w:pPr>
        <w:ind w:left="224" w:hanging="224"/>
        <w:spacing w:after="0"/>
        <w:tabs>
          <w:tab w:leader="none" w:pos="224" w:val="left"/>
        </w:tabs>
        <w:numPr>
          <w:ilvl w:val="0"/>
          <w:numId w:val="64"/>
        </w:numPr>
        <w:rPr>
          <w:rFonts w:ascii="Arial" w:cs="Arial" w:eastAsia="Arial" w:hAnsi="Arial"/>
          <w:sz w:val="16"/>
          <w:szCs w:val="16"/>
          <w:color w:val="auto"/>
        </w:rPr>
      </w:pPr>
      <w:r>
        <w:rPr>
          <w:rFonts w:ascii="Arial" w:cs="Arial" w:eastAsia="Arial" w:hAnsi="Arial"/>
          <w:sz w:val="16"/>
          <w:szCs w:val="16"/>
          <w:color w:val="auto"/>
        </w:rPr>
        <w:t>taken any material action adversely affecting the terms or conditions of employment of its current or former employees or other service providers</w:t>
      </w:r>
    </w:p>
    <w:p>
      <w:pPr>
        <w:spacing w:after="0" w:line="32" w:lineRule="exact"/>
        <w:rPr>
          <w:rFonts w:ascii="Arial" w:cs="Arial" w:eastAsia="Arial" w:hAnsi="Arial"/>
          <w:sz w:val="16"/>
          <w:szCs w:val="16"/>
          <w:color w:val="auto"/>
        </w:rPr>
      </w:pPr>
    </w:p>
    <w:p>
      <w:pPr>
        <w:jc w:val="both"/>
        <w:ind w:left="4" w:right="40"/>
        <w:spacing w:after="0" w:line="295" w:lineRule="auto"/>
        <w:rPr>
          <w:rFonts w:ascii="Arial" w:cs="Arial" w:eastAsia="Arial" w:hAnsi="Arial"/>
          <w:sz w:val="16"/>
          <w:szCs w:val="16"/>
          <w:color w:val="auto"/>
        </w:rPr>
      </w:pPr>
      <w:r>
        <w:rPr>
          <w:rFonts w:ascii="Arial" w:cs="Arial" w:eastAsia="Arial" w:hAnsi="Arial"/>
          <w:sz w:val="16"/>
          <w:szCs w:val="16"/>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5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2.17 Environmental Matters.</w:t>
      </w:r>
    </w:p>
    <w:p>
      <w:pPr>
        <w:spacing w:after="0" w:line="229" w:lineRule="exact"/>
        <w:rPr>
          <w:sz w:val="20"/>
          <w:szCs w:val="20"/>
          <w:color w:val="auto"/>
        </w:rPr>
      </w:pPr>
    </w:p>
    <w:p>
      <w:pPr>
        <w:ind w:left="4" w:firstLine="987"/>
        <w:spacing w:after="0" w:line="272" w:lineRule="auto"/>
        <w:tabs>
          <w:tab w:leader="none" w:pos="1250" w:val="left"/>
        </w:tabs>
        <w:numPr>
          <w:ilvl w:val="0"/>
          <w:numId w:val="65"/>
        </w:numPr>
        <w:rPr>
          <w:rFonts w:ascii="Arial" w:cs="Arial" w:eastAsia="Arial" w:hAnsi="Arial"/>
          <w:sz w:val="17"/>
          <w:szCs w:val="17"/>
          <w:b w:val="1"/>
          <w:bCs w:val="1"/>
          <w:color w:val="auto"/>
        </w:rPr>
      </w:pPr>
      <w:r>
        <w:rPr>
          <w:rFonts w:ascii="Arial" w:cs="Arial" w:eastAsia="Arial" w:hAnsi="Arial"/>
          <w:sz w:val="17"/>
          <w:szCs w:val="17"/>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77" w:lineRule="exact"/>
        <w:rPr>
          <w:rFonts w:ascii="Arial" w:cs="Arial" w:eastAsia="Arial" w:hAnsi="Arial"/>
          <w:sz w:val="17"/>
          <w:szCs w:val="17"/>
          <w:b w:val="1"/>
          <w:bCs w:val="1"/>
          <w:color w:val="auto"/>
        </w:rPr>
      </w:pPr>
    </w:p>
    <w:p>
      <w:pPr>
        <w:ind w:left="4" w:firstLine="987"/>
        <w:spacing w:after="0" w:line="296" w:lineRule="auto"/>
        <w:tabs>
          <w:tab w:leader="none" w:pos="1260" w:val="left"/>
        </w:tabs>
        <w:numPr>
          <w:ilvl w:val="0"/>
          <w:numId w:val="65"/>
        </w:numPr>
        <w:rPr>
          <w:rFonts w:ascii="Arial" w:cs="Arial" w:eastAsia="Arial" w:hAnsi="Arial"/>
          <w:sz w:val="16"/>
          <w:szCs w:val="16"/>
          <w:b w:val="1"/>
          <w:bCs w:val="1"/>
          <w:color w:val="auto"/>
        </w:rPr>
      </w:pPr>
      <w:r>
        <w:rPr>
          <w:rFonts w:ascii="Arial" w:cs="Arial" w:eastAsia="Arial" w:hAnsi="Arial"/>
          <w:sz w:val="16"/>
          <w:szCs w:val="16"/>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1" w:lineRule="exact"/>
        <w:rPr>
          <w:rFonts w:ascii="Arial" w:cs="Arial" w:eastAsia="Arial" w:hAnsi="Arial"/>
          <w:sz w:val="16"/>
          <w:szCs w:val="16"/>
          <w:b w:val="1"/>
          <w:bCs w:val="1"/>
          <w:color w:val="auto"/>
        </w:rPr>
      </w:pPr>
    </w:p>
    <w:p>
      <w:pPr>
        <w:ind w:left="4" w:right="40" w:firstLine="987"/>
        <w:spacing w:after="0" w:line="259" w:lineRule="auto"/>
        <w:tabs>
          <w:tab w:leader="none" w:pos="1240" w:val="left"/>
        </w:tabs>
        <w:numPr>
          <w:ilvl w:val="0"/>
          <w:numId w:val="65"/>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83" w:lineRule="exact"/>
        <w:rPr>
          <w:sz w:val="20"/>
          <w:szCs w:val="20"/>
          <w:color w:val="auto"/>
        </w:rPr>
      </w:pPr>
    </w:p>
    <w:p>
      <w:pPr>
        <w:ind w:left="4" w:right="80" w:firstLine="440"/>
        <w:spacing w:after="0" w:line="294" w:lineRule="auto"/>
        <w:rPr>
          <w:sz w:val="20"/>
          <w:szCs w:val="20"/>
          <w:color w:val="auto"/>
        </w:rPr>
      </w:pPr>
      <w:r>
        <w:rPr>
          <w:rFonts w:ascii="Arial" w:cs="Arial" w:eastAsia="Arial" w:hAnsi="Arial"/>
          <w:sz w:val="16"/>
          <w:szCs w:val="16"/>
          <w:b w:val="1"/>
          <w:bCs w:val="1"/>
          <w:color w:val="auto"/>
        </w:rPr>
        <w:t>2.18 Insurance</w:t>
      </w:r>
      <w:r>
        <w:rPr>
          <w:rFonts w:ascii="Arial" w:cs="Arial" w:eastAsia="Arial" w:hAnsi="Arial"/>
          <w:sz w:val="16"/>
          <w:szCs w:val="16"/>
          <w:color w:val="auto"/>
        </w:rPr>
        <w:t>. The Company has Made Available to Marvell a copy of all material insurance policies and all material self-insurance programs</w:t>
      </w:r>
      <w:r>
        <w:rPr>
          <w:rFonts w:ascii="Arial" w:cs="Arial" w:eastAsia="Arial" w:hAnsi="Arial"/>
          <w:sz w:val="16"/>
          <w:szCs w:val="16"/>
          <w:b w:val="1"/>
          <w:bCs w:val="1"/>
          <w:color w:val="auto"/>
        </w:rPr>
        <w:t xml:space="preserve"> </w:t>
      </w:r>
      <w:r>
        <w:rPr>
          <w:rFonts w:ascii="Arial" w:cs="Arial" w:eastAsia="Arial" w:hAnsi="Arial"/>
          <w:sz w:val="16"/>
          <w:szCs w:val="16"/>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9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04"/>
          </w:cols>
          <w:pgMar w:left="436" w:top="274" w:right="459" w:bottom="1440" w:gutter="0" w:footer="0" w:header="0"/>
        </w:sectPr>
      </w:pPr>
    </w:p>
    <w:bookmarkStart w:id="39" w:name="page40"/>
    <w:bookmarkEnd w:id="39"/>
    <w:p>
      <w:pPr>
        <w:ind w:left="44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2.19 Legal Proceedings; Orders.</w:t>
      </w:r>
    </w:p>
    <w:p>
      <w:pPr>
        <w:spacing w:after="0" w:line="229" w:lineRule="exact"/>
        <w:rPr>
          <w:sz w:val="20"/>
          <w:szCs w:val="20"/>
          <w:color w:val="auto"/>
        </w:rPr>
      </w:pPr>
    </w:p>
    <w:p>
      <w:pPr>
        <w:ind w:left="4" w:firstLine="987"/>
        <w:spacing w:after="0" w:line="275" w:lineRule="auto"/>
        <w:tabs>
          <w:tab w:leader="none" w:pos="1250" w:val="left"/>
        </w:tabs>
        <w:numPr>
          <w:ilvl w:val="0"/>
          <w:numId w:val="66"/>
        </w:numPr>
        <w:rPr>
          <w:rFonts w:ascii="Arial" w:cs="Arial" w:eastAsia="Arial" w:hAnsi="Arial"/>
          <w:sz w:val="17"/>
          <w:szCs w:val="17"/>
          <w:b w:val="1"/>
          <w:bCs w:val="1"/>
          <w:color w:val="auto"/>
        </w:rPr>
      </w:pPr>
      <w:r>
        <w:rPr>
          <w:rFonts w:ascii="Arial" w:cs="Arial" w:eastAsia="Arial" w:hAnsi="Arial"/>
          <w:sz w:val="17"/>
          <w:szCs w:val="17"/>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Arial" w:cs="Arial" w:eastAsia="Arial" w:hAnsi="Arial"/>
          <w:sz w:val="17"/>
          <w:szCs w:val="17"/>
          <w:u w:val="single" w:color="auto"/>
          <w:color w:val="auto"/>
        </w:rPr>
        <w:t>Part 2.19(a)</w:t>
      </w:r>
      <w:r>
        <w:rPr>
          <w:rFonts w:ascii="Arial" w:cs="Arial" w:eastAsia="Arial" w:hAnsi="Arial"/>
          <w:sz w:val="17"/>
          <w:szCs w:val="17"/>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76" w:lineRule="exact"/>
        <w:rPr>
          <w:rFonts w:ascii="Arial" w:cs="Arial" w:eastAsia="Arial" w:hAnsi="Arial"/>
          <w:sz w:val="17"/>
          <w:szCs w:val="17"/>
          <w:b w:val="1"/>
          <w:bCs w:val="1"/>
          <w:color w:val="auto"/>
        </w:rPr>
      </w:pPr>
    </w:p>
    <w:p>
      <w:pPr>
        <w:ind w:left="4" w:right="120" w:firstLine="987"/>
        <w:spacing w:after="0" w:line="279" w:lineRule="auto"/>
        <w:tabs>
          <w:tab w:leader="none" w:pos="1260" w:val="left"/>
        </w:tabs>
        <w:numPr>
          <w:ilvl w:val="0"/>
          <w:numId w:val="66"/>
        </w:numPr>
        <w:rPr>
          <w:rFonts w:ascii="Arial" w:cs="Arial" w:eastAsia="Arial" w:hAnsi="Arial"/>
          <w:sz w:val="17"/>
          <w:szCs w:val="17"/>
          <w:b w:val="1"/>
          <w:bCs w:val="1"/>
          <w:color w:val="auto"/>
        </w:rPr>
      </w:pPr>
      <w:r>
        <w:rPr>
          <w:rFonts w:ascii="Arial" w:cs="Arial" w:eastAsia="Arial" w:hAnsi="Arial"/>
          <w:sz w:val="17"/>
          <w:szCs w:val="17"/>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67" w:lineRule="exact"/>
        <w:rPr>
          <w:sz w:val="20"/>
          <w:szCs w:val="20"/>
          <w:color w:val="auto"/>
        </w:rPr>
      </w:pPr>
    </w:p>
    <w:p>
      <w:pPr>
        <w:ind w:left="4" w:right="40" w:firstLine="440"/>
        <w:spacing w:after="0" w:line="287" w:lineRule="auto"/>
        <w:rPr>
          <w:sz w:val="20"/>
          <w:szCs w:val="20"/>
          <w:color w:val="auto"/>
        </w:rPr>
      </w:pPr>
      <w:r>
        <w:rPr>
          <w:rFonts w:ascii="Arial" w:cs="Arial" w:eastAsia="Arial" w:hAnsi="Arial"/>
          <w:sz w:val="16"/>
          <w:szCs w:val="16"/>
          <w:b w:val="1"/>
          <w:bCs w:val="1"/>
          <w:color w:val="auto"/>
        </w:rPr>
        <w:t>2.20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spacing w:after="0" w:line="2" w:lineRule="exact"/>
        <w:rPr>
          <w:sz w:val="20"/>
          <w:szCs w:val="20"/>
          <w:color w:val="auto"/>
        </w:rPr>
      </w:pPr>
    </w:p>
    <w:p>
      <w:pPr>
        <w:ind w:left="4" w:hanging="4"/>
        <w:spacing w:after="0" w:line="288" w:lineRule="auto"/>
        <w:tabs>
          <w:tab w:leader="none" w:pos="259" w:val="left"/>
        </w:tabs>
        <w:numPr>
          <w:ilvl w:val="0"/>
          <w:numId w:val="67"/>
        </w:numPr>
        <w:rPr>
          <w:rFonts w:ascii="Arial" w:cs="Arial" w:eastAsia="Arial" w:hAnsi="Arial"/>
          <w:sz w:val="16"/>
          <w:szCs w:val="16"/>
          <w:color w:val="auto"/>
        </w:rPr>
      </w:pPr>
      <w:r>
        <w:rPr>
          <w:rFonts w:ascii="Arial" w:cs="Arial" w:eastAsia="Arial" w:hAnsi="Arial"/>
          <w:sz w:val="16"/>
          <w:szCs w:val="16"/>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64" w:lineRule="exact"/>
        <w:rPr>
          <w:sz w:val="20"/>
          <w:szCs w:val="20"/>
          <w:color w:val="auto"/>
        </w:rPr>
      </w:pPr>
    </w:p>
    <w:p>
      <w:pPr>
        <w:ind w:left="4" w:firstLine="440"/>
        <w:spacing w:after="0" w:line="292" w:lineRule="auto"/>
        <w:rPr>
          <w:sz w:val="20"/>
          <w:szCs w:val="20"/>
          <w:color w:val="auto"/>
        </w:rPr>
      </w:pPr>
      <w:r>
        <w:rPr>
          <w:rFonts w:ascii="Arial" w:cs="Arial" w:eastAsia="Arial" w:hAnsi="Arial"/>
          <w:sz w:val="16"/>
          <w:szCs w:val="16"/>
          <w:b w:val="1"/>
          <w:bCs w:val="1"/>
          <w:color w:val="auto"/>
        </w:rPr>
        <w:t xml:space="preserve">2.21 Takeover Statutes; No Rights Plan. </w:t>
      </w:r>
      <w:r>
        <w:rPr>
          <w:rFonts w:ascii="Arial" w:cs="Arial" w:eastAsia="Arial" w:hAnsi="Arial"/>
          <w:sz w:val="16"/>
          <w:szCs w:val="16"/>
          <w:color w:val="auto"/>
        </w:rPr>
        <w:t>Assuming the accuracy of Marvell’s representations and warranties set forth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3.16</w:t>
      </w:r>
      <w:r>
        <w:rPr>
          <w:rFonts w:ascii="Arial" w:cs="Arial" w:eastAsia="Arial" w:hAnsi="Arial"/>
          <w:sz w:val="16"/>
          <w:szCs w:val="16"/>
          <w:color w:val="auto"/>
        </w:rPr>
        <w:t>,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6"/>
          <w:szCs w:val="16"/>
          <w:u w:val="single" w:color="auto"/>
          <w:color w:val="auto"/>
        </w:rPr>
        <w:t>Takeover Statute</w:t>
      </w:r>
      <w:r>
        <w:rPr>
          <w:rFonts w:ascii="Arial" w:cs="Arial" w:eastAsia="Arial" w:hAnsi="Arial"/>
          <w:sz w:val="16"/>
          <w:szCs w:val="16"/>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61" w:lineRule="exact"/>
        <w:rPr>
          <w:sz w:val="20"/>
          <w:szCs w:val="20"/>
          <w:color w:val="auto"/>
        </w:rPr>
      </w:pPr>
    </w:p>
    <w:p>
      <w:pPr>
        <w:ind w:left="4" w:right="120" w:firstLine="440"/>
        <w:spacing w:after="0" w:line="347" w:lineRule="auto"/>
        <w:rPr>
          <w:sz w:val="20"/>
          <w:szCs w:val="20"/>
          <w:color w:val="auto"/>
        </w:rPr>
      </w:pPr>
      <w:r>
        <w:rPr>
          <w:rFonts w:ascii="Arial" w:cs="Arial" w:eastAsia="Arial" w:hAnsi="Arial"/>
          <w:sz w:val="16"/>
          <w:szCs w:val="16"/>
          <w:b w:val="1"/>
          <w:bCs w:val="1"/>
          <w:color w:val="auto"/>
        </w:rPr>
        <w:t>2.22 No Existing Discussions</w:t>
      </w:r>
      <w:r>
        <w:rPr>
          <w:rFonts w:ascii="Arial" w:cs="Arial" w:eastAsia="Arial" w:hAnsi="Arial"/>
          <w:sz w:val="16"/>
          <w:szCs w:val="16"/>
          <w:color w:val="auto"/>
        </w:rPr>
        <w:t>. As of the date of this Agreement, none of the Inphi Entities, and no Representative of any of the Inphi Entities, is</w:t>
      </w:r>
      <w:r>
        <w:rPr>
          <w:rFonts w:ascii="Arial" w:cs="Arial" w:eastAsia="Arial" w:hAnsi="Arial"/>
          <w:sz w:val="16"/>
          <w:szCs w:val="16"/>
          <w:b w:val="1"/>
          <w:bCs w:val="1"/>
          <w:color w:val="auto"/>
        </w:rPr>
        <w:t xml:space="preserve"> </w:t>
      </w:r>
      <w:r>
        <w:rPr>
          <w:rFonts w:ascii="Arial" w:cs="Arial" w:eastAsia="Arial" w:hAnsi="Arial"/>
          <w:sz w:val="16"/>
          <w:szCs w:val="16"/>
          <w:color w:val="auto"/>
        </w:rPr>
        <w:t>engaged, directly or indirectly, in any discussions or negotiations with any other Person relating to any Company Acquisition Proposal.</w:t>
      </w:r>
    </w:p>
    <w:p>
      <w:pPr>
        <w:spacing w:after="0" w:line="116" w:lineRule="exact"/>
        <w:rPr>
          <w:sz w:val="20"/>
          <w:szCs w:val="20"/>
          <w:color w:val="auto"/>
        </w:rPr>
      </w:pPr>
    </w:p>
    <w:p>
      <w:pPr>
        <w:ind w:left="4" w:right="220" w:firstLine="440"/>
        <w:spacing w:after="0" w:line="266" w:lineRule="auto"/>
        <w:rPr>
          <w:sz w:val="20"/>
          <w:szCs w:val="20"/>
          <w:color w:val="auto"/>
        </w:rPr>
      </w:pPr>
      <w:r>
        <w:rPr>
          <w:rFonts w:ascii="Arial" w:cs="Arial" w:eastAsia="Arial" w:hAnsi="Arial"/>
          <w:sz w:val="18"/>
          <w:szCs w:val="18"/>
          <w:b w:val="1"/>
          <w:bCs w:val="1"/>
          <w:color w:val="auto"/>
        </w:rPr>
        <w:t xml:space="preserve">2.23 Vote Required. </w:t>
      </w:r>
      <w:r>
        <w:rPr>
          <w:rFonts w:ascii="Arial" w:cs="Arial" w:eastAsia="Arial" w:hAnsi="Arial"/>
          <w:sz w:val="18"/>
          <w:szCs w:val="18"/>
          <w:color w:val="auto"/>
        </w:rPr>
        <w:t>The affirmative vote of the holders of a majority of the shares of Company Common Stock outstanding on the record date</w:t>
      </w:r>
      <w:r>
        <w:rPr>
          <w:rFonts w:ascii="Arial" w:cs="Arial" w:eastAsia="Arial" w:hAnsi="Arial"/>
          <w:sz w:val="18"/>
          <w:szCs w:val="18"/>
          <w:b w:val="1"/>
          <w:bCs w:val="1"/>
          <w:color w:val="auto"/>
        </w:rPr>
        <w:t xml:space="preserve"> </w:t>
      </w:r>
      <w:r>
        <w:rPr>
          <w:rFonts w:ascii="Arial" w:cs="Arial" w:eastAsia="Arial" w:hAnsi="Arial"/>
          <w:sz w:val="18"/>
          <w:szCs w:val="18"/>
          <w:color w:val="auto"/>
        </w:rPr>
        <w:t>for the Company Stockholders’ Meeting (the “</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is the only vote of the holders of any class or series of the Company’s capital stock necessary to adopt this Agreement and approve the Merger.</w:t>
      </w:r>
    </w:p>
    <w:p>
      <w:pPr>
        <w:spacing w:after="0" w:line="11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984"/>
          </w:cols>
          <w:pgMar w:left="436" w:top="270" w:right="479" w:bottom="1440" w:gutter="0" w:footer="0" w:header="0"/>
        </w:sectPr>
      </w:pPr>
    </w:p>
    <w:bookmarkStart w:id="40" w:name="page41"/>
    <w:bookmarkEnd w:id="40"/>
    <w:p>
      <w:pPr>
        <w:ind w:firstLine="440"/>
        <w:spacing w:after="0" w:line="284"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2.24 Non-Contravention; Consents</w:t>
      </w:r>
      <w:r>
        <w:rPr>
          <w:rFonts w:ascii="Arial" w:cs="Arial" w:eastAsia="Arial" w:hAnsi="Arial"/>
          <w:sz w:val="16"/>
          <w:szCs w:val="16"/>
          <w:color w:val="auto"/>
        </w:rPr>
        <w:t>. Neither the execution, delivery or performance of this Agreement by the Company nor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2747645</wp:posOffset>
            </wp:positionH>
            <wp:positionV relativeFrom="paragraph">
              <wp:posOffset>-1000760</wp:posOffset>
            </wp:positionV>
            <wp:extent cx="28575"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369" w:lineRule="exact"/>
        <w:rPr>
          <w:sz w:val="20"/>
          <w:szCs w:val="20"/>
          <w:color w:val="auto"/>
        </w:rPr>
      </w:pPr>
    </w:p>
    <w:p>
      <w:pPr>
        <w:ind w:firstLine="440"/>
        <w:spacing w:after="0" w:line="294" w:lineRule="auto"/>
        <w:rPr>
          <w:sz w:val="20"/>
          <w:szCs w:val="20"/>
          <w:color w:val="auto"/>
        </w:rPr>
      </w:pPr>
      <w:r>
        <w:rPr>
          <w:rFonts w:ascii="Arial" w:cs="Arial" w:eastAsia="Arial" w:hAnsi="Arial"/>
          <w:sz w:val="16"/>
          <w:szCs w:val="16"/>
          <w:b w:val="1"/>
          <w:bCs w:val="1"/>
          <w:color w:val="auto"/>
        </w:rPr>
        <w:t>2.25 Fairness Opinion</w:t>
      </w:r>
      <w:r>
        <w:rPr>
          <w:rFonts w:ascii="Arial" w:cs="Arial" w:eastAsia="Arial" w:hAnsi="Arial"/>
          <w:sz w:val="16"/>
          <w:szCs w:val="16"/>
          <w:color w:val="auto"/>
        </w:rPr>
        <w:t>. The Company’s board of directors has received from Qatalyst Partners LP (“</w:t>
      </w:r>
      <w:r>
        <w:rPr>
          <w:rFonts w:ascii="Arial" w:cs="Arial" w:eastAsia="Arial" w:hAnsi="Arial"/>
          <w:sz w:val="16"/>
          <w:szCs w:val="16"/>
          <w:u w:val="single" w:color="auto"/>
          <w:color w:val="auto"/>
        </w:rPr>
        <w:t>Qatalyst</w:t>
      </w:r>
      <w:r>
        <w:rPr>
          <w:rFonts w:ascii="Arial" w:cs="Arial" w:eastAsia="Arial" w:hAnsi="Arial"/>
          <w:sz w:val="16"/>
          <w:szCs w:val="16"/>
          <w:color w:val="auto"/>
        </w:rPr>
        <w:t>”), financial advisor to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0" w:lineRule="exact"/>
        <w:rPr>
          <w:sz w:val="20"/>
          <w:szCs w:val="20"/>
          <w:color w:val="auto"/>
        </w:rPr>
      </w:pPr>
    </w:p>
    <w:p>
      <w:pPr>
        <w:ind w:right="60" w:firstLine="440"/>
        <w:spacing w:after="0" w:line="258" w:lineRule="auto"/>
        <w:rPr>
          <w:sz w:val="20"/>
          <w:szCs w:val="20"/>
          <w:color w:val="auto"/>
        </w:rPr>
      </w:pPr>
      <w:r>
        <w:rPr>
          <w:rFonts w:ascii="Arial" w:cs="Arial" w:eastAsia="Arial" w:hAnsi="Arial"/>
          <w:sz w:val="18"/>
          <w:szCs w:val="18"/>
          <w:b w:val="1"/>
          <w:bCs w:val="1"/>
          <w:color w:val="auto"/>
        </w:rPr>
        <w:t>2.26 Advisors’ Fees</w:t>
      </w:r>
      <w:r>
        <w:rPr>
          <w:rFonts w:ascii="Arial" w:cs="Arial" w:eastAsia="Arial" w:hAnsi="Arial"/>
          <w:sz w:val="18"/>
          <w:szCs w:val="18"/>
          <w:color w:val="auto"/>
        </w:rPr>
        <w:t>. Except for Qatalyst, no broker, finder or investment banker is entitled to any brokerage, finder’s success, completion or</w:t>
      </w:r>
      <w:r>
        <w:rPr>
          <w:rFonts w:ascii="Arial" w:cs="Arial" w:eastAsia="Arial" w:hAnsi="Arial"/>
          <w:sz w:val="18"/>
          <w:szCs w:val="18"/>
          <w:b w:val="1"/>
          <w:bCs w:val="1"/>
          <w:color w:val="auto"/>
        </w:rPr>
        <w:t xml:space="preserve"> </w:t>
      </w:r>
      <w:r>
        <w:rPr>
          <w:rFonts w:ascii="Arial" w:cs="Arial" w:eastAsia="Arial" w:hAnsi="Arial"/>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440" w:top="270" w:right="459" w:bottom="1440" w:gutter="0" w:footer="0" w:header="0"/>
        </w:sectPr>
      </w:pPr>
    </w:p>
    <w:bookmarkStart w:id="41" w:name="page42"/>
    <w:bookmarkEnd w:id="41"/>
    <w:p>
      <w:pPr>
        <w:ind w:right="20" w:firstLine="440"/>
        <w:spacing w:after="0" w:line="269"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2.27 Disclosure. </w:t>
      </w:r>
      <w:r>
        <w:rPr>
          <w:rFonts w:ascii="Arial" w:cs="Arial" w:eastAsia="Arial" w:hAnsi="Arial"/>
          <w:sz w:val="17"/>
          <w:szCs w:val="17"/>
          <w:color w:val="auto"/>
        </w:rPr>
        <w:t>None of the information supplied or to be supplied by or on behalf of the Company specifically for inclusion or incorporation by</w:t>
      </w:r>
      <w:r>
        <w:rPr>
          <w:rFonts w:ascii="Arial" w:cs="Arial" w:eastAsia="Arial" w:hAnsi="Arial"/>
          <w:sz w:val="17"/>
          <w:szCs w:val="17"/>
          <w:b w:val="1"/>
          <w:bCs w:val="1"/>
          <w:color w:val="auto"/>
        </w:rPr>
        <w:t xml:space="preserve"> </w:t>
      </w:r>
      <w:r>
        <w:rPr>
          <w:rFonts w:ascii="Arial" w:cs="Arial" w:eastAsia="Arial" w:hAnsi="Arial"/>
          <w:sz w:val="17"/>
          <w:szCs w:val="17"/>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21" w:lineRule="exact"/>
        <w:rPr>
          <w:sz w:val="20"/>
          <w:szCs w:val="20"/>
          <w:color w:val="auto"/>
        </w:rPr>
      </w:pPr>
    </w:p>
    <w:p>
      <w:pPr>
        <w:ind w:right="20" w:firstLine="440"/>
        <w:spacing w:after="0" w:line="293" w:lineRule="auto"/>
        <w:rPr>
          <w:sz w:val="20"/>
          <w:szCs w:val="20"/>
          <w:color w:val="auto"/>
        </w:rPr>
      </w:pPr>
      <w:r>
        <w:rPr>
          <w:rFonts w:ascii="Arial" w:cs="Arial" w:eastAsia="Arial" w:hAnsi="Arial"/>
          <w:sz w:val="16"/>
          <w:szCs w:val="16"/>
          <w:color w:val="auto"/>
        </w:rPr>
        <w:t xml:space="preserve">Marvell represents and warrants to the Company as follows (it being understood that the representations and warranties contained in this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are subject to: (a) the exceptions and disclosures set forth in the Marvell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52" w:lineRule="exact"/>
        <w:rPr>
          <w:sz w:val="20"/>
          <w:szCs w:val="20"/>
          <w:color w:val="auto"/>
        </w:rPr>
      </w:pPr>
    </w:p>
    <w:p>
      <w:pPr>
        <w:ind w:firstLine="440"/>
        <w:spacing w:after="0" w:line="253" w:lineRule="auto"/>
        <w:rPr>
          <w:sz w:val="20"/>
          <w:szCs w:val="20"/>
          <w:color w:val="auto"/>
        </w:rPr>
      </w:pPr>
      <w:r>
        <w:rPr>
          <w:rFonts w:ascii="Arial" w:cs="Arial" w:eastAsia="Arial" w:hAnsi="Arial"/>
          <w:sz w:val="18"/>
          <w:szCs w:val="18"/>
          <w:b w:val="1"/>
          <w:bCs w:val="1"/>
          <w:color w:val="auto"/>
        </w:rPr>
        <w:t>3.1 Due Organization</w:t>
      </w:r>
      <w:r>
        <w:rPr>
          <w:rFonts w:ascii="Arial" w:cs="Arial" w:eastAsia="Arial" w:hAnsi="Arial"/>
          <w:sz w:val="18"/>
          <w:szCs w:val="18"/>
          <w:color w:val="auto"/>
        </w:rPr>
        <w:t>. Marvell is an exempted company validly existing and in good standing under the laws of Bermuda. HoldCo is a</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9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b w:val="1"/>
          <w:bCs w:val="1"/>
          <w:color w:val="auto"/>
        </w:rPr>
        <w:t>3.2 Organizational Documents</w:t>
      </w:r>
      <w:r>
        <w:rPr>
          <w:rFonts w:ascii="Arial" w:cs="Arial" w:eastAsia="Arial" w:hAnsi="Arial"/>
          <w:sz w:val="17"/>
          <w:szCs w:val="17"/>
          <w:color w:val="auto"/>
        </w:rPr>
        <w:t>. Marvell has Made Available to the Company accurate and complete copies of the certificate of incorporation,</w:t>
      </w:r>
      <w:r>
        <w:rPr>
          <w:rFonts w:ascii="Arial" w:cs="Arial" w:eastAsia="Arial" w:hAnsi="Arial"/>
          <w:sz w:val="17"/>
          <w:szCs w:val="17"/>
          <w:b w:val="1"/>
          <w:bCs w:val="1"/>
          <w:color w:val="auto"/>
        </w:rPr>
        <w:t xml:space="preserve"> </w:t>
      </w:r>
      <w:r>
        <w:rPr>
          <w:rFonts w:ascii="Arial" w:cs="Arial" w:eastAsia="Arial" w:hAnsi="Arial"/>
          <w:sz w:val="17"/>
          <w:szCs w:val="17"/>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0" w:right="459" w:bottom="1440" w:gutter="0" w:footer="0" w:header="0"/>
        </w:sectPr>
      </w:pPr>
    </w:p>
    <w:bookmarkStart w:id="42" w:name="page43"/>
    <w:bookmarkEnd w:id="42"/>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thereto, of such Entity, except for such violations as would not, individually or in the aggregate, have a Material Adverse Effect on Marvell.</w:t>
      </w:r>
    </w:p>
    <w:p>
      <w:pPr>
        <w:spacing w:after="0" w:line="221"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3.3 Capitalization, Etc</w:t>
      </w:r>
      <w:r>
        <w:rPr>
          <w:rFonts w:ascii="Arial" w:cs="Arial" w:eastAsia="Arial" w:hAnsi="Arial"/>
          <w:sz w:val="18"/>
          <w:szCs w:val="18"/>
          <w:color w:val="auto"/>
        </w:rPr>
        <w:t>.</w:t>
      </w:r>
    </w:p>
    <w:p>
      <w:pPr>
        <w:spacing w:after="0" w:line="229" w:lineRule="exact"/>
        <w:rPr>
          <w:sz w:val="20"/>
          <w:szCs w:val="20"/>
          <w:color w:val="auto"/>
        </w:rPr>
      </w:pPr>
    </w:p>
    <w:p>
      <w:pPr>
        <w:ind w:left="4" w:right="60" w:firstLine="987"/>
        <w:spacing w:after="0" w:line="287" w:lineRule="auto"/>
        <w:tabs>
          <w:tab w:leader="none" w:pos="1250" w:val="left"/>
        </w:tabs>
        <w:numPr>
          <w:ilvl w:val="1"/>
          <w:numId w:val="68"/>
        </w:numPr>
        <w:rPr>
          <w:rFonts w:ascii="Arial" w:cs="Arial" w:eastAsia="Arial" w:hAnsi="Arial"/>
          <w:sz w:val="16"/>
          <w:szCs w:val="16"/>
          <w:b w:val="1"/>
          <w:bCs w:val="1"/>
          <w:color w:val="auto"/>
        </w:rPr>
      </w:pPr>
      <w:r>
        <w:rPr>
          <w:rFonts w:ascii="Arial" w:cs="Arial" w:eastAsia="Arial" w:hAnsi="Arial"/>
          <w:sz w:val="16"/>
          <w:szCs w:val="16"/>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Arial" w:cs="Arial" w:eastAsia="Arial" w:hAnsi="Arial"/>
          <w:sz w:val="16"/>
          <w:szCs w:val="16"/>
          <w:u w:val="single" w:color="auto"/>
          <w:color w:val="auto"/>
        </w:rPr>
        <w:t>Marvell Listing Date</w:t>
      </w:r>
      <w:r>
        <w:rPr>
          <w:rFonts w:ascii="Arial" w:cs="Arial" w:eastAsia="Arial" w:hAnsi="Arial"/>
          <w:sz w:val="16"/>
          <w:szCs w:val="16"/>
          <w:color w:val="auto"/>
        </w:rPr>
        <w:t>”): (i) 671,475,214 Marvell Common Shares were issued;</w:t>
      </w:r>
    </w:p>
    <w:p>
      <w:pPr>
        <w:spacing w:after="0" w:line="2" w:lineRule="exact"/>
        <w:rPr>
          <w:rFonts w:ascii="Arial" w:cs="Arial" w:eastAsia="Arial" w:hAnsi="Arial"/>
          <w:sz w:val="16"/>
          <w:szCs w:val="16"/>
          <w:b w:val="1"/>
          <w:bCs w:val="1"/>
          <w:color w:val="auto"/>
        </w:rPr>
      </w:pPr>
    </w:p>
    <w:p>
      <w:pPr>
        <w:jc w:val="both"/>
        <w:ind w:left="4" w:right="380" w:hanging="4"/>
        <w:spacing w:after="0" w:line="302" w:lineRule="auto"/>
        <w:tabs>
          <w:tab w:leader="none" w:pos="269" w:val="left"/>
        </w:tabs>
        <w:numPr>
          <w:ilvl w:val="0"/>
          <w:numId w:val="69"/>
        </w:numPr>
        <w:rPr>
          <w:rFonts w:ascii="Arial" w:cs="Arial" w:eastAsia="Arial" w:hAnsi="Arial"/>
          <w:sz w:val="16"/>
          <w:szCs w:val="16"/>
          <w:color w:val="auto"/>
        </w:rPr>
      </w:pPr>
      <w:r>
        <w:rPr>
          <w:rFonts w:ascii="Arial" w:cs="Arial" w:eastAsia="Arial" w:hAnsi="Arial"/>
          <w:sz w:val="16"/>
          <w:szCs w:val="16"/>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55" w:lineRule="exact"/>
        <w:rPr>
          <w:rFonts w:ascii="Arial" w:cs="Arial" w:eastAsia="Arial" w:hAnsi="Arial"/>
          <w:sz w:val="16"/>
          <w:szCs w:val="16"/>
          <w:color w:val="auto"/>
        </w:rPr>
      </w:pPr>
    </w:p>
    <w:p>
      <w:pPr>
        <w:ind w:left="4" w:firstLine="987"/>
        <w:spacing w:after="0" w:line="273" w:lineRule="auto"/>
        <w:tabs>
          <w:tab w:leader="none" w:pos="1260" w:val="left"/>
        </w:tabs>
        <w:numPr>
          <w:ilvl w:val="1"/>
          <w:numId w:val="69"/>
        </w:numPr>
        <w:rPr>
          <w:rFonts w:ascii="Arial" w:cs="Arial" w:eastAsia="Arial" w:hAnsi="Arial"/>
          <w:sz w:val="17"/>
          <w:szCs w:val="17"/>
          <w:b w:val="1"/>
          <w:bCs w:val="1"/>
          <w:color w:val="auto"/>
        </w:rPr>
      </w:pPr>
      <w:r>
        <w:rPr>
          <w:rFonts w:ascii="Arial" w:cs="Arial" w:eastAsia="Arial" w:hAnsi="Arial"/>
          <w:sz w:val="17"/>
          <w:szCs w:val="17"/>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77" w:lineRule="exact"/>
        <w:rPr>
          <w:rFonts w:ascii="Arial" w:cs="Arial" w:eastAsia="Arial" w:hAnsi="Arial"/>
          <w:sz w:val="17"/>
          <w:szCs w:val="17"/>
          <w:b w:val="1"/>
          <w:bCs w:val="1"/>
          <w:color w:val="auto"/>
        </w:rPr>
      </w:pPr>
    </w:p>
    <w:p>
      <w:pPr>
        <w:ind w:left="4" w:right="300" w:firstLine="987"/>
        <w:spacing w:after="0" w:line="277" w:lineRule="auto"/>
        <w:tabs>
          <w:tab w:leader="none" w:pos="1240" w:val="left"/>
        </w:tabs>
        <w:numPr>
          <w:ilvl w:val="1"/>
          <w:numId w:val="69"/>
        </w:numPr>
        <w:rPr>
          <w:rFonts w:ascii="Arial" w:cs="Arial" w:eastAsia="Arial" w:hAnsi="Arial"/>
          <w:sz w:val="18"/>
          <w:szCs w:val="18"/>
          <w:b w:val="1"/>
          <w:bCs w:val="1"/>
          <w:color w:val="auto"/>
        </w:rPr>
      </w:pPr>
      <w:r>
        <w:rPr>
          <w:rFonts w:ascii="Arial" w:cs="Arial" w:eastAsia="Arial" w:hAnsi="Arial"/>
          <w:sz w:val="18"/>
          <w:szCs w:val="18"/>
          <w:color w:val="auto"/>
        </w:rPr>
        <w:t>All of the issued and outstanding Marvell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b w:val="1"/>
          <w:bCs w:val="1"/>
          <w:color w:val="auto"/>
        </w:rPr>
      </w:pPr>
    </w:p>
    <w:p>
      <w:pPr>
        <w:ind w:left="4" w:right="120" w:firstLine="987"/>
        <w:spacing w:after="0" w:line="286" w:lineRule="auto"/>
        <w:tabs>
          <w:tab w:leader="none" w:pos="1260" w:val="left"/>
        </w:tabs>
        <w:numPr>
          <w:ilvl w:val="1"/>
          <w:numId w:val="69"/>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except (x) as set forth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3.3(b)</w:t>
      </w:r>
      <w:r>
        <w:rPr>
          <w:rFonts w:ascii="Arial" w:cs="Arial" w:eastAsia="Arial" w:hAnsi="Arial"/>
          <w:sz w:val="16"/>
          <w:szCs w:val="16"/>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1" w:lineRule="exact"/>
        <w:rPr>
          <w:rFonts w:ascii="Arial" w:cs="Arial" w:eastAsia="Arial" w:hAnsi="Arial"/>
          <w:sz w:val="16"/>
          <w:szCs w:val="16"/>
          <w:b w:val="1"/>
          <w:bCs w:val="1"/>
          <w:color w:val="auto"/>
        </w:rPr>
      </w:pPr>
    </w:p>
    <w:p>
      <w:pPr>
        <w:ind w:left="4" w:right="20" w:hanging="4"/>
        <w:spacing w:after="0" w:line="255" w:lineRule="auto"/>
        <w:tabs>
          <w:tab w:leader="none" w:pos="269" w:val="left"/>
        </w:tabs>
        <w:numPr>
          <w:ilvl w:val="0"/>
          <w:numId w:val="70"/>
        </w:numPr>
        <w:rPr>
          <w:rFonts w:ascii="Arial" w:cs="Arial" w:eastAsia="Arial" w:hAnsi="Arial"/>
          <w:sz w:val="18"/>
          <w:szCs w:val="18"/>
          <w:color w:val="auto"/>
        </w:rPr>
      </w:pPr>
      <w:r>
        <w:rPr>
          <w:rFonts w:ascii="Arial" w:cs="Arial" w:eastAsia="Arial" w:hAnsi="Arial"/>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6"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3.4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4" w:right="120" w:firstLine="987"/>
        <w:spacing w:after="0" w:line="289" w:lineRule="auto"/>
        <w:tabs>
          <w:tab w:leader="none" w:pos="1250" w:val="left"/>
        </w:tabs>
        <w:numPr>
          <w:ilvl w:val="0"/>
          <w:numId w:val="71"/>
        </w:numPr>
        <w:rPr>
          <w:rFonts w:ascii="Arial" w:cs="Arial" w:eastAsia="Arial" w:hAnsi="Arial"/>
          <w:sz w:val="16"/>
          <w:szCs w:val="16"/>
          <w:b w:val="1"/>
          <w:bCs w:val="1"/>
          <w:color w:val="auto"/>
        </w:rPr>
      </w:pPr>
      <w:r>
        <w:rPr>
          <w:rFonts w:ascii="Arial" w:cs="Arial" w:eastAsia="Arial" w:hAnsi="Arial"/>
          <w:sz w:val="16"/>
          <w:szCs w:val="16"/>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Arial" w:cs="Arial" w:eastAsia="Arial" w:hAnsi="Arial"/>
          <w:sz w:val="16"/>
          <w:szCs w:val="16"/>
          <w:u w:val="single" w:color="auto"/>
          <w:color w:val="auto"/>
        </w:rPr>
        <w:t>Marvell SEC Reports</w:t>
      </w:r>
      <w:r>
        <w:rPr>
          <w:rFonts w:ascii="Arial" w:cs="Arial" w:eastAsia="Arial" w:hAnsi="Arial"/>
          <w:sz w:val="16"/>
          <w:szCs w:val="16"/>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9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84"/>
          </w:cols>
          <w:pgMar w:left="436" w:top="274" w:right="479" w:bottom="1440" w:gutter="0" w:footer="0" w:header="0"/>
        </w:sectPr>
      </w:pPr>
    </w:p>
    <w:bookmarkStart w:id="43" w:name="page44"/>
    <w:bookmarkEnd w:id="43"/>
    <w:p>
      <w:pPr>
        <w:ind w:right="10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65" w:lineRule="exact"/>
        <w:rPr>
          <w:sz w:val="20"/>
          <w:szCs w:val="20"/>
          <w:color w:val="auto"/>
        </w:rPr>
      </w:pPr>
    </w:p>
    <w:p>
      <w:pPr>
        <w:ind w:right="140" w:firstLine="987"/>
        <w:spacing w:after="0" w:line="254" w:lineRule="auto"/>
        <w:tabs>
          <w:tab w:leader="none" w:pos="1256"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Arial" w:cs="Arial" w:eastAsia="Arial" w:hAnsi="Arial"/>
          <w:sz w:val="18"/>
          <w:szCs w:val="18"/>
          <w:b w:val="1"/>
          <w:bCs w:val="1"/>
          <w:color w:val="auto"/>
        </w:rPr>
      </w:pPr>
    </w:p>
    <w:p>
      <w:pPr>
        <w:ind w:firstLine="987"/>
        <w:spacing w:after="0" w:line="269" w:lineRule="auto"/>
        <w:tabs>
          <w:tab w:leader="none" w:pos="1236" w:val="left"/>
        </w:tabs>
        <w:numPr>
          <w:ilvl w:val="0"/>
          <w:numId w:val="72"/>
        </w:numPr>
        <w:rPr>
          <w:rFonts w:ascii="Arial" w:cs="Arial" w:eastAsia="Arial" w:hAnsi="Arial"/>
          <w:sz w:val="17"/>
          <w:szCs w:val="17"/>
          <w:b w:val="1"/>
          <w:bCs w:val="1"/>
          <w:color w:val="auto"/>
        </w:rPr>
      </w:pPr>
      <w:r>
        <w:rPr>
          <w:rFonts w:ascii="Arial" w:cs="Arial" w:eastAsia="Arial" w:hAnsi="Arial"/>
          <w:sz w:val="17"/>
          <w:szCs w:val="17"/>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81" w:lineRule="exact"/>
        <w:rPr>
          <w:rFonts w:ascii="Arial" w:cs="Arial" w:eastAsia="Arial" w:hAnsi="Arial"/>
          <w:sz w:val="17"/>
          <w:szCs w:val="17"/>
          <w:b w:val="1"/>
          <w:bCs w:val="1"/>
          <w:color w:val="auto"/>
        </w:rPr>
      </w:pPr>
    </w:p>
    <w:p>
      <w:pPr>
        <w:ind w:right="100" w:firstLine="987"/>
        <w:spacing w:after="0" w:line="263" w:lineRule="auto"/>
        <w:tabs>
          <w:tab w:leader="none" w:pos="1256"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firstLine="987"/>
        <w:spacing w:after="0" w:line="257" w:lineRule="auto"/>
        <w:tabs>
          <w:tab w:leader="none" w:pos="1236" w:val="left"/>
        </w:tabs>
        <w:numPr>
          <w:ilvl w:val="0"/>
          <w:numId w:val="72"/>
        </w:numPr>
        <w:rPr>
          <w:rFonts w:ascii="Arial" w:cs="Arial" w:eastAsia="Arial" w:hAnsi="Arial"/>
          <w:sz w:val="18"/>
          <w:szCs w:val="18"/>
          <w:b w:val="1"/>
          <w:bCs w:val="1"/>
          <w:color w:val="auto"/>
        </w:rPr>
      </w:pPr>
      <w:r>
        <w:rPr>
          <w:rFonts w:ascii="Arial" w:cs="Arial" w:eastAsia="Arial" w:hAnsi="Arial"/>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b w:val="1"/>
          <w:bCs w:val="1"/>
          <w:color w:val="auto"/>
        </w:rPr>
        <w:t>3.5 Absence of Changes</w:t>
      </w:r>
      <w:r>
        <w:rPr>
          <w:rFonts w:ascii="Arial" w:cs="Arial" w:eastAsia="Arial" w:hAnsi="Arial"/>
          <w:sz w:val="18"/>
          <w:szCs w:val="18"/>
          <w:color w:val="auto"/>
        </w:rPr>
        <w:t>. Between February 1, 2020 and the date of this Agreement: (a) there has not been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00"/>
          </w:cols>
          <w:pgMar w:left="440" w:top="274" w:right="459" w:bottom="1440" w:gutter="0" w:footer="0" w:header="0"/>
        </w:sectPr>
      </w:pPr>
    </w:p>
    <w:bookmarkStart w:id="44" w:name="page45"/>
    <w:bookmarkEnd w:id="44"/>
    <w:p>
      <w:pPr>
        <w:ind w:left="44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3.6 Intellectual Property</w:t>
      </w:r>
      <w:r>
        <w:rPr>
          <w:rFonts w:ascii="Arial" w:cs="Arial" w:eastAsia="Arial" w:hAnsi="Arial"/>
          <w:sz w:val="18"/>
          <w:szCs w:val="18"/>
          <w:color w:val="auto"/>
        </w:rPr>
        <w:t>.</w:t>
      </w:r>
    </w:p>
    <w:p>
      <w:pPr>
        <w:spacing w:after="0" w:line="229" w:lineRule="exact"/>
        <w:rPr>
          <w:sz w:val="20"/>
          <w:szCs w:val="20"/>
          <w:color w:val="auto"/>
        </w:rPr>
      </w:pPr>
    </w:p>
    <w:p>
      <w:pPr>
        <w:jc w:val="both"/>
        <w:ind w:left="4" w:right="120" w:firstLine="987"/>
        <w:spacing w:after="0" w:line="257" w:lineRule="auto"/>
        <w:tabs>
          <w:tab w:leader="none" w:pos="1250" w:val="left"/>
        </w:tabs>
        <w:numPr>
          <w:ilvl w:val="0"/>
          <w:numId w:val="73"/>
        </w:numPr>
        <w:rPr>
          <w:rFonts w:ascii="Arial" w:cs="Arial" w:eastAsia="Arial" w:hAnsi="Arial"/>
          <w:sz w:val="18"/>
          <w:szCs w:val="18"/>
          <w:b w:val="1"/>
          <w:bCs w:val="1"/>
          <w:color w:val="auto"/>
        </w:rPr>
      </w:pPr>
      <w:r>
        <w:rPr>
          <w:rFonts w:ascii="Arial" w:cs="Arial" w:eastAsia="Arial" w:hAnsi="Arial"/>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7" w:lineRule="exact"/>
        <w:rPr>
          <w:rFonts w:ascii="Arial" w:cs="Arial" w:eastAsia="Arial" w:hAnsi="Arial"/>
          <w:sz w:val="18"/>
          <w:szCs w:val="18"/>
          <w:b w:val="1"/>
          <w:bCs w:val="1"/>
          <w:color w:val="auto"/>
        </w:rPr>
      </w:pPr>
    </w:p>
    <w:p>
      <w:pPr>
        <w:ind w:left="4" w:firstLine="987"/>
        <w:spacing w:after="0" w:line="311" w:lineRule="auto"/>
        <w:tabs>
          <w:tab w:leader="none" w:pos="1260" w:val="left"/>
        </w:tabs>
        <w:numPr>
          <w:ilvl w:val="0"/>
          <w:numId w:val="73"/>
        </w:numPr>
        <w:rPr>
          <w:rFonts w:ascii="Arial" w:cs="Arial" w:eastAsia="Arial" w:hAnsi="Arial"/>
          <w:sz w:val="16"/>
          <w:szCs w:val="16"/>
          <w:b w:val="1"/>
          <w:bCs w:val="1"/>
          <w:color w:val="auto"/>
        </w:rPr>
      </w:pPr>
      <w:r>
        <w:rPr>
          <w:rFonts w:ascii="Arial" w:cs="Arial" w:eastAsia="Arial" w:hAnsi="Arial"/>
          <w:sz w:val="16"/>
          <w:szCs w:val="16"/>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48" w:lineRule="exact"/>
        <w:rPr>
          <w:rFonts w:ascii="Arial" w:cs="Arial" w:eastAsia="Arial" w:hAnsi="Arial"/>
          <w:sz w:val="16"/>
          <w:szCs w:val="16"/>
          <w:b w:val="1"/>
          <w:bCs w:val="1"/>
          <w:color w:val="auto"/>
        </w:rPr>
      </w:pPr>
    </w:p>
    <w:p>
      <w:pPr>
        <w:ind w:left="4" w:right="220" w:firstLine="987"/>
        <w:spacing w:after="0" w:line="254" w:lineRule="auto"/>
        <w:tabs>
          <w:tab w:leader="none" w:pos="1240" w:val="left"/>
        </w:tabs>
        <w:numPr>
          <w:ilvl w:val="0"/>
          <w:numId w:val="73"/>
        </w:numPr>
        <w:rPr>
          <w:rFonts w:ascii="Arial" w:cs="Arial" w:eastAsia="Arial" w:hAnsi="Arial"/>
          <w:sz w:val="18"/>
          <w:szCs w:val="18"/>
          <w:b w:val="1"/>
          <w:bCs w:val="1"/>
          <w:color w:val="auto"/>
        </w:rPr>
      </w:pPr>
      <w:r>
        <w:rPr>
          <w:rFonts w:ascii="Arial" w:cs="Arial" w:eastAsia="Arial" w:hAnsi="Arial"/>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94" w:lineRule="exact"/>
        <w:rPr>
          <w:rFonts w:ascii="Arial" w:cs="Arial" w:eastAsia="Arial" w:hAnsi="Arial"/>
          <w:sz w:val="18"/>
          <w:szCs w:val="18"/>
          <w:b w:val="1"/>
          <w:bCs w:val="1"/>
          <w:color w:val="auto"/>
        </w:rPr>
      </w:pPr>
    </w:p>
    <w:p>
      <w:pPr>
        <w:ind w:left="4" w:right="40" w:firstLine="987"/>
        <w:spacing w:after="0" w:line="263" w:lineRule="auto"/>
        <w:tabs>
          <w:tab w:leader="none" w:pos="1260" w:val="left"/>
        </w:tabs>
        <w:numPr>
          <w:ilvl w:val="0"/>
          <w:numId w:val="73"/>
        </w:numPr>
        <w:rPr>
          <w:rFonts w:ascii="Arial" w:cs="Arial" w:eastAsia="Arial" w:hAnsi="Arial"/>
          <w:sz w:val="18"/>
          <w:szCs w:val="18"/>
          <w:b w:val="1"/>
          <w:bCs w:val="1"/>
          <w:color w:val="auto"/>
        </w:rPr>
      </w:pPr>
      <w:r>
        <w:rPr>
          <w:rFonts w:ascii="Arial" w:cs="Arial" w:eastAsia="Arial" w:hAnsi="Arial"/>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80" w:lineRule="exact"/>
        <w:rPr>
          <w:sz w:val="20"/>
          <w:szCs w:val="20"/>
          <w:color w:val="auto"/>
        </w:rPr>
      </w:pPr>
    </w:p>
    <w:p>
      <w:pPr>
        <w:ind w:left="4" w:right="200" w:firstLine="440"/>
        <w:spacing w:after="0" w:line="281" w:lineRule="auto"/>
        <w:rPr>
          <w:sz w:val="20"/>
          <w:szCs w:val="20"/>
          <w:color w:val="auto"/>
        </w:rPr>
      </w:pPr>
      <w:r>
        <w:rPr>
          <w:rFonts w:ascii="Arial" w:cs="Arial" w:eastAsia="Arial" w:hAnsi="Arial"/>
          <w:sz w:val="17"/>
          <w:szCs w:val="17"/>
          <w:b w:val="1"/>
          <w:bCs w:val="1"/>
          <w:color w:val="auto"/>
        </w:rPr>
        <w:t>3.7 Liabilities</w:t>
      </w:r>
      <w:r>
        <w:rPr>
          <w:rFonts w:ascii="Arial" w:cs="Arial" w:eastAsia="Arial" w:hAnsi="Arial"/>
          <w:sz w:val="17"/>
          <w:szCs w:val="17"/>
          <w:color w:val="auto"/>
        </w:rPr>
        <w:t>. None of the Marvell Entities has any accrued, absolute or other liability of the nature required to be disclosed in the “liabilities”</w:t>
      </w:r>
      <w:r>
        <w:rPr>
          <w:rFonts w:ascii="Arial" w:cs="Arial" w:eastAsia="Arial" w:hAnsi="Arial"/>
          <w:sz w:val="17"/>
          <w:szCs w:val="17"/>
          <w:b w:val="1"/>
          <w:bCs w:val="1"/>
          <w:color w:val="auto"/>
        </w:rPr>
        <w:t xml:space="preserve"> </w:t>
      </w:r>
      <w:r>
        <w:rPr>
          <w:rFonts w:ascii="Arial" w:cs="Arial" w:eastAsia="Arial" w:hAnsi="Arial"/>
          <w:sz w:val="17"/>
          <w:szCs w:val="17"/>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65" w:lineRule="exact"/>
        <w:rPr>
          <w:sz w:val="20"/>
          <w:szCs w:val="20"/>
          <w:color w:val="auto"/>
        </w:rPr>
      </w:pPr>
    </w:p>
    <w:p>
      <w:pPr>
        <w:ind w:left="444"/>
        <w:spacing w:after="0"/>
        <w:rPr>
          <w:sz w:val="20"/>
          <w:szCs w:val="20"/>
          <w:color w:val="auto"/>
        </w:rPr>
      </w:pPr>
      <w:r>
        <w:rPr>
          <w:rFonts w:ascii="Arial" w:cs="Arial" w:eastAsia="Arial" w:hAnsi="Arial"/>
          <w:sz w:val="16"/>
          <w:szCs w:val="16"/>
          <w:b w:val="1"/>
          <w:bCs w:val="1"/>
          <w:color w:val="auto"/>
        </w:rPr>
        <w:t>3.8 Compliance with Legal Requirements</w:t>
      </w:r>
      <w:r>
        <w:rPr>
          <w:rFonts w:ascii="Arial" w:cs="Arial" w:eastAsia="Arial" w:hAnsi="Arial"/>
          <w:sz w:val="16"/>
          <w:szCs w:val="16"/>
          <w:color w:val="auto"/>
        </w:rPr>
        <w:t>. Except as would not, individually or in the aggregate, have a Material Adverse Effect on Marvell:</w:t>
      </w:r>
    </w:p>
    <w:p>
      <w:pPr>
        <w:spacing w:after="0" w:line="50" w:lineRule="exact"/>
        <w:rPr>
          <w:sz w:val="20"/>
          <w:szCs w:val="20"/>
          <w:color w:val="auto"/>
        </w:rPr>
      </w:pPr>
    </w:p>
    <w:p>
      <w:pPr>
        <w:ind w:left="4" w:right="60" w:hanging="4"/>
        <w:spacing w:after="0" w:line="287" w:lineRule="auto"/>
        <w:tabs>
          <w:tab w:leader="none" w:pos="249" w:val="left"/>
        </w:tabs>
        <w:numPr>
          <w:ilvl w:val="0"/>
          <w:numId w:val="74"/>
        </w:numPr>
        <w:rPr>
          <w:rFonts w:ascii="Arial" w:cs="Arial" w:eastAsia="Arial" w:hAnsi="Arial"/>
          <w:sz w:val="16"/>
          <w:szCs w:val="16"/>
          <w:color w:val="auto"/>
        </w:rPr>
      </w:pPr>
      <w:r>
        <w:rPr>
          <w:rFonts w:ascii="Arial" w:cs="Arial" w:eastAsia="Arial" w:hAnsi="Arial"/>
          <w:sz w:val="16"/>
          <w:szCs w:val="16"/>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66" w:lineRule="exact"/>
        <w:rPr>
          <w:sz w:val="20"/>
          <w:szCs w:val="20"/>
          <w:color w:val="auto"/>
        </w:rPr>
      </w:pPr>
    </w:p>
    <w:p>
      <w:pPr>
        <w:ind w:left="4" w:right="460" w:firstLine="440"/>
        <w:spacing w:after="0" w:line="266" w:lineRule="auto"/>
        <w:rPr>
          <w:sz w:val="20"/>
          <w:szCs w:val="20"/>
          <w:color w:val="auto"/>
        </w:rPr>
      </w:pPr>
      <w:r>
        <w:rPr>
          <w:rFonts w:ascii="Arial" w:cs="Arial" w:eastAsia="Arial" w:hAnsi="Arial"/>
          <w:sz w:val="18"/>
          <w:szCs w:val="18"/>
          <w:b w:val="1"/>
          <w:bCs w:val="1"/>
          <w:color w:val="auto"/>
        </w:rPr>
        <w:t>3.9 Governmental Authorizations</w:t>
      </w:r>
      <w:r>
        <w:rPr>
          <w:rFonts w:ascii="Arial" w:cs="Arial" w:eastAsia="Arial" w:hAnsi="Arial"/>
          <w:sz w:val="18"/>
          <w:szCs w:val="18"/>
          <w:color w:val="auto"/>
        </w:rPr>
        <w:t>. Except as would not, individually or in the aggregate, have a Material Adverse Effect on Marvell, since</w:t>
      </w:r>
      <w:r>
        <w:rPr>
          <w:rFonts w:ascii="Arial" w:cs="Arial" w:eastAsia="Arial" w:hAnsi="Arial"/>
          <w:sz w:val="18"/>
          <w:szCs w:val="18"/>
          <w:b w:val="1"/>
          <w:bCs w:val="1"/>
          <w:color w:val="auto"/>
        </w:rPr>
        <w:t xml:space="preserve"> </w:t>
      </w:r>
      <w:r>
        <w:rPr>
          <w:rFonts w:ascii="Arial" w:cs="Arial" w:eastAsia="Arial" w:hAnsi="Arial"/>
          <w:sz w:val="18"/>
          <w:szCs w:val="18"/>
          <w:color w:val="auto"/>
        </w:rPr>
        <w:t>February 2, 2019: (a) each of the Marvell Entities holds, and has held, all Governmental Authorizations, and has made all filings required under applicable Legal Requirements, necessary</w:t>
      </w:r>
    </w:p>
    <w:p>
      <w:pPr>
        <w:spacing w:after="0" w:line="112"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04"/>
          </w:cols>
          <w:pgMar w:left="436" w:top="270" w:right="459" w:bottom="1440" w:gutter="0" w:footer="0" w:header="0"/>
        </w:sectPr>
      </w:pPr>
    </w:p>
    <w:bookmarkStart w:id="45" w:name="page46"/>
    <w:bookmarkEnd w:id="45"/>
    <w:p>
      <w:pPr>
        <w:jc w:val="both"/>
        <w:ind w:left="4" w:right="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61" w:lineRule="exact"/>
        <w:rPr>
          <w:sz w:val="20"/>
          <w:szCs w:val="20"/>
          <w:color w:val="auto"/>
        </w:rPr>
      </w:pPr>
    </w:p>
    <w:p>
      <w:pPr>
        <w:jc w:val="both"/>
        <w:ind w:left="4" w:right="280" w:firstLine="440"/>
        <w:spacing w:after="0" w:line="314" w:lineRule="auto"/>
        <w:rPr>
          <w:sz w:val="20"/>
          <w:szCs w:val="20"/>
          <w:color w:val="auto"/>
        </w:rPr>
      </w:pPr>
      <w:r>
        <w:rPr>
          <w:rFonts w:ascii="Arial" w:cs="Arial" w:eastAsia="Arial" w:hAnsi="Arial"/>
          <w:sz w:val="16"/>
          <w:szCs w:val="16"/>
          <w:b w:val="1"/>
          <w:bCs w:val="1"/>
          <w:color w:val="auto"/>
        </w:rPr>
        <w:t>3.10 Tax Consequences</w:t>
      </w:r>
      <w:r>
        <w:rPr>
          <w:rFonts w:ascii="Arial" w:cs="Arial" w:eastAsia="Arial" w:hAnsi="Arial"/>
          <w:sz w:val="16"/>
          <w:szCs w:val="16"/>
          <w:color w:val="auto"/>
        </w:rPr>
        <w:t>. No Marvell Entity has taken any action, and neither Marvell nor HoldCo has any Knowledge of any fact,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42" w:lineRule="exact"/>
        <w:rPr>
          <w:sz w:val="20"/>
          <w:szCs w:val="20"/>
          <w:color w:val="auto"/>
        </w:rPr>
      </w:pPr>
    </w:p>
    <w:p>
      <w:pPr>
        <w:ind w:left="4" w:right="180" w:firstLine="440"/>
        <w:spacing w:after="0" w:line="274" w:lineRule="auto"/>
        <w:rPr>
          <w:sz w:val="20"/>
          <w:szCs w:val="20"/>
          <w:color w:val="auto"/>
        </w:rPr>
      </w:pPr>
      <w:r>
        <w:rPr>
          <w:rFonts w:ascii="Arial" w:cs="Arial" w:eastAsia="Arial" w:hAnsi="Arial"/>
          <w:sz w:val="17"/>
          <w:szCs w:val="17"/>
          <w:b w:val="1"/>
          <w:bCs w:val="1"/>
          <w:color w:val="auto"/>
        </w:rPr>
        <w:t>3.11 Environmental Matters</w:t>
      </w:r>
      <w:r>
        <w:rPr>
          <w:rFonts w:ascii="Arial" w:cs="Arial" w:eastAsia="Arial" w:hAnsi="Arial"/>
          <w:sz w:val="17"/>
          <w:szCs w:val="17"/>
          <w:color w:val="auto"/>
        </w:rPr>
        <w:t>. Except as would not, individually or in the aggregate, have a Material Adverse Effect on Marvell: (a) each of the</w:t>
      </w:r>
      <w:r>
        <w:rPr>
          <w:rFonts w:ascii="Arial" w:cs="Arial" w:eastAsia="Arial" w:hAnsi="Arial"/>
          <w:sz w:val="17"/>
          <w:szCs w:val="17"/>
          <w:b w:val="1"/>
          <w:bCs w:val="1"/>
          <w:color w:val="auto"/>
        </w:rPr>
        <w:t xml:space="preserve"> </w:t>
      </w:r>
      <w:r>
        <w:rPr>
          <w:rFonts w:ascii="Arial" w:cs="Arial" w:eastAsia="Arial" w:hAnsi="Arial"/>
          <w:sz w:val="17"/>
          <w:szCs w:val="17"/>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73" w:lineRule="exact"/>
        <w:rPr>
          <w:sz w:val="20"/>
          <w:szCs w:val="20"/>
          <w:color w:val="auto"/>
        </w:rPr>
      </w:pPr>
    </w:p>
    <w:p>
      <w:pPr>
        <w:ind w:left="444"/>
        <w:spacing w:after="0"/>
        <w:rPr>
          <w:sz w:val="20"/>
          <w:szCs w:val="20"/>
          <w:color w:val="auto"/>
        </w:rPr>
      </w:pPr>
      <w:r>
        <w:rPr>
          <w:rFonts w:ascii="Arial" w:cs="Arial" w:eastAsia="Arial" w:hAnsi="Arial"/>
          <w:sz w:val="16"/>
          <w:szCs w:val="16"/>
          <w:b w:val="1"/>
          <w:bCs w:val="1"/>
          <w:color w:val="auto"/>
        </w:rPr>
        <w:t>3.12 Legal Proceedings; Orders</w:t>
      </w:r>
      <w:r>
        <w:rPr>
          <w:rFonts w:ascii="Arial" w:cs="Arial" w:eastAsia="Arial" w:hAnsi="Arial"/>
          <w:sz w:val="16"/>
          <w:szCs w:val="16"/>
          <w:color w:val="auto"/>
        </w:rPr>
        <w:t>. Except as would not, individually or in the aggregate, have or result in a Material Adverse Effect on Marvell:</w:t>
      </w:r>
    </w:p>
    <w:p>
      <w:pPr>
        <w:spacing w:after="0" w:line="50" w:lineRule="exact"/>
        <w:rPr>
          <w:sz w:val="20"/>
          <w:szCs w:val="20"/>
          <w:color w:val="auto"/>
        </w:rPr>
      </w:pPr>
    </w:p>
    <w:p>
      <w:pPr>
        <w:ind w:left="4" w:right="80" w:hanging="4"/>
        <w:spacing w:after="0" w:line="302" w:lineRule="auto"/>
        <w:tabs>
          <w:tab w:leader="none" w:pos="249" w:val="left"/>
        </w:tabs>
        <w:numPr>
          <w:ilvl w:val="0"/>
          <w:numId w:val="75"/>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51"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3.13 Authority; Binding Nature of Agreement</w:t>
      </w:r>
      <w:r>
        <w:rPr>
          <w:rFonts w:ascii="Arial" w:cs="Arial" w:eastAsia="Arial" w:hAnsi="Arial"/>
          <w:sz w:val="18"/>
          <w:szCs w:val="18"/>
          <w:color w:val="auto"/>
        </w:rPr>
        <w:t>.</w:t>
      </w:r>
    </w:p>
    <w:p>
      <w:pPr>
        <w:spacing w:after="0" w:line="229" w:lineRule="exact"/>
        <w:rPr>
          <w:sz w:val="20"/>
          <w:szCs w:val="20"/>
          <w:color w:val="auto"/>
        </w:rPr>
      </w:pPr>
    </w:p>
    <w:p>
      <w:pPr>
        <w:ind w:left="4" w:firstLine="987"/>
        <w:spacing w:after="0" w:line="283" w:lineRule="auto"/>
        <w:tabs>
          <w:tab w:leader="none" w:pos="1250" w:val="left"/>
        </w:tabs>
        <w:numPr>
          <w:ilvl w:val="1"/>
          <w:numId w:val="76"/>
        </w:numPr>
        <w:rPr>
          <w:rFonts w:ascii="Arial" w:cs="Arial" w:eastAsia="Arial" w:hAnsi="Arial"/>
          <w:sz w:val="16"/>
          <w:szCs w:val="16"/>
          <w:b w:val="1"/>
          <w:bCs w:val="1"/>
          <w:color w:val="auto"/>
        </w:rPr>
      </w:pPr>
      <w:r>
        <w:rPr>
          <w:rFonts w:ascii="Arial" w:cs="Arial" w:eastAsia="Arial" w:hAnsi="Arial"/>
          <w:sz w:val="16"/>
          <w:szCs w:val="16"/>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4" w:lineRule="exact"/>
        <w:rPr>
          <w:rFonts w:ascii="Arial" w:cs="Arial" w:eastAsia="Arial" w:hAnsi="Arial"/>
          <w:sz w:val="16"/>
          <w:szCs w:val="16"/>
          <w:b w:val="1"/>
          <w:bCs w:val="1"/>
          <w:color w:val="auto"/>
        </w:rPr>
      </w:pPr>
    </w:p>
    <w:p>
      <w:pPr>
        <w:ind w:left="4" w:right="80" w:hanging="4"/>
        <w:spacing w:after="0" w:line="252" w:lineRule="auto"/>
        <w:tabs>
          <w:tab w:leader="none" w:pos="289"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93" w:lineRule="exact"/>
        <w:rPr>
          <w:rFonts w:ascii="Arial" w:cs="Arial" w:eastAsia="Arial" w:hAnsi="Arial"/>
          <w:sz w:val="18"/>
          <w:szCs w:val="18"/>
          <w:color w:val="auto"/>
        </w:rPr>
      </w:pPr>
    </w:p>
    <w:p>
      <w:pPr>
        <w:ind w:left="4" w:right="300" w:firstLine="987"/>
        <w:spacing w:after="0" w:line="277" w:lineRule="auto"/>
        <w:tabs>
          <w:tab w:leader="none" w:pos="1260" w:val="left"/>
        </w:tabs>
        <w:numPr>
          <w:ilvl w:val="1"/>
          <w:numId w:val="77"/>
        </w:numPr>
        <w:rPr>
          <w:rFonts w:ascii="Arial" w:cs="Arial" w:eastAsia="Arial" w:hAnsi="Arial"/>
          <w:sz w:val="18"/>
          <w:szCs w:val="18"/>
          <w:b w:val="1"/>
          <w:bCs w:val="1"/>
          <w:color w:val="auto"/>
        </w:rPr>
      </w:pPr>
      <w:r>
        <w:rPr>
          <w:rFonts w:ascii="Arial" w:cs="Arial" w:eastAsia="Arial" w:hAnsi="Arial"/>
          <w:sz w:val="18"/>
          <w:szCs w:val="18"/>
          <w:color w:val="auto"/>
        </w:rPr>
        <w:t xml:space="preserve">The board of directors of Marvell, as of the date of this Agreement, has unanimously: (i) determined that the consideration payable pursuant to </w:t>
      </w:r>
      <w:r>
        <w:rPr>
          <w:rFonts w:ascii="Arial" w:cs="Arial" w:eastAsia="Arial" w:hAnsi="Arial"/>
          <w:sz w:val="18"/>
          <w:szCs w:val="18"/>
          <w:u w:val="single" w:color="auto"/>
          <w:color w:val="auto"/>
        </w:rPr>
        <w:t>Section 1.7(a)(iii)</w:t>
      </w:r>
      <w:r>
        <w:rPr>
          <w:rFonts w:ascii="Arial" w:cs="Arial" w:eastAsia="Arial" w:hAnsi="Arial"/>
          <w:sz w:val="18"/>
          <w:szCs w:val="18"/>
          <w:color w:val="auto"/>
        </w:rPr>
        <w:t xml:space="preserve"> constitutes fair value for each Marvell</w:t>
      </w:r>
    </w:p>
    <w:p>
      <w:pPr>
        <w:spacing w:after="0" w:line="10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4"/>
          </w:cols>
          <w:pgMar w:left="436" w:top="274" w:right="479" w:bottom="1440" w:gutter="0" w:footer="0" w:header="0"/>
        </w:sectPr>
      </w:pPr>
    </w:p>
    <w:bookmarkStart w:id="46" w:name="page47"/>
    <w:bookmarkEnd w:id="46"/>
    <w:p>
      <w:pPr>
        <w:ind w:left="4"/>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Arial" w:cs="Arial" w:eastAsia="Arial" w:hAnsi="Arial"/>
          <w:sz w:val="17"/>
          <w:szCs w:val="17"/>
          <w:u w:val="single" w:color="auto"/>
          <w:color w:val="auto"/>
        </w:rPr>
        <w:t>Section 5.3(f)</w:t>
      </w:r>
      <w:r>
        <w:rPr>
          <w:rFonts w:ascii="Arial" w:cs="Arial" w:eastAsia="Arial" w:hAnsi="Arial"/>
          <w:sz w:val="17"/>
          <w:szCs w:val="17"/>
          <w:color w:val="auto"/>
        </w:rPr>
        <w:t>, to recommend approval of the Bermuda Merger, this Agreement, the Statutory Merger Agreement and the Marvell Bye-Law Amendment to Marvell’s shareholders (the recommendation described in clause “(vi)” above being referred to as the “</w:t>
      </w:r>
      <w:r>
        <w:rPr>
          <w:rFonts w:ascii="Arial" w:cs="Arial" w:eastAsia="Arial" w:hAnsi="Arial"/>
          <w:sz w:val="17"/>
          <w:szCs w:val="17"/>
          <w:u w:val="single" w:color="auto"/>
          <w:color w:val="auto"/>
        </w:rPr>
        <w:t>Marvell Board Recommendation</w:t>
      </w:r>
      <w:r>
        <w:rPr>
          <w:rFonts w:ascii="Arial" w:cs="Arial" w:eastAsia="Arial" w:hAnsi="Arial"/>
          <w:sz w:val="17"/>
          <w:szCs w:val="17"/>
          <w:color w:val="auto"/>
        </w:rPr>
        <w:t>”).</w:t>
      </w:r>
    </w:p>
    <w:p>
      <w:pPr>
        <w:spacing w:after="0" w:line="174" w:lineRule="exact"/>
        <w:rPr>
          <w:sz w:val="20"/>
          <w:szCs w:val="20"/>
          <w:color w:val="auto"/>
        </w:rPr>
      </w:pPr>
    </w:p>
    <w:p>
      <w:pPr>
        <w:ind w:left="4" w:right="760" w:firstLine="440"/>
        <w:spacing w:after="0" w:line="282" w:lineRule="auto"/>
        <w:rPr>
          <w:sz w:val="20"/>
          <w:szCs w:val="20"/>
          <w:color w:val="auto"/>
        </w:rPr>
      </w:pPr>
      <w:r>
        <w:rPr>
          <w:rFonts w:ascii="Arial" w:cs="Arial" w:eastAsia="Arial" w:hAnsi="Arial"/>
          <w:sz w:val="18"/>
          <w:szCs w:val="18"/>
          <w:b w:val="1"/>
          <w:bCs w:val="1"/>
          <w:color w:val="auto"/>
        </w:rPr>
        <w:t>3.14 Vote Required</w:t>
      </w:r>
      <w:r>
        <w:rPr>
          <w:rFonts w:ascii="Arial" w:cs="Arial" w:eastAsia="Arial" w:hAnsi="Arial"/>
          <w:sz w:val="18"/>
          <w:szCs w:val="18"/>
          <w:color w:val="auto"/>
        </w:rPr>
        <w:t>. The Required Marvell Shareholder Vote is the only vote of Marvell’s shareholders that is necessary to approve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the Statutory Merger Agreement and the Bermuda Merger.</w:t>
      </w:r>
    </w:p>
    <w:p>
      <w:pPr>
        <w:spacing w:after="0" w:line="162" w:lineRule="exact"/>
        <w:rPr>
          <w:sz w:val="20"/>
          <w:szCs w:val="20"/>
          <w:color w:val="auto"/>
        </w:rPr>
      </w:pPr>
    </w:p>
    <w:p>
      <w:pPr>
        <w:jc w:val="both"/>
        <w:ind w:left="4" w:right="200" w:firstLine="440"/>
        <w:spacing w:after="0" w:line="289" w:lineRule="auto"/>
        <w:rPr>
          <w:sz w:val="20"/>
          <w:szCs w:val="20"/>
          <w:color w:val="auto"/>
        </w:rPr>
      </w:pPr>
      <w:r>
        <w:rPr>
          <w:rFonts w:ascii="Arial" w:cs="Arial" w:eastAsia="Arial" w:hAnsi="Arial"/>
          <w:sz w:val="16"/>
          <w:szCs w:val="16"/>
          <w:b w:val="1"/>
          <w:bCs w:val="1"/>
          <w:color w:val="auto"/>
        </w:rPr>
        <w:t>3.15 Non-Contravention; Consents</w:t>
      </w:r>
      <w:r>
        <w:rPr>
          <w:rFonts w:ascii="Arial" w:cs="Arial" w:eastAsia="Arial" w:hAnsi="Arial"/>
          <w:sz w:val="16"/>
          <w:szCs w:val="16"/>
          <w:color w:val="auto"/>
        </w:rPr>
        <w:t>. Neither the execution, delivery or performance of this Agreement by Marvell, HoldCo, Bermuda Merger</w:t>
      </w:r>
      <w:r>
        <w:rPr>
          <w:rFonts w:ascii="Arial" w:cs="Arial" w:eastAsia="Arial" w:hAnsi="Arial"/>
          <w:sz w:val="16"/>
          <w:szCs w:val="16"/>
          <w:b w:val="1"/>
          <w:bCs w:val="1"/>
          <w:color w:val="auto"/>
        </w:rPr>
        <w:t xml:space="preserve"> </w:t>
      </w:r>
      <w:r>
        <w:rPr>
          <w:rFonts w:ascii="Arial" w:cs="Arial" w:eastAsia="Arial" w:hAnsi="Arial"/>
          <w:sz w:val="16"/>
          <w:szCs w:val="16"/>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2" w:lineRule="exact"/>
        <w:rPr>
          <w:sz w:val="20"/>
          <w:szCs w:val="20"/>
          <w:color w:val="auto"/>
        </w:rPr>
      </w:pPr>
    </w:p>
    <w:p>
      <w:pPr>
        <w:ind w:left="4" w:right="20" w:hanging="4"/>
        <w:spacing w:after="0" w:line="267" w:lineRule="auto"/>
        <w:tabs>
          <w:tab w:leader="none" w:pos="249" w:val="left"/>
        </w:tabs>
        <w:numPr>
          <w:ilvl w:val="0"/>
          <w:numId w:val="78"/>
        </w:numPr>
        <w:rPr>
          <w:rFonts w:ascii="Arial" w:cs="Arial" w:eastAsia="Arial" w:hAnsi="Arial"/>
          <w:sz w:val="17"/>
          <w:szCs w:val="17"/>
          <w:color w:val="auto"/>
        </w:rPr>
      </w:pPr>
      <w:r>
        <w:rPr>
          <w:rFonts w:ascii="Arial" w:cs="Arial" w:eastAsia="Arial" w:hAnsi="Arial"/>
          <w:sz w:val="17"/>
          <w:szCs w:val="17"/>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1176020</wp:posOffset>
            </wp:positionH>
            <wp:positionV relativeFrom="paragraph">
              <wp:posOffset>-584200</wp:posOffset>
            </wp:positionV>
            <wp:extent cx="2857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62" w:lineRule="exact"/>
        <w:rPr>
          <w:sz w:val="20"/>
          <w:szCs w:val="20"/>
          <w:color w:val="auto"/>
        </w:rPr>
      </w:pPr>
    </w:p>
    <w:p>
      <w:pPr>
        <w:jc w:val="both"/>
        <w:ind w:left="4" w:right="20" w:firstLine="440"/>
        <w:spacing w:after="0" w:line="289" w:lineRule="auto"/>
        <w:rPr>
          <w:sz w:val="20"/>
          <w:szCs w:val="20"/>
          <w:color w:val="auto"/>
        </w:rPr>
      </w:pPr>
      <w:r>
        <w:rPr>
          <w:rFonts w:ascii="Arial" w:cs="Arial" w:eastAsia="Arial" w:hAnsi="Arial"/>
          <w:sz w:val="17"/>
          <w:szCs w:val="17"/>
          <w:b w:val="1"/>
          <w:bCs w:val="1"/>
          <w:color w:val="auto"/>
        </w:rPr>
        <w:t>3.16 Stock Ownership</w:t>
      </w:r>
      <w:r>
        <w:rPr>
          <w:rFonts w:ascii="Arial" w:cs="Arial" w:eastAsia="Arial" w:hAnsi="Arial"/>
          <w:sz w:val="17"/>
          <w:szCs w:val="17"/>
          <w:color w:val="auto"/>
        </w:rPr>
        <w:t>. None of Marvell, HoldCo, Bermuda Merger Sub or Delaware Merger Sub beneficially owns (as such term is used in Rule</w:t>
      </w:r>
      <w:r>
        <w:rPr>
          <w:rFonts w:ascii="Arial" w:cs="Arial" w:eastAsia="Arial" w:hAnsi="Arial"/>
          <w:sz w:val="17"/>
          <w:szCs w:val="17"/>
          <w:b w:val="1"/>
          <w:bCs w:val="1"/>
          <w:color w:val="auto"/>
        </w:rPr>
        <w:t xml:space="preserve"> </w:t>
      </w:r>
      <w:r>
        <w:rPr>
          <w:rFonts w:ascii="Arial" w:cs="Arial" w:eastAsia="Arial" w:hAnsi="Arial"/>
          <w:sz w:val="17"/>
          <w:szCs w:val="17"/>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58" w:lineRule="exact"/>
        <w:rPr>
          <w:sz w:val="20"/>
          <w:szCs w:val="20"/>
          <w:color w:val="auto"/>
        </w:rPr>
      </w:pPr>
    </w:p>
    <w:p>
      <w:pPr>
        <w:ind w:left="4" w:right="20" w:firstLine="440"/>
        <w:spacing w:after="0" w:line="273" w:lineRule="auto"/>
        <w:rPr>
          <w:sz w:val="20"/>
          <w:szCs w:val="20"/>
          <w:color w:val="auto"/>
        </w:rPr>
      </w:pPr>
      <w:r>
        <w:rPr>
          <w:rFonts w:ascii="Arial" w:cs="Arial" w:eastAsia="Arial" w:hAnsi="Arial"/>
          <w:sz w:val="17"/>
          <w:szCs w:val="17"/>
          <w:b w:val="1"/>
          <w:bCs w:val="1"/>
          <w:color w:val="auto"/>
        </w:rPr>
        <w:t>3.17 Capitalization and Operations of HoldCo, Delaware Merger Sub and Bermuda Merger Sub</w:t>
      </w:r>
      <w:r>
        <w:rPr>
          <w:rFonts w:ascii="Arial" w:cs="Arial" w:eastAsia="Arial" w:hAnsi="Arial"/>
          <w:sz w:val="17"/>
          <w:szCs w:val="17"/>
          <w:color w:val="auto"/>
        </w:rPr>
        <w:t>. All of the issued and outstanding shares of</w:t>
      </w:r>
      <w:r>
        <w:rPr>
          <w:rFonts w:ascii="Arial" w:cs="Arial" w:eastAsia="Arial" w:hAnsi="Arial"/>
          <w:sz w:val="17"/>
          <w:szCs w:val="17"/>
          <w:b w:val="1"/>
          <w:bCs w:val="1"/>
          <w:color w:val="auto"/>
        </w:rPr>
        <w:t xml:space="preserve"> </w:t>
      </w:r>
      <w:r>
        <w:rPr>
          <w:rFonts w:ascii="Arial" w:cs="Arial" w:eastAsia="Arial" w:hAnsi="Arial"/>
          <w:sz w:val="17"/>
          <w:szCs w:val="17"/>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72"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3.18 Financing</w:t>
      </w:r>
      <w:r>
        <w:rPr>
          <w:rFonts w:ascii="Arial" w:cs="Arial" w:eastAsia="Arial" w:hAnsi="Arial"/>
          <w:sz w:val="18"/>
          <w:szCs w:val="18"/>
          <w:color w:val="auto"/>
        </w:rPr>
        <w:t>.</w:t>
      </w:r>
    </w:p>
    <w:p>
      <w:pPr>
        <w:spacing w:after="0" w:line="229" w:lineRule="exact"/>
        <w:rPr>
          <w:sz w:val="20"/>
          <w:szCs w:val="20"/>
          <w:color w:val="auto"/>
        </w:rPr>
      </w:pPr>
    </w:p>
    <w:p>
      <w:pPr>
        <w:ind w:left="4" w:right="80" w:firstLine="987"/>
        <w:spacing w:after="0" w:line="291" w:lineRule="auto"/>
        <w:tabs>
          <w:tab w:leader="none" w:pos="1250" w:val="left"/>
        </w:tabs>
        <w:numPr>
          <w:ilvl w:val="1"/>
          <w:numId w:val="79"/>
        </w:numPr>
        <w:rPr>
          <w:rFonts w:ascii="Arial" w:cs="Arial" w:eastAsia="Arial" w:hAnsi="Arial"/>
          <w:sz w:val="16"/>
          <w:szCs w:val="16"/>
          <w:b w:val="1"/>
          <w:bCs w:val="1"/>
          <w:color w:val="auto"/>
        </w:rPr>
      </w:pPr>
      <w:r>
        <w:rPr>
          <w:rFonts w:ascii="Arial" w:cs="Arial" w:eastAsia="Arial" w:hAnsi="Arial"/>
          <w:sz w:val="16"/>
          <w:szCs w:val="16"/>
          <w:color w:val="auto"/>
        </w:rPr>
        <w:t>Marvell has delivered to the Company accurate and complete copies of (i) the executed 364-day bridge facility commitment letter, dated as of the date of this Agreement (the “</w:t>
      </w:r>
      <w:r>
        <w:rPr>
          <w:rFonts w:ascii="Arial" w:cs="Arial" w:eastAsia="Arial" w:hAnsi="Arial"/>
          <w:sz w:val="16"/>
          <w:szCs w:val="16"/>
          <w:u w:val="single" w:color="auto"/>
          <w:color w:val="auto"/>
        </w:rPr>
        <w:t>Bridge Commitment Letter</w:t>
      </w:r>
      <w:r>
        <w:rPr>
          <w:rFonts w:ascii="Arial" w:cs="Arial" w:eastAsia="Arial" w:hAnsi="Arial"/>
          <w:sz w:val="16"/>
          <w:szCs w:val="16"/>
          <w:color w:val="auto"/>
        </w:rPr>
        <w:t>”), by and between Marvell and JPMorgan Chase Bank, N.A. (“</w:t>
      </w:r>
      <w:r>
        <w:rPr>
          <w:rFonts w:ascii="Arial" w:cs="Arial" w:eastAsia="Arial" w:hAnsi="Arial"/>
          <w:sz w:val="16"/>
          <w:szCs w:val="16"/>
          <w:u w:val="single" w:color="auto"/>
          <w:color w:val="auto"/>
        </w:rPr>
        <w:t>JPMorgan</w:t>
      </w:r>
      <w:r>
        <w:rPr>
          <w:rFonts w:ascii="Arial" w:cs="Arial" w:eastAsia="Arial" w:hAnsi="Arial"/>
          <w:sz w:val="16"/>
          <w:szCs w:val="16"/>
          <w:color w:val="auto"/>
        </w:rPr>
        <w:t>”) and</w:t>
      </w:r>
    </w:p>
    <w:p>
      <w:pPr>
        <w:ind w:left="264" w:hanging="264"/>
        <w:spacing w:after="0"/>
        <w:tabs>
          <w:tab w:leader="none" w:pos="264" w:val="left"/>
        </w:tabs>
        <w:numPr>
          <w:ilvl w:val="0"/>
          <w:numId w:val="80"/>
        </w:numPr>
        <w:rPr>
          <w:rFonts w:ascii="Arial" w:cs="Arial" w:eastAsia="Arial" w:hAnsi="Arial"/>
          <w:sz w:val="16"/>
          <w:szCs w:val="16"/>
          <w:color w:val="auto"/>
        </w:rPr>
      </w:pPr>
      <w:r>
        <w:rPr>
          <w:rFonts w:ascii="Arial" w:cs="Arial" w:eastAsia="Arial" w:hAnsi="Arial"/>
          <w:sz w:val="16"/>
          <w:szCs w:val="16"/>
          <w:color w:val="auto"/>
        </w:rPr>
        <w:t>the executed facilities commitment letter, dated as of the date of this Agreement (the “</w:t>
      </w:r>
      <w:r>
        <w:rPr>
          <w:rFonts w:ascii="Arial" w:cs="Arial" w:eastAsia="Arial" w:hAnsi="Arial"/>
          <w:sz w:val="16"/>
          <w:szCs w:val="16"/>
          <w:u w:val="single" w:color="auto"/>
          <w:color w:val="auto"/>
        </w:rPr>
        <w:t>Term Loan Commitment Letter</w:t>
      </w:r>
      <w:r>
        <w:rPr>
          <w:rFonts w:ascii="Arial" w:cs="Arial" w:eastAsia="Arial" w:hAnsi="Arial"/>
          <w:sz w:val="16"/>
          <w:szCs w:val="16"/>
          <w:color w:val="auto"/>
        </w:rPr>
        <w:t>” and together with the Bridge</w:t>
      </w:r>
    </w:p>
    <w:p>
      <w:pPr>
        <w:spacing w:after="0" w:line="16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4"/>
          </w:cols>
          <w:pgMar w:left="436" w:top="274" w:right="459" w:bottom="1440" w:gutter="0" w:footer="0" w:header="0"/>
        </w:sectPr>
      </w:pPr>
    </w:p>
    <w:bookmarkStart w:id="47" w:name="page48"/>
    <w:bookmarkEnd w:id="47"/>
    <w:p>
      <w:pPr>
        <w:ind w:left="4" w:right="4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Commitment Letter, the “</w:t>
      </w:r>
      <w:r>
        <w:rPr>
          <w:rFonts w:ascii="Arial" w:cs="Arial" w:eastAsia="Arial" w:hAnsi="Arial"/>
          <w:sz w:val="16"/>
          <w:szCs w:val="16"/>
          <w:u w:val="single" w:color="auto"/>
          <w:color w:val="auto"/>
        </w:rPr>
        <w:t>Debt Commitment Letters</w:t>
      </w:r>
      <w:r>
        <w:rPr>
          <w:rFonts w:ascii="Arial" w:cs="Arial" w:eastAsia="Arial" w:hAnsi="Arial"/>
          <w:sz w:val="16"/>
          <w:szCs w:val="16"/>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Arial" w:cs="Arial" w:eastAsia="Arial" w:hAnsi="Arial"/>
          <w:sz w:val="16"/>
          <w:szCs w:val="16"/>
          <w:u w:val="single" w:color="auto"/>
          <w:color w:val="auto"/>
        </w:rPr>
        <w:t>Section 5.18</w:t>
      </w:r>
      <w:r>
        <w:rPr>
          <w:rFonts w:ascii="Arial" w:cs="Arial" w:eastAsia="Arial" w:hAnsi="Arial"/>
          <w:sz w:val="16"/>
          <w:szCs w:val="16"/>
          <w:color w:val="auto"/>
        </w:rPr>
        <w:t>, any offering of debt securities contemplated by the Debt Commitment Letters, being collectively referred to as the “</w:t>
      </w:r>
      <w:r>
        <w:rPr>
          <w:rFonts w:ascii="Arial" w:cs="Arial" w:eastAsia="Arial" w:hAnsi="Arial"/>
          <w:sz w:val="16"/>
          <w:szCs w:val="16"/>
          <w:u w:val="single" w:color="auto"/>
          <w:color w:val="auto"/>
        </w:rPr>
        <w:t>Debt Financing</w:t>
      </w:r>
      <w:r>
        <w:rPr>
          <w:rFonts w:ascii="Arial" w:cs="Arial" w:eastAsia="Arial" w:hAnsi="Arial"/>
          <w:sz w:val="16"/>
          <w:szCs w:val="16"/>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Arial" w:cs="Arial" w:eastAsia="Arial" w:hAnsi="Arial"/>
          <w:sz w:val="16"/>
          <w:szCs w:val="16"/>
          <w:u w:val="single" w:color="auto"/>
          <w:color w:val="auto"/>
        </w:rPr>
        <w:t>Fee Letter</w:t>
      </w:r>
      <w:r>
        <w:rPr>
          <w:rFonts w:ascii="Arial" w:cs="Arial" w:eastAsia="Arial" w:hAnsi="Arial"/>
          <w:sz w:val="16"/>
          <w:szCs w:val="16"/>
          <w:color w:val="auto"/>
        </w:rPr>
        <w:t>”).</w:t>
      </w:r>
    </w:p>
    <w:p>
      <w:pPr>
        <w:spacing w:after="0" w:line="165" w:lineRule="exact"/>
        <w:rPr>
          <w:sz w:val="20"/>
          <w:szCs w:val="20"/>
          <w:color w:val="auto"/>
        </w:rPr>
      </w:pPr>
    </w:p>
    <w:p>
      <w:pPr>
        <w:ind w:left="4" w:right="60" w:firstLine="987"/>
        <w:spacing w:after="0" w:line="269" w:lineRule="auto"/>
        <w:tabs>
          <w:tab w:leader="none" w:pos="1260" w:val="left"/>
        </w:tabs>
        <w:numPr>
          <w:ilvl w:val="1"/>
          <w:numId w:val="81"/>
        </w:numPr>
        <w:rPr>
          <w:rFonts w:ascii="Arial" w:cs="Arial" w:eastAsia="Arial" w:hAnsi="Arial"/>
          <w:sz w:val="17"/>
          <w:szCs w:val="17"/>
          <w:b w:val="1"/>
          <w:bCs w:val="1"/>
          <w:color w:val="auto"/>
        </w:rPr>
      </w:pPr>
      <w:r>
        <w:rPr>
          <w:rFonts w:ascii="Arial" w:cs="Arial" w:eastAsia="Arial" w:hAnsi="Arial"/>
          <w:sz w:val="17"/>
          <w:szCs w:val="17"/>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be satisfied and (iv) the satisfaction or waiver of each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Arial" w:cs="Arial" w:eastAsia="Arial" w:hAnsi="Arial"/>
          <w:sz w:val="17"/>
          <w:szCs w:val="17"/>
          <w:u w:val="single" w:color="auto"/>
          <w:color w:val="auto"/>
        </w:rPr>
        <w:t>Section 1.7(c)(iii)</w:t>
      </w:r>
      <w:r>
        <w:rPr>
          <w:rFonts w:ascii="Arial" w:cs="Arial" w:eastAsia="Arial" w:hAnsi="Arial"/>
          <w:sz w:val="17"/>
          <w:szCs w:val="17"/>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Arial" w:cs="Arial" w:eastAsia="Arial" w:hAnsi="Arial"/>
          <w:sz w:val="17"/>
          <w:szCs w:val="17"/>
          <w:u w:val="single" w:color="auto"/>
          <w:color w:val="auto"/>
        </w:rPr>
        <w:t>Financing Uses</w:t>
      </w:r>
      <w:r>
        <w:rPr>
          <w:rFonts w:ascii="Arial" w:cs="Arial" w:eastAsia="Arial" w:hAnsi="Arial"/>
          <w:sz w:val="17"/>
          <w:szCs w:val="17"/>
          <w:color w:val="auto"/>
        </w:rPr>
        <w:t>”).</w:t>
      </w:r>
    </w:p>
    <w:p>
      <w:pPr>
        <w:spacing w:after="0" w:line="185" w:lineRule="exact"/>
        <w:rPr>
          <w:rFonts w:ascii="Arial" w:cs="Arial" w:eastAsia="Arial" w:hAnsi="Arial"/>
          <w:sz w:val="17"/>
          <w:szCs w:val="17"/>
          <w:b w:val="1"/>
          <w:bCs w:val="1"/>
          <w:color w:val="auto"/>
        </w:rPr>
      </w:pPr>
    </w:p>
    <w:p>
      <w:pPr>
        <w:ind w:left="4" w:firstLine="987"/>
        <w:spacing w:after="0" w:line="283" w:lineRule="auto"/>
        <w:tabs>
          <w:tab w:leader="none" w:pos="1240" w:val="left"/>
        </w:tabs>
        <w:numPr>
          <w:ilvl w:val="1"/>
          <w:numId w:val="81"/>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Arial" w:cs="Arial" w:eastAsia="Arial" w:hAnsi="Arial"/>
          <w:sz w:val="16"/>
          <w:szCs w:val="16"/>
          <w:u w:val="single" w:color="auto"/>
          <w:color w:val="auto"/>
        </w:rPr>
        <w:t>Section 5.18</w:t>
      </w:r>
      <w:r>
        <w:rPr>
          <w:rFonts w:ascii="Arial" w:cs="Arial" w:eastAsia="Arial" w:hAnsi="Arial"/>
          <w:sz w:val="16"/>
          <w:szCs w:val="16"/>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spacing w:after="0" w:line="2" w:lineRule="exact"/>
        <w:rPr>
          <w:rFonts w:ascii="Arial" w:cs="Arial" w:eastAsia="Arial" w:hAnsi="Arial"/>
          <w:sz w:val="16"/>
          <w:szCs w:val="16"/>
          <w:b w:val="1"/>
          <w:bCs w:val="1"/>
          <w:color w:val="auto"/>
        </w:rPr>
      </w:pPr>
    </w:p>
    <w:p>
      <w:pPr>
        <w:ind w:left="4" w:hanging="4"/>
        <w:spacing w:after="0" w:line="281" w:lineRule="auto"/>
        <w:tabs>
          <w:tab w:leader="none" w:pos="299" w:val="left"/>
        </w:tabs>
        <w:numPr>
          <w:ilvl w:val="0"/>
          <w:numId w:val="82"/>
        </w:numPr>
        <w:rPr>
          <w:rFonts w:ascii="Arial" w:cs="Arial" w:eastAsia="Arial" w:hAnsi="Arial"/>
          <w:sz w:val="16"/>
          <w:szCs w:val="16"/>
          <w:color w:val="auto"/>
        </w:rPr>
      </w:pPr>
      <w:r>
        <w:rPr>
          <w:rFonts w:ascii="Arial" w:cs="Arial" w:eastAsia="Arial" w:hAnsi="Arial"/>
          <w:sz w:val="16"/>
          <w:szCs w:val="16"/>
          <w:color w:val="auto"/>
        </w:rPr>
        <w:t xml:space="preserve">the Company’s compliance with its covenants and obligations contained in this Agreement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and (C) the satisfaction or waiver of each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2" w:lineRule="exact"/>
        <w:rPr>
          <w:rFonts w:ascii="Arial" w:cs="Arial" w:eastAsia="Arial" w:hAnsi="Arial"/>
          <w:sz w:val="16"/>
          <w:szCs w:val="16"/>
          <w:color w:val="auto"/>
        </w:rPr>
      </w:pPr>
    </w:p>
    <w:p>
      <w:pPr>
        <w:ind w:left="4" w:right="40"/>
        <w:spacing w:after="0" w:line="260" w:lineRule="auto"/>
        <w:rPr>
          <w:rFonts w:ascii="Arial" w:cs="Arial" w:eastAsia="Arial" w:hAnsi="Arial"/>
          <w:sz w:val="16"/>
          <w:szCs w:val="16"/>
          <w:color w:val="auto"/>
        </w:rPr>
      </w:pPr>
      <w:r>
        <w:rPr>
          <w:rFonts w:ascii="Arial" w:cs="Arial" w:eastAsia="Arial" w:hAnsi="Arial"/>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4"/>
          </w:cols>
          <w:pgMar w:left="436" w:top="274" w:right="459" w:bottom="1440" w:gutter="0" w:footer="0" w:header="0"/>
        </w:sectPr>
      </w:pPr>
    </w:p>
    <w:bookmarkStart w:id="48" w:name="page49"/>
    <w:bookmarkEnd w:id="48"/>
    <w:p>
      <w:pPr>
        <w:jc w:val="both"/>
        <w:ind w:left="4" w:right="140" w:firstLine="440"/>
        <w:spacing w:after="0" w:line="28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3.19 Solvency</w:t>
      </w:r>
      <w:r>
        <w:rPr>
          <w:rFonts w:ascii="Arial" w:cs="Arial" w:eastAsia="Arial" w:hAnsi="Arial"/>
          <w:sz w:val="16"/>
          <w:szCs w:val="16"/>
          <w:color w:val="auto"/>
        </w:rPr>
        <w:t>. 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as of the date of this Agreement and will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Arial" w:cs="Arial" w:eastAsia="Arial" w:hAnsi="Arial"/>
          <w:sz w:val="16"/>
          <w:szCs w:val="16"/>
          <w:u w:val="single" w:color="auto"/>
          <w:color w:val="auto"/>
        </w:rPr>
        <w:t>Section 6</w:t>
      </w:r>
      <w:r>
        <w:rPr>
          <w:rFonts w:ascii="Arial" w:cs="Arial" w:eastAsia="Arial" w:hAnsi="Arial"/>
          <w:sz w:val="16"/>
          <w:szCs w:val="16"/>
          <w:color w:val="auto"/>
        </w:rPr>
        <w:t>,</w:t>
      </w:r>
    </w:p>
    <w:p>
      <w:pPr>
        <w:spacing w:after="0" w:line="2" w:lineRule="exact"/>
        <w:rPr>
          <w:sz w:val="20"/>
          <w:szCs w:val="20"/>
          <w:color w:val="auto"/>
        </w:rPr>
      </w:pPr>
    </w:p>
    <w:p>
      <w:pPr>
        <w:ind w:left="4" w:right="60" w:hanging="4"/>
        <w:spacing w:after="0" w:line="281" w:lineRule="auto"/>
        <w:tabs>
          <w:tab w:leader="none" w:pos="249" w:val="left"/>
        </w:tabs>
        <w:numPr>
          <w:ilvl w:val="0"/>
          <w:numId w:val="83"/>
        </w:numPr>
        <w:rPr>
          <w:rFonts w:ascii="Arial" w:cs="Arial" w:eastAsia="Arial" w:hAnsi="Arial"/>
          <w:sz w:val="16"/>
          <w:szCs w:val="16"/>
          <w:color w:val="auto"/>
        </w:rPr>
      </w:pPr>
      <w:r>
        <w:rPr>
          <w:rFonts w:ascii="Arial" w:cs="Arial" w:eastAsia="Arial" w:hAnsi="Arial"/>
          <w:sz w:val="16"/>
          <w:szCs w:val="16"/>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5" w:lineRule="exact"/>
        <w:rPr>
          <w:rFonts w:ascii="Arial" w:cs="Arial" w:eastAsia="Arial" w:hAnsi="Arial"/>
          <w:sz w:val="16"/>
          <w:szCs w:val="16"/>
          <w:color w:val="auto"/>
        </w:rPr>
      </w:pPr>
    </w:p>
    <w:p>
      <w:pPr>
        <w:ind w:left="4" w:hanging="4"/>
        <w:spacing w:after="0" w:line="252" w:lineRule="auto"/>
        <w:tabs>
          <w:tab w:leader="none" w:pos="319" w:val="left"/>
        </w:tabs>
        <w:numPr>
          <w:ilvl w:val="0"/>
          <w:numId w:val="84"/>
        </w:numPr>
        <w:rPr>
          <w:rFonts w:ascii="Arial" w:cs="Arial" w:eastAsia="Arial" w:hAnsi="Arial"/>
          <w:sz w:val="18"/>
          <w:szCs w:val="18"/>
          <w:color w:val="auto"/>
        </w:rPr>
      </w:pPr>
      <w:r>
        <w:rPr>
          <w:rFonts w:ascii="Arial" w:cs="Arial" w:eastAsia="Arial" w:hAnsi="Arial"/>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as the amount that, in the light of all the facts and circumstances existing immediately following the Closing, is probable to become an actual or matured liability.</w:t>
      </w:r>
    </w:p>
    <w:p>
      <w:pPr>
        <w:spacing w:after="0" w:line="190" w:lineRule="exact"/>
        <w:rPr>
          <w:sz w:val="20"/>
          <w:szCs w:val="20"/>
          <w:color w:val="auto"/>
        </w:rPr>
      </w:pPr>
    </w:p>
    <w:p>
      <w:pPr>
        <w:ind w:left="4" w:right="120" w:firstLine="440"/>
        <w:spacing w:after="0" w:line="258" w:lineRule="auto"/>
        <w:rPr>
          <w:sz w:val="20"/>
          <w:szCs w:val="20"/>
          <w:color w:val="auto"/>
        </w:rPr>
      </w:pPr>
      <w:r>
        <w:rPr>
          <w:rFonts w:ascii="Arial" w:cs="Arial" w:eastAsia="Arial" w:hAnsi="Arial"/>
          <w:sz w:val="18"/>
          <w:szCs w:val="18"/>
          <w:b w:val="1"/>
          <w:bCs w:val="1"/>
          <w:color w:val="auto"/>
        </w:rPr>
        <w:t>3.20 Fairness Opinion</w:t>
      </w:r>
      <w:r>
        <w:rPr>
          <w:rFonts w:ascii="Arial" w:cs="Arial" w:eastAsia="Arial" w:hAnsi="Arial"/>
          <w:sz w:val="18"/>
          <w:szCs w:val="18"/>
          <w:color w:val="auto"/>
        </w:rPr>
        <w:t>. Marvell’s board of directors has received the written opinion of J.P. Morgan Securities LLC (“</w:t>
      </w:r>
      <w:r>
        <w:rPr>
          <w:rFonts w:ascii="Arial" w:cs="Arial" w:eastAsia="Arial" w:hAnsi="Arial"/>
          <w:sz w:val="18"/>
          <w:szCs w:val="18"/>
          <w:u w:val="single" w:color="auto"/>
          <w:color w:val="auto"/>
        </w:rPr>
        <w:t>J.P. Morgan Securities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83" w:lineRule="exact"/>
        <w:rPr>
          <w:sz w:val="20"/>
          <w:szCs w:val="20"/>
          <w:color w:val="auto"/>
        </w:rPr>
      </w:pPr>
    </w:p>
    <w:p>
      <w:pPr>
        <w:ind w:left="4" w:right="60" w:firstLine="440"/>
        <w:spacing w:after="0" w:line="266" w:lineRule="auto"/>
        <w:rPr>
          <w:sz w:val="20"/>
          <w:szCs w:val="20"/>
          <w:color w:val="auto"/>
        </w:rPr>
      </w:pPr>
      <w:r>
        <w:rPr>
          <w:rFonts w:ascii="Arial" w:cs="Arial" w:eastAsia="Arial" w:hAnsi="Arial"/>
          <w:sz w:val="18"/>
          <w:szCs w:val="18"/>
          <w:b w:val="1"/>
          <w:bCs w:val="1"/>
          <w:color w:val="auto"/>
        </w:rPr>
        <w:t>3.21 Advisors’ Fees</w:t>
      </w:r>
      <w:r>
        <w:rPr>
          <w:rFonts w:ascii="Arial" w:cs="Arial" w:eastAsia="Arial" w:hAnsi="Arial"/>
          <w:sz w:val="18"/>
          <w:szCs w:val="18"/>
          <w:color w:val="auto"/>
        </w:rPr>
        <w:t>. Except for J.P. Morgan Securities,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Mergers or any of the other Contemplated Transactions based upon arrangements made by or on behalf of any of the Marvell Entities.</w:t>
      </w:r>
    </w:p>
    <w:p>
      <w:pPr>
        <w:spacing w:after="0" w:line="176" w:lineRule="exact"/>
        <w:rPr>
          <w:sz w:val="20"/>
          <w:szCs w:val="20"/>
          <w:color w:val="auto"/>
        </w:rPr>
      </w:pPr>
    </w:p>
    <w:p>
      <w:pPr>
        <w:ind w:left="4" w:firstLine="440"/>
        <w:spacing w:after="0" w:line="288" w:lineRule="auto"/>
        <w:rPr>
          <w:sz w:val="20"/>
          <w:szCs w:val="20"/>
          <w:color w:val="auto"/>
        </w:rPr>
      </w:pPr>
      <w:r>
        <w:rPr>
          <w:rFonts w:ascii="Arial" w:cs="Arial" w:eastAsia="Arial" w:hAnsi="Arial"/>
          <w:sz w:val="16"/>
          <w:szCs w:val="16"/>
          <w:b w:val="1"/>
          <w:bCs w:val="1"/>
          <w:color w:val="auto"/>
        </w:rPr>
        <w:t>3.22 Disclosure</w:t>
      </w:r>
      <w:r>
        <w:rPr>
          <w:rFonts w:ascii="Arial" w:cs="Arial" w:eastAsia="Arial" w:hAnsi="Arial"/>
          <w:sz w:val="16"/>
          <w:szCs w:val="16"/>
          <w:color w:val="auto"/>
        </w:rPr>
        <w:t>. None of the information to be supplied by or on behalf of Marvell or HoldCo specifically for inclusion in the Form S-4</w:t>
      </w:r>
      <w:r>
        <w:rPr>
          <w:rFonts w:ascii="Arial" w:cs="Arial" w:eastAsia="Arial" w:hAnsi="Arial"/>
          <w:sz w:val="16"/>
          <w:szCs w:val="16"/>
          <w:b w:val="1"/>
          <w:bCs w:val="1"/>
          <w:color w:val="auto"/>
        </w:rPr>
        <w:t xml:space="preserve"> </w:t>
      </w:r>
      <w:r>
        <w:rPr>
          <w:rFonts w:ascii="Arial" w:cs="Arial" w:eastAsia="Arial" w:hAnsi="Arial"/>
          <w:sz w:val="16"/>
          <w:szCs w:val="16"/>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0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04"/>
          </w:cols>
          <w:pgMar w:left="436" w:top="270" w:right="45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4. C</w:t>
      </w:r>
      <w:r>
        <w:rPr>
          <w:rFonts w:ascii="Arial" w:cs="Arial" w:eastAsia="Arial" w:hAnsi="Arial"/>
          <w:sz w:val="14"/>
          <w:szCs w:val="14"/>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 AND</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4.1 Access and Investigation</w:t>
      </w:r>
      <w:r>
        <w:rPr>
          <w:rFonts w:ascii="Arial" w:cs="Arial" w:eastAsia="Arial" w:hAnsi="Arial"/>
          <w:sz w:val="18"/>
          <w:szCs w:val="18"/>
          <w:color w:val="auto"/>
        </w:rPr>
        <w:t>.</w:t>
      </w:r>
    </w:p>
    <w:p>
      <w:pPr>
        <w:spacing w:after="0" w:line="121" w:lineRule="exact"/>
        <w:rPr>
          <w:sz w:val="20"/>
          <w:szCs w:val="20"/>
          <w:color w:val="auto"/>
        </w:rPr>
      </w:pPr>
    </w:p>
    <w:p>
      <w:pPr>
        <w:ind w:firstLine="987"/>
        <w:spacing w:after="0" w:line="285" w:lineRule="auto"/>
        <w:tabs>
          <w:tab w:leader="none" w:pos="1246" w:val="left"/>
        </w:tabs>
        <w:numPr>
          <w:ilvl w:val="0"/>
          <w:numId w:val="85"/>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76" w:lineRule="exact"/>
        <w:rPr>
          <w:rFonts w:ascii="Arial" w:cs="Arial" w:eastAsia="Arial" w:hAnsi="Arial"/>
          <w:sz w:val="16"/>
          <w:szCs w:val="16"/>
          <w:b w:val="1"/>
          <w:bCs w:val="1"/>
          <w:color w:val="auto"/>
        </w:rPr>
      </w:pPr>
    </w:p>
    <w:p>
      <w:pPr>
        <w:ind w:right="200" w:firstLine="987"/>
        <w:spacing w:after="0" w:line="342" w:lineRule="auto"/>
        <w:tabs>
          <w:tab w:leader="none" w:pos="1256" w:val="left"/>
        </w:tabs>
        <w:numPr>
          <w:ilvl w:val="0"/>
          <w:numId w:val="85"/>
        </w:numPr>
        <w:rPr>
          <w:rFonts w:ascii="Arial" w:cs="Arial" w:eastAsia="Arial" w:hAnsi="Arial"/>
          <w:sz w:val="16"/>
          <w:szCs w:val="16"/>
          <w:b w:val="1"/>
          <w:bCs w:val="1"/>
          <w:color w:val="auto"/>
        </w:rPr>
      </w:pPr>
      <w:r>
        <w:rPr>
          <w:rFonts w:ascii="Arial" w:cs="Arial" w:eastAsia="Arial" w:hAnsi="Arial"/>
          <w:sz w:val="16"/>
          <w:szCs w:val="16"/>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2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4.2 Operation of the Company’s Business and Marvell’s Business</w:t>
      </w:r>
      <w:r>
        <w:rPr>
          <w:rFonts w:ascii="Arial" w:cs="Arial" w:eastAsia="Arial" w:hAnsi="Arial"/>
          <w:sz w:val="18"/>
          <w:szCs w:val="18"/>
          <w:color w:val="auto"/>
        </w:rPr>
        <w:t>.</w:t>
      </w:r>
    </w:p>
    <w:p>
      <w:pPr>
        <w:spacing w:after="0" w:line="229" w:lineRule="exact"/>
        <w:rPr>
          <w:sz w:val="20"/>
          <w:szCs w:val="20"/>
          <w:color w:val="auto"/>
        </w:rPr>
      </w:pPr>
    </w:p>
    <w:p>
      <w:pPr>
        <w:ind w:right="40" w:firstLine="987"/>
        <w:spacing w:after="0" w:line="290" w:lineRule="auto"/>
        <w:tabs>
          <w:tab w:leader="none" w:pos="1246" w:val="left"/>
        </w:tabs>
        <w:numPr>
          <w:ilvl w:val="0"/>
          <w:numId w:val="86"/>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and (B) retention bonus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to employees or individual service providers of the Company.</w:t>
      </w:r>
    </w:p>
    <w:p>
      <w:pPr>
        <w:spacing w:after="0" w:line="165" w:lineRule="exact"/>
        <w:rPr>
          <w:rFonts w:ascii="Arial" w:cs="Arial" w:eastAsia="Arial" w:hAnsi="Arial"/>
          <w:sz w:val="16"/>
          <w:szCs w:val="16"/>
          <w:b w:val="1"/>
          <w:bCs w:val="1"/>
          <w:color w:val="auto"/>
        </w:rPr>
      </w:pPr>
    </w:p>
    <w:p>
      <w:pPr>
        <w:jc w:val="both"/>
        <w:ind w:right="120" w:firstLine="987"/>
        <w:spacing w:after="0" w:line="263" w:lineRule="auto"/>
        <w:tabs>
          <w:tab w:leader="none" w:pos="1256" w:val="left"/>
        </w:tabs>
        <w:numPr>
          <w:ilvl w:val="0"/>
          <w:numId w:val="86"/>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Arial" w:cs="Arial" w:eastAsia="Arial" w:hAnsi="Arial"/>
          <w:sz w:val="18"/>
          <w:szCs w:val="18"/>
          <w:u w:val="single" w:color="auto"/>
          <w:color w:val="auto"/>
        </w:rPr>
        <w:t>Part 4.2(b)</w:t>
      </w:r>
      <w:r>
        <w:rPr>
          <w:rFonts w:ascii="Arial" w:cs="Arial" w:eastAsia="Arial" w:hAnsi="Arial"/>
          <w:sz w:val="18"/>
          <w:szCs w:val="18"/>
          <w:color w:val="auto"/>
        </w:rPr>
        <w:t xml:space="preserve"> of the Company Disclosure Schedule, the Company shall not, and the Company shall ensure that the other Inphi Entities do not:</w:t>
      </w:r>
    </w:p>
    <w:p>
      <w:pPr>
        <w:spacing w:after="0" w:line="75" w:lineRule="exact"/>
        <w:rPr>
          <w:rFonts w:ascii="Arial" w:cs="Arial" w:eastAsia="Arial" w:hAnsi="Arial"/>
          <w:sz w:val="18"/>
          <w:szCs w:val="18"/>
          <w:b w:val="1"/>
          <w:bCs w:val="1"/>
          <w:color w:val="auto"/>
        </w:rPr>
      </w:pPr>
    </w:p>
    <w:p>
      <w:pPr>
        <w:jc w:val="both"/>
        <w:ind w:left="440" w:right="160" w:firstLine="948"/>
        <w:spacing w:after="0" w:line="342" w:lineRule="auto"/>
        <w:tabs>
          <w:tab w:leader="none" w:pos="1607" w:val="left"/>
        </w:tabs>
        <w:numPr>
          <w:ilvl w:val="1"/>
          <w:numId w:val="86"/>
        </w:numPr>
        <w:rPr>
          <w:rFonts w:ascii="Arial" w:cs="Arial" w:eastAsia="Arial" w:hAnsi="Arial"/>
          <w:sz w:val="16"/>
          <w:szCs w:val="16"/>
          <w:b w:val="1"/>
          <w:bCs w:val="1"/>
          <w:color w:val="auto"/>
        </w:rPr>
      </w:pPr>
      <w:r>
        <w:rPr>
          <w:rFonts w:ascii="Arial" w:cs="Arial" w:eastAsia="Arial" w:hAnsi="Arial"/>
          <w:sz w:val="16"/>
          <w:szCs w:val="16"/>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00"/>
          </w:cols>
          <w:pgMar w:left="440" w:top="270" w:right="459" w:bottom="1440" w:gutter="0" w:footer="0" w:header="0"/>
        </w:sectPr>
      </w:pPr>
    </w:p>
    <w:bookmarkStart w:id="50" w:name="page51"/>
    <w:bookmarkEnd w:id="50"/>
    <w:p>
      <w:pPr>
        <w:ind w:firstLine="948"/>
        <w:spacing w:after="0" w:line="270" w:lineRule="auto"/>
        <w:tabs>
          <w:tab w:leader="none" w:pos="1217" w:val="left"/>
        </w:tabs>
        <w:numPr>
          <w:ilvl w:val="0"/>
          <w:numId w:val="87"/>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Arial" w:cs="Arial" w:eastAsia="Arial" w:hAnsi="Arial"/>
          <w:sz w:val="17"/>
          <w:szCs w:val="17"/>
          <w:u w:val="single" w:color="auto"/>
          <w:color w:val="auto"/>
        </w:rPr>
        <w:t>Part 4.2(b)(ii)</w:t>
      </w:r>
      <w:r>
        <w:rPr>
          <w:rFonts w:ascii="Arial" w:cs="Arial" w:eastAsia="Arial" w:hAnsi="Arial"/>
          <w:sz w:val="17"/>
          <w:szCs w:val="17"/>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72" w:lineRule="exact"/>
        <w:rPr>
          <w:rFonts w:ascii="Arial" w:cs="Arial" w:eastAsia="Arial" w:hAnsi="Arial"/>
          <w:sz w:val="17"/>
          <w:szCs w:val="17"/>
          <w:b w:val="1"/>
          <w:bCs w:val="1"/>
          <w:color w:val="auto"/>
        </w:rPr>
      </w:pPr>
    </w:p>
    <w:p>
      <w:pPr>
        <w:ind w:firstLine="948"/>
        <w:spacing w:after="0" w:line="263" w:lineRule="auto"/>
        <w:tabs>
          <w:tab w:leader="none" w:pos="1267" w:val="left"/>
        </w:tabs>
        <w:numPr>
          <w:ilvl w:val="0"/>
          <w:numId w:val="87"/>
        </w:numPr>
        <w:rPr>
          <w:rFonts w:ascii="Arial" w:cs="Arial" w:eastAsia="Arial" w:hAnsi="Arial"/>
          <w:sz w:val="18"/>
          <w:szCs w:val="18"/>
          <w:b w:val="1"/>
          <w:bCs w:val="1"/>
          <w:color w:val="auto"/>
        </w:rPr>
      </w:pPr>
      <w:r>
        <w:rPr>
          <w:rFonts w:ascii="Arial" w:cs="Arial" w:eastAsia="Arial" w:hAnsi="Arial"/>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75" w:lineRule="exact"/>
        <w:rPr>
          <w:rFonts w:ascii="Arial" w:cs="Arial" w:eastAsia="Arial" w:hAnsi="Arial"/>
          <w:sz w:val="18"/>
          <w:szCs w:val="18"/>
          <w:b w:val="1"/>
          <w:bCs w:val="1"/>
          <w:color w:val="auto"/>
        </w:rPr>
      </w:pPr>
    </w:p>
    <w:p>
      <w:pPr>
        <w:ind w:right="60" w:firstLine="948"/>
        <w:spacing w:after="0" w:line="275" w:lineRule="auto"/>
        <w:tabs>
          <w:tab w:leader="none" w:pos="1256" w:val="left"/>
        </w:tabs>
        <w:numPr>
          <w:ilvl w:val="0"/>
          <w:numId w:val="87"/>
        </w:numPr>
        <w:rPr>
          <w:rFonts w:ascii="Arial" w:cs="Arial" w:eastAsia="Arial" w:hAnsi="Arial"/>
          <w:sz w:val="17"/>
          <w:szCs w:val="17"/>
          <w:b w:val="1"/>
          <w:bCs w:val="1"/>
          <w:color w:val="auto"/>
        </w:rPr>
      </w:pPr>
      <w:r>
        <w:rPr>
          <w:rFonts w:ascii="Arial" w:cs="Arial" w:eastAsia="Arial" w:hAnsi="Arial"/>
          <w:sz w:val="17"/>
          <w:szCs w:val="17"/>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68" w:lineRule="exact"/>
        <w:rPr>
          <w:rFonts w:ascii="Arial" w:cs="Arial" w:eastAsia="Arial" w:hAnsi="Arial"/>
          <w:sz w:val="17"/>
          <w:szCs w:val="17"/>
          <w:b w:val="1"/>
          <w:bCs w:val="1"/>
          <w:color w:val="auto"/>
        </w:rPr>
      </w:pPr>
    </w:p>
    <w:p>
      <w:pPr>
        <w:ind w:left="1200" w:hanging="252"/>
        <w:spacing w:after="0"/>
        <w:tabs>
          <w:tab w:leader="none" w:pos="1200" w:val="left"/>
        </w:tabs>
        <w:numPr>
          <w:ilvl w:val="0"/>
          <w:numId w:val="87"/>
        </w:numPr>
        <w:rPr>
          <w:rFonts w:ascii="Arial" w:cs="Arial" w:eastAsia="Arial" w:hAnsi="Arial"/>
          <w:sz w:val="18"/>
          <w:szCs w:val="18"/>
          <w:b w:val="1"/>
          <w:bCs w:val="1"/>
          <w:color w:val="auto"/>
        </w:rPr>
      </w:pPr>
      <w:r>
        <w:rPr>
          <w:rFonts w:ascii="Arial" w:cs="Arial" w:eastAsia="Arial" w:hAnsi="Arial"/>
          <w:sz w:val="18"/>
          <w:szCs w:val="18"/>
          <w:color w:val="auto"/>
        </w:rPr>
        <w:t>(A) form any Subsidiary or (B) acquire any material equity interest or other material interest in any other Entity;</w:t>
      </w:r>
    </w:p>
    <w:p>
      <w:pPr>
        <w:spacing w:after="0" w:line="117" w:lineRule="exact"/>
        <w:rPr>
          <w:rFonts w:ascii="Arial" w:cs="Arial" w:eastAsia="Arial" w:hAnsi="Arial"/>
          <w:sz w:val="18"/>
          <w:szCs w:val="18"/>
          <w:b w:val="1"/>
          <w:bCs w:val="1"/>
          <w:color w:val="auto"/>
        </w:rPr>
      </w:pPr>
    </w:p>
    <w:p>
      <w:pPr>
        <w:ind w:right="240" w:firstLine="948"/>
        <w:spacing w:after="0" w:line="279" w:lineRule="auto"/>
        <w:tabs>
          <w:tab w:leader="none" w:pos="1256" w:val="left"/>
        </w:tabs>
        <w:numPr>
          <w:ilvl w:val="0"/>
          <w:numId w:val="87"/>
        </w:numPr>
        <w:rPr>
          <w:rFonts w:ascii="Arial" w:cs="Arial" w:eastAsia="Arial" w:hAnsi="Arial"/>
          <w:sz w:val="17"/>
          <w:szCs w:val="17"/>
          <w:b w:val="1"/>
          <w:bCs w:val="1"/>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set forth in </w:t>
      </w:r>
      <w:r>
        <w:rPr>
          <w:rFonts w:ascii="Arial" w:cs="Arial" w:eastAsia="Arial" w:hAnsi="Arial"/>
          <w:sz w:val="17"/>
          <w:szCs w:val="17"/>
          <w:u w:val="single" w:color="auto"/>
          <w:color w:val="auto"/>
        </w:rPr>
        <w:t>Part 4.2(b)(vi)</w:t>
      </w:r>
      <w:r>
        <w:rPr>
          <w:rFonts w:ascii="Arial" w:cs="Arial" w:eastAsia="Arial" w:hAnsi="Arial"/>
          <w:sz w:val="17"/>
          <w:szCs w:val="17"/>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63" w:lineRule="exact"/>
        <w:rPr>
          <w:rFonts w:ascii="Arial" w:cs="Arial" w:eastAsia="Arial" w:hAnsi="Arial"/>
          <w:sz w:val="17"/>
          <w:szCs w:val="17"/>
          <w:b w:val="1"/>
          <w:bCs w:val="1"/>
          <w:color w:val="auto"/>
        </w:rPr>
      </w:pPr>
    </w:p>
    <w:p>
      <w:pPr>
        <w:ind w:right="80" w:firstLine="948"/>
        <w:spacing w:after="0" w:line="263" w:lineRule="auto"/>
        <w:tabs>
          <w:tab w:leader="none" w:pos="1306" w:val="left"/>
        </w:tabs>
        <w:numPr>
          <w:ilvl w:val="0"/>
          <w:numId w:val="87"/>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75" w:lineRule="exact"/>
        <w:rPr>
          <w:rFonts w:ascii="Arial" w:cs="Arial" w:eastAsia="Arial" w:hAnsi="Arial"/>
          <w:sz w:val="18"/>
          <w:szCs w:val="18"/>
          <w:b w:val="1"/>
          <w:bCs w:val="1"/>
          <w:color w:val="auto"/>
        </w:rPr>
      </w:pPr>
    </w:p>
    <w:p>
      <w:pPr>
        <w:ind w:right="40" w:firstLine="948"/>
        <w:spacing w:after="0" w:line="257" w:lineRule="auto"/>
        <w:tabs>
          <w:tab w:leader="none" w:pos="1356" w:val="left"/>
        </w:tabs>
        <w:numPr>
          <w:ilvl w:val="0"/>
          <w:numId w:val="87"/>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9" w:lineRule="exact"/>
        <w:rPr>
          <w:rFonts w:ascii="Arial" w:cs="Arial" w:eastAsia="Arial" w:hAnsi="Arial"/>
          <w:sz w:val="18"/>
          <w:szCs w:val="18"/>
          <w:b w:val="1"/>
          <w:bCs w:val="1"/>
          <w:color w:val="auto"/>
        </w:rPr>
      </w:pPr>
    </w:p>
    <w:p>
      <w:pPr>
        <w:ind w:firstLine="948"/>
        <w:spacing w:after="0" w:line="279" w:lineRule="auto"/>
        <w:tabs>
          <w:tab w:leader="none" w:pos="1256" w:val="left"/>
        </w:tabs>
        <w:numPr>
          <w:ilvl w:val="0"/>
          <w:numId w:val="87"/>
        </w:numPr>
        <w:rPr>
          <w:rFonts w:ascii="Arial" w:cs="Arial" w:eastAsia="Arial" w:hAnsi="Arial"/>
          <w:sz w:val="17"/>
          <w:szCs w:val="17"/>
          <w:b w:val="1"/>
          <w:bCs w:val="1"/>
          <w:color w:val="auto"/>
        </w:rPr>
      </w:pPr>
      <w:r>
        <w:rPr>
          <w:rFonts w:ascii="Arial" w:cs="Arial" w:eastAsia="Arial" w:hAnsi="Arial"/>
          <w:sz w:val="17"/>
          <w:szCs w:val="17"/>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63" w:lineRule="exact"/>
        <w:rPr>
          <w:rFonts w:ascii="Arial" w:cs="Arial" w:eastAsia="Arial" w:hAnsi="Arial"/>
          <w:sz w:val="17"/>
          <w:szCs w:val="17"/>
          <w:b w:val="1"/>
          <w:bCs w:val="1"/>
          <w:color w:val="auto"/>
        </w:rPr>
      </w:pPr>
    </w:p>
    <w:p>
      <w:pPr>
        <w:ind w:right="340" w:firstLine="948"/>
        <w:spacing w:after="0" w:line="277" w:lineRule="auto"/>
        <w:tabs>
          <w:tab w:leader="none" w:pos="1206" w:val="left"/>
        </w:tabs>
        <w:numPr>
          <w:ilvl w:val="0"/>
          <w:numId w:val="87"/>
        </w:numPr>
        <w:rPr>
          <w:rFonts w:ascii="Arial" w:cs="Arial" w:eastAsia="Arial" w:hAnsi="Arial"/>
          <w:sz w:val="18"/>
          <w:szCs w:val="18"/>
          <w:b w:val="1"/>
          <w:bCs w:val="1"/>
          <w:color w:val="auto"/>
        </w:rPr>
      </w:pPr>
      <w:r>
        <w:rPr>
          <w:rFonts w:ascii="Arial" w:cs="Arial" w:eastAsia="Arial" w:hAnsi="Arial"/>
          <w:sz w:val="18"/>
          <w:szCs w:val="18"/>
          <w:color w:val="auto"/>
        </w:rPr>
        <w:t>acquire, lease or license any right or other asset from any other Person or sell or otherwise dispose of, or lease or license, any right or other asset to any other Person, except in each case for</w:t>
      </w:r>
    </w:p>
    <w:p>
      <w:pPr>
        <w:spacing w:after="0" w:line="103"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0540"/>
          </w:cols>
          <w:pgMar w:left="880" w:top="274" w:right="479" w:bottom="1440" w:gutter="0" w:footer="0" w:header="0"/>
        </w:sectPr>
      </w:pPr>
    </w:p>
    <w:bookmarkStart w:id="51" w:name="page52"/>
    <w:bookmarkEnd w:id="51"/>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immaterial assets acquired, leased, licensed or disposed of by the Company in the ordinary course of business and consistent with past practices;</w:t>
      </w:r>
    </w:p>
    <w:p>
      <w:pPr>
        <w:spacing w:after="0" w:line="140" w:lineRule="exact"/>
        <w:rPr>
          <w:sz w:val="20"/>
          <w:szCs w:val="20"/>
          <w:color w:val="auto"/>
        </w:rPr>
      </w:pPr>
    </w:p>
    <w:p>
      <w:pPr>
        <w:ind w:right="100" w:firstLine="948"/>
        <w:spacing w:after="0" w:line="263" w:lineRule="auto"/>
        <w:tabs>
          <w:tab w:leader="none" w:pos="1256" w:val="left"/>
        </w:tabs>
        <w:numPr>
          <w:ilvl w:val="0"/>
          <w:numId w:val="88"/>
        </w:numPr>
        <w:rPr>
          <w:rFonts w:ascii="Arial" w:cs="Arial" w:eastAsia="Arial" w:hAnsi="Arial"/>
          <w:sz w:val="18"/>
          <w:szCs w:val="18"/>
          <w:b w:val="1"/>
          <w:bCs w:val="1"/>
          <w:color w:val="auto"/>
        </w:rPr>
      </w:pPr>
      <w:r>
        <w:rPr>
          <w:rFonts w:ascii="Arial" w:cs="Arial" w:eastAsia="Arial" w:hAnsi="Arial"/>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75" w:lineRule="exact"/>
        <w:rPr>
          <w:rFonts w:ascii="Arial" w:cs="Arial" w:eastAsia="Arial" w:hAnsi="Arial"/>
          <w:sz w:val="18"/>
          <w:szCs w:val="18"/>
          <w:b w:val="1"/>
          <w:bCs w:val="1"/>
          <w:color w:val="auto"/>
        </w:rPr>
      </w:pPr>
    </w:p>
    <w:p>
      <w:pPr>
        <w:jc w:val="both"/>
        <w:ind w:right="20" w:firstLine="948"/>
        <w:spacing w:after="0" w:line="286" w:lineRule="auto"/>
        <w:tabs>
          <w:tab w:leader="none" w:pos="1306" w:val="left"/>
        </w:tabs>
        <w:numPr>
          <w:ilvl w:val="0"/>
          <w:numId w:val="88"/>
        </w:numPr>
        <w:rPr>
          <w:rFonts w:ascii="Arial" w:cs="Arial" w:eastAsia="Arial" w:hAnsi="Arial"/>
          <w:sz w:val="17"/>
          <w:szCs w:val="17"/>
          <w:b w:val="1"/>
          <w:bCs w:val="1"/>
          <w:color w:val="auto"/>
        </w:rPr>
      </w:pPr>
      <w:r>
        <w:rPr>
          <w:rFonts w:ascii="Arial" w:cs="Arial" w:eastAsia="Arial" w:hAnsi="Arial"/>
          <w:sz w:val="17"/>
          <w:szCs w:val="17"/>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57" w:lineRule="exact"/>
        <w:rPr>
          <w:rFonts w:ascii="Arial" w:cs="Arial" w:eastAsia="Arial" w:hAnsi="Arial"/>
          <w:sz w:val="17"/>
          <w:szCs w:val="17"/>
          <w:b w:val="1"/>
          <w:bCs w:val="1"/>
          <w:color w:val="auto"/>
        </w:rPr>
      </w:pPr>
    </w:p>
    <w:p>
      <w:pPr>
        <w:ind w:right="60" w:firstLine="948"/>
        <w:spacing w:after="0" w:line="269" w:lineRule="auto"/>
        <w:tabs>
          <w:tab w:leader="none" w:pos="1356" w:val="left"/>
        </w:tabs>
        <w:numPr>
          <w:ilvl w:val="0"/>
          <w:numId w:val="88"/>
        </w:numPr>
        <w:rPr>
          <w:rFonts w:ascii="Arial" w:cs="Arial" w:eastAsia="Arial" w:hAnsi="Arial"/>
          <w:sz w:val="17"/>
          <w:szCs w:val="17"/>
          <w:b w:val="1"/>
          <w:bCs w:val="1"/>
          <w:color w:val="auto"/>
        </w:rPr>
      </w:pPr>
      <w:r>
        <w:rPr>
          <w:rFonts w:ascii="Arial" w:cs="Arial" w:eastAsia="Arial" w:hAnsi="Arial"/>
          <w:sz w:val="17"/>
          <w:szCs w:val="17"/>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other employees (except that, subject to the limitations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Arial" w:cs="Arial" w:eastAsia="Arial" w:hAnsi="Arial"/>
          <w:sz w:val="17"/>
          <w:szCs w:val="17"/>
          <w:u w:val="single" w:color="auto"/>
          <w:color w:val="auto"/>
        </w:rPr>
        <w:t>Part 2.16(h)</w:t>
      </w:r>
      <w:r>
        <w:rPr>
          <w:rFonts w:ascii="Arial" w:cs="Arial" w:eastAsia="Arial" w:hAnsi="Arial"/>
          <w:sz w:val="17"/>
          <w:szCs w:val="17"/>
          <w:color w:val="auto"/>
        </w:rPr>
        <w:t xml:space="preserve"> of the Company Disclosure Schedule or as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and (3) take Code Section 280G-related mitigation actions to the extent permitted by </w:t>
      </w:r>
      <w:r>
        <w:rPr>
          <w:rFonts w:ascii="Arial" w:cs="Arial" w:eastAsia="Arial" w:hAnsi="Arial"/>
          <w:sz w:val="17"/>
          <w:szCs w:val="17"/>
          <w:u w:val="single" w:color="auto"/>
          <w:color w:val="auto"/>
        </w:rPr>
        <w:t>Part</w:t>
      </w:r>
      <w:r>
        <w:rPr>
          <w:rFonts w:ascii="Arial" w:cs="Arial" w:eastAsia="Arial" w:hAnsi="Arial"/>
          <w:sz w:val="17"/>
          <w:szCs w:val="17"/>
          <w:color w:val="auto"/>
        </w:rPr>
        <w:t xml:space="preserve"> </w:t>
      </w:r>
      <w:r>
        <w:rPr>
          <w:rFonts w:ascii="Arial" w:cs="Arial" w:eastAsia="Arial" w:hAnsi="Arial"/>
          <w:sz w:val="17"/>
          <w:szCs w:val="17"/>
          <w:u w:val="single" w:color="auto"/>
          <w:color w:val="auto"/>
        </w:rPr>
        <w:t>4.2(b)(xiii)</w:t>
      </w:r>
      <w:r>
        <w:rPr>
          <w:rFonts w:ascii="Arial" w:cs="Arial" w:eastAsia="Arial" w:hAnsi="Arial"/>
          <w:sz w:val="17"/>
          <w:szCs w:val="17"/>
          <w:color w:val="auto"/>
        </w:rPr>
        <w:t xml:space="preserve"> of the Company Disclosure Schedule);</w:t>
      </w:r>
    </w:p>
    <w:p>
      <w:pPr>
        <w:spacing w:after="0" w:line="70" w:lineRule="exact"/>
        <w:rPr>
          <w:rFonts w:ascii="Arial" w:cs="Arial" w:eastAsia="Arial" w:hAnsi="Arial"/>
          <w:sz w:val="17"/>
          <w:szCs w:val="17"/>
          <w:b w:val="1"/>
          <w:bCs w:val="1"/>
          <w:color w:val="auto"/>
        </w:rPr>
      </w:pPr>
    </w:p>
    <w:p>
      <w:pPr>
        <w:ind w:firstLine="948"/>
        <w:spacing w:after="0" w:line="296" w:lineRule="auto"/>
        <w:tabs>
          <w:tab w:leader="none" w:pos="1347" w:val="left"/>
        </w:tabs>
        <w:numPr>
          <w:ilvl w:val="0"/>
          <w:numId w:val="88"/>
        </w:numPr>
        <w:rPr>
          <w:rFonts w:ascii="Arial" w:cs="Arial" w:eastAsia="Arial" w:hAnsi="Arial"/>
          <w:sz w:val="16"/>
          <w:szCs w:val="16"/>
          <w:b w:val="1"/>
          <w:bCs w:val="1"/>
          <w:color w:val="auto"/>
        </w:rPr>
      </w:pPr>
      <w:r>
        <w:rPr>
          <w:rFonts w:ascii="Arial" w:cs="Arial" w:eastAsia="Arial" w:hAnsi="Arial"/>
          <w:sz w:val="16"/>
          <w:szCs w:val="16"/>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Arial" w:cs="Arial" w:eastAsia="Arial" w:hAnsi="Arial"/>
          <w:sz w:val="16"/>
          <w:szCs w:val="16"/>
          <w:u w:val="single" w:color="auto"/>
          <w:color w:val="auto"/>
        </w:rPr>
        <w:t>Section 2.16(a)</w:t>
      </w:r>
      <w:r>
        <w:rPr>
          <w:rFonts w:ascii="Arial" w:cs="Arial" w:eastAsia="Arial" w:hAnsi="Arial"/>
          <w:sz w:val="16"/>
          <w:szCs w:val="16"/>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53" w:lineRule="exact"/>
        <w:rPr>
          <w:rFonts w:ascii="Arial" w:cs="Arial" w:eastAsia="Arial" w:hAnsi="Arial"/>
          <w:sz w:val="16"/>
          <w:szCs w:val="16"/>
          <w:b w:val="1"/>
          <w:bCs w:val="1"/>
          <w:color w:val="auto"/>
        </w:rPr>
      </w:pPr>
    </w:p>
    <w:p>
      <w:pPr>
        <w:ind w:right="20" w:firstLine="948"/>
        <w:spacing w:after="0" w:line="255" w:lineRule="auto"/>
        <w:tabs>
          <w:tab w:leader="none" w:pos="1297" w:val="left"/>
        </w:tabs>
        <w:numPr>
          <w:ilvl w:val="0"/>
          <w:numId w:val="88"/>
        </w:numPr>
        <w:rPr>
          <w:rFonts w:ascii="Arial" w:cs="Arial" w:eastAsia="Arial" w:hAnsi="Arial"/>
          <w:sz w:val="18"/>
          <w:szCs w:val="18"/>
          <w:b w:val="1"/>
          <w:bCs w:val="1"/>
          <w:color w:val="auto"/>
        </w:rPr>
      </w:pPr>
      <w:r>
        <w:rPr>
          <w:rFonts w:ascii="Arial" w:cs="Arial" w:eastAsia="Arial" w:hAnsi="Arial"/>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84" w:lineRule="exact"/>
        <w:rPr>
          <w:rFonts w:ascii="Arial" w:cs="Arial" w:eastAsia="Arial" w:hAnsi="Arial"/>
          <w:sz w:val="18"/>
          <w:szCs w:val="18"/>
          <w:b w:val="1"/>
          <w:bCs w:val="1"/>
          <w:color w:val="auto"/>
        </w:rPr>
      </w:pPr>
    </w:p>
    <w:p>
      <w:pPr>
        <w:ind w:right="60" w:firstLine="948"/>
        <w:spacing w:after="0" w:line="293" w:lineRule="auto"/>
        <w:tabs>
          <w:tab w:leader="none" w:pos="1347" w:val="left"/>
        </w:tabs>
        <w:numPr>
          <w:ilvl w:val="0"/>
          <w:numId w:val="88"/>
        </w:numPr>
        <w:rPr>
          <w:rFonts w:ascii="Arial" w:cs="Arial" w:eastAsia="Arial" w:hAnsi="Arial"/>
          <w:sz w:val="16"/>
          <w:szCs w:val="16"/>
          <w:b w:val="1"/>
          <w:bCs w:val="1"/>
          <w:color w:val="auto"/>
        </w:rPr>
      </w:pPr>
      <w:r>
        <w:rPr>
          <w:rFonts w:ascii="Arial" w:cs="Arial" w:eastAsia="Arial" w:hAnsi="Arial"/>
          <w:sz w:val="16"/>
          <w:szCs w:val="16"/>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97"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540"/>
          </w:cols>
          <w:pgMar w:left="880" w:top="274" w:right="479" w:bottom="1440" w:gutter="0" w:footer="0" w:header="0"/>
        </w:sectPr>
      </w:pPr>
    </w:p>
    <w:bookmarkStart w:id="52" w:name="page53"/>
    <w:bookmarkEnd w:id="52"/>
    <w:p>
      <w:pPr>
        <w:ind w:left="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agreement relating to Taxes, (D) request any ruling, closing agreement or similar guidance with respect to a material amount of Taxes or (E) incur any liability for Taxes other than in the ordinary course of business;</w:t>
      </w:r>
    </w:p>
    <w:p>
      <w:pPr>
        <w:spacing w:after="0" w:line="62" w:lineRule="exact"/>
        <w:rPr>
          <w:sz w:val="20"/>
          <w:szCs w:val="20"/>
          <w:color w:val="auto"/>
        </w:rPr>
      </w:pPr>
    </w:p>
    <w:p>
      <w:pPr>
        <w:ind w:left="440" w:right="60" w:firstLine="948"/>
        <w:spacing w:after="0" w:line="293" w:lineRule="auto"/>
        <w:tabs>
          <w:tab w:leader="none" w:pos="1836" w:val="left"/>
        </w:tabs>
        <w:numPr>
          <w:ilvl w:val="0"/>
          <w:numId w:val="89"/>
        </w:numPr>
        <w:rPr>
          <w:rFonts w:ascii="Arial" w:cs="Arial" w:eastAsia="Arial" w:hAnsi="Arial"/>
          <w:sz w:val="16"/>
          <w:szCs w:val="16"/>
          <w:b w:val="1"/>
          <w:bCs w:val="1"/>
          <w:color w:val="auto"/>
        </w:rPr>
      </w:pPr>
      <w:r>
        <w:rPr>
          <w:rFonts w:ascii="Arial" w:cs="Arial" w:eastAsia="Arial" w:hAnsi="Arial"/>
          <w:sz w:val="16"/>
          <w:szCs w:val="16"/>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Arial" w:cs="Arial" w:eastAsia="Arial" w:hAnsi="Arial"/>
          <w:sz w:val="16"/>
          <w:szCs w:val="16"/>
          <w:u w:val="single" w:color="auto"/>
          <w:color w:val="auto"/>
        </w:rPr>
        <w:t>Section 5.15</w:t>
      </w:r>
      <w:r>
        <w:rPr>
          <w:rFonts w:ascii="Arial" w:cs="Arial" w:eastAsia="Arial" w:hAnsi="Arial"/>
          <w:sz w:val="16"/>
          <w:szCs w:val="16"/>
          <w:color w:val="auto"/>
        </w:rPr>
        <w:t>;</w:t>
      </w:r>
    </w:p>
    <w:p>
      <w:pPr>
        <w:spacing w:after="0" w:line="56" w:lineRule="exact"/>
        <w:rPr>
          <w:rFonts w:ascii="Arial" w:cs="Arial" w:eastAsia="Arial" w:hAnsi="Arial"/>
          <w:sz w:val="16"/>
          <w:szCs w:val="16"/>
          <w:b w:val="1"/>
          <w:bCs w:val="1"/>
          <w:color w:val="auto"/>
        </w:rPr>
      </w:pPr>
    </w:p>
    <w:p>
      <w:pPr>
        <w:ind w:left="440" w:right="20" w:firstLine="948"/>
        <w:spacing w:after="0" w:line="259" w:lineRule="auto"/>
        <w:tabs>
          <w:tab w:leader="none" w:pos="1886"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8" w:lineRule="exact"/>
        <w:rPr>
          <w:rFonts w:ascii="Arial" w:cs="Arial" w:eastAsia="Arial" w:hAnsi="Arial"/>
          <w:sz w:val="18"/>
          <w:szCs w:val="18"/>
          <w:b w:val="1"/>
          <w:bCs w:val="1"/>
          <w:color w:val="auto"/>
        </w:rPr>
      </w:pPr>
    </w:p>
    <w:p>
      <w:pPr>
        <w:ind w:left="440" w:firstLine="948"/>
        <w:spacing w:after="0" w:line="301" w:lineRule="auto"/>
        <w:tabs>
          <w:tab w:leader="none" w:pos="1787" w:val="left"/>
        </w:tabs>
        <w:numPr>
          <w:ilvl w:val="0"/>
          <w:numId w:val="89"/>
        </w:numPr>
        <w:rPr>
          <w:rFonts w:ascii="Arial" w:cs="Arial" w:eastAsia="Arial" w:hAnsi="Arial"/>
          <w:sz w:val="16"/>
          <w:szCs w:val="16"/>
          <w:b w:val="1"/>
          <w:bCs w:val="1"/>
          <w:color w:val="auto"/>
        </w:rPr>
      </w:pPr>
      <w:r>
        <w:rPr>
          <w:rFonts w:ascii="Arial" w:cs="Arial" w:eastAsia="Arial" w:hAnsi="Arial"/>
          <w:sz w:val="16"/>
          <w:szCs w:val="16"/>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49" w:lineRule="exact"/>
        <w:rPr>
          <w:rFonts w:ascii="Arial" w:cs="Arial" w:eastAsia="Arial" w:hAnsi="Arial"/>
          <w:sz w:val="16"/>
          <w:szCs w:val="16"/>
          <w:b w:val="1"/>
          <w:bCs w:val="1"/>
          <w:color w:val="auto"/>
        </w:rPr>
      </w:pPr>
    </w:p>
    <w:p>
      <w:pPr>
        <w:ind w:left="1740" w:hanging="352"/>
        <w:spacing w:after="0"/>
        <w:tabs>
          <w:tab w:leader="none" w:pos="1740"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 xml:space="preserve">convene any special meeting of the Company’s stockholders, except in accordance with </w:t>
      </w:r>
      <w:r>
        <w:rPr>
          <w:rFonts w:ascii="Arial" w:cs="Arial" w:eastAsia="Arial" w:hAnsi="Arial"/>
          <w:sz w:val="18"/>
          <w:szCs w:val="18"/>
          <w:u w:val="single" w:color="auto"/>
          <w:color w:val="auto"/>
        </w:rPr>
        <w:t>Section 5.2</w:t>
      </w:r>
      <w:r>
        <w:rPr>
          <w:rFonts w:ascii="Arial" w:cs="Arial" w:eastAsia="Arial" w:hAnsi="Arial"/>
          <w:sz w:val="18"/>
          <w:szCs w:val="18"/>
          <w:color w:val="auto"/>
        </w:rPr>
        <w:t>;</w:t>
      </w:r>
    </w:p>
    <w:p>
      <w:pPr>
        <w:spacing w:after="0" w:line="117" w:lineRule="exact"/>
        <w:rPr>
          <w:rFonts w:ascii="Arial" w:cs="Arial" w:eastAsia="Arial" w:hAnsi="Arial"/>
          <w:sz w:val="18"/>
          <w:szCs w:val="18"/>
          <w:b w:val="1"/>
          <w:bCs w:val="1"/>
          <w:color w:val="auto"/>
        </w:rPr>
      </w:pPr>
    </w:p>
    <w:p>
      <w:pPr>
        <w:ind w:left="440" w:right="20" w:firstLine="948"/>
        <w:spacing w:after="0" w:line="263" w:lineRule="auto"/>
        <w:tabs>
          <w:tab w:leader="none" w:pos="1787"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75" w:lineRule="exact"/>
        <w:rPr>
          <w:rFonts w:ascii="Arial" w:cs="Arial" w:eastAsia="Arial" w:hAnsi="Arial"/>
          <w:sz w:val="18"/>
          <w:szCs w:val="18"/>
          <w:b w:val="1"/>
          <w:bCs w:val="1"/>
          <w:color w:val="auto"/>
        </w:rPr>
      </w:pPr>
    </w:p>
    <w:p>
      <w:pPr>
        <w:ind w:left="1840" w:hanging="452"/>
        <w:spacing w:after="0"/>
        <w:tabs>
          <w:tab w:leader="none" w:pos="1840" w:val="left"/>
        </w:tabs>
        <w:numPr>
          <w:ilvl w:val="0"/>
          <w:numId w:val="89"/>
        </w:numPr>
        <w:rPr>
          <w:rFonts w:ascii="Arial" w:cs="Arial" w:eastAsia="Arial" w:hAnsi="Arial"/>
          <w:sz w:val="17"/>
          <w:szCs w:val="17"/>
          <w:b w:val="1"/>
          <w:bCs w:val="1"/>
          <w:color w:val="auto"/>
        </w:rPr>
      </w:pPr>
      <w:r>
        <w:rPr>
          <w:rFonts w:ascii="Arial" w:cs="Arial" w:eastAsia="Arial" w:hAnsi="Arial"/>
          <w:sz w:val="17"/>
          <w:szCs w:val="17"/>
          <w:color w:val="auto"/>
        </w:rPr>
        <w:t>become party to or approve or adopt any stockholder rights plan or “poison pill” agreement or similar takeover protection;</w:t>
      </w:r>
    </w:p>
    <w:p>
      <w:pPr>
        <w:spacing w:after="0" w:line="128" w:lineRule="exact"/>
        <w:rPr>
          <w:rFonts w:ascii="Arial" w:cs="Arial" w:eastAsia="Arial" w:hAnsi="Arial"/>
          <w:sz w:val="17"/>
          <w:szCs w:val="17"/>
          <w:b w:val="1"/>
          <w:bCs w:val="1"/>
          <w:color w:val="auto"/>
        </w:rPr>
      </w:pPr>
    </w:p>
    <w:p>
      <w:pPr>
        <w:ind w:left="440" w:right="140" w:firstLine="948"/>
        <w:spacing w:after="0" w:line="263" w:lineRule="auto"/>
        <w:tabs>
          <w:tab w:leader="none" w:pos="1886" w:val="left"/>
        </w:tabs>
        <w:numPr>
          <w:ilvl w:val="0"/>
          <w:numId w:val="89"/>
        </w:numPr>
        <w:rPr>
          <w:rFonts w:ascii="Arial" w:cs="Arial" w:eastAsia="Arial" w:hAnsi="Arial"/>
          <w:sz w:val="18"/>
          <w:szCs w:val="18"/>
          <w:b w:val="1"/>
          <w:bCs w:val="1"/>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5" w:lineRule="exact"/>
        <w:rPr>
          <w:rFonts w:ascii="Arial" w:cs="Arial" w:eastAsia="Arial" w:hAnsi="Arial"/>
          <w:sz w:val="18"/>
          <w:szCs w:val="18"/>
          <w:b w:val="1"/>
          <w:bCs w:val="1"/>
          <w:color w:val="auto"/>
        </w:rPr>
      </w:pPr>
    </w:p>
    <w:p>
      <w:pPr>
        <w:ind w:left="1880" w:hanging="492"/>
        <w:spacing w:after="0"/>
        <w:tabs>
          <w:tab w:leader="none" w:pos="1880" w:val="left"/>
        </w:tabs>
        <w:numPr>
          <w:ilvl w:val="0"/>
          <w:numId w:val="89"/>
        </w:numPr>
        <w:rPr>
          <w:rFonts w:ascii="Arial" w:cs="Arial" w:eastAsia="Arial" w:hAnsi="Arial"/>
          <w:sz w:val="17"/>
          <w:szCs w:val="17"/>
          <w:b w:val="1"/>
          <w:bCs w:val="1"/>
          <w:color w:val="auto"/>
        </w:rPr>
      </w:pPr>
      <w:r>
        <w:rPr>
          <w:rFonts w:ascii="Arial" w:cs="Arial" w:eastAsia="Arial" w:hAnsi="Arial"/>
          <w:sz w:val="17"/>
          <w:szCs w:val="17"/>
          <w:color w:val="auto"/>
        </w:rPr>
        <w:t>authorize, approve, agree, commit or offer to take any of the actions described in clauses “(i)” through “(xxiii)” of this</w:t>
      </w:r>
    </w:p>
    <w:p>
      <w:pPr>
        <w:spacing w:after="0" w:line="34" w:lineRule="exact"/>
        <w:rPr>
          <w:rFonts w:ascii="Arial" w:cs="Arial" w:eastAsia="Arial" w:hAnsi="Arial"/>
          <w:sz w:val="17"/>
          <w:szCs w:val="17"/>
          <w:b w:val="1"/>
          <w:bCs w:val="1"/>
          <w:color w:val="auto"/>
        </w:rPr>
      </w:pPr>
    </w:p>
    <w:p>
      <w:pPr>
        <w:ind w:left="44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11" w:lineRule="exact"/>
        <w:rPr>
          <w:sz w:val="20"/>
          <w:szCs w:val="20"/>
          <w:color w:val="auto"/>
        </w:rPr>
      </w:pPr>
    </w:p>
    <w:p>
      <w:pPr>
        <w:spacing w:after="0"/>
        <w:rPr>
          <w:sz w:val="20"/>
          <w:szCs w:val="20"/>
          <w:color w:val="auto"/>
        </w:rPr>
      </w:pPr>
      <w:r>
        <w:rPr>
          <w:rFonts w:ascii="Arial" w:cs="Arial" w:eastAsia="Arial" w:hAnsi="Arial"/>
          <w:sz w:val="17"/>
          <w:szCs w:val="17"/>
          <w:color w:val="auto"/>
        </w:rPr>
        <w:t>Notwithstanding the foregoing, Marvell will not unreasonably withhold, delay or condition its consent to the taking of: (1) any action prohibited by</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clause “(v)(A),” “(vi),” “(vii),” “(x),” “(xi),” “(xiv),” “(xv)(A),” “(xv)(C),” “(xvi),” “(xvii)(B),” “(xxi)” or “(xxiii)” above; or (2) any action prohibited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by clause “(xxiv)” above (to the extent relating to clause “(v)(A),” “(vi),” “(vii),” “(x),” “(xi),” “(xiv),” “(xv)(A),” “(xv)(C),” “(xvi),” “(xvii)(B),”</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 xml:space="preserve">“(xxi)” or “(xxiii)” above). Marvell acknowledges and agrees that nothing contained in this </w:t>
      </w:r>
      <w:r>
        <w:rPr>
          <w:rFonts w:ascii="Arial" w:cs="Arial" w:eastAsia="Arial" w:hAnsi="Arial"/>
          <w:sz w:val="17"/>
          <w:szCs w:val="17"/>
          <w:u w:val="single" w:color="auto"/>
          <w:color w:val="auto"/>
        </w:rPr>
        <w:t>Section 4.2(b)</w:t>
      </w:r>
      <w:r>
        <w:rPr>
          <w:rFonts w:ascii="Arial" w:cs="Arial" w:eastAsia="Arial" w:hAnsi="Arial"/>
          <w:sz w:val="17"/>
          <w:szCs w:val="17"/>
          <w:color w:val="auto"/>
        </w:rPr>
        <w:t xml:space="preserve"> shall give Marvell the right to control or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direct the operations of the Company within the meaning of applicable antitrust laws. If the Company expects to rely on clause “(w)” of this</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u w:val="single" w:color="auto"/>
          <w:color w:val="auto"/>
        </w:rPr>
        <w:t>Section 4.2(b)</w:t>
      </w:r>
      <w:r>
        <w:rPr>
          <w:rFonts w:ascii="Arial" w:cs="Arial" w:eastAsia="Arial" w:hAnsi="Arial"/>
          <w:sz w:val="16"/>
          <w:szCs w:val="16"/>
          <w:color w:val="auto"/>
        </w:rPr>
        <w:t xml:space="preserve"> to take, or permit any other Inphi Entity to take, any action that would otherwise be prohibited by this </w:t>
      </w:r>
      <w:r>
        <w:rPr>
          <w:rFonts w:ascii="Arial" w:cs="Arial" w:eastAsia="Arial" w:hAnsi="Arial"/>
          <w:sz w:val="16"/>
          <w:szCs w:val="16"/>
          <w:u w:val="single" w:color="auto"/>
          <w:color w:val="auto"/>
        </w:rPr>
        <w:t>Section 4.2(b)</w:t>
      </w:r>
      <w:r>
        <w:rPr>
          <w:rFonts w:ascii="Arial" w:cs="Arial" w:eastAsia="Arial" w:hAnsi="Arial"/>
          <w:sz w:val="16"/>
          <w:szCs w:val="16"/>
          <w:color w:val="auto"/>
        </w:rPr>
        <w:t>, then at least three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Business Days before such action is taken, the Company shall deliver a written notice to Marvell stating that the Company intends to take or permit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taking of such action and specifying the Legal Requirement requiring the taking of such action.</w:t>
      </w:r>
    </w:p>
    <w:p>
      <w:pPr>
        <w:spacing w:after="0" w:line="211" w:lineRule="exact"/>
        <w:rPr>
          <w:sz w:val="20"/>
          <w:szCs w:val="20"/>
          <w:color w:val="auto"/>
        </w:rPr>
      </w:pPr>
    </w:p>
    <w:p>
      <w:pPr>
        <w:ind w:right="80" w:firstLine="987"/>
        <w:spacing w:after="0" w:line="277" w:lineRule="auto"/>
        <w:tabs>
          <w:tab w:leader="none" w:pos="1236" w:val="left"/>
        </w:tabs>
        <w:numPr>
          <w:ilvl w:val="0"/>
          <w:numId w:val="90"/>
        </w:numPr>
        <w:rPr>
          <w:rFonts w:ascii="Arial" w:cs="Arial" w:eastAsia="Arial" w:hAnsi="Arial"/>
          <w:sz w:val="18"/>
          <w:szCs w:val="18"/>
          <w:b w:val="1"/>
          <w:bCs w:val="1"/>
          <w:color w:val="auto"/>
        </w:rPr>
      </w:pPr>
      <w:r>
        <w:rPr>
          <w:rFonts w:ascii="Arial" w:cs="Arial" w:eastAsia="Arial" w:hAnsi="Arial"/>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0940"/>
          </w:cols>
          <w:pgMar w:left="440" w:top="274" w:right="519" w:bottom="1440" w:gutter="0" w:footer="0" w:header="0"/>
        </w:sectPr>
      </w:pPr>
    </w:p>
    <w:bookmarkStart w:id="53" w:name="page54"/>
    <w:bookmarkEnd w:id="5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delayed), (y) as expressly contemplated by this Agreement or (z) as set forth in </w:t>
      </w:r>
      <w:r>
        <w:rPr>
          <w:rFonts w:ascii="Arial" w:cs="Arial" w:eastAsia="Arial" w:hAnsi="Arial"/>
          <w:sz w:val="18"/>
          <w:szCs w:val="18"/>
          <w:u w:val="single" w:color="auto"/>
          <w:color w:val="auto"/>
        </w:rPr>
        <w:t>Part 4.2(c)</w:t>
      </w:r>
      <w:r>
        <w:rPr>
          <w:rFonts w:ascii="Arial" w:cs="Arial" w:eastAsia="Arial" w:hAnsi="Arial"/>
          <w:sz w:val="18"/>
          <w:szCs w:val="18"/>
          <w:color w:val="auto"/>
        </w:rPr>
        <w:t xml:space="preserve"> of the Marvell Disclosure Schedule:</w:t>
      </w:r>
    </w:p>
    <w:p>
      <w:pPr>
        <w:spacing w:after="0" w:line="117" w:lineRule="exact"/>
        <w:rPr>
          <w:sz w:val="20"/>
          <w:szCs w:val="20"/>
          <w:color w:val="auto"/>
        </w:rPr>
      </w:pPr>
    </w:p>
    <w:p>
      <w:pPr>
        <w:jc w:val="both"/>
        <w:ind w:left="440" w:right="220" w:firstLine="948"/>
        <w:spacing w:after="0" w:line="311" w:lineRule="auto"/>
        <w:tabs>
          <w:tab w:leader="none" w:pos="1607" w:val="left"/>
        </w:tabs>
        <w:numPr>
          <w:ilvl w:val="1"/>
          <w:numId w:val="91"/>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0" w:lineRule="exact"/>
        <w:rPr>
          <w:rFonts w:ascii="Arial" w:cs="Arial" w:eastAsia="Arial" w:hAnsi="Arial"/>
          <w:sz w:val="16"/>
          <w:szCs w:val="16"/>
          <w:b w:val="1"/>
          <w:bCs w:val="1"/>
          <w:color w:val="auto"/>
        </w:rPr>
      </w:pPr>
    </w:p>
    <w:p>
      <w:pPr>
        <w:ind w:left="440" w:right="160" w:firstLine="948"/>
        <w:spacing w:after="0" w:line="263" w:lineRule="auto"/>
        <w:tabs>
          <w:tab w:leader="none" w:pos="1657" w:val="left"/>
        </w:tabs>
        <w:numPr>
          <w:ilvl w:val="1"/>
          <w:numId w:val="91"/>
        </w:numPr>
        <w:rPr>
          <w:rFonts w:ascii="Arial" w:cs="Arial" w:eastAsia="Arial" w:hAnsi="Arial"/>
          <w:sz w:val="18"/>
          <w:szCs w:val="18"/>
          <w:b w:val="1"/>
          <w:bCs w:val="1"/>
          <w:color w:val="auto"/>
        </w:rPr>
      </w:pPr>
      <w:r>
        <w:rPr>
          <w:rFonts w:ascii="Arial" w:cs="Arial" w:eastAsia="Arial" w:hAnsi="Arial"/>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75" w:lineRule="exact"/>
        <w:rPr>
          <w:rFonts w:ascii="Arial" w:cs="Arial" w:eastAsia="Arial" w:hAnsi="Arial"/>
          <w:sz w:val="18"/>
          <w:szCs w:val="18"/>
          <w:b w:val="1"/>
          <w:bCs w:val="1"/>
          <w:color w:val="auto"/>
        </w:rPr>
      </w:pPr>
    </w:p>
    <w:p>
      <w:pPr>
        <w:ind w:left="440" w:right="580" w:firstLine="948"/>
        <w:spacing w:after="0" w:line="277" w:lineRule="auto"/>
        <w:tabs>
          <w:tab w:leader="none" w:pos="1707" w:val="left"/>
        </w:tabs>
        <w:numPr>
          <w:ilvl w:val="1"/>
          <w:numId w:val="91"/>
        </w:numPr>
        <w:rPr>
          <w:rFonts w:ascii="Arial" w:cs="Arial" w:eastAsia="Arial" w:hAnsi="Arial"/>
          <w:sz w:val="18"/>
          <w:szCs w:val="18"/>
          <w:b w:val="1"/>
          <w:bCs w:val="1"/>
          <w:color w:val="auto"/>
        </w:rPr>
      </w:pPr>
      <w:r>
        <w:rPr>
          <w:rFonts w:ascii="Arial" w:cs="Arial" w:eastAsia="Arial" w:hAnsi="Arial"/>
          <w:sz w:val="18"/>
          <w:szCs w:val="18"/>
          <w:color w:val="auto"/>
        </w:rPr>
        <w:t>Marvell shall not, and shall not permit HoldCo to, adopt a plan of complete or partial liquidation, dissolution, bankruptcy restructuring or other similar reorganization;</w:t>
      </w:r>
    </w:p>
    <w:p>
      <w:pPr>
        <w:spacing w:after="0" w:line="62" w:lineRule="exact"/>
        <w:rPr>
          <w:rFonts w:ascii="Arial" w:cs="Arial" w:eastAsia="Arial" w:hAnsi="Arial"/>
          <w:sz w:val="18"/>
          <w:szCs w:val="18"/>
          <w:b w:val="1"/>
          <w:bCs w:val="1"/>
          <w:color w:val="auto"/>
        </w:rPr>
      </w:pPr>
    </w:p>
    <w:p>
      <w:pPr>
        <w:ind w:left="440" w:firstLine="948"/>
        <w:spacing w:after="0" w:line="285" w:lineRule="auto"/>
        <w:tabs>
          <w:tab w:leader="none" w:pos="1696" w:val="left"/>
        </w:tabs>
        <w:numPr>
          <w:ilvl w:val="1"/>
          <w:numId w:val="91"/>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1" w:lineRule="exact"/>
        <w:rPr>
          <w:rFonts w:ascii="Arial" w:cs="Arial" w:eastAsia="Arial" w:hAnsi="Arial"/>
          <w:sz w:val="16"/>
          <w:szCs w:val="16"/>
          <w:b w:val="1"/>
          <w:bCs w:val="1"/>
          <w:color w:val="auto"/>
        </w:rPr>
      </w:pPr>
    </w:p>
    <w:p>
      <w:pPr>
        <w:ind w:left="440" w:right="40" w:hanging="4"/>
        <w:spacing w:after="0" w:line="255" w:lineRule="auto"/>
        <w:tabs>
          <w:tab w:leader="none" w:pos="695"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cause any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not to be satisfied by the End Date (as it may be extended in accordance with </w:t>
      </w:r>
      <w:r>
        <w:rPr>
          <w:rFonts w:ascii="Arial" w:cs="Arial" w:eastAsia="Arial" w:hAnsi="Arial"/>
          <w:sz w:val="18"/>
          <w:szCs w:val="18"/>
          <w:u w:val="single" w:color="auto"/>
          <w:color w:val="auto"/>
        </w:rPr>
        <w:t>Section 8.1(b)</w:t>
      </w:r>
      <w:r>
        <w:rPr>
          <w:rFonts w:ascii="Arial" w:cs="Arial" w:eastAsia="Arial" w:hAnsi="Arial"/>
          <w:sz w:val="18"/>
          <w:szCs w:val="18"/>
          <w:color w:val="auto"/>
        </w:rPr>
        <w:t>), it being understood that, for purposes of this clause “(iv),” all references to “15%” in the definition of “Marvell Acquisition Transaction” shall be deemed to be references to “50%”; and</w:t>
      </w:r>
    </w:p>
    <w:p>
      <w:pPr>
        <w:spacing w:after="0" w:line="81" w:lineRule="exact"/>
        <w:rPr>
          <w:rFonts w:ascii="Arial" w:cs="Arial" w:eastAsia="Arial" w:hAnsi="Arial"/>
          <w:sz w:val="18"/>
          <w:szCs w:val="18"/>
          <w:color w:val="auto"/>
        </w:rPr>
      </w:pPr>
    </w:p>
    <w:p>
      <w:pPr>
        <w:ind w:left="1640" w:hanging="252"/>
        <w:spacing w:after="0"/>
        <w:tabs>
          <w:tab w:leader="none" w:pos="1640" w:val="left"/>
        </w:tabs>
        <w:numPr>
          <w:ilvl w:val="1"/>
          <w:numId w:val="92"/>
        </w:numPr>
        <w:rPr>
          <w:rFonts w:ascii="Arial" w:cs="Arial" w:eastAsia="Arial" w:hAnsi="Arial"/>
          <w:sz w:val="17"/>
          <w:szCs w:val="17"/>
          <w:b w:val="1"/>
          <w:bCs w:val="1"/>
          <w:color w:val="auto"/>
        </w:rPr>
      </w:pPr>
      <w:r>
        <w:rPr>
          <w:rFonts w:ascii="Arial" w:cs="Arial" w:eastAsia="Arial" w:hAnsi="Arial"/>
          <w:sz w:val="17"/>
          <w:szCs w:val="17"/>
          <w:color w:val="auto"/>
        </w:rPr>
        <w:t>Marvell shall not authorize, agree, commit or offer to take any of the actions described in clauses “(i)” through “(iii)” of this</w:t>
      </w:r>
    </w:p>
    <w:p>
      <w:pPr>
        <w:spacing w:after="0" w:line="34" w:lineRule="exact"/>
        <w:rPr>
          <w:rFonts w:ascii="Arial" w:cs="Arial" w:eastAsia="Arial" w:hAnsi="Arial"/>
          <w:sz w:val="17"/>
          <w:szCs w:val="17"/>
          <w:b w:val="1"/>
          <w:bCs w:val="1"/>
          <w:color w:val="auto"/>
        </w:rPr>
      </w:pPr>
    </w:p>
    <w:p>
      <w:pPr>
        <w:ind w:left="44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4.2(c)</w:t>
      </w:r>
      <w:r>
        <w:rPr>
          <w:rFonts w:ascii="Arial" w:cs="Arial" w:eastAsia="Arial" w:hAnsi="Arial"/>
          <w:sz w:val="18"/>
          <w:szCs w:val="18"/>
          <w:color w:val="auto"/>
        </w:rPr>
        <w:t>.</w:t>
      </w:r>
    </w:p>
    <w:p>
      <w:pPr>
        <w:spacing w:after="0" w:line="211" w:lineRule="exact"/>
        <w:rPr>
          <w:sz w:val="20"/>
          <w:szCs w:val="20"/>
          <w:color w:val="auto"/>
        </w:rPr>
      </w:pPr>
    </w:p>
    <w:p>
      <w:pPr>
        <w:ind w:right="220"/>
        <w:spacing w:after="0" w:line="311" w:lineRule="auto"/>
        <w:rPr>
          <w:sz w:val="20"/>
          <w:szCs w:val="20"/>
          <w:color w:val="auto"/>
        </w:rPr>
      </w:pPr>
      <w:r>
        <w:rPr>
          <w:rFonts w:ascii="Arial" w:cs="Arial" w:eastAsia="Arial" w:hAnsi="Arial"/>
          <w:sz w:val="16"/>
          <w:szCs w:val="16"/>
          <w:color w:val="auto"/>
        </w:rPr>
        <w:t xml:space="preserve">If Marvell expects to rely on clause “(w)” of this </w:t>
      </w:r>
      <w:r>
        <w:rPr>
          <w:rFonts w:ascii="Arial" w:cs="Arial" w:eastAsia="Arial" w:hAnsi="Arial"/>
          <w:sz w:val="16"/>
          <w:szCs w:val="16"/>
          <w:u w:val="single" w:color="auto"/>
          <w:color w:val="auto"/>
        </w:rPr>
        <w:t>Section 4.2(c)</w:t>
      </w:r>
      <w:r>
        <w:rPr>
          <w:rFonts w:ascii="Arial" w:cs="Arial" w:eastAsia="Arial" w:hAnsi="Arial"/>
          <w:sz w:val="16"/>
          <w:szCs w:val="16"/>
          <w:color w:val="auto"/>
        </w:rPr>
        <w:t xml:space="preserve"> to take, or permit any other Marvell Entity to take, any action that would otherwise be prohibited by this </w:t>
      </w:r>
      <w:r>
        <w:rPr>
          <w:rFonts w:ascii="Arial" w:cs="Arial" w:eastAsia="Arial" w:hAnsi="Arial"/>
          <w:sz w:val="16"/>
          <w:szCs w:val="16"/>
          <w:u w:val="single" w:color="auto"/>
          <w:color w:val="auto"/>
        </w:rPr>
        <w:t>Section 4.2(c)</w:t>
      </w:r>
      <w:r>
        <w:rPr>
          <w:rFonts w:ascii="Arial" w:cs="Arial" w:eastAsia="Arial" w:hAnsi="Arial"/>
          <w:sz w:val="16"/>
          <w:szCs w:val="16"/>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49" w:lineRule="exact"/>
        <w:rPr>
          <w:sz w:val="20"/>
          <w:szCs w:val="20"/>
          <w:color w:val="auto"/>
        </w:rPr>
      </w:pPr>
    </w:p>
    <w:p>
      <w:pPr>
        <w:ind w:right="300" w:firstLine="987"/>
        <w:spacing w:after="0" w:line="277" w:lineRule="auto"/>
        <w:tabs>
          <w:tab w:leader="none" w:pos="1256" w:val="left"/>
        </w:tabs>
        <w:numPr>
          <w:ilvl w:val="0"/>
          <w:numId w:val="93"/>
        </w:numPr>
        <w:rPr>
          <w:rFonts w:ascii="Arial" w:cs="Arial" w:eastAsia="Arial" w:hAnsi="Arial"/>
          <w:sz w:val="18"/>
          <w:szCs w:val="18"/>
          <w:b w:val="1"/>
          <w:bCs w:val="1"/>
          <w:color w:val="auto"/>
        </w:rPr>
      </w:pPr>
      <w:r>
        <w:rPr>
          <w:rFonts w:ascii="Arial" w:cs="Arial" w:eastAsia="Arial" w:hAnsi="Arial"/>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4.3 No Solicitation by the Company</w:t>
      </w:r>
      <w:r>
        <w:rPr>
          <w:rFonts w:ascii="Arial" w:cs="Arial" w:eastAsia="Arial" w:hAnsi="Arial"/>
          <w:sz w:val="18"/>
          <w:szCs w:val="18"/>
          <w:color w:val="auto"/>
        </w:rPr>
        <w:t>.</w:t>
      </w:r>
    </w:p>
    <w:p>
      <w:pPr>
        <w:spacing w:after="0" w:line="229" w:lineRule="exact"/>
        <w:rPr>
          <w:sz w:val="20"/>
          <w:szCs w:val="20"/>
          <w:color w:val="auto"/>
        </w:rPr>
      </w:pPr>
    </w:p>
    <w:p>
      <w:pPr>
        <w:ind w:right="20" w:firstLine="987"/>
        <w:spacing w:after="0" w:line="269" w:lineRule="auto"/>
        <w:tabs>
          <w:tab w:leader="none" w:pos="1246" w:val="left"/>
        </w:tabs>
        <w:numPr>
          <w:ilvl w:val="0"/>
          <w:numId w:val="94"/>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4.3(b)</w:t>
      </w:r>
      <w:r>
        <w:rPr>
          <w:rFonts w:ascii="Arial" w:cs="Arial" w:eastAsia="Arial" w:hAnsi="Arial"/>
          <w:sz w:val="17"/>
          <w:szCs w:val="17"/>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Arial" w:cs="Arial" w:eastAsia="Arial" w:hAnsi="Arial"/>
          <w:sz w:val="17"/>
          <w:szCs w:val="17"/>
          <w:u w:val="single" w:color="auto"/>
          <w:color w:val="auto"/>
        </w:rPr>
        <w:t>Section 4.3(b)</w:t>
      </w:r>
      <w:r>
        <w:rPr>
          <w:rFonts w:ascii="Arial" w:cs="Arial" w:eastAsia="Arial" w:hAnsi="Arial"/>
          <w:sz w:val="17"/>
          <w:szCs w:val="17"/>
          <w:color w:val="auto"/>
        </w:rPr>
        <w:t>); or (vi) resolve or publicly propose to take any of the actions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54" w:name="page55"/>
    <w:bookmarkEnd w:id="54"/>
    <w:p>
      <w:pPr>
        <w:ind w:left="4" w:right="2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or do any of the other things described in clauses “(i)” through “(v)” of this sentence;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(x) nothing in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78" w:lineRule="exact"/>
        <w:rPr>
          <w:sz w:val="20"/>
          <w:szCs w:val="20"/>
          <w:color w:val="auto"/>
        </w:rPr>
      </w:pPr>
    </w:p>
    <w:p>
      <w:pPr>
        <w:ind w:left="4" w:firstLine="987"/>
        <w:spacing w:after="0" w:line="282" w:lineRule="auto"/>
        <w:tabs>
          <w:tab w:leader="none" w:pos="1260" w:val="left"/>
        </w:tabs>
        <w:numPr>
          <w:ilvl w:val="1"/>
          <w:numId w:val="95"/>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but subject to </w:t>
      </w:r>
      <w:r>
        <w:rPr>
          <w:rFonts w:ascii="Arial" w:cs="Arial" w:eastAsia="Arial" w:hAnsi="Arial"/>
          <w:sz w:val="16"/>
          <w:szCs w:val="16"/>
          <w:u w:val="single" w:color="auto"/>
          <w:color w:val="auto"/>
        </w:rPr>
        <w:t>Section 4.3(c)</w:t>
      </w:r>
      <w:r>
        <w:rPr>
          <w:rFonts w:ascii="Arial" w:cs="Arial" w:eastAsia="Arial" w:hAnsi="Arial"/>
          <w:sz w:val="16"/>
          <w:szCs w:val="16"/>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be disregarded); and</w:t>
      </w:r>
    </w:p>
    <w:p>
      <w:pPr>
        <w:spacing w:after="0" w:line="10" w:lineRule="exact"/>
        <w:rPr>
          <w:rFonts w:ascii="Arial" w:cs="Arial" w:eastAsia="Arial" w:hAnsi="Arial"/>
          <w:sz w:val="16"/>
          <w:szCs w:val="16"/>
          <w:b w:val="1"/>
          <w:bCs w:val="1"/>
          <w:color w:val="auto"/>
        </w:rPr>
      </w:pPr>
    </w:p>
    <w:p>
      <w:pPr>
        <w:ind w:left="4" w:right="180" w:hanging="4"/>
        <w:spacing w:after="0" w:line="260" w:lineRule="auto"/>
        <w:tabs>
          <w:tab w:leader="none" w:pos="259" w:val="left"/>
        </w:tabs>
        <w:numPr>
          <w:ilvl w:val="0"/>
          <w:numId w:val="96"/>
        </w:numPr>
        <w:rPr>
          <w:rFonts w:ascii="Arial" w:cs="Arial" w:eastAsia="Arial" w:hAnsi="Arial"/>
          <w:sz w:val="18"/>
          <w:szCs w:val="18"/>
          <w:color w:val="auto"/>
        </w:rPr>
      </w:pPr>
      <w:r>
        <w:rPr>
          <w:rFonts w:ascii="Arial" w:cs="Arial" w:eastAsia="Arial" w:hAnsi="Arial"/>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5" w:lineRule="exact"/>
        <w:rPr>
          <w:rFonts w:ascii="Arial" w:cs="Arial" w:eastAsia="Arial" w:hAnsi="Arial"/>
          <w:sz w:val="18"/>
          <w:szCs w:val="18"/>
          <w:color w:val="auto"/>
        </w:rPr>
      </w:pPr>
    </w:p>
    <w:p>
      <w:pPr>
        <w:ind w:left="4" w:right="200" w:firstLine="987"/>
        <w:spacing w:after="0" w:line="285" w:lineRule="auto"/>
        <w:tabs>
          <w:tab w:leader="none" w:pos="1240" w:val="left"/>
        </w:tabs>
        <w:numPr>
          <w:ilvl w:val="1"/>
          <w:numId w:val="96"/>
        </w:numPr>
        <w:rPr>
          <w:rFonts w:ascii="Arial" w:cs="Arial" w:eastAsia="Arial" w:hAnsi="Arial"/>
          <w:sz w:val="16"/>
          <w:szCs w:val="16"/>
          <w:b w:val="1"/>
          <w:bCs w:val="1"/>
          <w:color w:val="auto"/>
        </w:rPr>
      </w:pPr>
      <w:r>
        <w:rPr>
          <w:rFonts w:ascii="Arial" w:cs="Arial" w:eastAsia="Arial" w:hAnsi="Arial"/>
          <w:sz w:val="16"/>
          <w:szCs w:val="16"/>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1" w:lineRule="exact"/>
        <w:rPr>
          <w:rFonts w:ascii="Arial" w:cs="Arial" w:eastAsia="Arial" w:hAnsi="Arial"/>
          <w:sz w:val="16"/>
          <w:szCs w:val="16"/>
          <w:b w:val="1"/>
          <w:bCs w:val="1"/>
          <w:color w:val="auto"/>
        </w:rPr>
      </w:pPr>
    </w:p>
    <w:p>
      <w:pPr>
        <w:ind w:left="4" w:right="20" w:hanging="4"/>
        <w:spacing w:after="0" w:line="253" w:lineRule="auto"/>
        <w:tabs>
          <w:tab w:leader="none" w:pos="269" w:val="left"/>
        </w:tabs>
        <w:numPr>
          <w:ilvl w:val="0"/>
          <w:numId w:val="97"/>
        </w:numPr>
        <w:rPr>
          <w:rFonts w:ascii="Arial" w:cs="Arial" w:eastAsia="Arial" w:hAnsi="Arial"/>
          <w:sz w:val="18"/>
          <w:szCs w:val="18"/>
          <w:color w:val="auto"/>
        </w:rPr>
      </w:pPr>
      <w:r>
        <w:rPr>
          <w:rFonts w:ascii="Arial" w:cs="Arial" w:eastAsia="Arial" w:hAnsi="Arial"/>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0984"/>
          </w:cols>
          <w:pgMar w:left="436" w:top="274" w:right="479" w:bottom="1440" w:gutter="0" w:footer="0" w:header="0"/>
        </w:sectPr>
      </w:pPr>
    </w:p>
    <w:bookmarkStart w:id="55" w:name="page56"/>
    <w:bookmarkEnd w:id="55"/>
    <w:p>
      <w:pPr>
        <w:ind w:right="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78" w:lineRule="exact"/>
        <w:rPr>
          <w:sz w:val="20"/>
          <w:szCs w:val="20"/>
          <w:color w:val="auto"/>
        </w:rPr>
      </w:pPr>
    </w:p>
    <w:p>
      <w:pPr>
        <w:ind w:firstLine="987"/>
        <w:spacing w:after="0" w:line="254" w:lineRule="auto"/>
        <w:tabs>
          <w:tab w:leader="none" w:pos="1256" w:val="left"/>
        </w:tabs>
        <w:numPr>
          <w:ilvl w:val="0"/>
          <w:numId w:val="98"/>
        </w:numPr>
        <w:rPr>
          <w:rFonts w:ascii="Arial" w:cs="Arial" w:eastAsia="Arial" w:hAnsi="Arial"/>
          <w:sz w:val="18"/>
          <w:szCs w:val="18"/>
          <w:b w:val="1"/>
          <w:bCs w:val="1"/>
          <w:color w:val="auto"/>
        </w:rPr>
      </w:pPr>
      <w:r>
        <w:rPr>
          <w:rFonts w:ascii="Arial" w:cs="Arial" w:eastAsia="Arial" w:hAnsi="Arial"/>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Arial" w:cs="Arial" w:eastAsia="Arial" w:hAnsi="Arial"/>
          <w:sz w:val="18"/>
          <w:szCs w:val="18"/>
          <w:b w:val="1"/>
          <w:bCs w:val="1"/>
          <w:color w:val="auto"/>
        </w:rPr>
      </w:pPr>
    </w:p>
    <w:p>
      <w:pPr>
        <w:ind w:firstLine="987"/>
        <w:spacing w:after="0" w:line="269" w:lineRule="auto"/>
        <w:tabs>
          <w:tab w:leader="none" w:pos="1236" w:val="left"/>
        </w:tabs>
        <w:numPr>
          <w:ilvl w:val="0"/>
          <w:numId w:val="98"/>
        </w:numPr>
        <w:rPr>
          <w:rFonts w:ascii="Arial" w:cs="Arial" w:eastAsia="Arial" w:hAnsi="Arial"/>
          <w:sz w:val="17"/>
          <w:szCs w:val="17"/>
          <w:b w:val="1"/>
          <w:bCs w:val="1"/>
          <w:color w:val="auto"/>
        </w:rPr>
      </w:pPr>
      <w:r>
        <w:rPr>
          <w:rFonts w:ascii="Arial" w:cs="Arial" w:eastAsia="Arial" w:hAnsi="Arial"/>
          <w:sz w:val="17"/>
          <w:szCs w:val="17"/>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the Company may release a Person from, or amend or waive any provision of, any “standstill” agreement or provision if (A)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85" w:lineRule="exact"/>
        <w:rPr>
          <w:rFonts w:ascii="Arial" w:cs="Arial" w:eastAsia="Arial" w:hAnsi="Arial"/>
          <w:sz w:val="17"/>
          <w:szCs w:val="17"/>
          <w:b w:val="1"/>
          <w:bCs w:val="1"/>
          <w:color w:val="auto"/>
        </w:rPr>
      </w:pPr>
    </w:p>
    <w:p>
      <w:pPr>
        <w:ind w:right="120" w:firstLine="987"/>
        <w:spacing w:after="0" w:line="263" w:lineRule="auto"/>
        <w:tabs>
          <w:tab w:leader="none" w:pos="1216" w:val="left"/>
        </w:tabs>
        <w:numPr>
          <w:ilvl w:val="0"/>
          <w:numId w:val="98"/>
        </w:numPr>
        <w:rPr>
          <w:rFonts w:ascii="Arial" w:cs="Arial" w:eastAsia="Arial" w:hAnsi="Arial"/>
          <w:sz w:val="18"/>
          <w:szCs w:val="18"/>
          <w:b w:val="1"/>
          <w:bCs w:val="1"/>
          <w:color w:val="auto"/>
        </w:rPr>
      </w:pPr>
      <w:r>
        <w:rPr>
          <w:rFonts w:ascii="Arial" w:cs="Arial" w:eastAsia="Arial" w:hAnsi="Arial"/>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shall be deemed to constitute a breach of such provision by the Company.</w:t>
      </w:r>
    </w:p>
    <w:p>
      <w:pPr>
        <w:spacing w:after="0" w:line="18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4.4 No Solicitation by Marvell</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93" w:lineRule="auto"/>
        <w:tabs>
          <w:tab w:leader="none" w:pos="1246" w:val="left"/>
        </w:tabs>
        <w:numPr>
          <w:ilvl w:val="0"/>
          <w:numId w:val="99"/>
        </w:numPr>
        <w:rPr>
          <w:rFonts w:ascii="Arial" w:cs="Arial" w:eastAsia="Arial" w:hAnsi="Arial"/>
          <w:sz w:val="16"/>
          <w:szCs w:val="16"/>
          <w:b w:val="1"/>
          <w:bCs w:val="1"/>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and to limit its discussion exclusively to such referral); (iv) approve, endorse or recommend any</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0980"/>
          </w:cols>
          <w:pgMar w:left="440" w:top="274" w:right="479" w:bottom="1440" w:gutter="0" w:footer="0" w:header="0"/>
        </w:sectPr>
      </w:pPr>
    </w:p>
    <w:bookmarkStart w:id="56" w:name="page57"/>
    <w:bookmarkEnd w:id="56"/>
    <w:p>
      <w:pPr>
        <w:ind w:left="4" w:right="4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that is expressly conditioned on the termination of this Agreement; or (vi) resolve or publicly propose to take any of the actions or do any of the other things described in clauses “(i)” through “(v)” of this sentence;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w:t>
      </w:r>
    </w:p>
    <w:p>
      <w:pPr>
        <w:spacing w:after="0" w:line="1" w:lineRule="exact"/>
        <w:rPr>
          <w:sz w:val="20"/>
          <w:szCs w:val="20"/>
          <w:color w:val="auto"/>
        </w:rPr>
      </w:pPr>
    </w:p>
    <w:p>
      <w:pPr>
        <w:ind w:left="264" w:hanging="264"/>
        <w:spacing w:after="0"/>
        <w:tabs>
          <w:tab w:leader="none" w:pos="264" w:val="left"/>
        </w:tabs>
        <w:numPr>
          <w:ilvl w:val="0"/>
          <w:numId w:val="100"/>
        </w:numPr>
        <w:rPr>
          <w:rFonts w:ascii="Arial" w:cs="Arial" w:eastAsia="Arial" w:hAnsi="Arial"/>
          <w:sz w:val="17"/>
          <w:szCs w:val="17"/>
          <w:color w:val="auto"/>
        </w:rPr>
      </w:pPr>
      <w:r>
        <w:rPr>
          <w:rFonts w:ascii="Arial" w:cs="Arial" w:eastAsia="Arial" w:hAnsi="Arial"/>
          <w:sz w:val="17"/>
          <w:szCs w:val="17"/>
          <w:color w:val="auto"/>
        </w:rPr>
        <w:t xml:space="preserve">nothing in this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shall prohibit Marvell or its Representatives from contacting in writing, on a single occasion, any Person who,</w:t>
      </w:r>
    </w:p>
    <w:p>
      <w:pPr>
        <w:spacing w:after="0" w:line="20" w:lineRule="exact"/>
        <w:rPr>
          <w:rFonts w:ascii="Arial" w:cs="Arial" w:eastAsia="Arial" w:hAnsi="Arial"/>
          <w:sz w:val="17"/>
          <w:szCs w:val="17"/>
          <w:color w:val="auto"/>
        </w:rPr>
      </w:pPr>
    </w:p>
    <w:p>
      <w:pPr>
        <w:ind w:left="4" w:right="100"/>
        <w:spacing w:after="0" w:line="290" w:lineRule="auto"/>
        <w:rPr>
          <w:rFonts w:ascii="Arial" w:cs="Arial" w:eastAsia="Arial" w:hAnsi="Arial"/>
          <w:sz w:val="17"/>
          <w:szCs w:val="17"/>
          <w:color w:val="auto"/>
        </w:rPr>
      </w:pPr>
      <w:r>
        <w:rPr>
          <w:rFonts w:ascii="Arial" w:cs="Arial" w:eastAsia="Arial" w:hAnsi="Arial"/>
          <w:sz w:val="16"/>
          <w:szCs w:val="16"/>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63" w:lineRule="exact"/>
        <w:rPr>
          <w:rFonts w:ascii="Arial" w:cs="Arial" w:eastAsia="Arial" w:hAnsi="Arial"/>
          <w:sz w:val="17"/>
          <w:szCs w:val="17"/>
          <w:color w:val="auto"/>
        </w:rPr>
      </w:pPr>
    </w:p>
    <w:p>
      <w:pPr>
        <w:ind w:left="4" w:right="40" w:firstLine="987"/>
        <w:spacing w:after="0" w:line="268" w:lineRule="auto"/>
        <w:tabs>
          <w:tab w:leader="none" w:pos="1260" w:val="left"/>
        </w:tabs>
        <w:numPr>
          <w:ilvl w:val="1"/>
          <w:numId w:val="100"/>
        </w:numPr>
        <w:rPr>
          <w:rFonts w:ascii="Arial" w:cs="Arial" w:eastAsia="Arial" w:hAnsi="Arial"/>
          <w:sz w:val="17"/>
          <w:szCs w:val="17"/>
          <w:b w:val="1"/>
          <w:bCs w:val="1"/>
          <w:color w:val="auto"/>
        </w:rPr>
      </w:pPr>
      <w:r>
        <w:rPr>
          <w:rFonts w:ascii="Arial" w:cs="Arial" w:eastAsia="Arial" w:hAnsi="Arial"/>
          <w:sz w:val="17"/>
          <w:szCs w:val="17"/>
          <w:color w:val="auto"/>
        </w:rPr>
        <w:t xml:space="preserve">Notwithstanding anything to the contrary contained in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but subject to </w:t>
      </w:r>
      <w:r>
        <w:rPr>
          <w:rFonts w:ascii="Arial" w:cs="Arial" w:eastAsia="Arial" w:hAnsi="Arial"/>
          <w:sz w:val="17"/>
          <w:szCs w:val="17"/>
          <w:u w:val="single" w:color="auto"/>
          <w:color w:val="auto"/>
        </w:rPr>
        <w:t>Section 4.4(c)</w:t>
      </w:r>
      <w:r>
        <w:rPr>
          <w:rFonts w:ascii="Arial" w:cs="Arial" w:eastAsia="Arial" w:hAnsi="Arial"/>
          <w:sz w:val="17"/>
          <w:szCs w:val="17"/>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79" w:lineRule="exact"/>
        <w:rPr>
          <w:rFonts w:ascii="Arial" w:cs="Arial" w:eastAsia="Arial" w:hAnsi="Arial"/>
          <w:sz w:val="17"/>
          <w:szCs w:val="17"/>
          <w:b w:val="1"/>
          <w:bCs w:val="1"/>
          <w:color w:val="auto"/>
        </w:rPr>
      </w:pPr>
    </w:p>
    <w:p>
      <w:pPr>
        <w:ind w:left="4" w:firstLine="987"/>
        <w:spacing w:after="0" w:line="269" w:lineRule="auto"/>
        <w:tabs>
          <w:tab w:leader="none" w:pos="1240" w:val="left"/>
        </w:tabs>
        <w:numPr>
          <w:ilvl w:val="1"/>
          <w:numId w:val="100"/>
        </w:numPr>
        <w:rPr>
          <w:rFonts w:ascii="Arial" w:cs="Arial" w:eastAsia="Arial" w:hAnsi="Arial"/>
          <w:sz w:val="17"/>
          <w:szCs w:val="17"/>
          <w:b w:val="1"/>
          <w:bCs w:val="1"/>
          <w:color w:val="auto"/>
        </w:rPr>
      </w:pPr>
      <w:r>
        <w:rPr>
          <w:rFonts w:ascii="Arial" w:cs="Arial" w:eastAsia="Arial" w:hAnsi="Arial"/>
          <w:sz w:val="17"/>
          <w:szCs w:val="17"/>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1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004"/>
          </w:cols>
          <w:pgMar w:left="436" w:top="274" w:right="459" w:bottom="1440" w:gutter="0" w:footer="0" w:header="0"/>
        </w:sectPr>
      </w:pPr>
    </w:p>
    <w:bookmarkStart w:id="57" w:name="page58"/>
    <w:bookmarkEnd w:id="57"/>
    <w:p>
      <w:pPr>
        <w:ind w:left="4" w:right="2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7" w:lineRule="exact"/>
        <w:rPr>
          <w:sz w:val="20"/>
          <w:szCs w:val="20"/>
          <w:color w:val="auto"/>
        </w:rPr>
      </w:pPr>
    </w:p>
    <w:p>
      <w:pPr>
        <w:ind w:left="4" w:right="60" w:firstLine="987"/>
        <w:spacing w:after="0" w:line="263" w:lineRule="auto"/>
        <w:tabs>
          <w:tab w:leader="none" w:pos="1260" w:val="left"/>
        </w:tabs>
        <w:numPr>
          <w:ilvl w:val="0"/>
          <w:numId w:val="101"/>
        </w:numPr>
        <w:rPr>
          <w:rFonts w:ascii="Arial" w:cs="Arial" w:eastAsia="Arial" w:hAnsi="Arial"/>
          <w:sz w:val="18"/>
          <w:szCs w:val="18"/>
          <w:b w:val="1"/>
          <w:bCs w:val="1"/>
          <w:color w:val="auto"/>
        </w:rPr>
      </w:pPr>
      <w:r>
        <w:rPr>
          <w:rFonts w:ascii="Arial" w:cs="Arial" w:eastAsia="Arial" w:hAnsi="Arial"/>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Arial" w:cs="Arial" w:eastAsia="Arial" w:hAnsi="Arial"/>
          <w:sz w:val="18"/>
          <w:szCs w:val="18"/>
          <w:u w:val="single" w:color="auto"/>
          <w:color w:val="auto"/>
        </w:rPr>
        <w:t>Section 4.4</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shall be deemed to constitute a breach of such provision by Marvell.</w:t>
      </w:r>
    </w:p>
    <w:p>
      <w:pPr>
        <w:spacing w:after="0" w:line="183" w:lineRule="exact"/>
        <w:rPr>
          <w:rFonts w:ascii="Arial" w:cs="Arial" w:eastAsia="Arial" w:hAnsi="Arial"/>
          <w:sz w:val="18"/>
          <w:szCs w:val="18"/>
          <w:b w:val="1"/>
          <w:bCs w:val="1"/>
          <w:color w:val="auto"/>
        </w:rPr>
      </w:pPr>
    </w:p>
    <w:p>
      <w:pPr>
        <w:ind w:left="4" w:right="40" w:firstLine="987"/>
        <w:spacing w:after="0" w:line="301" w:lineRule="auto"/>
        <w:tabs>
          <w:tab w:leader="none" w:pos="1240" w:val="left"/>
        </w:tabs>
        <w:numPr>
          <w:ilvl w:val="0"/>
          <w:numId w:val="101"/>
        </w:numPr>
        <w:rPr>
          <w:rFonts w:ascii="Arial" w:cs="Arial" w:eastAsia="Arial" w:hAnsi="Arial"/>
          <w:sz w:val="16"/>
          <w:szCs w:val="16"/>
          <w:b w:val="1"/>
          <w:bCs w:val="1"/>
          <w:color w:val="auto"/>
        </w:rPr>
      </w:pPr>
      <w:r>
        <w:rPr>
          <w:rFonts w:ascii="Arial" w:cs="Arial" w:eastAsia="Arial" w:hAnsi="Arial"/>
          <w:sz w:val="16"/>
          <w:szCs w:val="16"/>
          <w:color w:val="auto"/>
        </w:rPr>
        <w:t xml:space="preserve">Nothing in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61"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4"/>
          <w:szCs w:val="14"/>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ARTIES</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5.1 Registration Statement; Joint Proxy Statement/Prospectus</w:t>
      </w:r>
      <w:r>
        <w:rPr>
          <w:rFonts w:ascii="Arial" w:cs="Arial" w:eastAsia="Arial" w:hAnsi="Arial"/>
          <w:sz w:val="18"/>
          <w:szCs w:val="18"/>
          <w:color w:val="auto"/>
        </w:rPr>
        <w:t>.</w:t>
      </w:r>
    </w:p>
    <w:p>
      <w:pPr>
        <w:spacing w:after="0" w:line="229" w:lineRule="exact"/>
        <w:rPr>
          <w:sz w:val="20"/>
          <w:szCs w:val="20"/>
          <w:color w:val="auto"/>
        </w:rPr>
      </w:pPr>
    </w:p>
    <w:p>
      <w:pPr>
        <w:ind w:left="4" w:right="20" w:firstLine="987"/>
        <w:spacing w:after="0" w:line="287" w:lineRule="auto"/>
        <w:tabs>
          <w:tab w:leader="none" w:pos="1250" w:val="left"/>
        </w:tabs>
        <w:numPr>
          <w:ilvl w:val="1"/>
          <w:numId w:val="102"/>
        </w:numPr>
        <w:rPr>
          <w:rFonts w:ascii="Arial" w:cs="Arial" w:eastAsia="Arial" w:hAnsi="Arial"/>
          <w:sz w:val="16"/>
          <w:szCs w:val="16"/>
          <w:b w:val="1"/>
          <w:bCs w:val="1"/>
          <w:color w:val="auto"/>
        </w:rPr>
      </w:pPr>
      <w:r>
        <w:rPr>
          <w:rFonts w:ascii="Arial" w:cs="Arial" w:eastAsia="Arial" w:hAnsi="Arial"/>
          <w:sz w:val="16"/>
          <w:szCs w:val="16"/>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2" w:lineRule="exact"/>
        <w:rPr>
          <w:rFonts w:ascii="Arial" w:cs="Arial" w:eastAsia="Arial" w:hAnsi="Arial"/>
          <w:sz w:val="16"/>
          <w:szCs w:val="16"/>
          <w:b w:val="1"/>
          <w:bCs w:val="1"/>
          <w:color w:val="auto"/>
        </w:rPr>
      </w:pPr>
    </w:p>
    <w:p>
      <w:pPr>
        <w:ind w:left="4" w:hanging="4"/>
        <w:spacing w:after="0" w:line="266" w:lineRule="auto"/>
        <w:tabs>
          <w:tab w:leader="none" w:pos="219" w:val="left"/>
        </w:tabs>
        <w:numPr>
          <w:ilvl w:val="0"/>
          <w:numId w:val="103"/>
        </w:numPr>
        <w:rPr>
          <w:rFonts w:ascii="Arial" w:cs="Arial" w:eastAsia="Arial" w:hAnsi="Arial"/>
          <w:sz w:val="17"/>
          <w:szCs w:val="17"/>
          <w:color w:val="auto"/>
        </w:rPr>
      </w:pPr>
      <w:r>
        <w:rPr>
          <w:rFonts w:ascii="Arial" w:cs="Arial" w:eastAsia="Arial" w:hAnsi="Arial"/>
          <w:sz w:val="17"/>
          <w:szCs w:val="17"/>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Arial" w:cs="Arial" w:eastAsia="Arial" w:hAnsi="Arial"/>
          <w:sz w:val="17"/>
          <w:szCs w:val="17"/>
          <w:u w:val="single" w:color="auto"/>
          <w:color w:val="auto"/>
        </w:rPr>
        <w:t>Section 5.1</w:t>
      </w:r>
      <w:r>
        <w:rPr>
          <w:rFonts w:ascii="Arial" w:cs="Arial" w:eastAsia="Arial" w:hAnsi="Arial"/>
          <w:sz w:val="17"/>
          <w:szCs w:val="17"/>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1" w:lineRule="exact"/>
        <w:rPr>
          <w:rFonts w:ascii="Arial" w:cs="Arial" w:eastAsia="Arial" w:hAnsi="Arial"/>
          <w:sz w:val="17"/>
          <w:szCs w:val="17"/>
          <w:color w:val="auto"/>
        </w:rPr>
      </w:pPr>
    </w:p>
    <w:p>
      <w:pPr>
        <w:ind w:left="1264" w:hanging="273"/>
        <w:spacing w:after="0"/>
        <w:tabs>
          <w:tab w:leader="none" w:pos="1264" w:val="left"/>
        </w:tabs>
        <w:numPr>
          <w:ilvl w:val="1"/>
          <w:numId w:val="103"/>
        </w:numPr>
        <w:rPr>
          <w:rFonts w:ascii="Arial" w:cs="Arial" w:eastAsia="Arial" w:hAnsi="Arial"/>
          <w:sz w:val="16"/>
          <w:szCs w:val="16"/>
          <w:b w:val="1"/>
          <w:bCs w:val="1"/>
          <w:color w:val="auto"/>
        </w:rPr>
      </w:pPr>
      <w:r>
        <w:rPr>
          <w:rFonts w:ascii="Arial" w:cs="Arial" w:eastAsia="Arial" w:hAnsi="Arial"/>
          <w:sz w:val="16"/>
          <w:szCs w:val="16"/>
          <w:color w:val="auto"/>
        </w:rPr>
        <w:t>If the Company or Marvell becomes aware of any information that should be disclosed in an amendment or supplement to the Form</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7"/>
          <w:szCs w:val="17"/>
          <w:color w:val="auto"/>
        </w:rPr>
        <w:t>S-4 Registration Statement or the Joint Proxy Statement/Prospectus, then such party shall: (i) promptly inform the other Principal Party thereof;</w:t>
      </w:r>
    </w:p>
    <w:p>
      <w:pPr>
        <w:spacing w:after="0" w:line="21" w:lineRule="exact"/>
        <w:rPr>
          <w:sz w:val="20"/>
          <w:szCs w:val="20"/>
          <w:color w:val="auto"/>
        </w:rPr>
      </w:pPr>
    </w:p>
    <w:p>
      <w:pPr>
        <w:ind w:left="4" w:right="300" w:hanging="4"/>
        <w:spacing w:after="0" w:line="260" w:lineRule="auto"/>
        <w:tabs>
          <w:tab w:leader="none" w:pos="269" w:val="left"/>
        </w:tabs>
        <w:numPr>
          <w:ilvl w:val="0"/>
          <w:numId w:val="104"/>
        </w:numPr>
        <w:rPr>
          <w:rFonts w:ascii="Arial" w:cs="Arial" w:eastAsia="Arial" w:hAnsi="Arial"/>
          <w:sz w:val="18"/>
          <w:szCs w:val="18"/>
          <w:color w:val="auto"/>
        </w:rPr>
      </w:pPr>
      <w:r>
        <w:rPr>
          <w:rFonts w:ascii="Arial" w:cs="Arial" w:eastAsia="Arial" w:hAnsi="Arial"/>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004"/>
          </w:cols>
          <w:pgMar w:left="436" w:top="274" w:right="459" w:bottom="1440" w:gutter="0" w:footer="0" w:header="0"/>
        </w:sectPr>
      </w:pPr>
    </w:p>
    <w:bookmarkStart w:id="58" w:name="page59"/>
    <w:bookmarkEnd w:id="58"/>
    <w:p>
      <w:pPr>
        <w:ind w:left="4" w:right="580" w:hanging="4"/>
        <w:spacing w:after="0" w:line="342" w:lineRule="auto"/>
        <w:tabs>
          <w:tab w:leader="none" w:pos="319" w:val="left"/>
        </w:tabs>
        <w:numPr>
          <w:ilvl w:val="0"/>
          <w:numId w:val="10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23" w:lineRule="exact"/>
        <w:rPr>
          <w:rFonts w:ascii="Arial" w:cs="Arial" w:eastAsia="Arial" w:hAnsi="Arial"/>
          <w:sz w:val="16"/>
          <w:szCs w:val="16"/>
          <w:color w:val="auto"/>
        </w:rPr>
      </w:pPr>
    </w:p>
    <w:p>
      <w:pPr>
        <w:ind w:left="4" w:right="60" w:firstLine="987"/>
        <w:spacing w:after="0" w:line="255" w:lineRule="auto"/>
        <w:tabs>
          <w:tab w:leader="none" w:pos="1240" w:val="left"/>
        </w:tabs>
        <w:numPr>
          <w:ilvl w:val="1"/>
          <w:numId w:val="105"/>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8"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4" w:firstLine="987"/>
        <w:spacing w:after="0" w:line="287" w:lineRule="auto"/>
        <w:tabs>
          <w:tab w:leader="none" w:pos="1250" w:val="left"/>
        </w:tabs>
        <w:numPr>
          <w:ilvl w:val="0"/>
          <w:numId w:val="106"/>
        </w:numPr>
        <w:rPr>
          <w:rFonts w:ascii="Arial" w:cs="Arial" w:eastAsia="Arial" w:hAnsi="Arial"/>
          <w:sz w:val="16"/>
          <w:szCs w:val="16"/>
          <w:b w:val="1"/>
          <w:bCs w:val="1"/>
          <w:color w:val="auto"/>
        </w:rPr>
      </w:pPr>
      <w:r>
        <w:rPr>
          <w:rFonts w:ascii="Arial" w:cs="Arial" w:eastAsia="Arial" w:hAnsi="Arial"/>
          <w:sz w:val="16"/>
          <w:szCs w:val="16"/>
          <w:color w:val="auto"/>
        </w:rPr>
        <w:t>The Company: (i) shall take all action necessary under all applicable Legal Requirements to call, give notice of and hold a meeting of the holders of Company Common Stock (the “</w:t>
      </w:r>
      <w:r>
        <w:rPr>
          <w:rFonts w:ascii="Arial" w:cs="Arial" w:eastAsia="Arial" w:hAnsi="Arial"/>
          <w:sz w:val="16"/>
          <w:szCs w:val="16"/>
          <w:u w:val="single" w:color="auto"/>
          <w:color w:val="auto"/>
        </w:rPr>
        <w:t>Company Stockholders’ Meeting</w:t>
      </w:r>
      <w:r>
        <w:rPr>
          <w:rFonts w:ascii="Arial" w:cs="Arial" w:eastAsia="Arial" w:hAnsi="Arial"/>
          <w:sz w:val="16"/>
          <w:szCs w:val="16"/>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71" w:lineRule="exact"/>
        <w:rPr>
          <w:rFonts w:ascii="Arial" w:cs="Arial" w:eastAsia="Arial" w:hAnsi="Arial"/>
          <w:sz w:val="16"/>
          <w:szCs w:val="16"/>
          <w:b w:val="1"/>
          <w:bCs w:val="1"/>
          <w:color w:val="auto"/>
        </w:rPr>
      </w:pPr>
    </w:p>
    <w:p>
      <w:pPr>
        <w:ind w:left="4" w:right="20" w:firstLine="987"/>
        <w:spacing w:after="0" w:line="288" w:lineRule="auto"/>
        <w:tabs>
          <w:tab w:leader="none" w:pos="1260" w:val="left"/>
        </w:tabs>
        <w:numPr>
          <w:ilvl w:val="0"/>
          <w:numId w:val="106"/>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The Company shall use its reasonable best efforts during any such postponement or adjournment to solicit and obtain such proxies in favor of the adoption of this Agreement as soon as reasonably practicable.</w:t>
      </w:r>
    </w:p>
    <w:p>
      <w:pPr>
        <w:spacing w:after="0" w:line="168" w:lineRule="exact"/>
        <w:rPr>
          <w:rFonts w:ascii="Arial" w:cs="Arial" w:eastAsia="Arial" w:hAnsi="Arial"/>
          <w:sz w:val="16"/>
          <w:szCs w:val="16"/>
          <w:b w:val="1"/>
          <w:bCs w:val="1"/>
          <w:color w:val="auto"/>
        </w:rPr>
      </w:pPr>
    </w:p>
    <w:p>
      <w:pPr>
        <w:ind w:left="4" w:firstLine="987"/>
        <w:spacing w:after="0" w:line="301" w:lineRule="auto"/>
        <w:tabs>
          <w:tab w:leader="none" w:pos="1240" w:val="left"/>
        </w:tabs>
        <w:numPr>
          <w:ilvl w:val="0"/>
          <w:numId w:val="106"/>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9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0984"/>
          </w:cols>
          <w:pgMar w:left="436" w:top="274" w:right="479" w:bottom="1440" w:gutter="0" w:footer="0" w:header="0"/>
        </w:sectPr>
      </w:pPr>
    </w:p>
    <w:bookmarkStart w:id="59" w:name="page60"/>
    <w:bookmarkEnd w:id="59"/>
    <w:p>
      <w:pPr>
        <w:ind w:left="4" w:right="280" w:firstLine="987"/>
        <w:spacing w:after="0" w:line="286" w:lineRule="auto"/>
        <w:tabs>
          <w:tab w:leader="none" w:pos="1260" w:val="left"/>
        </w:tabs>
        <w:numPr>
          <w:ilvl w:val="1"/>
          <w:numId w:val="107"/>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Unless there is a Company Adverse Recommendation Change made in accordance with </w:t>
      </w:r>
      <w:r>
        <w:rPr>
          <w:rFonts w:ascii="Arial" w:cs="Arial" w:eastAsia="Arial" w:hAnsi="Arial"/>
          <w:sz w:val="16"/>
          <w:szCs w:val="16"/>
          <w:u w:val="single" w:color="auto"/>
          <w:color w:val="auto"/>
        </w:rPr>
        <w:t>Section 5.2(f)</w:t>
      </w:r>
      <w:r>
        <w:rPr>
          <w:rFonts w:ascii="Arial" w:cs="Arial" w:eastAsia="Arial" w:hAnsi="Arial"/>
          <w:sz w:val="16"/>
          <w:szCs w:val="16"/>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1" w:lineRule="exact"/>
        <w:rPr>
          <w:rFonts w:ascii="Arial" w:cs="Arial" w:eastAsia="Arial" w:hAnsi="Arial"/>
          <w:sz w:val="16"/>
          <w:szCs w:val="16"/>
          <w:b w:val="1"/>
          <w:bCs w:val="1"/>
          <w:color w:val="auto"/>
        </w:rPr>
      </w:pPr>
    </w:p>
    <w:p>
      <w:pPr>
        <w:jc w:val="both"/>
        <w:ind w:left="4" w:right="40" w:hanging="4"/>
        <w:spacing w:after="0" w:line="302" w:lineRule="auto"/>
        <w:tabs>
          <w:tab w:leader="none" w:pos="319" w:val="left"/>
        </w:tabs>
        <w:numPr>
          <w:ilvl w:val="0"/>
          <w:numId w:val="108"/>
        </w:numPr>
        <w:rPr>
          <w:rFonts w:ascii="Arial" w:cs="Arial" w:eastAsia="Arial" w:hAnsi="Arial"/>
          <w:sz w:val="16"/>
          <w:szCs w:val="16"/>
          <w:color w:val="auto"/>
        </w:rPr>
      </w:pPr>
      <w:r>
        <w:rPr>
          <w:rFonts w:ascii="Arial" w:cs="Arial" w:eastAsia="Arial" w:hAnsi="Arial"/>
          <w:sz w:val="16"/>
          <w:szCs w:val="16"/>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Arial" w:cs="Arial" w:eastAsia="Arial" w:hAnsi="Arial"/>
          <w:sz w:val="16"/>
          <w:szCs w:val="16"/>
          <w:u w:val="single" w:color="auto"/>
          <w:color w:val="auto"/>
        </w:rPr>
        <w:t>Company Board Recommendation</w:t>
      </w:r>
      <w:r>
        <w:rPr>
          <w:rFonts w:ascii="Arial" w:cs="Arial" w:eastAsia="Arial" w:hAnsi="Arial"/>
          <w:sz w:val="16"/>
          <w:szCs w:val="16"/>
          <w:color w:val="auto"/>
        </w:rPr>
        <w:t xml:space="preserve">”). The Company shall ensure that the Joint Proxy Statement/Prospectus includes the opinion of the financial advisor referred to in </w:t>
      </w:r>
      <w:r>
        <w:rPr>
          <w:rFonts w:ascii="Arial" w:cs="Arial" w:eastAsia="Arial" w:hAnsi="Arial"/>
          <w:sz w:val="16"/>
          <w:szCs w:val="16"/>
          <w:u w:val="single" w:color="auto"/>
          <w:color w:val="auto"/>
        </w:rPr>
        <w:t>Section 2.25</w:t>
      </w:r>
      <w:r>
        <w:rPr>
          <w:rFonts w:ascii="Arial" w:cs="Arial" w:eastAsia="Arial" w:hAnsi="Arial"/>
          <w:sz w:val="16"/>
          <w:szCs w:val="16"/>
          <w:color w:val="auto"/>
        </w:rPr>
        <w:t>.</w:t>
      </w:r>
    </w:p>
    <w:p>
      <w:pPr>
        <w:spacing w:after="0" w:line="155" w:lineRule="exact"/>
        <w:rPr>
          <w:rFonts w:ascii="Arial" w:cs="Arial" w:eastAsia="Arial" w:hAnsi="Arial"/>
          <w:sz w:val="16"/>
          <w:szCs w:val="16"/>
          <w:color w:val="auto"/>
        </w:rPr>
      </w:pPr>
    </w:p>
    <w:p>
      <w:pPr>
        <w:ind w:left="4" w:firstLine="987"/>
        <w:spacing w:after="0" w:line="284" w:lineRule="auto"/>
        <w:tabs>
          <w:tab w:leader="none" w:pos="1240" w:val="left"/>
        </w:tabs>
        <w:numPr>
          <w:ilvl w:val="1"/>
          <w:numId w:val="108"/>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 5.2(f)</w:t>
      </w:r>
      <w:r>
        <w:rPr>
          <w:rFonts w:ascii="Arial" w:cs="Arial" w:eastAsia="Arial" w:hAnsi="Arial"/>
          <w:sz w:val="16"/>
          <w:szCs w:val="16"/>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Arial" w:cs="Arial" w:eastAsia="Arial" w:hAnsi="Arial"/>
          <w:sz w:val="16"/>
          <w:szCs w:val="16"/>
          <w:u w:val="single" w:color="auto"/>
          <w:color w:val="auto"/>
        </w:rPr>
        <w:t>Company Adverse Recommendation</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w:t>
      </w:r>
      <w:r>
        <w:rPr>
          <w:rFonts w:ascii="Arial" w:cs="Arial" w:eastAsia="Arial" w:hAnsi="Arial"/>
          <w:sz w:val="16"/>
          <w:szCs w:val="16"/>
          <w:color w:val="auto"/>
        </w:rPr>
        <w:t>”); (ii) recommend the approval, acceptance or adoption of, or approve, endorse, accept or adopt, any Company Acquisition Proposal;</w:t>
      </w:r>
    </w:p>
    <w:p>
      <w:pPr>
        <w:spacing w:after="0" w:line="4" w:lineRule="exact"/>
        <w:rPr>
          <w:rFonts w:ascii="Arial" w:cs="Arial" w:eastAsia="Arial" w:hAnsi="Arial"/>
          <w:sz w:val="16"/>
          <w:szCs w:val="16"/>
          <w:b w:val="1"/>
          <w:bCs w:val="1"/>
          <w:color w:val="auto"/>
        </w:rPr>
      </w:pPr>
    </w:p>
    <w:p>
      <w:pPr>
        <w:ind w:left="4" w:right="60" w:hanging="4"/>
        <w:spacing w:after="0" w:line="281" w:lineRule="auto"/>
        <w:tabs>
          <w:tab w:leader="none" w:pos="319" w:val="left"/>
        </w:tabs>
        <w:numPr>
          <w:ilvl w:val="0"/>
          <w:numId w:val="109"/>
        </w:numPr>
        <w:rPr>
          <w:rFonts w:ascii="Arial" w:cs="Arial" w:eastAsia="Arial" w:hAnsi="Arial"/>
          <w:sz w:val="16"/>
          <w:szCs w:val="16"/>
          <w:color w:val="auto"/>
        </w:rPr>
      </w:pPr>
      <w:r>
        <w:rPr>
          <w:rFonts w:ascii="Arial" w:cs="Arial" w:eastAsia="Arial" w:hAnsi="Arial"/>
          <w:sz w:val="16"/>
          <w:szCs w:val="16"/>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spacing w:after="0" w:line="1" w:lineRule="exact"/>
        <w:rPr>
          <w:rFonts w:ascii="Arial" w:cs="Arial" w:eastAsia="Arial" w:hAnsi="Arial"/>
          <w:sz w:val="16"/>
          <w:szCs w:val="16"/>
          <w:color w:val="auto"/>
        </w:rPr>
      </w:pPr>
    </w:p>
    <w:p>
      <w:pPr>
        <w:ind w:left="4" w:right="540"/>
        <w:spacing w:after="0" w:line="260" w:lineRule="auto"/>
        <w:rPr>
          <w:rFonts w:ascii="Arial" w:cs="Arial" w:eastAsia="Arial" w:hAnsi="Arial"/>
          <w:sz w:val="16"/>
          <w:szCs w:val="16"/>
          <w:color w:val="auto"/>
        </w:rPr>
      </w:pPr>
      <w:r>
        <w:rPr>
          <w:rFonts w:ascii="Arial" w:cs="Arial" w:eastAsia="Arial" w:hAnsi="Arial"/>
          <w:sz w:val="18"/>
          <w:szCs w:val="18"/>
          <w:color w:val="auto"/>
        </w:rPr>
        <w:t xml:space="preserve">(B)”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or (iv) resolve, agree or publicly propose, or permit any Inphi Entity or any Representative of any Inphi Entity to agree or publicly propose, to take any of the actions referred to in this </w:t>
      </w:r>
      <w:r>
        <w:rPr>
          <w:rFonts w:ascii="Arial" w:cs="Arial" w:eastAsia="Arial" w:hAnsi="Arial"/>
          <w:sz w:val="18"/>
          <w:szCs w:val="18"/>
          <w:u w:val="single" w:color="auto"/>
          <w:color w:val="auto"/>
        </w:rPr>
        <w:t>Section 5.2(e)</w:t>
      </w:r>
      <w:r>
        <w:rPr>
          <w:rFonts w:ascii="Arial" w:cs="Arial" w:eastAsia="Arial" w:hAnsi="Arial"/>
          <w:sz w:val="18"/>
          <w:szCs w:val="18"/>
          <w:color w:val="auto"/>
        </w:rPr>
        <w:t>.</w:t>
      </w:r>
    </w:p>
    <w:p>
      <w:pPr>
        <w:spacing w:after="0" w:line="185" w:lineRule="exact"/>
        <w:rPr>
          <w:rFonts w:ascii="Arial" w:cs="Arial" w:eastAsia="Arial" w:hAnsi="Arial"/>
          <w:sz w:val="16"/>
          <w:szCs w:val="16"/>
          <w:color w:val="auto"/>
        </w:rPr>
      </w:pPr>
    </w:p>
    <w:p>
      <w:pPr>
        <w:ind w:left="4" w:right="560" w:firstLine="987"/>
        <w:spacing w:after="0" w:line="277" w:lineRule="auto"/>
        <w:tabs>
          <w:tab w:leader="none" w:pos="1220" w:val="left"/>
        </w:tabs>
        <w:numPr>
          <w:ilvl w:val="1"/>
          <w:numId w:val="109"/>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5.2(e)</w:t>
      </w:r>
      <w:r>
        <w:rPr>
          <w:rFonts w:ascii="Arial" w:cs="Arial" w:eastAsia="Arial" w:hAnsi="Arial"/>
          <w:sz w:val="18"/>
          <w:szCs w:val="18"/>
          <w:color w:val="auto"/>
        </w:rPr>
        <w:t>, at any time prior to the adoption of this Agreement by the Required Company Stockholder Vote:</w:t>
      </w:r>
    </w:p>
    <w:p>
      <w:pPr>
        <w:spacing w:after="0" w:line="62" w:lineRule="exact"/>
        <w:rPr>
          <w:rFonts w:ascii="Arial" w:cs="Arial" w:eastAsia="Arial" w:hAnsi="Arial"/>
          <w:sz w:val="18"/>
          <w:szCs w:val="18"/>
          <w:b w:val="1"/>
          <w:bCs w:val="1"/>
          <w:color w:val="auto"/>
        </w:rPr>
      </w:pPr>
    </w:p>
    <w:p>
      <w:pPr>
        <w:ind w:left="444" w:right="40" w:firstLine="948"/>
        <w:spacing w:after="0" w:line="267" w:lineRule="auto"/>
        <w:tabs>
          <w:tab w:leader="none" w:pos="1611" w:val="left"/>
        </w:tabs>
        <w:numPr>
          <w:ilvl w:val="2"/>
          <w:numId w:val="109"/>
        </w:numPr>
        <w:rPr>
          <w:rFonts w:ascii="Arial" w:cs="Arial" w:eastAsia="Arial" w:hAnsi="Arial"/>
          <w:sz w:val="17"/>
          <w:szCs w:val="17"/>
          <w:b w:val="1"/>
          <w:bCs w:val="1"/>
          <w:color w:val="auto"/>
        </w:rPr>
      </w:pPr>
      <w:r>
        <w:rPr>
          <w:rFonts w:ascii="Arial" w:cs="Arial" w:eastAsia="Arial" w:hAnsi="Arial"/>
          <w:sz w:val="17"/>
          <w:szCs w:val="17"/>
          <w:color w:val="auto"/>
        </w:rPr>
        <w:t xml:space="preserve">the Company’s board of directors may make a Company Adverse Recommendation Change and/or cause the Company to terminate this Agreement in accordance with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and, concurrently with such termination, approve, and cause the Company to enter into, a Specified Company Acquisition Agreement in accordance with, and subject to compliance with, the provisions of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delivers to Marvell a written notice (a </w:t>
      </w:r>
      <w:r>
        <w:rPr>
          <w:rFonts w:ascii="Arial" w:cs="Arial" w:eastAsia="Arial" w:hAnsi="Arial"/>
          <w:sz w:val="17"/>
          <w:szCs w:val="17"/>
          <w:u w:val="single" w:color="auto"/>
          <w:color w:val="auto"/>
        </w:rPr>
        <w:t>“Company Recommendation Change Notice</w:t>
      </w:r>
      <w:r>
        <w:rPr>
          <w:rFonts w:ascii="Arial" w:cs="Arial" w:eastAsia="Arial" w:hAnsi="Arial"/>
          <w:sz w:val="17"/>
          <w:szCs w:val="17"/>
          <w:color w:val="auto"/>
        </w:rPr>
        <w:t xml:space="preserve">”) (1) stating that the Company has received a Company Superior Offer that did not result from a breach of any of the provisions of </w:t>
      </w:r>
      <w:r>
        <w:rPr>
          <w:rFonts w:ascii="Arial" w:cs="Arial" w:eastAsia="Arial" w:hAnsi="Arial"/>
          <w:sz w:val="17"/>
          <w:szCs w:val="17"/>
          <w:u w:val="single" w:color="auto"/>
          <w:color w:val="auto"/>
        </w:rPr>
        <w:t>Section 4.3</w:t>
      </w:r>
      <w:r>
        <w:rPr>
          <w:rFonts w:ascii="Arial" w:cs="Arial" w:eastAsia="Arial" w:hAnsi="Arial"/>
          <w:sz w:val="17"/>
          <w:szCs w:val="17"/>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4286885</wp:posOffset>
            </wp:positionH>
            <wp:positionV relativeFrom="paragraph">
              <wp:posOffset>-1677670</wp:posOffset>
            </wp:positionV>
            <wp:extent cx="2857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4" w:lineRule="exact"/>
        <w:rPr>
          <w:sz w:val="20"/>
          <w:szCs w:val="20"/>
          <w:color w:val="auto"/>
        </w:rPr>
      </w:pPr>
    </w:p>
    <w:p>
      <w:pPr>
        <w:jc w:val="center"/>
        <w:ind w:right="-63"/>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0964"/>
          </w:cols>
          <w:pgMar w:left="436" w:top="274" w:right="499" w:bottom="1440" w:gutter="0" w:footer="0" w:header="0"/>
        </w:sectPr>
      </w:pPr>
    </w:p>
    <w:bookmarkStart w:id="60" w:name="page61"/>
    <w:bookmarkEnd w:id="60"/>
    <w:p>
      <w:pPr>
        <w:ind w:left="4" w:right="2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still be inconsistent with the fiduciary obligations of the Company’s board of directors to the Company</w:t>
      </w:r>
      <w:r>
        <w:rPr>
          <w:rFonts w:ascii="Arial" w:cs="Arial" w:eastAsia="Arial" w:hAnsi="Arial"/>
          <w:sz w:val="17"/>
          <w:szCs w:val="17"/>
          <w:u w:val="single" w:color="auto"/>
          <w:color w:val="auto"/>
        </w:rPr>
        <w:t>’</w:t>
      </w:r>
      <w:r>
        <w:rPr>
          <w:rFonts w:ascii="Arial" w:cs="Arial" w:eastAsia="Arial" w:hAnsi="Arial"/>
          <w:sz w:val="17"/>
          <w:szCs w:val="17"/>
          <w:color w:val="auto"/>
        </w:rPr>
        <w:t xml:space="preserve">s stockholders under applicable Delaware law in light of such Company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72" w:lineRule="exact"/>
        <w:rPr>
          <w:sz w:val="20"/>
          <w:szCs w:val="20"/>
          <w:color w:val="auto"/>
        </w:rPr>
      </w:pPr>
    </w:p>
    <w:p>
      <w:pPr>
        <w:ind w:left="4" w:firstLine="948"/>
        <w:spacing w:after="0" w:line="282" w:lineRule="auto"/>
        <w:tabs>
          <w:tab w:leader="none" w:pos="1220" w:val="left"/>
        </w:tabs>
        <w:numPr>
          <w:ilvl w:val="1"/>
          <w:numId w:val="110"/>
        </w:numPr>
        <w:rPr>
          <w:rFonts w:ascii="Arial" w:cs="Arial" w:eastAsia="Arial" w:hAnsi="Arial"/>
          <w:sz w:val="16"/>
          <w:szCs w:val="16"/>
          <w:b w:val="1"/>
          <w:bCs w:val="1"/>
          <w:color w:val="auto"/>
        </w:rPr>
      </w:pPr>
      <w:r>
        <w:rPr>
          <w:rFonts w:ascii="Arial" w:cs="Arial" w:eastAsia="Arial" w:hAnsi="Arial"/>
          <w:sz w:val="16"/>
          <w:szCs w:val="16"/>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Arial" w:cs="Arial" w:eastAsia="Arial" w:hAnsi="Arial"/>
          <w:sz w:val="16"/>
          <w:szCs w:val="16"/>
          <w:u w:val="single" w:color="auto"/>
          <w:color w:val="auto"/>
        </w:rPr>
        <w:t>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 in Circumstances</w:t>
      </w:r>
      <w:r>
        <w:rPr>
          <w:rFonts w:ascii="Arial" w:cs="Arial" w:eastAsia="Arial" w:hAnsi="Arial"/>
          <w:sz w:val="16"/>
          <w:szCs w:val="16"/>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11" w:lineRule="exact"/>
        <w:rPr>
          <w:rFonts w:ascii="Arial" w:cs="Arial" w:eastAsia="Arial" w:hAnsi="Arial"/>
          <w:sz w:val="16"/>
          <w:szCs w:val="16"/>
          <w:b w:val="1"/>
          <w:bCs w:val="1"/>
          <w:color w:val="auto"/>
        </w:rPr>
      </w:pPr>
    </w:p>
    <w:p>
      <w:pPr>
        <w:ind w:left="4" w:right="20" w:hanging="4"/>
        <w:spacing w:after="0" w:line="292" w:lineRule="auto"/>
        <w:tabs>
          <w:tab w:leader="none" w:pos="258" w:val="left"/>
        </w:tabs>
        <w:numPr>
          <w:ilvl w:val="0"/>
          <w:numId w:val="111"/>
        </w:numPr>
        <w:rPr>
          <w:rFonts w:ascii="Arial" w:cs="Arial" w:eastAsia="Arial" w:hAnsi="Arial"/>
          <w:sz w:val="16"/>
          <w:szCs w:val="16"/>
          <w:color w:val="auto"/>
        </w:rPr>
      </w:pPr>
      <w:r>
        <w:rPr>
          <w:rFonts w:ascii="Arial" w:cs="Arial" w:eastAsia="Arial" w:hAnsi="Arial"/>
          <w:sz w:val="16"/>
          <w:szCs w:val="16"/>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95" w:lineRule="exact"/>
        <w:rPr>
          <w:sz w:val="20"/>
          <w:szCs w:val="20"/>
          <w:color w:val="auto"/>
        </w:rPr>
      </w:pPr>
    </w:p>
    <w:p>
      <w:pPr>
        <w:jc w:val="center"/>
        <w:ind w:right="396"/>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544"/>
          </w:cols>
          <w:pgMar w:left="876" w:top="274" w:right="479" w:bottom="1440" w:gutter="0" w:footer="0" w:header="0"/>
        </w:sectPr>
      </w:pPr>
    </w:p>
    <w:bookmarkStart w:id="61" w:name="page62"/>
    <w:bookmarkEnd w:id="61"/>
    <w:p>
      <w:pPr>
        <w:ind w:left="4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w:t>
      </w:r>
      <w:r>
        <w:rPr>
          <w:rFonts w:ascii="Arial" w:cs="Arial" w:eastAsia="Arial" w:hAnsi="Arial"/>
          <w:sz w:val="16"/>
          <w:szCs w:val="16"/>
          <w:i w:val="1"/>
          <w:iCs w:val="1"/>
          <w:color w:val="auto"/>
        </w:rPr>
        <w:t xml:space="preserve"> </w:t>
      </w:r>
      <w:r>
        <w:rPr>
          <w:rFonts w:ascii="Arial" w:cs="Arial" w:eastAsia="Arial" w:hAnsi="Arial"/>
          <w:sz w:val="16"/>
          <w:szCs w:val="16"/>
          <w:color w:val="auto"/>
        </w:rPr>
        <w:t>Agreement proposed by Marvell in writing as a result of the negotiations required by clause “(E)” above.</w:t>
      </w:r>
    </w:p>
    <w:p>
      <w:pPr>
        <w:spacing w:after="0" w:line="16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 xml:space="preserve">For purposes of clause “(i)”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and the negotiation period in clause “(i)(E)”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66" w:lineRule="exact"/>
        <w:rPr>
          <w:sz w:val="20"/>
          <w:szCs w:val="20"/>
          <w:color w:val="auto"/>
        </w:rPr>
      </w:pPr>
    </w:p>
    <w:p>
      <w:pPr>
        <w:ind w:firstLine="987"/>
        <w:spacing w:after="0" w:line="253" w:lineRule="auto"/>
        <w:tabs>
          <w:tab w:leader="none" w:pos="1246" w:val="left"/>
        </w:tabs>
        <w:numPr>
          <w:ilvl w:val="0"/>
          <w:numId w:val="112"/>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5.2(g)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Company’s board of directors to make a Company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Recommendation Change or take any of the actions referred to in clause “(ii)” or clause “(iv)” of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5.2(f)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5.2(g)</w:t>
      </w:r>
      <w:r>
        <w:rPr>
          <w:rFonts w:ascii="Arial" w:cs="Arial" w:eastAsia="Arial" w:hAnsi="Arial"/>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Arial" w:cs="Arial" w:eastAsia="Arial" w:hAnsi="Arial"/>
          <w:sz w:val="18"/>
          <w:szCs w:val="18"/>
          <w:b w:val="1"/>
          <w:bCs w:val="1"/>
          <w:color w:val="auto"/>
        </w:rPr>
      </w:pPr>
    </w:p>
    <w:p>
      <w:pPr>
        <w:ind w:right="160" w:firstLine="987"/>
        <w:spacing w:after="0" w:line="255" w:lineRule="auto"/>
        <w:tabs>
          <w:tab w:leader="none" w:pos="1256" w:val="left"/>
        </w:tabs>
        <w:numPr>
          <w:ilvl w:val="0"/>
          <w:numId w:val="112"/>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Company’s right to terminate this Agreement in accordance with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the Company’s obligation to call, give notice of and hold the Company Stockholders’ Meeting in accordance with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Arial" w:cs="Arial" w:eastAsia="Arial" w:hAnsi="Arial"/>
          <w:sz w:val="18"/>
          <w:szCs w:val="18"/>
          <w:u w:val="single" w:color="auto"/>
          <w:color w:val="auto"/>
        </w:rPr>
        <w:t>Section 8.1</w:t>
      </w:r>
      <w:r>
        <w:rPr>
          <w:rFonts w:ascii="Arial" w:cs="Arial" w:eastAsia="Arial" w:hAnsi="Arial"/>
          <w:sz w:val="18"/>
          <w:szCs w:val="18"/>
          <w:color w:val="auto"/>
        </w:rPr>
        <w:t>, the Company shall not submit any Company Acquisition Proposal to a vote of its stockholders.</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5.3 Marvell Shareholders’ Meeting</w:t>
      </w:r>
      <w:r>
        <w:rPr>
          <w:rFonts w:ascii="Arial" w:cs="Arial" w:eastAsia="Arial" w:hAnsi="Arial"/>
          <w:sz w:val="18"/>
          <w:szCs w:val="18"/>
          <w:color w:val="auto"/>
        </w:rPr>
        <w:t>.</w:t>
      </w:r>
    </w:p>
    <w:p>
      <w:pPr>
        <w:spacing w:after="0" w:line="229" w:lineRule="exact"/>
        <w:rPr>
          <w:sz w:val="20"/>
          <w:szCs w:val="20"/>
          <w:color w:val="auto"/>
        </w:rPr>
      </w:pPr>
    </w:p>
    <w:p>
      <w:pPr>
        <w:jc w:val="both"/>
        <w:ind w:right="300" w:firstLine="987"/>
        <w:spacing w:after="0" w:line="279" w:lineRule="auto"/>
        <w:tabs>
          <w:tab w:leader="none" w:pos="1246" w:val="left"/>
        </w:tabs>
        <w:numPr>
          <w:ilvl w:val="0"/>
          <w:numId w:val="113"/>
        </w:numPr>
        <w:rPr>
          <w:rFonts w:ascii="Arial" w:cs="Arial" w:eastAsia="Arial" w:hAnsi="Arial"/>
          <w:sz w:val="17"/>
          <w:szCs w:val="17"/>
          <w:b w:val="1"/>
          <w:bCs w:val="1"/>
          <w:color w:val="auto"/>
        </w:rPr>
      </w:pPr>
      <w:r>
        <w:rPr>
          <w:rFonts w:ascii="Arial" w:cs="Arial" w:eastAsia="Arial" w:hAnsi="Arial"/>
          <w:sz w:val="17"/>
          <w:szCs w:val="17"/>
          <w:color w:val="auto"/>
        </w:rPr>
        <w:t>Marvell: (i) shall take all action necessary under all applicable Legal Requirements to call, give notice of and hold a meeting of the holders of Marvell Common Shares (the “</w:t>
      </w:r>
      <w:r>
        <w:rPr>
          <w:rFonts w:ascii="Arial" w:cs="Arial" w:eastAsia="Arial" w:hAnsi="Arial"/>
          <w:sz w:val="17"/>
          <w:szCs w:val="17"/>
          <w:u w:val="single" w:color="auto"/>
          <w:color w:val="auto"/>
        </w:rPr>
        <w:t>Marvell Shareholders’ Meeting</w:t>
      </w:r>
      <w:r>
        <w:rPr>
          <w:rFonts w:ascii="Arial" w:cs="Arial" w:eastAsia="Arial" w:hAnsi="Arial"/>
          <w:sz w:val="17"/>
          <w:szCs w:val="17"/>
          <w:color w:val="auto"/>
        </w:rPr>
        <w:t>”) to vote on a proposal to approve the Marvell Bye-Law Amendment (the “</w:t>
      </w:r>
      <w:r>
        <w:rPr>
          <w:rFonts w:ascii="Arial" w:cs="Arial" w:eastAsia="Arial" w:hAnsi="Arial"/>
          <w:sz w:val="17"/>
          <w:szCs w:val="17"/>
          <w:u w:val="single" w:color="auto"/>
          <w:color w:val="auto"/>
        </w:rPr>
        <w:t>Marvell Bye-Law Proposal”</w:t>
      </w:r>
      <w:r>
        <w:rPr>
          <w:rFonts w:ascii="Arial" w:cs="Arial" w:eastAsia="Arial" w:hAnsi="Arial"/>
          <w:sz w:val="17"/>
          <w:szCs w:val="17"/>
          <w:color w:val="auto"/>
        </w:rPr>
        <w:t xml:space="preserve">) and a proposal to approve this Agreement, the Statutory Merger Agreement and the Bermuda Merger (the </w:t>
      </w:r>
      <w:r>
        <w:rPr>
          <w:rFonts w:ascii="Arial" w:cs="Arial" w:eastAsia="Arial" w:hAnsi="Arial"/>
          <w:sz w:val="17"/>
          <w:szCs w:val="17"/>
          <w:u w:val="single" w:color="auto"/>
          <w:color w:val="auto"/>
        </w:rPr>
        <w:t>“Marvell</w:t>
      </w:r>
      <w:r>
        <w:rPr>
          <w:rFonts w:ascii="Arial" w:cs="Arial" w:eastAsia="Arial" w:hAnsi="Arial"/>
          <w:sz w:val="17"/>
          <w:szCs w:val="17"/>
          <w:color w:val="auto"/>
        </w:rPr>
        <w:t xml:space="preserve"> </w:t>
      </w:r>
      <w:r>
        <w:rPr>
          <w:rFonts w:ascii="Arial" w:cs="Arial" w:eastAsia="Arial" w:hAnsi="Arial"/>
          <w:sz w:val="17"/>
          <w:szCs w:val="17"/>
          <w:u w:val="single" w:color="auto"/>
          <w:color w:val="auto"/>
        </w:rPr>
        <w:t>Merger Proposal”</w:t>
      </w:r>
      <w:r>
        <w:rPr>
          <w:rFonts w:ascii="Arial" w:cs="Arial" w:eastAsia="Arial" w:hAnsi="Arial"/>
          <w:sz w:val="17"/>
          <w:szCs w:val="17"/>
          <w:color w:val="auto"/>
        </w:rPr>
        <w:t>) as promptly as reasonably practicable after the date of this Agreement; (ii) shall submit the</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0980"/>
          </w:cols>
          <w:pgMar w:left="440" w:top="274" w:right="479" w:bottom="1440" w:gutter="0" w:footer="0" w:header="0"/>
        </w:sectPr>
      </w:pPr>
    </w:p>
    <w:bookmarkStart w:id="62" w:name="page63"/>
    <w:bookmarkEnd w:id="62"/>
    <w:p>
      <w:pPr>
        <w:ind w:left="4"/>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Bye-Law Proposal and the Marvell Merger Proposal to such holders at the Marvell Shareholders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68" w:lineRule="exact"/>
        <w:rPr>
          <w:sz w:val="20"/>
          <w:szCs w:val="20"/>
          <w:color w:val="auto"/>
        </w:rPr>
      </w:pPr>
    </w:p>
    <w:p>
      <w:pPr>
        <w:ind w:left="4" w:right="140" w:firstLine="987"/>
        <w:spacing w:after="0" w:line="286" w:lineRule="auto"/>
        <w:tabs>
          <w:tab w:leader="none" w:pos="1260" w:val="left"/>
        </w:tabs>
        <w:numPr>
          <w:ilvl w:val="1"/>
          <w:numId w:val="114"/>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73" w:lineRule="exact"/>
        <w:rPr>
          <w:rFonts w:ascii="Arial" w:cs="Arial" w:eastAsia="Arial" w:hAnsi="Arial"/>
          <w:sz w:val="16"/>
          <w:szCs w:val="16"/>
          <w:b w:val="1"/>
          <w:bCs w:val="1"/>
          <w:color w:val="auto"/>
        </w:rPr>
      </w:pPr>
    </w:p>
    <w:p>
      <w:pPr>
        <w:ind w:left="4" w:firstLine="987"/>
        <w:spacing w:after="0" w:line="291" w:lineRule="auto"/>
        <w:tabs>
          <w:tab w:leader="none" w:pos="1240" w:val="left"/>
        </w:tabs>
        <w:numPr>
          <w:ilvl w:val="1"/>
          <w:numId w:val="114"/>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4" w:right="40" w:hanging="4"/>
        <w:spacing w:after="0" w:line="255" w:lineRule="auto"/>
        <w:tabs>
          <w:tab w:leader="none" w:pos="269" w:val="left"/>
        </w:tabs>
        <w:numPr>
          <w:ilvl w:val="0"/>
          <w:numId w:val="115"/>
        </w:numPr>
        <w:rPr>
          <w:rFonts w:ascii="Arial" w:cs="Arial" w:eastAsia="Arial" w:hAnsi="Arial"/>
          <w:sz w:val="18"/>
          <w:szCs w:val="18"/>
          <w:color w:val="auto"/>
        </w:rPr>
      </w:pPr>
      <w:r>
        <w:rPr>
          <w:rFonts w:ascii="Arial" w:cs="Arial" w:eastAsia="Arial" w:hAnsi="Arial"/>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9" w:lineRule="exact"/>
        <w:rPr>
          <w:rFonts w:ascii="Arial" w:cs="Arial" w:eastAsia="Arial" w:hAnsi="Arial"/>
          <w:sz w:val="18"/>
          <w:szCs w:val="18"/>
          <w:color w:val="auto"/>
        </w:rPr>
      </w:pPr>
    </w:p>
    <w:p>
      <w:pPr>
        <w:ind w:left="4" w:right="280" w:firstLine="987"/>
        <w:spacing w:after="0" w:line="263" w:lineRule="auto"/>
        <w:tabs>
          <w:tab w:leader="none" w:pos="1260" w:val="left"/>
        </w:tabs>
        <w:numPr>
          <w:ilvl w:val="1"/>
          <w:numId w:val="115"/>
        </w:numPr>
        <w:rPr>
          <w:rFonts w:ascii="Arial" w:cs="Arial" w:eastAsia="Arial" w:hAnsi="Arial"/>
          <w:sz w:val="18"/>
          <w:szCs w:val="18"/>
          <w:b w:val="1"/>
          <w:bCs w:val="1"/>
          <w:color w:val="auto"/>
        </w:rPr>
      </w:pPr>
      <w:r>
        <w:rPr>
          <w:rFonts w:ascii="Arial" w:cs="Arial" w:eastAsia="Arial" w:hAnsi="Arial"/>
          <w:sz w:val="18"/>
          <w:szCs w:val="18"/>
          <w:color w:val="auto"/>
        </w:rPr>
        <w:t xml:space="preserve">Unless there is a Marvell Adverse Recommendation Change made in accordance with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Arial" w:cs="Arial" w:eastAsia="Arial" w:hAnsi="Arial"/>
          <w:sz w:val="18"/>
          <w:szCs w:val="18"/>
          <w:u w:val="single" w:color="auto"/>
          <w:color w:val="auto"/>
        </w:rPr>
        <w:t>Section 3.20</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4" w:firstLine="987"/>
        <w:spacing w:after="0" w:line="257" w:lineRule="auto"/>
        <w:tabs>
          <w:tab w:leader="none" w:pos="1240" w:val="left"/>
        </w:tabs>
        <w:numPr>
          <w:ilvl w:val="1"/>
          <w:numId w:val="115"/>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 5.3(f)</w:t>
      </w:r>
      <w:r>
        <w:rPr>
          <w:rFonts w:ascii="Arial" w:cs="Arial" w:eastAsia="Arial" w:hAnsi="Arial"/>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0984"/>
          </w:cols>
          <w:pgMar w:left="436" w:top="274" w:right="479" w:bottom="1440" w:gutter="0" w:footer="0" w:header="0"/>
        </w:sectPr>
      </w:pPr>
    </w:p>
    <w:bookmarkStart w:id="63" w:name="page64"/>
    <w:bookmarkEnd w:id="63"/>
    <w:p>
      <w:pPr>
        <w:ind w:right="2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 being referred to as a “</w:t>
      </w:r>
      <w:r>
        <w:rPr>
          <w:rFonts w:ascii="Arial" w:cs="Arial" w:eastAsia="Arial" w:hAnsi="Arial"/>
          <w:sz w:val="17"/>
          <w:szCs w:val="17"/>
          <w:u w:val="single" w:color="auto"/>
          <w:color w:val="auto"/>
        </w:rPr>
        <w:t>Marvell Adverse Recommendation Change</w:t>
      </w:r>
      <w:r>
        <w:rPr>
          <w:rFonts w:ascii="Arial" w:cs="Arial" w:eastAsia="Arial" w:hAnsi="Arial"/>
          <w:sz w:val="17"/>
          <w:szCs w:val="17"/>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Arial" w:cs="Arial" w:eastAsia="Arial" w:hAnsi="Arial"/>
          <w:sz w:val="17"/>
          <w:szCs w:val="17"/>
          <w:u w:val="single" w:color="auto"/>
          <w:color w:val="auto"/>
        </w:rPr>
        <w:t>Section 4.4(b)</w:t>
      </w:r>
      <w:r>
        <w:rPr>
          <w:rFonts w:ascii="Arial" w:cs="Arial" w:eastAsia="Arial" w:hAnsi="Arial"/>
          <w:sz w:val="17"/>
          <w:szCs w:val="17"/>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Arial" w:cs="Arial" w:eastAsia="Arial" w:hAnsi="Arial"/>
          <w:sz w:val="17"/>
          <w:szCs w:val="17"/>
          <w:u w:val="single" w:color="auto"/>
          <w:color w:val="auto"/>
        </w:rPr>
        <w:t>Section 5.3(e)</w:t>
      </w:r>
      <w:r>
        <w:rPr>
          <w:rFonts w:ascii="Arial" w:cs="Arial" w:eastAsia="Arial" w:hAnsi="Arial"/>
          <w:sz w:val="17"/>
          <w:szCs w:val="17"/>
          <w:color w:val="auto"/>
        </w:rPr>
        <w:t>.</w:t>
      </w:r>
    </w:p>
    <w:p>
      <w:pPr>
        <w:spacing w:after="0" w:line="177" w:lineRule="exact"/>
        <w:rPr>
          <w:sz w:val="20"/>
          <w:szCs w:val="20"/>
          <w:color w:val="auto"/>
        </w:rPr>
      </w:pPr>
    </w:p>
    <w:p>
      <w:pPr>
        <w:ind w:right="80" w:firstLine="987"/>
        <w:spacing w:after="0" w:line="277" w:lineRule="auto"/>
        <w:tabs>
          <w:tab w:leader="none" w:pos="1216" w:val="left"/>
        </w:tabs>
        <w:numPr>
          <w:ilvl w:val="1"/>
          <w:numId w:val="116"/>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5.3(e)</w:t>
      </w:r>
      <w:r>
        <w:rPr>
          <w:rFonts w:ascii="Arial" w:cs="Arial" w:eastAsia="Arial" w:hAnsi="Arial"/>
          <w:sz w:val="18"/>
          <w:szCs w:val="18"/>
          <w:color w:val="auto"/>
        </w:rPr>
        <w:t>, at any time prior to the approval of the Marvell Merger Proposal by the Required Marvell Shareholder Vote:</w:t>
      </w:r>
    </w:p>
    <w:p>
      <w:pPr>
        <w:spacing w:after="0" w:line="62" w:lineRule="exact"/>
        <w:rPr>
          <w:rFonts w:ascii="Arial" w:cs="Arial" w:eastAsia="Arial" w:hAnsi="Arial"/>
          <w:sz w:val="18"/>
          <w:szCs w:val="18"/>
          <w:b w:val="1"/>
          <w:bCs w:val="1"/>
          <w:color w:val="auto"/>
        </w:rPr>
      </w:pPr>
    </w:p>
    <w:p>
      <w:pPr>
        <w:ind w:left="440" w:right="80" w:firstLine="948"/>
        <w:spacing w:after="0" w:line="286" w:lineRule="auto"/>
        <w:tabs>
          <w:tab w:leader="none" w:pos="1607" w:val="left"/>
        </w:tabs>
        <w:numPr>
          <w:ilvl w:val="2"/>
          <w:numId w:val="116"/>
        </w:numPr>
        <w:rPr>
          <w:rFonts w:ascii="Arial" w:cs="Arial" w:eastAsia="Arial" w:hAnsi="Arial"/>
          <w:sz w:val="16"/>
          <w:szCs w:val="16"/>
          <w:b w:val="1"/>
          <w:bCs w:val="1"/>
          <w:color w:val="auto"/>
        </w:rPr>
      </w:pPr>
      <w:r>
        <w:rPr>
          <w:rFonts w:ascii="Arial" w:cs="Arial" w:eastAsia="Arial" w:hAnsi="Arial"/>
          <w:sz w:val="16"/>
          <w:szCs w:val="16"/>
          <w:color w:val="auto"/>
        </w:rPr>
        <w:t xml:space="preserve">Marvell’s board of directors may make a Marvell Adverse Recommendation Change and/or cause Marvell to terminate this Agreement in accordance with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and, concurrently with such termination, approve, and cause Marvell to enter into, a Specified Marvell Acquisition Agreement in accordance with, and subject to compliance with, the provisions of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if (and only if): (A) an unsolicited, bona fide, written Disruptive Marvell Acquisition Proposal is made to Marvell after the date of this Agreement and is not withdrawn;</w:t>
      </w:r>
    </w:p>
    <w:p>
      <w:pPr>
        <w:spacing w:after="0" w:line="1" w:lineRule="exact"/>
        <w:rPr>
          <w:rFonts w:ascii="Arial" w:cs="Arial" w:eastAsia="Arial" w:hAnsi="Arial"/>
          <w:sz w:val="16"/>
          <w:szCs w:val="16"/>
          <w:b w:val="1"/>
          <w:bCs w:val="1"/>
          <w:color w:val="auto"/>
        </w:rPr>
      </w:pPr>
    </w:p>
    <w:p>
      <w:pPr>
        <w:ind w:left="440" w:hanging="4"/>
        <w:spacing w:after="0" w:line="281" w:lineRule="auto"/>
        <w:tabs>
          <w:tab w:leader="none" w:pos="725" w:val="left"/>
        </w:tabs>
        <w:numPr>
          <w:ilvl w:val="0"/>
          <w:numId w:val="117"/>
        </w:numPr>
        <w:rPr>
          <w:rFonts w:ascii="Arial" w:cs="Arial" w:eastAsia="Arial" w:hAnsi="Arial"/>
          <w:sz w:val="16"/>
          <w:szCs w:val="16"/>
          <w:color w:val="auto"/>
        </w:rPr>
      </w:pPr>
      <w:r>
        <w:rPr>
          <w:rFonts w:ascii="Arial" w:cs="Arial" w:eastAsia="Arial" w:hAnsi="Arial"/>
          <w:sz w:val="16"/>
          <w:szCs w:val="16"/>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would be inconsistent with its fiduciary obligations to Marvell’s shareholders under applicable Bermuda law;</w:t>
      </w:r>
    </w:p>
    <w:p>
      <w:pPr>
        <w:spacing w:after="0" w:line="2" w:lineRule="exact"/>
        <w:rPr>
          <w:rFonts w:ascii="Arial" w:cs="Arial" w:eastAsia="Arial" w:hAnsi="Arial"/>
          <w:sz w:val="16"/>
          <w:szCs w:val="16"/>
          <w:color w:val="auto"/>
        </w:rPr>
      </w:pPr>
    </w:p>
    <w:p>
      <w:pPr>
        <w:ind w:left="440" w:hanging="4"/>
        <w:spacing w:after="0" w:line="281" w:lineRule="auto"/>
        <w:tabs>
          <w:tab w:leader="none" w:pos="735" w:val="left"/>
        </w:tabs>
        <w:numPr>
          <w:ilvl w:val="0"/>
          <w:numId w:val="118"/>
        </w:numPr>
        <w:rPr>
          <w:rFonts w:ascii="Arial" w:cs="Arial" w:eastAsia="Arial" w:hAnsi="Arial"/>
          <w:sz w:val="16"/>
          <w:szCs w:val="16"/>
          <w:color w:val="auto"/>
        </w:rPr>
      </w:pPr>
      <w:r>
        <w:rPr>
          <w:rFonts w:ascii="Arial" w:cs="Arial" w:eastAsia="Arial" w:hAnsi="Arial"/>
          <w:sz w:val="16"/>
          <w:szCs w:val="16"/>
          <w:color w:val="auto"/>
        </w:rPr>
        <w:t xml:space="preserve">no less than four Business Days prior to making such Marvell Adverse Recommendation Change or terminating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Marvell’s board of directors delivers to the Company a written notice (a “</w:t>
      </w:r>
      <w:r>
        <w:rPr>
          <w:rFonts w:ascii="Arial" w:cs="Arial" w:eastAsia="Arial" w:hAnsi="Arial"/>
          <w:sz w:val="16"/>
          <w:szCs w:val="16"/>
          <w:u w:val="single" w:color="auto"/>
          <w:color w:val="auto"/>
        </w:rPr>
        <w:t>Marvell Recommendation Change Notice</w:t>
      </w:r>
      <w:r>
        <w:rPr>
          <w:rFonts w:ascii="Arial" w:cs="Arial" w:eastAsia="Arial" w:hAnsi="Arial"/>
          <w:sz w:val="16"/>
          <w:szCs w:val="16"/>
          <w:color w:val="auto"/>
        </w:rPr>
        <w:t xml:space="preserve">”) (1) stating that Marvell has received a Disruptive Marvell Superior Offer that did not result from a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4" w:lineRule="exact"/>
        <w:rPr>
          <w:rFonts w:ascii="Arial" w:cs="Arial" w:eastAsia="Arial" w:hAnsi="Arial"/>
          <w:sz w:val="16"/>
          <w:szCs w:val="16"/>
          <w:color w:val="auto"/>
        </w:rPr>
      </w:pPr>
    </w:p>
    <w:p>
      <w:pPr>
        <w:ind w:left="440"/>
        <w:spacing w:after="0" w:line="267" w:lineRule="auto"/>
        <w:rPr>
          <w:rFonts w:ascii="Arial" w:cs="Arial" w:eastAsia="Arial" w:hAnsi="Arial"/>
          <w:sz w:val="16"/>
          <w:szCs w:val="16"/>
          <w:color w:val="auto"/>
        </w:rPr>
      </w:pPr>
      <w:r>
        <w:rPr>
          <w:rFonts w:ascii="Arial" w:cs="Arial" w:eastAsia="Arial" w:hAnsi="Arial"/>
          <w:sz w:val="17"/>
          <w:szCs w:val="17"/>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still be inconsistent with the fiduciary obligations of Marvell’s board of directors to Marvell’s shareholders under applicable Bermuda</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0980"/>
          </w:cols>
          <w:pgMar w:left="440" w:top="274" w:right="479" w:bottom="1440" w:gutter="0" w:footer="0" w:header="0"/>
        </w:sectPr>
      </w:pPr>
    </w:p>
    <w:bookmarkStart w:id="64" w:name="page65"/>
    <w:bookmarkEnd w:id="64"/>
    <w:p>
      <w:pPr>
        <w:ind w:left="440" w:right="3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law in light of such Disruptive Marvell Superior Offer;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76" w:lineRule="exact"/>
        <w:rPr>
          <w:sz w:val="20"/>
          <w:szCs w:val="20"/>
          <w:color w:val="auto"/>
        </w:rPr>
      </w:pPr>
    </w:p>
    <w:p>
      <w:pPr>
        <w:ind w:left="440" w:firstLine="948"/>
        <w:spacing w:after="0" w:line="283" w:lineRule="auto"/>
        <w:tabs>
          <w:tab w:leader="none" w:pos="1657" w:val="left"/>
        </w:tabs>
        <w:numPr>
          <w:ilvl w:val="1"/>
          <w:numId w:val="119"/>
        </w:numPr>
        <w:rPr>
          <w:rFonts w:ascii="Arial" w:cs="Arial" w:eastAsia="Arial" w:hAnsi="Arial"/>
          <w:sz w:val="16"/>
          <w:szCs w:val="16"/>
          <w:b w:val="1"/>
          <w:bCs w:val="1"/>
          <w:color w:val="auto"/>
        </w:rPr>
      </w:pPr>
      <w:r>
        <w:rPr>
          <w:rFonts w:ascii="Arial" w:cs="Arial" w:eastAsia="Arial" w:hAnsi="Arial"/>
          <w:sz w:val="16"/>
          <w:szCs w:val="16"/>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Arial" w:cs="Arial" w:eastAsia="Arial" w:hAnsi="Arial"/>
          <w:sz w:val="16"/>
          <w:szCs w:val="16"/>
          <w:u w:val="single" w:color="auto"/>
          <w:color w:val="auto"/>
        </w:rPr>
        <w:t>Marvell Change in Circumstances</w:t>
      </w:r>
      <w:r>
        <w:rPr>
          <w:rFonts w:ascii="Arial" w:cs="Arial" w:eastAsia="Arial" w:hAnsi="Arial"/>
          <w:sz w:val="16"/>
          <w:szCs w:val="16"/>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0" w:lineRule="exact"/>
        <w:rPr>
          <w:rFonts w:ascii="Arial" w:cs="Arial" w:eastAsia="Arial" w:hAnsi="Arial"/>
          <w:sz w:val="16"/>
          <w:szCs w:val="16"/>
          <w:b w:val="1"/>
          <w:bCs w:val="1"/>
          <w:color w:val="auto"/>
        </w:rPr>
      </w:pPr>
    </w:p>
    <w:p>
      <w:pPr>
        <w:spacing w:after="0" w:line="205" w:lineRule="exact"/>
        <w:rPr>
          <w:rFonts w:ascii="Arial" w:cs="Arial" w:eastAsia="Arial" w:hAnsi="Arial"/>
          <w:sz w:val="16"/>
          <w:szCs w:val="16"/>
          <w:b w:val="1"/>
          <w:bCs w:val="1"/>
          <w:color w:val="auto"/>
        </w:rPr>
      </w:pPr>
    </w:p>
    <w:p>
      <w:pPr>
        <w:ind w:right="100" w:firstLine="987"/>
        <w:spacing w:after="0" w:line="255" w:lineRule="auto"/>
        <w:tabs>
          <w:tab w:leader="none" w:pos="1246" w:val="left"/>
        </w:tabs>
        <w:numPr>
          <w:ilvl w:val="0"/>
          <w:numId w:val="120"/>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Marvell</w:t>
      </w:r>
      <w:r>
        <w:rPr>
          <w:rFonts w:ascii="Arial" w:cs="Arial" w:eastAsia="Arial" w:hAnsi="Arial"/>
          <w:sz w:val="18"/>
          <w:szCs w:val="18"/>
          <w:u w:val="single" w:color="auto"/>
          <w:color w:val="auto"/>
        </w:rPr>
        <w:t>’</w:t>
      </w:r>
      <w:r>
        <w:rPr>
          <w:rFonts w:ascii="Arial" w:cs="Arial" w:eastAsia="Arial" w:hAnsi="Arial"/>
          <w:sz w:val="18"/>
          <w:szCs w:val="18"/>
          <w:color w:val="auto"/>
        </w:rPr>
        <w:t>s board of directors to make a Marvell Adverse Recommendation Change or</w:t>
      </w:r>
      <w:r>
        <w:rPr>
          <w:rFonts w:ascii="Arial" w:cs="Arial" w:eastAsia="Arial" w:hAnsi="Arial"/>
          <w:sz w:val="18"/>
          <w:szCs w:val="18"/>
          <w:i w:val="1"/>
          <w:iCs w:val="1"/>
          <w:color w:val="auto"/>
        </w:rPr>
        <w:t xml:space="preserve"> </w:t>
      </w:r>
      <w:r>
        <w:rPr>
          <w:rFonts w:ascii="Arial" w:cs="Arial" w:eastAsia="Arial" w:hAnsi="Arial"/>
          <w:sz w:val="18"/>
          <w:szCs w:val="18"/>
          <w:color w:val="auto"/>
        </w:rPr>
        <w:t>take any of the actions referred to in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000"/>
          </w:cols>
          <w:pgMar w:left="440" w:top="274" w:right="459" w:bottom="1440" w:gutter="0" w:footer="0" w:header="0"/>
        </w:sectPr>
      </w:pPr>
    </w:p>
    <w:bookmarkStart w:id="65" w:name="page66"/>
    <w:bookmarkEnd w:id="65"/>
    <w:p>
      <w:pPr>
        <w:ind w:left="4"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clause “(ii)” or clause “(iv)” of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5.3(g)</w:t>
      </w:r>
      <w:r>
        <w:rPr>
          <w:rFonts w:ascii="Arial" w:cs="Arial" w:eastAsia="Arial" w:hAnsi="Arial"/>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7" w:lineRule="exact"/>
        <w:rPr>
          <w:sz w:val="20"/>
          <w:szCs w:val="20"/>
          <w:color w:val="auto"/>
        </w:rPr>
      </w:pPr>
    </w:p>
    <w:p>
      <w:pPr>
        <w:ind w:left="4" w:right="20" w:firstLine="987"/>
        <w:spacing w:after="0" w:line="259" w:lineRule="auto"/>
        <w:tabs>
          <w:tab w:leader="none" w:pos="1260" w:val="left"/>
        </w:tabs>
        <w:numPr>
          <w:ilvl w:val="0"/>
          <w:numId w:val="121"/>
        </w:numPr>
        <w:rPr>
          <w:rFonts w:ascii="Arial" w:cs="Arial" w:eastAsia="Arial" w:hAnsi="Arial"/>
          <w:sz w:val="18"/>
          <w:szCs w:val="18"/>
          <w:b w:val="1"/>
          <w:bCs w:val="1"/>
          <w:color w:val="auto"/>
        </w:rPr>
      </w:pPr>
      <w:r>
        <w:rPr>
          <w:rFonts w:ascii="Arial" w:cs="Arial" w:eastAsia="Arial" w:hAnsi="Arial"/>
          <w:sz w:val="18"/>
          <w:szCs w:val="18"/>
          <w:color w:val="auto"/>
        </w:rPr>
        <w:t xml:space="preserve">Subject to Marvell’s right to terminate this Agreement in accordance with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Marvell’s obligation to call, give notice of and hold the Marvell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83"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5.4 Treatment of Company Equity Awards</w:t>
      </w:r>
      <w:r>
        <w:rPr>
          <w:rFonts w:ascii="Arial" w:cs="Arial" w:eastAsia="Arial" w:hAnsi="Arial"/>
          <w:sz w:val="18"/>
          <w:szCs w:val="18"/>
          <w:color w:val="auto"/>
        </w:rPr>
        <w:t>.</w:t>
      </w:r>
    </w:p>
    <w:p>
      <w:pPr>
        <w:spacing w:after="0" w:line="229" w:lineRule="exact"/>
        <w:rPr>
          <w:sz w:val="20"/>
          <w:szCs w:val="20"/>
          <w:color w:val="auto"/>
        </w:rPr>
      </w:pPr>
    </w:p>
    <w:p>
      <w:pPr>
        <w:ind w:left="4" w:right="440" w:firstLine="987"/>
        <w:spacing w:after="0" w:line="286" w:lineRule="auto"/>
        <w:tabs>
          <w:tab w:leader="none" w:pos="1250" w:val="left"/>
        </w:tabs>
        <w:numPr>
          <w:ilvl w:val="1"/>
          <w:numId w:val="122"/>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Arial" w:cs="Arial" w:eastAsia="Arial" w:hAnsi="Arial"/>
          <w:sz w:val="16"/>
          <w:szCs w:val="16"/>
          <w:u w:val="single" w:color="auto"/>
          <w:color w:val="auto"/>
        </w:rPr>
        <w:t>Company Cash-Out Option</w:t>
      </w:r>
      <w:r>
        <w:rPr>
          <w:rFonts w:ascii="Arial" w:cs="Arial" w:eastAsia="Arial" w:hAnsi="Arial"/>
          <w:sz w:val="16"/>
          <w:szCs w:val="16"/>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1" w:lineRule="exact"/>
        <w:rPr>
          <w:rFonts w:ascii="Arial" w:cs="Arial" w:eastAsia="Arial" w:hAnsi="Arial"/>
          <w:sz w:val="16"/>
          <w:szCs w:val="16"/>
          <w:b w:val="1"/>
          <w:bCs w:val="1"/>
          <w:color w:val="auto"/>
        </w:rPr>
      </w:pPr>
    </w:p>
    <w:p>
      <w:pPr>
        <w:ind w:left="4" w:right="140" w:hanging="4"/>
        <w:spacing w:after="0" w:line="253" w:lineRule="auto"/>
        <w:tabs>
          <w:tab w:leader="none" w:pos="219" w:val="left"/>
        </w:tabs>
        <w:numPr>
          <w:ilvl w:val="0"/>
          <w:numId w:val="123"/>
        </w:numPr>
        <w:rPr>
          <w:rFonts w:ascii="Arial" w:cs="Arial" w:eastAsia="Arial" w:hAnsi="Arial"/>
          <w:sz w:val="18"/>
          <w:szCs w:val="18"/>
          <w:color w:val="auto"/>
        </w:rPr>
      </w:pPr>
      <w:r>
        <w:rPr>
          <w:rFonts w:ascii="Arial" w:cs="Arial" w:eastAsia="Arial" w:hAnsi="Arial"/>
          <w:sz w:val="18"/>
          <w:szCs w:val="18"/>
          <w:color w:val="auto"/>
        </w:rPr>
        <w:t xml:space="preserve">the total number of shares of Company Common Stock subject to such Company Cash-Out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Equity Award Cash Consideration Amount </w:t>
      </w:r>
      <w:r>
        <w:rPr>
          <w:rFonts w:ascii="Arial" w:cs="Arial" w:eastAsia="Arial" w:hAnsi="Arial"/>
          <w:sz w:val="18"/>
          <w:szCs w:val="18"/>
          <w:i w:val="1"/>
          <w:iCs w:val="1"/>
          <w:color w:val="auto"/>
        </w:rPr>
        <w:t>over</w:t>
      </w:r>
      <w:r>
        <w:rPr>
          <w:rFonts w:ascii="Arial" w:cs="Arial" w:eastAsia="Arial" w:hAnsi="Arial"/>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Arial" w:cs="Arial" w:eastAsia="Arial" w:hAnsi="Arial"/>
          <w:sz w:val="18"/>
          <w:szCs w:val="18"/>
          <w:u w:val="single" w:color="auto"/>
          <w:color w:val="auto"/>
        </w:rPr>
        <w:t>Section 5.4(a)</w:t>
      </w:r>
      <w:r>
        <w:rPr>
          <w:rFonts w:ascii="Arial" w:cs="Arial" w:eastAsia="Arial" w:hAnsi="Arial"/>
          <w:sz w:val="18"/>
          <w:szCs w:val="18"/>
          <w:color w:val="auto"/>
        </w:rPr>
        <w:t>, which shall be made by the Surviving Delaware Corporation within 10 Business Days after the Delaware Merger Effective Time.</w:t>
      </w:r>
    </w:p>
    <w:p>
      <w:pPr>
        <w:spacing w:after="0" w:line="190" w:lineRule="exact"/>
        <w:rPr>
          <w:rFonts w:ascii="Arial" w:cs="Arial" w:eastAsia="Arial" w:hAnsi="Arial"/>
          <w:sz w:val="18"/>
          <w:szCs w:val="18"/>
          <w:color w:val="auto"/>
        </w:rPr>
      </w:pPr>
    </w:p>
    <w:p>
      <w:pPr>
        <w:ind w:left="1264" w:hanging="273"/>
        <w:spacing w:after="0"/>
        <w:tabs>
          <w:tab w:leader="none" w:pos="1264" w:val="left"/>
        </w:tabs>
        <w:numPr>
          <w:ilvl w:val="1"/>
          <w:numId w:val="123"/>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w:t>
      </w:r>
    </w:p>
    <w:p>
      <w:pPr>
        <w:spacing w:after="0" w:line="35" w:lineRule="exact"/>
        <w:rPr>
          <w:sz w:val="20"/>
          <w:szCs w:val="20"/>
          <w:color w:val="auto"/>
        </w:rPr>
      </w:pPr>
    </w:p>
    <w:p>
      <w:pPr>
        <w:ind w:left="4"/>
        <w:spacing w:after="0" w:line="251" w:lineRule="auto"/>
        <w:rPr>
          <w:sz w:val="20"/>
          <w:szCs w:val="20"/>
          <w:color w:val="auto"/>
        </w:rPr>
      </w:pPr>
      <w:r>
        <w:rPr>
          <w:rFonts w:ascii="Arial" w:cs="Arial" w:eastAsia="Arial" w:hAnsi="Arial"/>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at an exercise price per share of HoldCo Common Stock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the Company Common Stock subject to such Company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 (each such assumed Company Option, as so adjusted, a “</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following the Delaware Merger Effective Time, all references to the “Company” in each Company Equity Plan and each award agreement</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shall in each case be effected in a manner intended to comply with Section 409A of the Code.</w:t>
      </w:r>
    </w:p>
    <w:p>
      <w:pPr>
        <w:spacing w:after="0" w:line="197" w:lineRule="exact"/>
        <w:rPr>
          <w:sz w:val="20"/>
          <w:szCs w:val="20"/>
          <w:color w:val="auto"/>
        </w:rPr>
      </w:pPr>
    </w:p>
    <w:p>
      <w:pPr>
        <w:ind w:left="4" w:right="440" w:firstLine="987"/>
        <w:spacing w:after="0" w:line="263" w:lineRule="auto"/>
        <w:tabs>
          <w:tab w:leader="none" w:pos="1240" w:val="left"/>
        </w:tabs>
        <w:numPr>
          <w:ilvl w:val="0"/>
          <w:numId w:val="124"/>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83" w:lineRule="exact"/>
        <w:rPr>
          <w:rFonts w:ascii="Arial" w:cs="Arial" w:eastAsia="Arial" w:hAnsi="Arial"/>
          <w:sz w:val="18"/>
          <w:szCs w:val="18"/>
          <w:b w:val="1"/>
          <w:bCs w:val="1"/>
          <w:color w:val="auto"/>
        </w:rPr>
      </w:pPr>
    </w:p>
    <w:p>
      <w:pPr>
        <w:ind w:left="4" w:right="40" w:firstLine="987"/>
        <w:spacing w:after="0" w:line="257" w:lineRule="auto"/>
        <w:tabs>
          <w:tab w:leader="none" w:pos="1260" w:val="left"/>
        </w:tabs>
        <w:numPr>
          <w:ilvl w:val="0"/>
          <w:numId w:val="124"/>
        </w:numPr>
        <w:rPr>
          <w:rFonts w:ascii="Arial" w:cs="Arial" w:eastAsia="Arial" w:hAnsi="Arial"/>
          <w:sz w:val="18"/>
          <w:szCs w:val="18"/>
          <w:b w:val="1"/>
          <w:bCs w:val="1"/>
          <w:color w:val="auto"/>
        </w:rPr>
      </w:pPr>
      <w:r>
        <w:rPr>
          <w:rFonts w:ascii="Arial" w:cs="Arial" w:eastAsia="Arial" w:hAnsi="Arial"/>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 RSU</w:t>
      </w:r>
      <w:r>
        <w:rPr>
          <w:rFonts w:ascii="Arial" w:cs="Arial" w:eastAsia="Arial" w:hAnsi="Arial"/>
          <w:sz w:val="18"/>
          <w:szCs w:val="18"/>
          <w:color w:val="auto"/>
        </w:rPr>
        <w:t>”). Any Converted RSU</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4"/>
          </w:cols>
          <w:pgMar w:left="436" w:top="274" w:right="459" w:bottom="1440" w:gutter="0" w:footer="0" w:header="0"/>
        </w:sectPr>
      </w:pPr>
    </w:p>
    <w:bookmarkStart w:id="66" w:name="page67"/>
    <w:bookmarkEnd w:id="66"/>
    <w:p>
      <w:pPr>
        <w:ind w:left="4" w:right="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issued pursuant to this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shall be subject to substantially the same terms and conditions as were applicable to such Company RSU prior to the Delaware Merger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HoldCo.</w:t>
      </w:r>
    </w:p>
    <w:p>
      <w:pPr>
        <w:spacing w:after="0" w:line="184" w:lineRule="exact"/>
        <w:rPr>
          <w:sz w:val="20"/>
          <w:szCs w:val="20"/>
          <w:color w:val="auto"/>
        </w:rPr>
      </w:pPr>
    </w:p>
    <w:p>
      <w:pPr>
        <w:ind w:left="4" w:firstLine="987"/>
        <w:spacing w:after="0" w:line="286" w:lineRule="auto"/>
        <w:tabs>
          <w:tab w:leader="none" w:pos="1240" w:val="left"/>
        </w:tabs>
        <w:numPr>
          <w:ilvl w:val="1"/>
          <w:numId w:val="125"/>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65" w:lineRule="exact"/>
        <w:rPr>
          <w:rFonts w:ascii="Arial" w:cs="Arial" w:eastAsia="Arial" w:hAnsi="Arial"/>
          <w:sz w:val="17"/>
          <w:szCs w:val="17"/>
          <w:b w:val="1"/>
          <w:bCs w:val="1"/>
          <w:color w:val="auto"/>
        </w:rPr>
      </w:pPr>
    </w:p>
    <w:p>
      <w:pPr>
        <w:ind w:left="4" w:firstLine="987"/>
        <w:spacing w:after="0" w:line="284" w:lineRule="auto"/>
        <w:tabs>
          <w:tab w:leader="none" w:pos="1220" w:val="left"/>
        </w:tabs>
        <w:numPr>
          <w:ilvl w:val="1"/>
          <w:numId w:val="125"/>
        </w:numPr>
        <w:rPr>
          <w:rFonts w:ascii="Arial" w:cs="Arial" w:eastAsia="Arial" w:hAnsi="Arial"/>
          <w:sz w:val="16"/>
          <w:szCs w:val="16"/>
          <w:b w:val="1"/>
          <w:bCs w:val="1"/>
          <w:color w:val="auto"/>
        </w:rPr>
      </w:pPr>
      <w:r>
        <w:rPr>
          <w:rFonts w:ascii="Arial" w:cs="Arial" w:eastAsia="Arial" w:hAnsi="Arial"/>
          <w:sz w:val="16"/>
          <w:szCs w:val="16"/>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p>
    <w:p>
      <w:pPr>
        <w:spacing w:after="0" w:line="4" w:lineRule="exact"/>
        <w:rPr>
          <w:rFonts w:ascii="Arial" w:cs="Arial" w:eastAsia="Arial" w:hAnsi="Arial"/>
          <w:sz w:val="16"/>
          <w:szCs w:val="16"/>
          <w:b w:val="1"/>
          <w:bCs w:val="1"/>
          <w:color w:val="auto"/>
        </w:rPr>
      </w:pPr>
    </w:p>
    <w:p>
      <w:pPr>
        <w:ind w:left="4" w:right="40" w:hanging="4"/>
        <w:spacing w:after="0" w:line="270" w:lineRule="auto"/>
        <w:tabs>
          <w:tab w:leader="none" w:pos="289" w:val="left"/>
        </w:tabs>
        <w:numPr>
          <w:ilvl w:val="0"/>
          <w:numId w:val="126"/>
        </w:numPr>
        <w:rPr>
          <w:rFonts w:ascii="Arial" w:cs="Arial" w:eastAsia="Arial" w:hAnsi="Arial"/>
          <w:sz w:val="17"/>
          <w:szCs w:val="17"/>
          <w:color w:val="auto"/>
        </w:rPr>
      </w:pPr>
      <w:r>
        <w:rPr>
          <w:rFonts w:ascii="Arial" w:cs="Arial" w:eastAsia="Arial" w:hAnsi="Arial"/>
          <w:sz w:val="17"/>
          <w:szCs w:val="17"/>
          <w:color w:val="auto"/>
        </w:rPr>
        <w:t xml:space="preserve">the total number of shares of Company Common Stock subject to such Company RSU; and (ii) a number of shares of HoldCo Common Stock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Arial" w:cs="Arial" w:eastAsia="Arial" w:hAnsi="Arial"/>
          <w:sz w:val="17"/>
          <w:szCs w:val="17"/>
          <w:u w:val="single" w:color="auto"/>
          <w:color w:val="auto"/>
        </w:rPr>
        <w:t>Section 5.4(f)</w:t>
      </w:r>
      <w:r>
        <w:rPr>
          <w:rFonts w:ascii="Arial" w:cs="Arial" w:eastAsia="Arial" w:hAnsi="Arial"/>
          <w:sz w:val="17"/>
          <w:szCs w:val="17"/>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78" w:lineRule="exact"/>
        <w:rPr>
          <w:rFonts w:ascii="Arial" w:cs="Arial" w:eastAsia="Arial" w:hAnsi="Arial"/>
          <w:sz w:val="17"/>
          <w:szCs w:val="17"/>
          <w:color w:val="auto"/>
        </w:rPr>
      </w:pPr>
    </w:p>
    <w:p>
      <w:pPr>
        <w:ind w:left="4" w:right="40" w:firstLine="987"/>
        <w:spacing w:after="0" w:line="285" w:lineRule="auto"/>
        <w:tabs>
          <w:tab w:leader="none" w:pos="1250" w:val="left"/>
        </w:tabs>
        <w:numPr>
          <w:ilvl w:val="1"/>
          <w:numId w:val="126"/>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Arial" w:cs="Arial" w:eastAsia="Arial" w:hAnsi="Arial"/>
          <w:sz w:val="16"/>
          <w:szCs w:val="16"/>
          <w:u w:val="single" w:color="auto"/>
          <w:color w:val="auto"/>
        </w:rPr>
        <w:t>Vested Company MSU Shares</w:t>
      </w:r>
      <w:r>
        <w:rPr>
          <w:rFonts w:ascii="Arial" w:cs="Arial" w:eastAsia="Arial" w:hAnsi="Arial"/>
          <w:sz w:val="16"/>
          <w:szCs w:val="16"/>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and (B) a number of shares of HoldCo Common Stock equal to the product of (1)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Following the Delaware Merger Effective Time, any such canceled Company MSU shall entitle the former holder of such Company MSU only to the payment described in this </w:t>
      </w:r>
      <w:r>
        <w:rPr>
          <w:rFonts w:ascii="Arial" w:cs="Arial" w:eastAsia="Arial" w:hAnsi="Arial"/>
          <w:sz w:val="16"/>
          <w:szCs w:val="16"/>
          <w:u w:val="single" w:color="auto"/>
          <w:color w:val="auto"/>
        </w:rPr>
        <w:t>Section 5.4(g)</w:t>
      </w:r>
      <w:r>
        <w:rPr>
          <w:rFonts w:ascii="Arial" w:cs="Arial" w:eastAsia="Arial" w:hAnsi="Arial"/>
          <w:sz w:val="16"/>
          <w:szCs w:val="16"/>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76" w:lineRule="exact"/>
        <w:rPr>
          <w:rFonts w:ascii="Arial" w:cs="Arial" w:eastAsia="Arial" w:hAnsi="Arial"/>
          <w:sz w:val="16"/>
          <w:szCs w:val="16"/>
          <w:b w:val="1"/>
          <w:bCs w:val="1"/>
          <w:color w:val="auto"/>
        </w:rPr>
      </w:pPr>
    </w:p>
    <w:p>
      <w:pPr>
        <w:jc w:val="both"/>
        <w:ind w:left="4" w:right="360" w:firstLine="987"/>
        <w:spacing w:after="0" w:line="263" w:lineRule="auto"/>
        <w:tabs>
          <w:tab w:leader="none" w:pos="1260" w:val="left"/>
        </w:tabs>
        <w:numPr>
          <w:ilvl w:val="1"/>
          <w:numId w:val="126"/>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4"/>
          </w:cols>
          <w:pgMar w:left="436" w:top="274" w:right="459" w:bottom="1440" w:gutter="0" w:footer="0" w:header="0"/>
        </w:sectPr>
      </w:pPr>
    </w:p>
    <w:bookmarkStart w:id="67" w:name="page68"/>
    <w:bookmarkEnd w:id="67"/>
    <w:p>
      <w:pPr>
        <w:ind w:left="4" w:right="4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assumed and converted into that number of HoldCo restricted stock units, rounded down to the nearest whole share, equal to the product of (i) the target number of shares of Company Common Stock subject to such Company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PSU, as so adjusted, a “</w:t>
      </w:r>
      <w:r>
        <w:rPr>
          <w:rFonts w:ascii="Arial" w:cs="Arial" w:eastAsia="Arial" w:hAnsi="Arial"/>
          <w:sz w:val="17"/>
          <w:szCs w:val="17"/>
          <w:u w:val="single" w:color="auto"/>
          <w:color w:val="auto"/>
        </w:rPr>
        <w:t>Converted PSU</w:t>
      </w:r>
      <w:r>
        <w:rPr>
          <w:rFonts w:ascii="Arial" w:cs="Arial" w:eastAsia="Arial" w:hAnsi="Arial"/>
          <w:sz w:val="17"/>
          <w:szCs w:val="17"/>
          <w:color w:val="auto"/>
        </w:rPr>
        <w:t xml:space="preserve">”). Any Converted PSU issued pursuant to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as were applicable under such Company PSU prior to the Delaware Merger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85" w:lineRule="exact"/>
        <w:rPr>
          <w:sz w:val="20"/>
          <w:szCs w:val="20"/>
          <w:color w:val="auto"/>
        </w:rPr>
      </w:pPr>
    </w:p>
    <w:p>
      <w:pPr>
        <w:ind w:left="4" w:right="740" w:firstLine="987"/>
        <w:spacing w:after="0" w:line="277" w:lineRule="auto"/>
        <w:tabs>
          <w:tab w:leader="none" w:pos="1210" w:val="left"/>
        </w:tabs>
        <w:numPr>
          <w:ilvl w:val="0"/>
          <w:numId w:val="127"/>
        </w:numPr>
        <w:rPr>
          <w:rFonts w:ascii="Arial" w:cs="Arial" w:eastAsia="Arial" w:hAnsi="Arial"/>
          <w:sz w:val="18"/>
          <w:szCs w:val="18"/>
          <w:b w:val="1"/>
          <w:bCs w:val="1"/>
          <w:color w:val="auto"/>
        </w:rPr>
      </w:pPr>
      <w:r>
        <w:rPr>
          <w:rFonts w:ascii="Arial" w:cs="Arial" w:eastAsia="Arial" w:hAnsi="Arial"/>
          <w:sz w:val="18"/>
          <w:szCs w:val="18"/>
          <w:color w:val="auto"/>
        </w:rPr>
        <w:t>Effective immediately prior to the Delaware Merger Effective Time, each Director Option and each Director RSU that is then outstanding and unvested shall be vested in full.</w:t>
      </w:r>
    </w:p>
    <w:p>
      <w:pPr>
        <w:spacing w:after="0" w:line="170" w:lineRule="exact"/>
        <w:rPr>
          <w:rFonts w:ascii="Arial" w:cs="Arial" w:eastAsia="Arial" w:hAnsi="Arial"/>
          <w:sz w:val="18"/>
          <w:szCs w:val="18"/>
          <w:b w:val="1"/>
          <w:bCs w:val="1"/>
          <w:color w:val="auto"/>
        </w:rPr>
      </w:pPr>
    </w:p>
    <w:p>
      <w:pPr>
        <w:ind w:left="4" w:right="20" w:firstLine="987"/>
        <w:spacing w:after="0" w:line="288" w:lineRule="auto"/>
        <w:tabs>
          <w:tab w:leader="none" w:pos="1220" w:val="left"/>
        </w:tabs>
        <w:numPr>
          <w:ilvl w:val="0"/>
          <w:numId w:val="127"/>
        </w:numPr>
        <w:rPr>
          <w:rFonts w:ascii="Arial" w:cs="Arial" w:eastAsia="Arial" w:hAnsi="Arial"/>
          <w:sz w:val="16"/>
          <w:szCs w:val="16"/>
          <w:b w:val="1"/>
          <w:bCs w:val="1"/>
          <w:color w:val="auto"/>
        </w:rPr>
      </w:pPr>
      <w:r>
        <w:rPr>
          <w:rFonts w:ascii="Arial" w:cs="Arial" w:eastAsia="Arial" w:hAnsi="Arial"/>
          <w:sz w:val="16"/>
          <w:szCs w:val="16"/>
          <w:color w:val="auto"/>
        </w:rPr>
        <w:t xml:space="preserve">Prior to the Delaware Merger Effective Time, each of Marvell, HoldCo and the Company shall take all actions necessary (including obtaining any required consents) to effectuate the provisions set forth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64" w:lineRule="exact"/>
        <w:rPr>
          <w:sz w:val="20"/>
          <w:szCs w:val="20"/>
          <w:color w:val="auto"/>
        </w:rPr>
      </w:pPr>
    </w:p>
    <w:p>
      <w:pPr>
        <w:ind w:left="4" w:firstLine="440"/>
        <w:spacing w:after="0" w:line="284" w:lineRule="auto"/>
        <w:rPr>
          <w:sz w:val="20"/>
          <w:szCs w:val="20"/>
          <w:color w:val="auto"/>
        </w:rPr>
      </w:pPr>
      <w:r>
        <w:rPr>
          <w:rFonts w:ascii="Arial" w:cs="Arial" w:eastAsia="Arial" w:hAnsi="Arial"/>
          <w:sz w:val="16"/>
          <w:szCs w:val="16"/>
          <w:b w:val="1"/>
          <w:bCs w:val="1"/>
          <w:color w:val="auto"/>
        </w:rPr>
        <w:t>5.5 Treatment of Company ESPP</w:t>
      </w:r>
      <w:r>
        <w:rPr>
          <w:rFonts w:ascii="Arial" w:cs="Arial" w:eastAsia="Arial" w:hAnsi="Arial"/>
          <w:sz w:val="16"/>
          <w:szCs w:val="16"/>
          <w:color w:val="auto"/>
        </w:rPr>
        <w:t>. As soon as practicable after the date of this Agreement, the Company shall take all action that may be</w:t>
      </w:r>
      <w:r>
        <w:rPr>
          <w:rFonts w:ascii="Arial" w:cs="Arial" w:eastAsia="Arial" w:hAnsi="Arial"/>
          <w:sz w:val="16"/>
          <w:szCs w:val="16"/>
          <w:b w:val="1"/>
          <w:bCs w:val="1"/>
          <w:color w:val="auto"/>
        </w:rPr>
        <w:t xml:space="preserve"> </w:t>
      </w:r>
      <w:r>
        <w:rPr>
          <w:rFonts w:ascii="Arial" w:cs="Arial" w:eastAsia="Arial" w:hAnsi="Arial"/>
          <w:sz w:val="16"/>
          <w:szCs w:val="16"/>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Arial" w:cs="Arial" w:eastAsia="Arial" w:hAnsi="Arial"/>
          <w:sz w:val="16"/>
          <w:szCs w:val="16"/>
          <w:u w:val="single" w:color="auto"/>
          <w:color w:val="auto"/>
        </w:rPr>
        <w:t>Final Exercise Date</w:t>
      </w:r>
      <w:r>
        <w:rPr>
          <w:rFonts w:ascii="Arial" w:cs="Arial" w:eastAsia="Arial" w:hAnsi="Arial"/>
          <w:sz w:val="16"/>
          <w:szCs w:val="16"/>
          <w:color w:val="auto"/>
        </w:rPr>
        <w:t>”);</w:t>
      </w:r>
    </w:p>
    <w:p>
      <w:pPr>
        <w:spacing w:after="0" w:line="5" w:lineRule="exact"/>
        <w:rPr>
          <w:sz w:val="20"/>
          <w:szCs w:val="20"/>
          <w:color w:val="auto"/>
        </w:rPr>
      </w:pPr>
    </w:p>
    <w:p>
      <w:pPr>
        <w:ind w:left="4" w:hanging="4"/>
        <w:spacing w:after="0" w:line="268" w:lineRule="auto"/>
        <w:tabs>
          <w:tab w:leader="none" w:pos="269" w:val="left"/>
        </w:tabs>
        <w:numPr>
          <w:ilvl w:val="0"/>
          <w:numId w:val="128"/>
        </w:numPr>
        <w:rPr>
          <w:rFonts w:ascii="Arial" w:cs="Arial" w:eastAsia="Arial" w:hAnsi="Arial"/>
          <w:sz w:val="17"/>
          <w:szCs w:val="17"/>
          <w:color w:val="auto"/>
        </w:rPr>
      </w:pPr>
      <w:r>
        <w:rPr>
          <w:rFonts w:ascii="Arial" w:cs="Arial" w:eastAsia="Arial" w:hAnsi="Arial"/>
          <w:sz w:val="17"/>
          <w:szCs w:val="17"/>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Arial" w:cs="Arial" w:eastAsia="Arial" w:hAnsi="Arial"/>
          <w:sz w:val="17"/>
          <w:szCs w:val="17"/>
          <w:u w:val="single" w:color="auto"/>
          <w:color w:val="auto"/>
        </w:rPr>
        <w:t>Company ESPP Rights</w:t>
      </w:r>
      <w:r>
        <w:rPr>
          <w:rFonts w:ascii="Arial" w:cs="Arial" w:eastAsia="Arial" w:hAnsi="Arial"/>
          <w:sz w:val="17"/>
          <w:szCs w:val="17"/>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0984"/>
          </w:cols>
          <w:pgMar w:left="436" w:top="274" w:right="479" w:bottom="1440" w:gutter="0" w:footer="0" w:header="0"/>
        </w:sectPr>
      </w:pPr>
    </w:p>
    <w:bookmarkStart w:id="68" w:name="page69"/>
    <w:bookmarkEnd w:id="68"/>
    <w:p>
      <w:pPr>
        <w:ind w:right="100"/>
        <w:spacing w:after="0" w:line="273" w:lineRule="auto"/>
        <w:rPr>
          <w:sz w:val="20"/>
          <w:szCs w:val="20"/>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1.7(c)</w:t>
      </w:r>
      <w:r>
        <w:rPr>
          <w:rFonts w:ascii="Arial" w:cs="Arial" w:eastAsia="Arial" w:hAnsi="Arial"/>
          <w:sz w:val="17"/>
          <w:szCs w:val="17"/>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74"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5.6 Treatment of Marvell Equity Awards</w:t>
      </w:r>
      <w:r>
        <w:rPr>
          <w:rFonts w:ascii="Arial" w:cs="Arial" w:eastAsia="Arial" w:hAnsi="Arial"/>
          <w:sz w:val="18"/>
          <w:szCs w:val="18"/>
          <w:color w:val="auto"/>
        </w:rPr>
        <w:t>.</w:t>
      </w:r>
    </w:p>
    <w:p>
      <w:pPr>
        <w:spacing w:after="0" w:line="229" w:lineRule="exact"/>
        <w:rPr>
          <w:sz w:val="20"/>
          <w:szCs w:val="20"/>
          <w:color w:val="auto"/>
        </w:rPr>
      </w:pPr>
    </w:p>
    <w:p>
      <w:pPr>
        <w:ind w:right="80" w:firstLine="987"/>
        <w:spacing w:after="0" w:line="254" w:lineRule="auto"/>
        <w:tabs>
          <w:tab w:leader="none" w:pos="1246" w:val="left"/>
        </w:tabs>
        <w:numPr>
          <w:ilvl w:val="0"/>
          <w:numId w:val="129"/>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94" w:lineRule="exact"/>
        <w:rPr>
          <w:rFonts w:ascii="Arial" w:cs="Arial" w:eastAsia="Arial" w:hAnsi="Arial"/>
          <w:sz w:val="18"/>
          <w:szCs w:val="18"/>
          <w:b w:val="1"/>
          <w:bCs w:val="1"/>
          <w:color w:val="auto"/>
        </w:rPr>
      </w:pPr>
    </w:p>
    <w:p>
      <w:pPr>
        <w:ind w:firstLine="987"/>
        <w:spacing w:after="0" w:line="257" w:lineRule="auto"/>
        <w:tabs>
          <w:tab w:leader="none" w:pos="1256" w:val="left"/>
        </w:tabs>
        <w:numPr>
          <w:ilvl w:val="0"/>
          <w:numId w:val="129"/>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7" w:lineRule="exact"/>
        <w:rPr>
          <w:rFonts w:ascii="Arial" w:cs="Arial" w:eastAsia="Arial" w:hAnsi="Arial"/>
          <w:sz w:val="18"/>
          <w:szCs w:val="18"/>
          <w:b w:val="1"/>
          <w:bCs w:val="1"/>
          <w:color w:val="auto"/>
        </w:rPr>
      </w:pPr>
    </w:p>
    <w:p>
      <w:pPr>
        <w:ind w:right="140" w:firstLine="987"/>
        <w:spacing w:after="0" w:line="255" w:lineRule="auto"/>
        <w:tabs>
          <w:tab w:leader="none" w:pos="1236" w:val="left"/>
        </w:tabs>
        <w:numPr>
          <w:ilvl w:val="0"/>
          <w:numId w:val="129"/>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92" w:lineRule="exact"/>
        <w:rPr>
          <w:rFonts w:ascii="Arial" w:cs="Arial" w:eastAsia="Arial" w:hAnsi="Arial"/>
          <w:sz w:val="18"/>
          <w:szCs w:val="18"/>
          <w:b w:val="1"/>
          <w:bCs w:val="1"/>
          <w:color w:val="auto"/>
        </w:rPr>
      </w:pPr>
    </w:p>
    <w:p>
      <w:pPr>
        <w:ind w:right="120" w:firstLine="987"/>
        <w:spacing w:after="0" w:line="275" w:lineRule="auto"/>
        <w:tabs>
          <w:tab w:leader="none" w:pos="1256" w:val="left"/>
        </w:tabs>
        <w:numPr>
          <w:ilvl w:val="0"/>
          <w:numId w:val="129"/>
        </w:numPr>
        <w:rPr>
          <w:rFonts w:ascii="Arial" w:cs="Arial" w:eastAsia="Arial" w:hAnsi="Arial"/>
          <w:sz w:val="17"/>
          <w:szCs w:val="17"/>
          <w:b w:val="1"/>
          <w:bCs w:val="1"/>
          <w:color w:val="auto"/>
        </w:rPr>
      </w:pPr>
      <w:r>
        <w:rPr>
          <w:rFonts w:ascii="Arial" w:cs="Arial" w:eastAsia="Arial" w:hAnsi="Arial"/>
          <w:sz w:val="17"/>
          <w:szCs w:val="17"/>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76" w:lineRule="exact"/>
        <w:rPr>
          <w:rFonts w:ascii="Arial" w:cs="Arial" w:eastAsia="Arial" w:hAnsi="Arial"/>
          <w:sz w:val="17"/>
          <w:szCs w:val="17"/>
          <w:b w:val="1"/>
          <w:bCs w:val="1"/>
          <w:color w:val="auto"/>
        </w:rPr>
      </w:pPr>
    </w:p>
    <w:p>
      <w:pPr>
        <w:ind w:right="140" w:firstLine="987"/>
        <w:spacing w:after="0" w:line="259" w:lineRule="auto"/>
        <w:tabs>
          <w:tab w:leader="none" w:pos="1236" w:val="left"/>
        </w:tabs>
        <w:numPr>
          <w:ilvl w:val="0"/>
          <w:numId w:val="129"/>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86" w:lineRule="exact"/>
        <w:rPr>
          <w:rFonts w:ascii="Arial" w:cs="Arial" w:eastAsia="Arial" w:hAnsi="Arial"/>
          <w:sz w:val="18"/>
          <w:szCs w:val="18"/>
          <w:b w:val="1"/>
          <w:bCs w:val="1"/>
          <w:color w:val="auto"/>
        </w:rPr>
      </w:pPr>
    </w:p>
    <w:p>
      <w:pPr>
        <w:ind w:right="360" w:firstLine="987"/>
        <w:spacing w:after="0" w:line="277" w:lineRule="auto"/>
        <w:tabs>
          <w:tab w:leader="none" w:pos="1216" w:val="left"/>
        </w:tabs>
        <w:numPr>
          <w:ilvl w:val="0"/>
          <w:numId w:val="129"/>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20"/>
          </w:cols>
          <w:pgMar w:left="440" w:top="274" w:right="439" w:bottom="1440" w:gutter="0" w:footer="0" w:header="0"/>
        </w:sectPr>
      </w:pPr>
    </w:p>
    <w:bookmarkStart w:id="69" w:name="page70"/>
    <w:bookmarkEnd w:id="69"/>
    <w:p>
      <w:pPr>
        <w:ind w:right="80"/>
        <w:spacing w:after="0" w:line="254" w:lineRule="auto"/>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Section 5.6</w:t>
      </w:r>
      <w:r>
        <w:rPr>
          <w:rFonts w:ascii="Arial" w:cs="Arial" w:eastAsia="Arial" w:hAnsi="Arial"/>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91"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5.7 Employee Benefits</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69" w:lineRule="auto"/>
        <w:tabs>
          <w:tab w:leader="none" w:pos="1246" w:val="left"/>
        </w:tabs>
        <w:numPr>
          <w:ilvl w:val="0"/>
          <w:numId w:val="130"/>
        </w:numPr>
        <w:rPr>
          <w:rFonts w:ascii="Arial" w:cs="Arial" w:eastAsia="Arial" w:hAnsi="Arial"/>
          <w:sz w:val="17"/>
          <w:szCs w:val="17"/>
          <w:b w:val="1"/>
          <w:bCs w:val="1"/>
          <w:color w:val="auto"/>
        </w:rPr>
      </w:pPr>
      <w:r>
        <w:rPr>
          <w:rFonts w:ascii="Arial" w:cs="Arial" w:eastAsia="Arial" w:hAnsi="Arial"/>
          <w:sz w:val="17"/>
          <w:szCs w:val="17"/>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78" w:lineRule="exact"/>
        <w:rPr>
          <w:rFonts w:ascii="Arial" w:cs="Arial" w:eastAsia="Arial" w:hAnsi="Arial"/>
          <w:sz w:val="17"/>
          <w:szCs w:val="17"/>
          <w:b w:val="1"/>
          <w:bCs w:val="1"/>
          <w:color w:val="auto"/>
        </w:rPr>
      </w:pPr>
    </w:p>
    <w:p>
      <w:pPr>
        <w:ind w:right="40" w:firstLine="987"/>
        <w:spacing w:after="0" w:line="269" w:lineRule="auto"/>
        <w:tabs>
          <w:tab w:leader="none" w:pos="1256" w:val="left"/>
        </w:tabs>
        <w:numPr>
          <w:ilvl w:val="0"/>
          <w:numId w:val="130"/>
        </w:numPr>
        <w:rPr>
          <w:rFonts w:ascii="Arial" w:cs="Arial" w:eastAsia="Arial" w:hAnsi="Arial"/>
          <w:sz w:val="17"/>
          <w:szCs w:val="17"/>
          <w:b w:val="1"/>
          <w:bCs w:val="1"/>
          <w:color w:val="auto"/>
        </w:rPr>
      </w:pPr>
      <w:r>
        <w:rPr>
          <w:rFonts w:ascii="Arial" w:cs="Arial" w:eastAsia="Arial" w:hAnsi="Arial"/>
          <w:sz w:val="17"/>
          <w:szCs w:val="17"/>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Arial" w:cs="Arial" w:eastAsia="Arial" w:hAnsi="Arial"/>
          <w:sz w:val="17"/>
          <w:szCs w:val="17"/>
          <w:u w:val="single" w:color="auto"/>
          <w:color w:val="auto"/>
        </w:rPr>
        <w:t>Marvell Employee Plan</w:t>
      </w:r>
      <w:r>
        <w:rPr>
          <w:rFonts w:ascii="Arial" w:cs="Arial" w:eastAsia="Arial" w:hAnsi="Arial"/>
          <w:sz w:val="17"/>
          <w:szCs w:val="17"/>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78" w:lineRule="exact"/>
        <w:rPr>
          <w:rFonts w:ascii="Arial" w:cs="Arial" w:eastAsia="Arial" w:hAnsi="Arial"/>
          <w:sz w:val="17"/>
          <w:szCs w:val="17"/>
          <w:b w:val="1"/>
          <w:bCs w:val="1"/>
          <w:color w:val="auto"/>
        </w:rPr>
      </w:pPr>
    </w:p>
    <w:p>
      <w:pPr>
        <w:ind w:firstLine="987"/>
        <w:spacing w:after="0" w:line="257" w:lineRule="auto"/>
        <w:tabs>
          <w:tab w:leader="none" w:pos="1236" w:val="left"/>
        </w:tabs>
        <w:numPr>
          <w:ilvl w:val="0"/>
          <w:numId w:val="130"/>
        </w:numPr>
        <w:rPr>
          <w:rFonts w:ascii="Arial" w:cs="Arial" w:eastAsia="Arial" w:hAnsi="Arial"/>
          <w:sz w:val="18"/>
          <w:szCs w:val="18"/>
          <w:b w:val="1"/>
          <w:bCs w:val="1"/>
          <w:color w:val="auto"/>
        </w:rPr>
      </w:pPr>
      <w:r>
        <w:rPr>
          <w:rFonts w:ascii="Arial" w:cs="Arial" w:eastAsia="Arial" w:hAnsi="Arial"/>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nothing in this </w:t>
      </w:r>
      <w:r>
        <w:rPr>
          <w:rFonts w:ascii="Arial" w:cs="Arial" w:eastAsia="Arial" w:hAnsi="Arial"/>
          <w:sz w:val="18"/>
          <w:szCs w:val="18"/>
          <w:u w:val="single" w:color="auto"/>
          <w:color w:val="auto"/>
        </w:rPr>
        <w:t>Section 5.7</w:t>
      </w:r>
      <w:r>
        <w:rPr>
          <w:rFonts w:ascii="Arial" w:cs="Arial" w:eastAsia="Arial" w:hAnsi="Arial"/>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000"/>
          </w:cols>
          <w:pgMar w:left="440" w:top="274" w:right="459" w:bottom="1440" w:gutter="0" w:footer="0" w:header="0"/>
        </w:sectPr>
      </w:pPr>
    </w:p>
    <w:bookmarkStart w:id="70" w:name="page71"/>
    <w:bookmarkEnd w:id="70"/>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no Inphi Associate shall be deemed to be a third-party beneficiary of this Agreement. Nothing in this </w:t>
      </w:r>
      <w:r>
        <w:rPr>
          <w:rFonts w:ascii="Arial" w:cs="Arial" w:eastAsia="Arial" w:hAnsi="Arial"/>
          <w:sz w:val="17"/>
          <w:szCs w:val="17"/>
          <w:u w:val="single" w:color="auto"/>
          <w:color w:val="auto"/>
        </w:rPr>
        <w:t>Section 5.7(a)</w:t>
      </w:r>
      <w:r>
        <w:rPr>
          <w:rFonts w:ascii="Arial" w:cs="Arial" w:eastAsia="Arial" w:hAnsi="Arial"/>
          <w:sz w:val="17"/>
          <w:szCs w:val="17"/>
          <w:color w:val="auto"/>
        </w:rPr>
        <w:t xml:space="preserve"> shall limit the effect of </w:t>
      </w:r>
      <w:r>
        <w:rPr>
          <w:rFonts w:ascii="Arial" w:cs="Arial" w:eastAsia="Arial" w:hAnsi="Arial"/>
          <w:sz w:val="17"/>
          <w:szCs w:val="17"/>
          <w:u w:val="single" w:color="auto"/>
          <w:color w:val="auto"/>
        </w:rPr>
        <w:t>Section 9.7</w:t>
      </w:r>
      <w:r>
        <w:rPr>
          <w:rFonts w:ascii="Arial" w:cs="Arial" w:eastAsia="Arial" w:hAnsi="Arial"/>
          <w:sz w:val="17"/>
          <w:szCs w:val="17"/>
          <w:color w:val="auto"/>
        </w:rPr>
        <w:t>.</w:t>
      </w:r>
    </w:p>
    <w:p>
      <w:pPr>
        <w:spacing w:after="0" w:line="178" w:lineRule="exact"/>
        <w:rPr>
          <w:sz w:val="20"/>
          <w:szCs w:val="20"/>
          <w:color w:val="auto"/>
        </w:rPr>
      </w:pPr>
    </w:p>
    <w:p>
      <w:pPr>
        <w:ind w:right="140" w:firstLine="987"/>
        <w:spacing w:after="0" w:line="284" w:lineRule="auto"/>
        <w:tabs>
          <w:tab w:leader="none" w:pos="1256" w:val="left"/>
        </w:tabs>
        <w:numPr>
          <w:ilvl w:val="0"/>
          <w:numId w:val="131"/>
        </w:numPr>
        <w:rPr>
          <w:rFonts w:ascii="Arial" w:cs="Arial" w:eastAsia="Arial" w:hAnsi="Arial"/>
          <w:sz w:val="16"/>
          <w:szCs w:val="16"/>
          <w:b w:val="1"/>
          <w:bCs w:val="1"/>
          <w:color w:val="auto"/>
        </w:rPr>
      </w:pPr>
      <w:r>
        <w:rPr>
          <w:rFonts w:ascii="Arial" w:cs="Arial" w:eastAsia="Arial" w:hAnsi="Arial"/>
          <w:sz w:val="16"/>
          <w:szCs w:val="16"/>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Arial" w:cs="Arial" w:eastAsia="Arial" w:hAnsi="Arial"/>
          <w:sz w:val="16"/>
          <w:szCs w:val="16"/>
          <w:u w:val="single" w:color="auto"/>
          <w:color w:val="auto"/>
        </w:rPr>
        <w:t>Company 401(k) Plan</w:t>
      </w:r>
      <w:r>
        <w:rPr>
          <w:rFonts w:ascii="Arial" w:cs="Arial" w:eastAsia="Arial" w:hAnsi="Arial"/>
          <w:sz w:val="16"/>
          <w:szCs w:val="16"/>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spacing w:after="0" w:line="251" w:lineRule="auto"/>
        <w:rPr>
          <w:rFonts w:ascii="Arial" w:cs="Arial" w:eastAsia="Arial" w:hAnsi="Arial"/>
          <w:sz w:val="16"/>
          <w:szCs w:val="16"/>
          <w:b w:val="1"/>
          <w:bCs w:val="1"/>
          <w:color w:val="auto"/>
        </w:rPr>
      </w:pP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7" w:lineRule="exact"/>
        <w:rPr>
          <w:rFonts w:ascii="Arial" w:cs="Arial" w:eastAsia="Arial" w:hAnsi="Arial"/>
          <w:sz w:val="16"/>
          <w:szCs w:val="16"/>
          <w:b w:val="1"/>
          <w:bCs w:val="1"/>
          <w:color w:val="auto"/>
        </w:rPr>
      </w:pPr>
    </w:p>
    <w:p>
      <w:pPr>
        <w:ind w:right="120" w:firstLine="987"/>
        <w:spacing w:after="0" w:line="254" w:lineRule="auto"/>
        <w:tabs>
          <w:tab w:leader="none" w:pos="1236" w:val="left"/>
        </w:tabs>
        <w:numPr>
          <w:ilvl w:val="0"/>
          <w:numId w:val="131"/>
        </w:numPr>
        <w:rPr>
          <w:rFonts w:ascii="Arial" w:cs="Arial" w:eastAsia="Arial" w:hAnsi="Arial"/>
          <w:sz w:val="18"/>
          <w:szCs w:val="18"/>
          <w:b w:val="1"/>
          <w:bCs w:val="1"/>
          <w:color w:val="auto"/>
        </w:rPr>
      </w:pPr>
      <w:r>
        <w:rPr>
          <w:rFonts w:ascii="Arial" w:cs="Arial" w:eastAsia="Arial" w:hAnsi="Arial"/>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Arial" w:cs="Arial" w:eastAsia="Arial" w:hAnsi="Arial"/>
          <w:sz w:val="18"/>
          <w:szCs w:val="18"/>
          <w:u w:val="single" w:color="auto"/>
          <w:color w:val="auto"/>
        </w:rPr>
        <w:t>Section 5.7</w:t>
      </w:r>
      <w:r>
        <w:rPr>
          <w:rFonts w:ascii="Arial" w:cs="Arial" w:eastAsia="Arial" w:hAnsi="Arial"/>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5.8 Indemnification of Officers and Directors</w:t>
      </w:r>
      <w:r>
        <w:rPr>
          <w:rFonts w:ascii="Arial" w:cs="Arial" w:eastAsia="Arial" w:hAnsi="Arial"/>
          <w:sz w:val="18"/>
          <w:szCs w:val="18"/>
          <w:color w:val="auto"/>
        </w:rPr>
        <w:t>.</w:t>
      </w:r>
    </w:p>
    <w:p>
      <w:pPr>
        <w:spacing w:after="0" w:line="229" w:lineRule="exact"/>
        <w:rPr>
          <w:sz w:val="20"/>
          <w:szCs w:val="20"/>
          <w:color w:val="auto"/>
        </w:rPr>
      </w:pPr>
    </w:p>
    <w:p>
      <w:pPr>
        <w:ind w:firstLine="987"/>
        <w:spacing w:after="0" w:line="255" w:lineRule="auto"/>
        <w:tabs>
          <w:tab w:leader="none" w:pos="1246" w:val="left"/>
        </w:tabs>
        <w:numPr>
          <w:ilvl w:val="0"/>
          <w:numId w:val="132"/>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000"/>
          </w:cols>
          <w:pgMar w:left="440" w:top="274" w:right="459" w:bottom="1440" w:gutter="0" w:footer="0" w:header="0"/>
        </w:sectPr>
      </w:pPr>
    </w:p>
    <w:bookmarkStart w:id="71" w:name="page72"/>
    <w:bookmarkEnd w:id="71"/>
    <w:p>
      <w:pPr>
        <w:ind w:right="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continue in full force and effect (to the extent such rights to indemnification are available under and consistent with applicable Delaware law) for a period of six years following the date on which the Delaware Merger becomes effective.</w:t>
      </w:r>
    </w:p>
    <w:p>
      <w:pPr>
        <w:spacing w:after="0" w:line="170" w:lineRule="exact"/>
        <w:rPr>
          <w:sz w:val="20"/>
          <w:szCs w:val="20"/>
          <w:color w:val="auto"/>
        </w:rPr>
      </w:pPr>
    </w:p>
    <w:p>
      <w:pPr>
        <w:ind w:right="40" w:firstLine="987"/>
        <w:spacing w:after="0" w:line="254" w:lineRule="auto"/>
        <w:tabs>
          <w:tab w:leader="none" w:pos="1256" w:val="left"/>
        </w:tabs>
        <w:numPr>
          <w:ilvl w:val="0"/>
          <w:numId w:val="133"/>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and, together with the Company Indemnified Persons,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94" w:lineRule="exact"/>
        <w:rPr>
          <w:rFonts w:ascii="Arial" w:cs="Arial" w:eastAsia="Arial" w:hAnsi="Arial"/>
          <w:sz w:val="18"/>
          <w:szCs w:val="18"/>
          <w:b w:val="1"/>
          <w:bCs w:val="1"/>
          <w:color w:val="auto"/>
        </w:rPr>
      </w:pPr>
    </w:p>
    <w:p>
      <w:pPr>
        <w:ind w:firstLine="987"/>
        <w:spacing w:after="0" w:line="267" w:lineRule="auto"/>
        <w:tabs>
          <w:tab w:leader="none" w:pos="1236" w:val="left"/>
        </w:tabs>
        <w:numPr>
          <w:ilvl w:val="0"/>
          <w:numId w:val="133"/>
        </w:numPr>
        <w:rPr>
          <w:rFonts w:ascii="Arial" w:cs="Arial" w:eastAsia="Arial" w:hAnsi="Arial"/>
          <w:sz w:val="17"/>
          <w:szCs w:val="17"/>
          <w:b w:val="1"/>
          <w:bCs w:val="1"/>
          <w:color w:val="auto"/>
        </w:rPr>
      </w:pPr>
      <w:r>
        <w:rPr>
          <w:rFonts w:ascii="Arial" w:cs="Arial" w:eastAsia="Arial" w:hAnsi="Arial"/>
          <w:sz w:val="17"/>
          <w:szCs w:val="17"/>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Arial" w:cs="Arial" w:eastAsia="Arial" w:hAnsi="Arial"/>
          <w:sz w:val="17"/>
          <w:szCs w:val="17"/>
          <w:u w:val="single" w:color="auto"/>
          <w:color w:val="auto"/>
        </w:rPr>
        <w:t>Existing D&amp;O Policies</w:t>
      </w:r>
      <w:r>
        <w:rPr>
          <w:rFonts w:ascii="Arial" w:cs="Arial" w:eastAsia="Arial" w:hAnsi="Arial"/>
          <w:sz w:val="17"/>
          <w:szCs w:val="17"/>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Arial" w:cs="Arial" w:eastAsia="Arial" w:hAnsi="Arial"/>
          <w:sz w:val="17"/>
          <w:szCs w:val="17"/>
          <w:u w:val="single" w:color="auto"/>
          <w:color w:val="auto"/>
        </w:rPr>
        <w:t>Tail Policy Purchaser</w:t>
      </w:r>
      <w:r>
        <w:rPr>
          <w:rFonts w:ascii="Arial" w:cs="Arial" w:eastAsia="Arial" w:hAnsi="Arial"/>
          <w:sz w:val="17"/>
          <w:szCs w:val="17"/>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Arial" w:cs="Arial" w:eastAsia="Arial" w:hAnsi="Arial"/>
          <w:sz w:val="17"/>
          <w:szCs w:val="17"/>
          <w:u w:val="single" w:color="auto"/>
          <w:color w:val="auto"/>
        </w:rPr>
        <w:t>Section 5.8(c)</w:t>
      </w:r>
      <w:r>
        <w:rPr>
          <w:rFonts w:ascii="Arial" w:cs="Arial" w:eastAsia="Arial" w:hAnsi="Arial"/>
          <w:sz w:val="17"/>
          <w:szCs w:val="17"/>
          <w:color w:val="auto"/>
        </w:rPr>
        <w:t>.</w:t>
      </w:r>
    </w:p>
    <w:p>
      <w:pPr>
        <w:spacing w:after="0" w:line="186" w:lineRule="exact"/>
        <w:rPr>
          <w:rFonts w:ascii="Arial" w:cs="Arial" w:eastAsia="Arial" w:hAnsi="Arial"/>
          <w:sz w:val="17"/>
          <w:szCs w:val="17"/>
          <w:b w:val="1"/>
          <w:bCs w:val="1"/>
          <w:color w:val="auto"/>
        </w:rPr>
      </w:pPr>
    </w:p>
    <w:p>
      <w:pPr>
        <w:ind w:right="100" w:firstLine="987"/>
        <w:spacing w:after="0" w:line="311" w:lineRule="auto"/>
        <w:tabs>
          <w:tab w:leader="none" w:pos="1256" w:val="left"/>
        </w:tabs>
        <w:numPr>
          <w:ilvl w:val="0"/>
          <w:numId w:val="133"/>
        </w:numPr>
        <w:rPr>
          <w:rFonts w:ascii="Arial" w:cs="Arial" w:eastAsia="Arial" w:hAnsi="Arial"/>
          <w:sz w:val="16"/>
          <w:szCs w:val="16"/>
          <w:b w:val="1"/>
          <w:bCs w:val="1"/>
          <w:color w:val="auto"/>
        </w:rPr>
      </w:pPr>
      <w:r>
        <w:rPr>
          <w:rFonts w:ascii="Arial" w:cs="Arial" w:eastAsia="Arial" w:hAnsi="Arial"/>
          <w:sz w:val="16"/>
          <w:szCs w:val="16"/>
          <w:color w:val="auto"/>
        </w:rPr>
        <w:t xml:space="preserve">The provisions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are intended to be for the benefit of, and will be enforceable by: (i) each of the Company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Delaware Merger Effective Time; and (ii) each of the Marvell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Bermuda Merger Effective Time.</w:t>
      </w:r>
    </w:p>
    <w:p>
      <w:pPr>
        <w:spacing w:after="0" w:line="145"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5.9 Regulatory Approvals and Related Matters</w:t>
      </w:r>
      <w:r>
        <w:rPr>
          <w:rFonts w:ascii="Arial" w:cs="Arial" w:eastAsia="Arial" w:hAnsi="Arial"/>
          <w:sz w:val="18"/>
          <w:szCs w:val="18"/>
          <w:color w:val="auto"/>
        </w:rPr>
        <w:t>.</w:t>
      </w:r>
    </w:p>
    <w:p>
      <w:pPr>
        <w:spacing w:after="0" w:line="229" w:lineRule="exact"/>
        <w:rPr>
          <w:sz w:val="20"/>
          <w:szCs w:val="20"/>
          <w:color w:val="auto"/>
        </w:rPr>
      </w:pPr>
    </w:p>
    <w:p>
      <w:pPr>
        <w:ind w:right="20" w:firstLine="987"/>
        <w:spacing w:after="0" w:line="263" w:lineRule="auto"/>
        <w:tabs>
          <w:tab w:leader="none" w:pos="1246" w:val="left"/>
        </w:tabs>
        <w:numPr>
          <w:ilvl w:val="0"/>
          <w:numId w:val="134"/>
        </w:numPr>
        <w:rPr>
          <w:rFonts w:ascii="Arial" w:cs="Arial" w:eastAsia="Arial" w:hAnsi="Arial"/>
          <w:sz w:val="18"/>
          <w:szCs w:val="18"/>
          <w:b w:val="1"/>
          <w:bCs w:val="1"/>
          <w:color w:val="auto"/>
        </w:rPr>
      </w:pPr>
      <w:r>
        <w:rPr>
          <w:rFonts w:ascii="Arial" w:cs="Arial" w:eastAsia="Arial" w:hAnsi="Arial"/>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00"/>
          </w:cols>
          <w:pgMar w:left="440" w:top="274" w:right="459" w:bottom="1440" w:gutter="0" w:footer="0" w:header="0"/>
        </w:sectPr>
      </w:pPr>
    </w:p>
    <w:bookmarkStart w:id="72" w:name="page73"/>
    <w:bookmarkEnd w:id="72"/>
    <w:p>
      <w:pPr>
        <w:ind w:right="4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Transactions, and to submit promptly any additional information requested by any such Governmental Body. Without limiting the generality of the foregoing:</w:t>
      </w:r>
    </w:p>
    <w:p>
      <w:pPr>
        <w:spacing w:after="0" w:line="62" w:lineRule="exact"/>
        <w:rPr>
          <w:sz w:val="20"/>
          <w:szCs w:val="20"/>
          <w:color w:val="auto"/>
        </w:rPr>
      </w:pPr>
    </w:p>
    <w:p>
      <w:pPr>
        <w:ind w:left="440" w:right="200" w:firstLine="948"/>
        <w:spacing w:after="0" w:line="293" w:lineRule="auto"/>
        <w:tabs>
          <w:tab w:leader="none" w:pos="1607" w:val="left"/>
        </w:tabs>
        <w:numPr>
          <w:ilvl w:val="2"/>
          <w:numId w:val="135"/>
        </w:numPr>
        <w:rPr>
          <w:rFonts w:ascii="Arial" w:cs="Arial" w:eastAsia="Arial" w:hAnsi="Arial"/>
          <w:sz w:val="16"/>
          <w:szCs w:val="16"/>
          <w:b w:val="1"/>
          <w:bCs w:val="1"/>
          <w:color w:val="auto"/>
        </w:rPr>
      </w:pPr>
      <w:r>
        <w:rPr>
          <w:rFonts w:ascii="Arial" w:cs="Arial" w:eastAsia="Arial" w:hAnsi="Arial"/>
          <w:sz w:val="16"/>
          <w:szCs w:val="16"/>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56" w:lineRule="exact"/>
        <w:rPr>
          <w:rFonts w:ascii="Arial" w:cs="Arial" w:eastAsia="Arial" w:hAnsi="Arial"/>
          <w:sz w:val="16"/>
          <w:szCs w:val="16"/>
          <w:b w:val="1"/>
          <w:bCs w:val="1"/>
          <w:color w:val="auto"/>
        </w:rPr>
      </w:pPr>
    </w:p>
    <w:p>
      <w:pPr>
        <w:ind w:left="440" w:firstLine="948"/>
        <w:spacing w:after="0" w:line="285" w:lineRule="auto"/>
        <w:tabs>
          <w:tab w:leader="none" w:pos="1657" w:val="left"/>
        </w:tabs>
        <w:numPr>
          <w:ilvl w:val="2"/>
          <w:numId w:val="135"/>
        </w:numPr>
        <w:rPr>
          <w:rFonts w:ascii="Arial" w:cs="Arial" w:eastAsia="Arial" w:hAnsi="Arial"/>
          <w:sz w:val="16"/>
          <w:szCs w:val="16"/>
          <w:b w:val="1"/>
          <w:bCs w:val="1"/>
          <w:color w:val="auto"/>
        </w:rPr>
      </w:pPr>
      <w:r>
        <w:rPr>
          <w:rFonts w:ascii="Arial" w:cs="Arial" w:eastAsia="Arial" w:hAnsi="Arial"/>
          <w:sz w:val="16"/>
          <w:szCs w:val="16"/>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1" w:lineRule="exact"/>
        <w:rPr>
          <w:rFonts w:ascii="Arial" w:cs="Arial" w:eastAsia="Arial" w:hAnsi="Arial"/>
          <w:sz w:val="16"/>
          <w:szCs w:val="16"/>
          <w:b w:val="1"/>
          <w:bCs w:val="1"/>
          <w:color w:val="auto"/>
        </w:rPr>
      </w:pPr>
    </w:p>
    <w:p>
      <w:pPr>
        <w:ind w:left="440" w:right="820" w:hanging="4"/>
        <w:spacing w:after="0" w:line="260" w:lineRule="auto"/>
        <w:tabs>
          <w:tab w:leader="none" w:pos="725" w:val="left"/>
        </w:tabs>
        <w:numPr>
          <w:ilvl w:val="0"/>
          <w:numId w:val="136"/>
        </w:numPr>
        <w:rPr>
          <w:rFonts w:ascii="Arial" w:cs="Arial" w:eastAsia="Arial" w:hAnsi="Arial"/>
          <w:sz w:val="18"/>
          <w:szCs w:val="18"/>
          <w:color w:val="auto"/>
        </w:rPr>
      </w:pPr>
      <w:r>
        <w:rPr>
          <w:rFonts w:ascii="Arial" w:cs="Arial" w:eastAsia="Arial" w:hAnsi="Arial"/>
          <w:sz w:val="18"/>
          <w:szCs w:val="18"/>
          <w:color w:val="auto"/>
        </w:rPr>
        <w:t>respond as promptly as possible to any inquiries or requests received from such Requesting Authority for additional non-privileged information or non-privileged documentation.</w:t>
      </w:r>
    </w:p>
    <w:p>
      <w:pPr>
        <w:spacing w:after="0" w:line="185" w:lineRule="exact"/>
        <w:rPr>
          <w:rFonts w:ascii="Arial" w:cs="Arial" w:eastAsia="Arial" w:hAnsi="Arial"/>
          <w:sz w:val="18"/>
          <w:szCs w:val="18"/>
          <w:color w:val="auto"/>
        </w:rPr>
      </w:pPr>
    </w:p>
    <w:p>
      <w:pPr>
        <w:jc w:val="both"/>
        <w:ind w:right="140" w:firstLine="987"/>
        <w:spacing w:after="0" w:line="263" w:lineRule="auto"/>
        <w:tabs>
          <w:tab w:leader="none" w:pos="1256" w:val="left"/>
        </w:tabs>
        <w:numPr>
          <w:ilvl w:val="1"/>
          <w:numId w:val="136"/>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Arial" w:cs="Arial" w:eastAsia="Arial" w:hAnsi="Arial"/>
          <w:sz w:val="18"/>
          <w:szCs w:val="18"/>
          <w:u w:val="single" w:color="auto"/>
          <w:color w:val="auto"/>
        </w:rPr>
        <w:t>Section 5.9(a)</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right="20" w:firstLine="987"/>
        <w:spacing w:after="0" w:line="286" w:lineRule="auto"/>
        <w:tabs>
          <w:tab w:leader="none" w:pos="1236" w:val="left"/>
        </w:tabs>
        <w:numPr>
          <w:ilvl w:val="1"/>
          <w:numId w:val="136"/>
        </w:numPr>
        <w:rPr>
          <w:rFonts w:ascii="Arial" w:cs="Arial" w:eastAsia="Arial" w:hAnsi="Arial"/>
          <w:sz w:val="16"/>
          <w:szCs w:val="16"/>
          <w:b w:val="1"/>
          <w:bCs w:val="1"/>
          <w:color w:val="auto"/>
        </w:rPr>
      </w:pPr>
      <w:r>
        <w:rPr>
          <w:rFonts w:ascii="Arial" w:cs="Arial" w:eastAsia="Arial" w:hAnsi="Arial"/>
          <w:sz w:val="16"/>
          <w:szCs w:val="16"/>
          <w:color w:val="auto"/>
        </w:rPr>
        <w:t xml:space="preserve">Except where prohibited by applicable Legal Requirements or any Governmental Body, and subject to </w:t>
      </w:r>
      <w:r>
        <w:rPr>
          <w:rFonts w:ascii="Arial" w:cs="Arial" w:eastAsia="Arial" w:hAnsi="Arial"/>
          <w:sz w:val="16"/>
          <w:szCs w:val="16"/>
          <w:u w:val="single" w:color="auto"/>
          <w:color w:val="auto"/>
        </w:rPr>
        <w:t>Section 5.9(b)</w:t>
      </w:r>
      <w:r>
        <w:rPr>
          <w:rFonts w:ascii="Arial" w:cs="Arial" w:eastAsia="Arial" w:hAnsi="Arial"/>
          <w:sz w:val="16"/>
          <w:szCs w:val="16"/>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and (v) provide the other Principal Party with reasonable notice of and opportunity to participate in any substantive conversation or meeting with a Governmental Body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70" w:lineRule="exact"/>
        <w:rPr>
          <w:rFonts w:ascii="Arial" w:cs="Arial" w:eastAsia="Arial" w:hAnsi="Arial"/>
          <w:sz w:val="16"/>
          <w:szCs w:val="16"/>
          <w:b w:val="1"/>
          <w:bCs w:val="1"/>
          <w:color w:val="auto"/>
        </w:rPr>
      </w:pPr>
    </w:p>
    <w:p>
      <w:pPr>
        <w:ind w:firstLine="987"/>
        <w:spacing w:after="0" w:line="279" w:lineRule="auto"/>
        <w:tabs>
          <w:tab w:leader="none" w:pos="1256" w:val="left"/>
        </w:tabs>
        <w:numPr>
          <w:ilvl w:val="1"/>
          <w:numId w:val="136"/>
        </w:numPr>
        <w:rPr>
          <w:rFonts w:ascii="Arial" w:cs="Arial" w:eastAsia="Arial" w:hAnsi="Arial"/>
          <w:sz w:val="17"/>
          <w:szCs w:val="17"/>
          <w:b w:val="1"/>
          <w:bCs w:val="1"/>
          <w:color w:val="auto"/>
        </w:rPr>
      </w:pPr>
      <w:r>
        <w:rPr>
          <w:rFonts w:ascii="Arial" w:cs="Arial" w:eastAsia="Arial" w:hAnsi="Arial"/>
          <w:sz w:val="17"/>
          <w:szCs w:val="17"/>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0980"/>
          </w:cols>
          <w:pgMar w:left="440" w:top="274" w:right="479" w:bottom="1440" w:gutter="0" w:footer="0" w:header="0"/>
        </w:sectPr>
      </w:pPr>
    </w:p>
    <w:bookmarkStart w:id="73" w:name="page74"/>
    <w:bookmarkEnd w:id="73"/>
    <w:p>
      <w:pPr>
        <w:ind w:left="4"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Arial" w:cs="Arial" w:eastAsia="Arial" w:hAnsi="Arial"/>
          <w:sz w:val="18"/>
          <w:szCs w:val="18"/>
          <w:u w:val="single" w:color="auto"/>
          <w:color w:val="auto"/>
        </w:rPr>
        <w:t>Section 5.9(a)</w:t>
      </w:r>
      <w:r>
        <w:rPr>
          <w:rFonts w:ascii="Arial" w:cs="Arial" w:eastAsia="Arial" w:hAnsi="Arial"/>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92" w:lineRule="exact"/>
        <w:rPr>
          <w:sz w:val="20"/>
          <w:szCs w:val="20"/>
          <w:color w:val="auto"/>
        </w:rPr>
      </w:pPr>
    </w:p>
    <w:p>
      <w:pPr>
        <w:ind w:left="4" w:right="80" w:firstLine="987"/>
        <w:spacing w:after="0" w:line="268" w:lineRule="auto"/>
        <w:tabs>
          <w:tab w:leader="none" w:pos="1240" w:val="left"/>
        </w:tabs>
        <w:numPr>
          <w:ilvl w:val="1"/>
          <w:numId w:val="137"/>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6" w:lineRule="exact"/>
        <w:rPr>
          <w:rFonts w:ascii="Arial" w:cs="Arial" w:eastAsia="Arial" w:hAnsi="Arial"/>
          <w:sz w:val="17"/>
          <w:szCs w:val="17"/>
          <w:b w:val="1"/>
          <w:bCs w:val="1"/>
          <w:color w:val="auto"/>
        </w:rPr>
      </w:pPr>
    </w:p>
    <w:p>
      <w:pPr>
        <w:ind w:left="4" w:firstLine="987"/>
        <w:spacing w:after="0" w:line="285" w:lineRule="auto"/>
        <w:tabs>
          <w:tab w:leader="none" w:pos="1220" w:val="left"/>
        </w:tabs>
        <w:numPr>
          <w:ilvl w:val="1"/>
          <w:numId w:val="137"/>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5.9(e)</w:t>
      </w:r>
      <w:r>
        <w:rPr>
          <w:rFonts w:ascii="Arial" w:cs="Arial" w:eastAsia="Arial" w:hAnsi="Arial"/>
          <w:sz w:val="16"/>
          <w:szCs w:val="16"/>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1" w:lineRule="exact"/>
        <w:rPr>
          <w:rFonts w:ascii="Arial" w:cs="Arial" w:eastAsia="Arial" w:hAnsi="Arial"/>
          <w:sz w:val="16"/>
          <w:szCs w:val="16"/>
          <w:b w:val="1"/>
          <w:bCs w:val="1"/>
          <w:color w:val="auto"/>
        </w:rPr>
      </w:pPr>
    </w:p>
    <w:p>
      <w:pPr>
        <w:ind w:left="4" w:right="20" w:hanging="4"/>
        <w:spacing w:after="0" w:line="267" w:lineRule="auto"/>
        <w:tabs>
          <w:tab w:leader="none" w:pos="259" w:val="left"/>
        </w:tabs>
        <w:numPr>
          <w:ilvl w:val="0"/>
          <w:numId w:val="138"/>
        </w:numPr>
        <w:rPr>
          <w:rFonts w:ascii="Arial" w:cs="Arial" w:eastAsia="Arial" w:hAnsi="Arial"/>
          <w:sz w:val="17"/>
          <w:szCs w:val="17"/>
          <w:color w:val="auto"/>
        </w:rPr>
      </w:pPr>
      <w:r>
        <w:rPr>
          <w:rFonts w:ascii="Arial" w:cs="Arial" w:eastAsia="Arial" w:hAnsi="Arial"/>
          <w:sz w:val="17"/>
          <w:szCs w:val="17"/>
          <w:color w:val="auto"/>
        </w:rPr>
        <w:t xml:space="preserve">are reasonably necessary to satisfy the conditions set forth in </w:t>
      </w:r>
      <w:r>
        <w:rPr>
          <w:rFonts w:ascii="Arial" w:cs="Arial" w:eastAsia="Arial" w:hAnsi="Arial"/>
          <w:sz w:val="17"/>
          <w:szCs w:val="17"/>
          <w:u w:val="single" w:color="auto"/>
          <w:color w:val="auto"/>
        </w:rPr>
        <w:t>Sections 6.8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Arial" w:cs="Arial" w:eastAsia="Arial" w:hAnsi="Arial"/>
          <w:sz w:val="17"/>
          <w:szCs w:val="17"/>
          <w:u w:val="single" w:color="auto"/>
          <w:color w:val="auto"/>
        </w:rPr>
        <w:t>Section 5.9(e)</w:t>
      </w:r>
      <w:r>
        <w:rPr>
          <w:rFonts w:ascii="Arial" w:cs="Arial" w:eastAsia="Arial" w:hAnsi="Arial"/>
          <w:sz w:val="17"/>
          <w:szCs w:val="17"/>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1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004"/>
          </w:cols>
          <w:pgMar w:left="436" w:top="274" w:right="459" w:bottom="1440" w:gutter="0" w:footer="0" w:header="0"/>
        </w:sectPr>
      </w:pPr>
    </w:p>
    <w:bookmarkStart w:id="74" w:name="page75"/>
    <w:bookmarkEnd w:id="74"/>
    <w:p>
      <w:pPr>
        <w:ind w:firstLine="440"/>
        <w:spacing w:after="0" w:line="286"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5.10 Disclosure</w:t>
      </w:r>
      <w:r>
        <w:rPr>
          <w:rFonts w:ascii="Arial" w:cs="Arial" w:eastAsia="Arial" w:hAnsi="Arial"/>
          <w:sz w:val="16"/>
          <w:szCs w:val="16"/>
          <w:color w:val="auto"/>
        </w:rPr>
        <w:t>. Marvell and the Company: (a) have agreed to the text of the joint press release and investor relations presentation announcing the</w:t>
      </w:r>
      <w:r>
        <w:rPr>
          <w:rFonts w:ascii="Arial" w:cs="Arial" w:eastAsia="Arial" w:hAnsi="Arial"/>
          <w:sz w:val="16"/>
          <w:szCs w:val="16"/>
          <w:b w:val="1"/>
          <w:bCs w:val="1"/>
          <w:color w:val="auto"/>
        </w:rPr>
        <w:t xml:space="preserve"> </w:t>
      </w:r>
      <w:r>
        <w:rPr>
          <w:rFonts w:ascii="Arial" w:cs="Arial" w:eastAsia="Arial" w:hAnsi="Arial"/>
          <w:sz w:val="16"/>
          <w:szCs w:val="16"/>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71" w:lineRule="exact"/>
        <w:rPr>
          <w:sz w:val="20"/>
          <w:szCs w:val="20"/>
          <w:color w:val="auto"/>
        </w:rPr>
      </w:pPr>
    </w:p>
    <w:p>
      <w:pPr>
        <w:ind w:firstLine="440"/>
        <w:spacing w:after="0" w:line="258" w:lineRule="auto"/>
        <w:rPr>
          <w:sz w:val="20"/>
          <w:szCs w:val="20"/>
          <w:color w:val="auto"/>
        </w:rPr>
      </w:pPr>
      <w:r>
        <w:rPr>
          <w:rFonts w:ascii="Arial" w:cs="Arial" w:eastAsia="Arial" w:hAnsi="Arial"/>
          <w:sz w:val="18"/>
          <w:szCs w:val="18"/>
          <w:b w:val="1"/>
          <w:bCs w:val="1"/>
          <w:color w:val="auto"/>
        </w:rPr>
        <w:t>5.11 Resignation of Officers and Directors</w:t>
      </w:r>
      <w:r>
        <w:rPr>
          <w:rFonts w:ascii="Arial" w:cs="Arial" w:eastAsia="Arial" w:hAnsi="Arial"/>
          <w:sz w:val="18"/>
          <w:szCs w:val="18"/>
          <w:color w:val="auto"/>
        </w:rPr>
        <w:t>. The Company shall use commercially reasonable efforts to obtain and deliver to Marvell at or prior</w:t>
      </w:r>
      <w:r>
        <w:rPr>
          <w:rFonts w:ascii="Arial" w:cs="Arial" w:eastAsia="Arial" w:hAnsi="Arial"/>
          <w:sz w:val="18"/>
          <w:szCs w:val="18"/>
          <w:b w:val="1"/>
          <w:bCs w:val="1"/>
          <w:color w:val="auto"/>
        </w:rPr>
        <w:t xml:space="preserve"> </w:t>
      </w:r>
      <w:r>
        <w:rPr>
          <w:rFonts w:ascii="Arial" w:cs="Arial" w:eastAsia="Arial" w:hAnsi="Arial"/>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83" w:lineRule="exact"/>
        <w:rPr>
          <w:sz w:val="20"/>
          <w:szCs w:val="20"/>
          <w:color w:val="auto"/>
        </w:rPr>
      </w:pPr>
    </w:p>
    <w:p>
      <w:pPr>
        <w:ind w:right="20" w:firstLine="440"/>
        <w:spacing w:after="0" w:line="258" w:lineRule="auto"/>
        <w:rPr>
          <w:sz w:val="20"/>
          <w:szCs w:val="20"/>
          <w:color w:val="auto"/>
        </w:rPr>
      </w:pPr>
      <w:r>
        <w:rPr>
          <w:rFonts w:ascii="Arial" w:cs="Arial" w:eastAsia="Arial" w:hAnsi="Arial"/>
          <w:sz w:val="18"/>
          <w:szCs w:val="18"/>
          <w:b w:val="1"/>
          <w:bCs w:val="1"/>
          <w:color w:val="auto"/>
        </w:rPr>
        <w:t>5.12 Delisting</w:t>
      </w:r>
      <w:r>
        <w:rPr>
          <w:rFonts w:ascii="Arial" w:cs="Arial" w:eastAsia="Arial" w:hAnsi="Arial"/>
          <w:sz w:val="18"/>
          <w:szCs w:val="18"/>
          <w:color w:val="auto"/>
        </w:rPr>
        <w:t>. Prior to the Bermuda Merger Effective Time, the Company shall cooperate with Marvell and use its reasonable best efforts to take,</w:t>
      </w:r>
      <w:r>
        <w:rPr>
          <w:rFonts w:ascii="Arial" w:cs="Arial" w:eastAsia="Arial" w:hAnsi="Arial"/>
          <w:sz w:val="18"/>
          <w:szCs w:val="18"/>
          <w:b w:val="1"/>
          <w:bCs w:val="1"/>
          <w:color w:val="auto"/>
        </w:rPr>
        <w:t xml:space="preserve"> </w:t>
      </w:r>
      <w:r>
        <w:rPr>
          <w:rFonts w:ascii="Arial" w:cs="Arial" w:eastAsia="Arial" w:hAnsi="Arial"/>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83" w:lineRule="exact"/>
        <w:rPr>
          <w:sz w:val="20"/>
          <w:szCs w:val="20"/>
          <w:color w:val="auto"/>
        </w:rPr>
      </w:pPr>
    </w:p>
    <w:p>
      <w:pPr>
        <w:ind w:right="100" w:firstLine="440"/>
        <w:spacing w:after="0" w:line="261" w:lineRule="auto"/>
        <w:rPr>
          <w:sz w:val="20"/>
          <w:szCs w:val="20"/>
          <w:color w:val="auto"/>
        </w:rPr>
      </w:pPr>
      <w:r>
        <w:rPr>
          <w:rFonts w:ascii="Arial" w:cs="Arial" w:eastAsia="Arial" w:hAnsi="Arial"/>
          <w:sz w:val="18"/>
          <w:szCs w:val="18"/>
          <w:b w:val="1"/>
          <w:bCs w:val="1"/>
          <w:color w:val="auto"/>
        </w:rPr>
        <w:t>5.13 Nasdaq Listing</w:t>
      </w:r>
      <w:r>
        <w:rPr>
          <w:rFonts w:ascii="Arial" w:cs="Arial" w:eastAsia="Arial" w:hAnsi="Arial"/>
          <w:sz w:val="18"/>
          <w:szCs w:val="18"/>
          <w:color w:val="auto"/>
        </w:rPr>
        <w:t>. HoldCo and Marvell shall use their reasonable best efforts to cause to be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80" w:lineRule="exact"/>
        <w:rPr>
          <w:sz w:val="20"/>
          <w:szCs w:val="20"/>
          <w:color w:val="auto"/>
        </w:rPr>
      </w:pPr>
    </w:p>
    <w:p>
      <w:pPr>
        <w:ind w:right="160" w:firstLine="440"/>
        <w:spacing w:after="0" w:line="255" w:lineRule="auto"/>
        <w:rPr>
          <w:sz w:val="20"/>
          <w:szCs w:val="20"/>
          <w:color w:val="auto"/>
        </w:rPr>
      </w:pPr>
      <w:r>
        <w:rPr>
          <w:rFonts w:ascii="Arial" w:cs="Arial" w:eastAsia="Arial" w:hAnsi="Arial"/>
          <w:sz w:val="18"/>
          <w:szCs w:val="18"/>
          <w:b w:val="1"/>
          <w:bCs w:val="1"/>
          <w:color w:val="auto"/>
        </w:rPr>
        <w:t>5.14 Section 16 Matters</w:t>
      </w:r>
      <w:r>
        <w:rPr>
          <w:rFonts w:ascii="Arial" w:cs="Arial" w:eastAsia="Arial" w:hAnsi="Arial"/>
          <w:sz w:val="18"/>
          <w:szCs w:val="18"/>
          <w:color w:val="auto"/>
        </w:rPr>
        <w:t>. Prior to the Bermuda Merger Effective Time, Marvell, HoldCo and the Company shall take all steps that may be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Arial" w:cs="Arial" w:eastAsia="Arial" w:hAnsi="Arial"/>
          <w:sz w:val="18"/>
          <w:szCs w:val="18"/>
          <w:u w:val="single" w:color="auto"/>
          <w:color w:val="auto"/>
        </w:rPr>
        <w:t>Sections 5.4</w:t>
      </w:r>
      <w:r>
        <w:rPr>
          <w:rFonts w:ascii="Arial" w:cs="Arial" w:eastAsia="Arial" w:hAnsi="Arial"/>
          <w:sz w:val="18"/>
          <w:szCs w:val="18"/>
          <w:color w:val="auto"/>
        </w:rPr>
        <w:t xml:space="preserve">, </w:t>
      </w:r>
      <w:r>
        <w:rPr>
          <w:rFonts w:ascii="Arial" w:cs="Arial" w:eastAsia="Arial" w:hAnsi="Arial"/>
          <w:sz w:val="18"/>
          <w:szCs w:val="18"/>
          <w:u w:val="single" w:color="auto"/>
          <w:color w:val="auto"/>
        </w:rPr>
        <w:t>5.5</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5.6</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9" w:lineRule="exact"/>
        <w:rPr>
          <w:sz w:val="20"/>
          <w:szCs w:val="20"/>
          <w:color w:val="auto"/>
        </w:rPr>
      </w:pPr>
    </w:p>
    <w:p>
      <w:pPr>
        <w:ind w:right="520" w:firstLine="440"/>
        <w:spacing w:after="0" w:line="282" w:lineRule="auto"/>
        <w:rPr>
          <w:sz w:val="20"/>
          <w:szCs w:val="20"/>
          <w:color w:val="auto"/>
        </w:rPr>
      </w:pPr>
      <w:r>
        <w:rPr>
          <w:rFonts w:ascii="Arial" w:cs="Arial" w:eastAsia="Arial" w:hAnsi="Arial"/>
          <w:sz w:val="18"/>
          <w:szCs w:val="18"/>
          <w:b w:val="1"/>
          <w:bCs w:val="1"/>
          <w:color w:val="auto"/>
        </w:rPr>
        <w:t>5.15 Stockholder Litigation</w:t>
      </w:r>
      <w:r>
        <w:rPr>
          <w:rFonts w:ascii="Arial" w:cs="Arial" w:eastAsia="Arial" w:hAnsi="Arial"/>
          <w:sz w:val="18"/>
          <w:szCs w:val="18"/>
          <w:color w:val="auto"/>
        </w:rPr>
        <w:t>. Without limiting in any way the respective obligations of Marvell and the Company under</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4.2(d)</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5.9(d)</w:t>
      </w:r>
      <w:r>
        <w:rPr>
          <w:rFonts w:ascii="Arial" w:cs="Arial" w:eastAsia="Arial" w:hAnsi="Arial"/>
          <w:sz w:val="18"/>
          <w:szCs w:val="18"/>
          <w:color w:val="auto"/>
        </w:rPr>
        <w:t>, each of Marvell and the Company shall notify the other</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000"/>
          </w:cols>
          <w:pgMar w:left="440" w:top="270" w:right="459" w:bottom="1440" w:gutter="0" w:footer="0" w:header="0"/>
        </w:sectPr>
      </w:pPr>
    </w:p>
    <w:bookmarkStart w:id="75" w:name="page76"/>
    <w:bookmarkEnd w:id="75"/>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74" w:lineRule="exact"/>
        <w:rPr>
          <w:sz w:val="20"/>
          <w:szCs w:val="20"/>
          <w:color w:val="auto"/>
        </w:rPr>
      </w:pPr>
    </w:p>
    <w:p>
      <w:pPr>
        <w:ind w:right="40" w:firstLine="440"/>
        <w:spacing w:after="0" w:line="258" w:lineRule="auto"/>
        <w:rPr>
          <w:sz w:val="20"/>
          <w:szCs w:val="20"/>
          <w:color w:val="auto"/>
        </w:rPr>
      </w:pPr>
      <w:r>
        <w:rPr>
          <w:rFonts w:ascii="Arial" w:cs="Arial" w:eastAsia="Arial" w:hAnsi="Arial"/>
          <w:sz w:val="18"/>
          <w:szCs w:val="18"/>
          <w:b w:val="1"/>
          <w:bCs w:val="1"/>
          <w:color w:val="auto"/>
        </w:rPr>
        <w:t>5.16 Takeover Statutes and Rights</w:t>
      </w:r>
      <w:r>
        <w:rPr>
          <w:rFonts w:ascii="Arial" w:cs="Arial" w:eastAsia="Arial" w:hAnsi="Arial"/>
          <w:sz w:val="18"/>
          <w:szCs w:val="18"/>
          <w:color w:val="auto"/>
        </w:rPr>
        <w:t>. If any Takeover Statute is or may become applicable to this Agreement, the Delaware Merger, the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83" w:lineRule="exact"/>
        <w:rPr>
          <w:sz w:val="20"/>
          <w:szCs w:val="20"/>
          <w:color w:val="auto"/>
        </w:rPr>
      </w:pPr>
    </w:p>
    <w:p>
      <w:pPr>
        <w:ind w:right="20" w:firstLine="440"/>
        <w:spacing w:after="0" w:line="289" w:lineRule="auto"/>
        <w:rPr>
          <w:sz w:val="20"/>
          <w:szCs w:val="20"/>
          <w:color w:val="auto"/>
        </w:rPr>
      </w:pPr>
      <w:r>
        <w:rPr>
          <w:rFonts w:ascii="Arial" w:cs="Arial" w:eastAsia="Arial" w:hAnsi="Arial"/>
          <w:sz w:val="16"/>
          <w:szCs w:val="16"/>
          <w:b w:val="1"/>
          <w:bCs w:val="1"/>
          <w:color w:val="auto"/>
        </w:rPr>
        <w:t>5.17 Tax Matters</w:t>
      </w:r>
      <w:r>
        <w:rPr>
          <w:rFonts w:ascii="Arial" w:cs="Arial" w:eastAsia="Arial" w:hAnsi="Arial"/>
          <w:sz w:val="16"/>
          <w:szCs w:val="16"/>
          <w:color w:val="auto"/>
        </w:rPr>
        <w:t>. The parties intend that (a) the Mergers, taken together, qualify as a transaction described in Section 351 of the Code and (b) the</w:t>
      </w:r>
      <w:r>
        <w:rPr>
          <w:rFonts w:ascii="Arial" w:cs="Arial" w:eastAsia="Arial" w:hAnsi="Arial"/>
          <w:sz w:val="16"/>
          <w:szCs w:val="16"/>
          <w:b w:val="1"/>
          <w:bCs w:val="1"/>
          <w:color w:val="auto"/>
        </w:rPr>
        <w:t xml:space="preserve"> </w:t>
      </w:r>
      <w:r>
        <w:rPr>
          <w:rFonts w:ascii="Arial" w:cs="Arial" w:eastAsia="Arial" w:hAnsi="Arial"/>
          <w:sz w:val="16"/>
          <w:szCs w:val="16"/>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5.18 Financing</w:t>
      </w:r>
      <w:r>
        <w:rPr>
          <w:rFonts w:ascii="Arial" w:cs="Arial" w:eastAsia="Arial" w:hAnsi="Arial"/>
          <w:sz w:val="18"/>
          <w:szCs w:val="18"/>
          <w:color w:val="auto"/>
        </w:rPr>
        <w:t>.</w:t>
      </w:r>
    </w:p>
    <w:p>
      <w:pPr>
        <w:spacing w:after="0" w:line="229" w:lineRule="exact"/>
        <w:rPr>
          <w:sz w:val="20"/>
          <w:szCs w:val="20"/>
          <w:color w:val="auto"/>
        </w:rPr>
      </w:pPr>
    </w:p>
    <w:p>
      <w:pPr>
        <w:ind w:right="20" w:firstLine="987"/>
        <w:spacing w:after="0" w:line="286" w:lineRule="auto"/>
        <w:tabs>
          <w:tab w:leader="none" w:pos="1246" w:val="left"/>
        </w:tabs>
        <w:numPr>
          <w:ilvl w:val="0"/>
          <w:numId w:val="139"/>
        </w:numPr>
        <w:rPr>
          <w:rFonts w:ascii="Arial" w:cs="Arial" w:eastAsia="Arial" w:hAnsi="Arial"/>
          <w:sz w:val="16"/>
          <w:szCs w:val="16"/>
          <w:b w:val="1"/>
          <w:bCs w:val="1"/>
          <w:color w:val="auto"/>
        </w:rPr>
      </w:pPr>
      <w:r>
        <w:rPr>
          <w:rFonts w:ascii="Arial" w:cs="Arial" w:eastAsia="Arial" w:hAnsi="Arial"/>
          <w:sz w:val="16"/>
          <w:szCs w:val="16"/>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on the terms and conditions (including, to the extent applicable, the “flex” provisions) described in the Debt Commitment Letters (it being understood that, for purposes of this </w:t>
      </w:r>
      <w:r>
        <w:rPr>
          <w:rFonts w:ascii="Arial" w:cs="Arial" w:eastAsia="Arial" w:hAnsi="Arial"/>
          <w:sz w:val="16"/>
          <w:szCs w:val="16"/>
          <w:u w:val="single" w:color="auto"/>
          <w:color w:val="auto"/>
        </w:rPr>
        <w:t>Section 5.18</w:t>
      </w:r>
      <w:r>
        <w:rPr>
          <w:rFonts w:ascii="Arial" w:cs="Arial" w:eastAsia="Arial" w:hAnsi="Arial"/>
          <w:sz w:val="16"/>
          <w:szCs w:val="16"/>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000"/>
          </w:cols>
          <w:pgMar w:left="440" w:top="274" w:right="459" w:bottom="1440" w:gutter="0" w:footer="0" w:header="0"/>
        </w:sectPr>
      </w:pPr>
    </w:p>
    <w:bookmarkStart w:id="76" w:name="page77"/>
    <w:bookmarkEnd w:id="76"/>
    <w:p>
      <w:pPr>
        <w:ind w:left="4" w:right="60" w:firstLine="987"/>
        <w:spacing w:after="0" w:line="284" w:lineRule="auto"/>
        <w:tabs>
          <w:tab w:leader="none" w:pos="1260" w:val="left"/>
        </w:tabs>
        <w:numPr>
          <w:ilvl w:val="1"/>
          <w:numId w:val="140"/>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Arial" w:cs="Arial" w:eastAsia="Arial" w:hAnsi="Arial"/>
          <w:sz w:val="16"/>
          <w:szCs w:val="16"/>
          <w:b w:val="1"/>
          <w:bCs w:val="1"/>
          <w:color w:val="auto"/>
        </w:rPr>
      </w:pPr>
    </w:p>
    <w:p>
      <w:pPr>
        <w:ind w:left="4" w:hanging="4"/>
        <w:spacing w:after="0" w:line="268" w:lineRule="auto"/>
        <w:tabs>
          <w:tab w:leader="none" w:pos="269" w:val="left"/>
        </w:tabs>
        <w:numPr>
          <w:ilvl w:val="0"/>
          <w:numId w:val="141"/>
        </w:numPr>
        <w:rPr>
          <w:rFonts w:ascii="Arial" w:cs="Arial" w:eastAsia="Arial" w:hAnsi="Arial"/>
          <w:sz w:val="17"/>
          <w:szCs w:val="17"/>
          <w:color w:val="auto"/>
        </w:rPr>
      </w:pPr>
      <w:r>
        <w:rPr>
          <w:rFonts w:ascii="Arial" w:cs="Arial" w:eastAsia="Arial" w:hAnsi="Arial"/>
          <w:sz w:val="17"/>
          <w:szCs w:val="17"/>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78" w:lineRule="exact"/>
        <w:rPr>
          <w:rFonts w:ascii="Arial" w:cs="Arial" w:eastAsia="Arial" w:hAnsi="Arial"/>
          <w:sz w:val="17"/>
          <w:szCs w:val="17"/>
          <w:color w:val="auto"/>
        </w:rPr>
      </w:pPr>
    </w:p>
    <w:p>
      <w:pPr>
        <w:ind w:left="4" w:firstLine="987"/>
        <w:spacing w:after="0" w:line="267" w:lineRule="auto"/>
        <w:tabs>
          <w:tab w:leader="none" w:pos="1240" w:val="left"/>
        </w:tabs>
        <w:numPr>
          <w:ilvl w:val="1"/>
          <w:numId w:val="141"/>
        </w:numPr>
        <w:rPr>
          <w:rFonts w:ascii="Arial" w:cs="Arial" w:eastAsia="Arial" w:hAnsi="Arial"/>
          <w:sz w:val="17"/>
          <w:szCs w:val="17"/>
          <w:b w:val="1"/>
          <w:bCs w:val="1"/>
          <w:color w:val="auto"/>
        </w:rPr>
      </w:pPr>
      <w:r>
        <w:rPr>
          <w:rFonts w:ascii="Arial" w:cs="Arial" w:eastAsia="Arial" w:hAnsi="Arial"/>
          <w:sz w:val="17"/>
          <w:szCs w:val="17"/>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Arial" w:cs="Arial" w:eastAsia="Arial" w:hAnsi="Arial"/>
          <w:sz w:val="17"/>
          <w:szCs w:val="17"/>
          <w:u w:val="single" w:color="auto"/>
          <w:color w:val="auto"/>
        </w:rPr>
        <w:t>Section 5.18(b)</w:t>
      </w:r>
      <w:r>
        <w:rPr>
          <w:rFonts w:ascii="Arial" w:cs="Arial" w:eastAsia="Arial" w:hAnsi="Arial"/>
          <w:sz w:val="17"/>
          <w:szCs w:val="17"/>
          <w:color w:val="auto"/>
        </w:rPr>
        <w:t xml:space="preserve"> or this </w:t>
      </w:r>
      <w:r>
        <w:rPr>
          <w:rFonts w:ascii="Arial" w:cs="Arial" w:eastAsia="Arial" w:hAnsi="Arial"/>
          <w:sz w:val="17"/>
          <w:szCs w:val="17"/>
          <w:u w:val="single" w:color="auto"/>
          <w:color w:val="auto"/>
        </w:rPr>
        <w:t>Section 5.18(c)</w:t>
      </w:r>
      <w:r>
        <w:rPr>
          <w:rFonts w:ascii="Arial" w:cs="Arial" w:eastAsia="Arial" w:hAnsi="Arial"/>
          <w:sz w:val="17"/>
          <w:szCs w:val="17"/>
          <w:color w:val="auto"/>
        </w:rPr>
        <w:t>, are referred to, respectively, as a “</w:t>
      </w:r>
      <w:r>
        <w:rPr>
          <w:rFonts w:ascii="Arial" w:cs="Arial" w:eastAsia="Arial" w:hAnsi="Arial"/>
          <w:sz w:val="17"/>
          <w:szCs w:val="17"/>
          <w:u w:val="single" w:color="auto"/>
          <w:color w:val="auto"/>
        </w:rPr>
        <w:t>New Debt Commitment Letter</w:t>
      </w:r>
      <w:r>
        <w:rPr>
          <w:rFonts w:ascii="Arial" w:cs="Arial" w:eastAsia="Arial" w:hAnsi="Arial"/>
          <w:sz w:val="17"/>
          <w:szCs w:val="17"/>
          <w:color w:val="auto"/>
        </w:rPr>
        <w:t>” and a “</w:t>
      </w:r>
      <w:r>
        <w:rPr>
          <w:rFonts w:ascii="Arial" w:cs="Arial" w:eastAsia="Arial" w:hAnsi="Arial"/>
          <w:sz w:val="17"/>
          <w:szCs w:val="17"/>
          <w:u w:val="single" w:color="auto"/>
          <w:color w:val="auto"/>
        </w:rPr>
        <w:t>New Fee Letter</w:t>
      </w:r>
      <w:r>
        <w:rPr>
          <w:rFonts w:ascii="Arial" w:cs="Arial" w:eastAsia="Arial" w:hAnsi="Arial"/>
          <w:sz w:val="17"/>
          <w:szCs w:val="17"/>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89" w:lineRule="exact"/>
        <w:rPr>
          <w:rFonts w:ascii="Arial" w:cs="Arial" w:eastAsia="Arial" w:hAnsi="Arial"/>
          <w:sz w:val="17"/>
          <w:szCs w:val="17"/>
          <w:b w:val="1"/>
          <w:bCs w:val="1"/>
          <w:color w:val="auto"/>
        </w:rPr>
      </w:pPr>
    </w:p>
    <w:p>
      <w:pPr>
        <w:ind w:left="4" w:right="360" w:firstLine="987"/>
        <w:spacing w:after="0" w:line="257" w:lineRule="auto"/>
        <w:tabs>
          <w:tab w:leader="none" w:pos="1260" w:val="left"/>
        </w:tabs>
        <w:numPr>
          <w:ilvl w:val="1"/>
          <w:numId w:val="141"/>
        </w:numPr>
        <w:rPr>
          <w:rFonts w:ascii="Arial" w:cs="Arial" w:eastAsia="Arial" w:hAnsi="Arial"/>
          <w:sz w:val="18"/>
          <w:szCs w:val="18"/>
          <w:b w:val="1"/>
          <w:bCs w:val="1"/>
          <w:color w:val="auto"/>
        </w:rPr>
      </w:pPr>
      <w:r>
        <w:rPr>
          <w:rFonts w:ascii="Arial" w:cs="Arial" w:eastAsia="Arial" w:hAnsi="Arial"/>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004"/>
          </w:cols>
          <w:pgMar w:left="436" w:top="274" w:right="459" w:bottom="1440" w:gutter="0" w:footer="0" w:header="0"/>
        </w:sectPr>
      </w:pPr>
    </w:p>
    <w:bookmarkStart w:id="77" w:name="page78"/>
    <w:bookmarkEnd w:id="77"/>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77" w:lineRule="exact"/>
        <w:rPr>
          <w:sz w:val="20"/>
          <w:szCs w:val="20"/>
          <w:color w:val="auto"/>
        </w:rPr>
      </w:pPr>
    </w:p>
    <w:p>
      <w:pPr>
        <w:ind w:right="120" w:firstLine="987"/>
        <w:spacing w:after="0" w:line="257" w:lineRule="auto"/>
        <w:tabs>
          <w:tab w:leader="none" w:pos="1236" w:val="left"/>
        </w:tabs>
        <w:numPr>
          <w:ilvl w:val="0"/>
          <w:numId w:val="142"/>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(each, an “</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including using reasonable best efforts to:</w:t>
      </w:r>
    </w:p>
    <w:p>
      <w:pPr>
        <w:spacing w:after="0" w:line="79" w:lineRule="exact"/>
        <w:rPr>
          <w:rFonts w:ascii="Arial" w:cs="Arial" w:eastAsia="Arial" w:hAnsi="Arial"/>
          <w:sz w:val="18"/>
          <w:szCs w:val="18"/>
          <w:b w:val="1"/>
          <w:bCs w:val="1"/>
          <w:color w:val="auto"/>
        </w:rPr>
      </w:pPr>
    </w:p>
    <w:p>
      <w:pPr>
        <w:ind w:left="440" w:right="40" w:firstLine="948"/>
        <w:spacing w:after="0" w:line="257" w:lineRule="auto"/>
        <w:tabs>
          <w:tab w:leader="none" w:pos="1607" w:val="left"/>
        </w:tabs>
        <w:numPr>
          <w:ilvl w:val="1"/>
          <w:numId w:val="142"/>
        </w:numPr>
        <w:rPr>
          <w:rFonts w:ascii="Arial" w:cs="Arial" w:eastAsia="Arial" w:hAnsi="Arial"/>
          <w:sz w:val="18"/>
          <w:szCs w:val="18"/>
          <w:b w:val="1"/>
          <w:bCs w:val="1"/>
          <w:color w:val="auto"/>
        </w:rPr>
      </w:pPr>
      <w:r>
        <w:rPr>
          <w:rFonts w:ascii="Arial" w:cs="Arial" w:eastAsia="Arial" w:hAnsi="Arial"/>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9" w:lineRule="exact"/>
        <w:rPr>
          <w:rFonts w:ascii="Arial" w:cs="Arial" w:eastAsia="Arial" w:hAnsi="Arial"/>
          <w:sz w:val="18"/>
          <w:szCs w:val="18"/>
          <w:b w:val="1"/>
          <w:bCs w:val="1"/>
          <w:color w:val="auto"/>
        </w:rPr>
      </w:pPr>
    </w:p>
    <w:p>
      <w:pPr>
        <w:ind w:left="440" w:right="100" w:firstLine="948"/>
        <w:spacing w:after="0" w:line="263" w:lineRule="auto"/>
        <w:tabs>
          <w:tab w:leader="none" w:pos="1657" w:val="left"/>
        </w:tabs>
        <w:numPr>
          <w:ilvl w:val="1"/>
          <w:numId w:val="142"/>
        </w:numPr>
        <w:rPr>
          <w:rFonts w:ascii="Arial" w:cs="Arial" w:eastAsia="Arial" w:hAnsi="Arial"/>
          <w:sz w:val="18"/>
          <w:szCs w:val="18"/>
          <w:b w:val="1"/>
          <w:bCs w:val="1"/>
          <w:color w:val="auto"/>
        </w:rPr>
      </w:pPr>
      <w:r>
        <w:rPr>
          <w:rFonts w:ascii="Arial" w:cs="Arial" w:eastAsia="Arial" w:hAnsi="Arial"/>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75" w:lineRule="exact"/>
        <w:rPr>
          <w:rFonts w:ascii="Arial" w:cs="Arial" w:eastAsia="Arial" w:hAnsi="Arial"/>
          <w:sz w:val="18"/>
          <w:szCs w:val="18"/>
          <w:b w:val="1"/>
          <w:bCs w:val="1"/>
          <w:color w:val="auto"/>
        </w:rPr>
      </w:pPr>
    </w:p>
    <w:p>
      <w:pPr>
        <w:ind w:left="440" w:right="40" w:firstLine="948"/>
        <w:spacing w:after="0" w:line="254" w:lineRule="auto"/>
        <w:tabs>
          <w:tab w:leader="none" w:pos="1707" w:val="left"/>
        </w:tabs>
        <w:numPr>
          <w:ilvl w:val="1"/>
          <w:numId w:val="142"/>
        </w:numPr>
        <w:rPr>
          <w:rFonts w:ascii="Arial" w:cs="Arial" w:eastAsia="Arial" w:hAnsi="Arial"/>
          <w:sz w:val="18"/>
          <w:szCs w:val="18"/>
          <w:b w:val="1"/>
          <w:bCs w:val="1"/>
          <w:color w:val="auto"/>
        </w:rPr>
      </w:pPr>
      <w:r>
        <w:rPr>
          <w:rFonts w:ascii="Arial" w:cs="Arial" w:eastAsia="Arial" w:hAnsi="Arial"/>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6" w:lineRule="exact"/>
        <w:rPr>
          <w:rFonts w:ascii="Arial" w:cs="Arial" w:eastAsia="Arial" w:hAnsi="Arial"/>
          <w:sz w:val="18"/>
          <w:szCs w:val="18"/>
          <w:b w:val="1"/>
          <w:bCs w:val="1"/>
          <w:color w:val="auto"/>
        </w:rPr>
      </w:pPr>
    </w:p>
    <w:p>
      <w:pPr>
        <w:ind w:left="440" w:right="200" w:firstLine="948"/>
        <w:spacing w:after="0" w:line="271" w:lineRule="auto"/>
        <w:tabs>
          <w:tab w:leader="none" w:pos="1696" w:val="left"/>
        </w:tabs>
        <w:numPr>
          <w:ilvl w:val="1"/>
          <w:numId w:val="142"/>
        </w:numPr>
        <w:rPr>
          <w:rFonts w:ascii="Arial" w:cs="Arial" w:eastAsia="Arial" w:hAnsi="Arial"/>
          <w:sz w:val="17"/>
          <w:szCs w:val="17"/>
          <w:b w:val="1"/>
          <w:bCs w:val="1"/>
          <w:color w:val="auto"/>
        </w:rPr>
      </w:pPr>
      <w:r>
        <w:rPr>
          <w:rFonts w:ascii="Arial" w:cs="Arial" w:eastAsia="Arial" w:hAnsi="Arial"/>
          <w:sz w:val="17"/>
          <w:szCs w:val="17"/>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70" w:lineRule="exact"/>
        <w:rPr>
          <w:rFonts w:ascii="Arial" w:cs="Arial" w:eastAsia="Arial" w:hAnsi="Arial"/>
          <w:sz w:val="17"/>
          <w:szCs w:val="17"/>
          <w:b w:val="1"/>
          <w:bCs w:val="1"/>
          <w:color w:val="auto"/>
        </w:rPr>
      </w:pPr>
    </w:p>
    <w:p>
      <w:pPr>
        <w:jc w:val="both"/>
        <w:ind w:left="440" w:right="240" w:firstLine="948"/>
        <w:spacing w:after="0" w:line="263" w:lineRule="auto"/>
        <w:tabs>
          <w:tab w:leader="none" w:pos="1646" w:val="left"/>
        </w:tabs>
        <w:numPr>
          <w:ilvl w:val="1"/>
          <w:numId w:val="142"/>
        </w:numPr>
        <w:rPr>
          <w:rFonts w:ascii="Arial" w:cs="Arial" w:eastAsia="Arial" w:hAnsi="Arial"/>
          <w:sz w:val="18"/>
          <w:szCs w:val="18"/>
          <w:b w:val="1"/>
          <w:bCs w:val="1"/>
          <w:color w:val="auto"/>
        </w:rPr>
      </w:pPr>
      <w:r>
        <w:rPr>
          <w:rFonts w:ascii="Arial" w:cs="Arial" w:eastAsia="Arial" w:hAnsi="Arial"/>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0960"/>
          </w:cols>
          <w:pgMar w:left="440" w:top="274" w:right="499" w:bottom="1440" w:gutter="0" w:footer="0" w:header="0"/>
        </w:sectPr>
      </w:pPr>
    </w:p>
    <w:bookmarkStart w:id="78" w:name="page79"/>
    <w:bookmarkEnd w:id="78"/>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74" w:lineRule="exact"/>
        <w:rPr>
          <w:sz w:val="20"/>
          <w:szCs w:val="20"/>
          <w:color w:val="auto"/>
        </w:rPr>
      </w:pPr>
    </w:p>
    <w:p>
      <w:pPr>
        <w:jc w:val="both"/>
        <w:ind w:right="20" w:firstLine="948"/>
        <w:spacing w:after="0" w:line="291" w:lineRule="auto"/>
        <w:tabs>
          <w:tab w:leader="none" w:pos="1256" w:val="left"/>
        </w:tabs>
        <w:numPr>
          <w:ilvl w:val="0"/>
          <w:numId w:val="143"/>
        </w:numPr>
        <w:rPr>
          <w:rFonts w:ascii="Arial" w:cs="Arial" w:eastAsia="Arial" w:hAnsi="Arial"/>
          <w:sz w:val="16"/>
          <w:szCs w:val="16"/>
          <w:b w:val="1"/>
          <w:bCs w:val="1"/>
          <w:color w:val="auto"/>
        </w:rPr>
      </w:pPr>
      <w:r>
        <w:rPr>
          <w:rFonts w:ascii="Arial" w:cs="Arial" w:eastAsia="Arial" w:hAnsi="Arial"/>
          <w:sz w:val="16"/>
          <w:szCs w:val="16"/>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Arial" w:cs="Arial" w:eastAsia="Arial" w:hAnsi="Arial"/>
          <w:sz w:val="16"/>
          <w:szCs w:val="16"/>
          <w:u w:val="single" w:color="auto"/>
          <w:color w:val="auto"/>
        </w:rPr>
        <w:t>Section 5.18</w:t>
      </w:r>
      <w:r>
        <w:rPr>
          <w:rFonts w:ascii="Arial" w:cs="Arial" w:eastAsia="Arial" w:hAnsi="Arial"/>
          <w:sz w:val="16"/>
          <w:szCs w:val="16"/>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58" w:lineRule="exact"/>
        <w:rPr>
          <w:rFonts w:ascii="Arial" w:cs="Arial" w:eastAsia="Arial" w:hAnsi="Arial"/>
          <w:sz w:val="16"/>
          <w:szCs w:val="16"/>
          <w:b w:val="1"/>
          <w:bCs w:val="1"/>
          <w:color w:val="auto"/>
        </w:rPr>
      </w:pPr>
    </w:p>
    <w:p>
      <w:pPr>
        <w:ind w:right="700" w:firstLine="948"/>
        <w:spacing w:after="0" w:line="277" w:lineRule="auto"/>
        <w:tabs>
          <w:tab w:leader="none" w:pos="1306" w:val="left"/>
        </w:tabs>
        <w:numPr>
          <w:ilvl w:val="0"/>
          <w:numId w:val="143"/>
        </w:numPr>
        <w:rPr>
          <w:rFonts w:ascii="Arial" w:cs="Arial" w:eastAsia="Arial" w:hAnsi="Arial"/>
          <w:sz w:val="18"/>
          <w:szCs w:val="18"/>
          <w:b w:val="1"/>
          <w:bCs w:val="1"/>
          <w:color w:val="auto"/>
        </w:rPr>
      </w:pPr>
      <w:r>
        <w:rPr>
          <w:rFonts w:ascii="Arial" w:cs="Arial" w:eastAsia="Arial" w:hAnsi="Arial"/>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62" w:lineRule="exact"/>
        <w:rPr>
          <w:rFonts w:ascii="Arial" w:cs="Arial" w:eastAsia="Arial" w:hAnsi="Arial"/>
          <w:sz w:val="18"/>
          <w:szCs w:val="18"/>
          <w:b w:val="1"/>
          <w:bCs w:val="1"/>
          <w:color w:val="auto"/>
        </w:rPr>
      </w:pPr>
    </w:p>
    <w:p>
      <w:pPr>
        <w:ind w:right="100" w:firstLine="948"/>
        <w:spacing w:after="0" w:line="255" w:lineRule="auto"/>
        <w:tabs>
          <w:tab w:leader="none" w:pos="1356" w:val="left"/>
        </w:tabs>
        <w:numPr>
          <w:ilvl w:val="0"/>
          <w:numId w:val="143"/>
        </w:numPr>
        <w:rPr>
          <w:rFonts w:ascii="Arial" w:cs="Arial" w:eastAsia="Arial" w:hAnsi="Arial"/>
          <w:sz w:val="18"/>
          <w:szCs w:val="18"/>
          <w:b w:val="1"/>
          <w:bCs w:val="1"/>
          <w:color w:val="auto"/>
        </w:rPr>
      </w:pPr>
      <w:r>
        <w:rPr>
          <w:rFonts w:ascii="Arial" w:cs="Arial" w:eastAsia="Arial" w:hAnsi="Arial"/>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84" w:lineRule="exact"/>
        <w:rPr>
          <w:rFonts w:ascii="Arial" w:cs="Arial" w:eastAsia="Arial" w:hAnsi="Arial"/>
          <w:sz w:val="18"/>
          <w:szCs w:val="18"/>
          <w:b w:val="1"/>
          <w:bCs w:val="1"/>
          <w:color w:val="auto"/>
        </w:rPr>
      </w:pPr>
    </w:p>
    <w:p>
      <w:pPr>
        <w:ind w:right="260" w:firstLine="948"/>
        <w:spacing w:after="0" w:line="342" w:lineRule="auto"/>
        <w:tabs>
          <w:tab w:leader="none" w:pos="1256" w:val="left"/>
        </w:tabs>
        <w:numPr>
          <w:ilvl w:val="0"/>
          <w:numId w:val="143"/>
        </w:numPr>
        <w:rPr>
          <w:rFonts w:ascii="Arial" w:cs="Arial" w:eastAsia="Arial" w:hAnsi="Arial"/>
          <w:sz w:val="16"/>
          <w:szCs w:val="16"/>
          <w:b w:val="1"/>
          <w:bCs w:val="1"/>
          <w:color w:val="auto"/>
        </w:rPr>
      </w:pPr>
      <w:r>
        <w:rPr>
          <w:rFonts w:ascii="Arial" w:cs="Arial" w:eastAsia="Arial" w:hAnsi="Arial"/>
          <w:sz w:val="16"/>
          <w:szCs w:val="16"/>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15" w:lineRule="exact"/>
        <w:rPr>
          <w:rFonts w:ascii="Arial" w:cs="Arial" w:eastAsia="Arial" w:hAnsi="Arial"/>
          <w:sz w:val="16"/>
          <w:szCs w:val="16"/>
          <w:b w:val="1"/>
          <w:bCs w:val="1"/>
          <w:color w:val="auto"/>
        </w:rPr>
      </w:pPr>
    </w:p>
    <w:p>
      <w:pPr>
        <w:ind w:left="1200" w:hanging="252"/>
        <w:spacing w:after="0"/>
        <w:tabs>
          <w:tab w:leader="none" w:pos="1200" w:val="left"/>
        </w:tabs>
        <w:numPr>
          <w:ilvl w:val="0"/>
          <w:numId w:val="143"/>
        </w:numPr>
        <w:rPr>
          <w:rFonts w:ascii="Arial" w:cs="Arial" w:eastAsia="Arial" w:hAnsi="Arial"/>
          <w:sz w:val="17"/>
          <w:szCs w:val="17"/>
          <w:b w:val="1"/>
          <w:bCs w:val="1"/>
          <w:color w:val="auto"/>
        </w:rPr>
      </w:pPr>
      <w:r>
        <w:rPr>
          <w:rFonts w:ascii="Arial" w:cs="Arial" w:eastAsia="Arial" w:hAnsi="Arial"/>
          <w:sz w:val="17"/>
          <w:szCs w:val="17"/>
          <w:color w:val="auto"/>
        </w:rPr>
        <w:t>execute customary authorization and management representation letters relating to the Debt Financing or any Alternative</w:t>
      </w:r>
    </w:p>
    <w:p>
      <w:pPr>
        <w:spacing w:after="0" w:line="34" w:lineRule="exact"/>
        <w:rPr>
          <w:rFonts w:ascii="Arial" w:cs="Arial" w:eastAsia="Arial" w:hAnsi="Arial"/>
          <w:sz w:val="17"/>
          <w:szCs w:val="17"/>
          <w:b w:val="1"/>
          <w:bCs w:val="1"/>
          <w:color w:val="auto"/>
        </w:rPr>
      </w:pPr>
    </w:p>
    <w:p>
      <w:pPr>
        <w:spacing w:after="0"/>
        <w:rPr>
          <w:rFonts w:ascii="Arial" w:cs="Arial" w:eastAsia="Arial" w:hAnsi="Arial"/>
          <w:sz w:val="17"/>
          <w:szCs w:val="17"/>
          <w:b w:val="1"/>
          <w:bCs w:val="1"/>
          <w:color w:val="auto"/>
        </w:rPr>
      </w:pPr>
      <w:r>
        <w:rPr>
          <w:rFonts w:ascii="Arial" w:cs="Arial" w:eastAsia="Arial" w:hAnsi="Arial"/>
          <w:sz w:val="18"/>
          <w:szCs w:val="18"/>
          <w:color w:val="auto"/>
        </w:rPr>
        <w:t>Financing;</w:t>
      </w:r>
    </w:p>
    <w:p>
      <w:pPr>
        <w:spacing w:after="0" w:line="102" w:lineRule="exact"/>
        <w:rPr>
          <w:rFonts w:ascii="Arial" w:cs="Arial" w:eastAsia="Arial" w:hAnsi="Arial"/>
          <w:sz w:val="17"/>
          <w:szCs w:val="17"/>
          <w:b w:val="1"/>
          <w:bCs w:val="1"/>
          <w:color w:val="auto"/>
        </w:rPr>
      </w:pPr>
    </w:p>
    <w:p>
      <w:pPr>
        <w:ind w:right="160" w:firstLine="948"/>
        <w:spacing w:after="0" w:line="311" w:lineRule="auto"/>
        <w:tabs>
          <w:tab w:leader="none" w:pos="1256" w:val="left"/>
        </w:tabs>
        <w:numPr>
          <w:ilvl w:val="0"/>
          <w:numId w:val="143"/>
        </w:numPr>
        <w:rPr>
          <w:rFonts w:ascii="Arial" w:cs="Arial" w:eastAsia="Arial" w:hAnsi="Arial"/>
          <w:sz w:val="16"/>
          <w:szCs w:val="16"/>
          <w:b w:val="1"/>
          <w:bCs w:val="1"/>
          <w:color w:val="auto"/>
        </w:rPr>
      </w:pPr>
      <w:r>
        <w:rPr>
          <w:rFonts w:ascii="Arial" w:cs="Arial" w:eastAsia="Arial" w:hAnsi="Arial"/>
          <w:sz w:val="16"/>
          <w:szCs w:val="16"/>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40" w:lineRule="exact"/>
        <w:rPr>
          <w:rFonts w:ascii="Arial" w:cs="Arial" w:eastAsia="Arial" w:hAnsi="Arial"/>
          <w:sz w:val="16"/>
          <w:szCs w:val="16"/>
          <w:b w:val="1"/>
          <w:bCs w:val="1"/>
          <w:color w:val="auto"/>
        </w:rPr>
      </w:pPr>
    </w:p>
    <w:p>
      <w:pPr>
        <w:jc w:val="both"/>
        <w:ind w:right="180" w:firstLine="948"/>
        <w:spacing w:after="0" w:line="342" w:lineRule="auto"/>
        <w:tabs>
          <w:tab w:leader="none" w:pos="1306" w:val="left"/>
        </w:tabs>
        <w:numPr>
          <w:ilvl w:val="0"/>
          <w:numId w:val="143"/>
        </w:numPr>
        <w:rPr>
          <w:rFonts w:ascii="Arial" w:cs="Arial" w:eastAsia="Arial" w:hAnsi="Arial"/>
          <w:sz w:val="16"/>
          <w:szCs w:val="16"/>
          <w:b w:val="1"/>
          <w:bCs w:val="1"/>
          <w:color w:val="auto"/>
        </w:rPr>
      </w:pPr>
      <w:r>
        <w:rPr>
          <w:rFonts w:ascii="Arial" w:cs="Arial" w:eastAsia="Arial" w:hAnsi="Arial"/>
          <w:sz w:val="16"/>
          <w:szCs w:val="16"/>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56"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0560"/>
          </w:cols>
          <w:pgMar w:left="880" w:top="274" w:right="459" w:bottom="1440" w:gutter="0" w:footer="0" w:header="0"/>
        </w:sectPr>
      </w:pPr>
    </w:p>
    <w:bookmarkStart w:id="79" w:name="page80"/>
    <w:bookmarkEnd w:id="79"/>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Notwithstanding anything to the contrary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nothing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t>
      </w:r>
      <w:r>
        <w:rPr>
          <w:rFonts w:ascii="Arial" w:cs="Arial" w:eastAsia="Arial" w:hAnsi="Arial"/>
          <w:sz w:val="16"/>
          <w:szCs w:val="16"/>
          <w:u w:val="single" w:color="auto"/>
          <w:color w:val="auto"/>
        </w:rPr>
        <w:t>(viii)</w:t>
      </w:r>
      <w:r>
        <w:rPr>
          <w:rFonts w:ascii="Arial" w:cs="Arial" w:eastAsia="Arial" w:hAnsi="Arial"/>
          <w:sz w:val="16"/>
          <w:szCs w:val="16"/>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0" w:lineRule="exact"/>
        <w:rPr>
          <w:sz w:val="20"/>
          <w:szCs w:val="20"/>
          <w:color w:val="auto"/>
        </w:rPr>
      </w:pPr>
    </w:p>
    <w:p>
      <w:pPr>
        <w:ind w:right="120" w:firstLine="987"/>
        <w:spacing w:after="0" w:line="286" w:lineRule="auto"/>
        <w:tabs>
          <w:tab w:leader="none" w:pos="1216" w:val="left"/>
        </w:tabs>
        <w:numPr>
          <w:ilvl w:val="0"/>
          <w:numId w:val="144"/>
        </w:numPr>
        <w:rPr>
          <w:rFonts w:ascii="Arial" w:cs="Arial" w:eastAsia="Arial" w:hAnsi="Arial"/>
          <w:sz w:val="17"/>
          <w:szCs w:val="17"/>
          <w:b w:val="1"/>
          <w:bCs w:val="1"/>
          <w:color w:val="auto"/>
        </w:rPr>
      </w:pPr>
      <w:r>
        <w:rPr>
          <w:rFonts w:ascii="Arial" w:cs="Arial" w:eastAsia="Arial" w:hAnsi="Arial"/>
          <w:sz w:val="17"/>
          <w:szCs w:val="17"/>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65" w:lineRule="exact"/>
        <w:rPr>
          <w:rFonts w:ascii="Arial" w:cs="Arial" w:eastAsia="Arial" w:hAnsi="Arial"/>
          <w:sz w:val="17"/>
          <w:szCs w:val="17"/>
          <w:b w:val="1"/>
          <w:bCs w:val="1"/>
          <w:color w:val="auto"/>
        </w:rPr>
      </w:pPr>
    </w:p>
    <w:p>
      <w:pPr>
        <w:ind w:left="1240" w:hanging="253"/>
        <w:spacing w:after="0"/>
        <w:tabs>
          <w:tab w:leader="none" w:pos="1240" w:val="left"/>
        </w:tabs>
        <w:numPr>
          <w:ilvl w:val="0"/>
          <w:numId w:val="144"/>
        </w:numPr>
        <w:rPr>
          <w:rFonts w:ascii="Arial" w:cs="Arial" w:eastAsia="Arial" w:hAnsi="Arial"/>
          <w:sz w:val="17"/>
          <w:szCs w:val="17"/>
          <w:b w:val="1"/>
          <w:bCs w:val="1"/>
          <w:color w:val="auto"/>
        </w:rPr>
      </w:pPr>
      <w:r>
        <w:rPr>
          <w:rFonts w:ascii="Arial" w:cs="Arial" w:eastAsia="Arial" w:hAnsi="Arial"/>
          <w:sz w:val="17"/>
          <w:szCs w:val="17"/>
          <w:color w:val="auto"/>
        </w:rPr>
        <w:t>Marvell shall, promptly upon written request by the Company, (i) reimburse the Company for all reasonable and documented</w:t>
      </w:r>
    </w:p>
    <w:p>
      <w:pPr>
        <w:spacing w:after="0" w:line="35" w:lineRule="exact"/>
        <w:rPr>
          <w:sz w:val="20"/>
          <w:szCs w:val="20"/>
          <w:color w:val="auto"/>
        </w:rPr>
      </w:pPr>
    </w:p>
    <w:p>
      <w:pPr>
        <w:ind w:right="220"/>
        <w:spacing w:after="0" w:line="270" w:lineRule="auto"/>
        <w:rPr>
          <w:sz w:val="20"/>
          <w:szCs w:val="20"/>
          <w:color w:val="auto"/>
        </w:rPr>
      </w:pPr>
      <w:r>
        <w:rPr>
          <w:rFonts w:ascii="Arial" w:cs="Arial" w:eastAsia="Arial" w:hAnsi="Arial"/>
          <w:sz w:val="17"/>
          <w:szCs w:val="17"/>
          <w:color w:val="auto"/>
        </w:rPr>
        <w:t xml:space="preserve">out-of-pocket costs and expenses incurred by the Company in order to comply with its obligations under </w:t>
      </w:r>
      <w:r>
        <w:rPr>
          <w:rFonts w:ascii="Arial" w:cs="Arial" w:eastAsia="Arial" w:hAnsi="Arial"/>
          <w:sz w:val="17"/>
          <w:szCs w:val="17"/>
          <w:u w:val="single" w:color="auto"/>
          <w:color w:val="auto"/>
        </w:rPr>
        <w:t>Section 5.18(e)</w:t>
      </w:r>
      <w:r>
        <w:rPr>
          <w:rFonts w:ascii="Arial" w:cs="Arial" w:eastAsia="Arial" w:hAnsi="Arial"/>
          <w:sz w:val="17"/>
          <w:szCs w:val="17"/>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Arial" w:cs="Arial" w:eastAsia="Arial" w:hAnsi="Arial"/>
          <w:sz w:val="17"/>
          <w:szCs w:val="17"/>
          <w:u w:val="single" w:color="auto"/>
          <w:color w:val="auto"/>
        </w:rPr>
        <w:t>Section 5.18(e)</w:t>
      </w:r>
      <w:r>
        <w:rPr>
          <w:rFonts w:ascii="Arial" w:cs="Arial" w:eastAsia="Arial" w:hAnsi="Arial"/>
          <w:sz w:val="17"/>
          <w:szCs w:val="17"/>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78" w:lineRule="exact"/>
        <w:rPr>
          <w:sz w:val="20"/>
          <w:szCs w:val="20"/>
          <w:color w:val="auto"/>
        </w:rPr>
      </w:pPr>
    </w:p>
    <w:p>
      <w:pPr>
        <w:ind w:right="20" w:firstLine="987"/>
        <w:spacing w:after="0" w:line="263" w:lineRule="auto"/>
        <w:tabs>
          <w:tab w:leader="none" w:pos="1256" w:val="left"/>
        </w:tabs>
        <w:numPr>
          <w:ilvl w:val="0"/>
          <w:numId w:val="145"/>
        </w:numPr>
        <w:rPr>
          <w:rFonts w:ascii="Arial" w:cs="Arial" w:eastAsia="Arial" w:hAnsi="Arial"/>
          <w:sz w:val="18"/>
          <w:szCs w:val="18"/>
          <w:b w:val="1"/>
          <w:bCs w:val="1"/>
          <w:color w:val="auto"/>
        </w:rPr>
      </w:pPr>
      <w:r>
        <w:rPr>
          <w:rFonts w:ascii="Arial" w:cs="Arial" w:eastAsia="Arial" w:hAnsi="Arial"/>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83" w:lineRule="exact"/>
        <w:rPr>
          <w:rFonts w:ascii="Arial" w:cs="Arial" w:eastAsia="Arial" w:hAnsi="Arial"/>
          <w:sz w:val="18"/>
          <w:szCs w:val="18"/>
          <w:b w:val="1"/>
          <w:bCs w:val="1"/>
          <w:color w:val="auto"/>
        </w:rPr>
      </w:pPr>
    </w:p>
    <w:p>
      <w:pPr>
        <w:ind w:firstLine="987"/>
        <w:spacing w:after="0" w:line="277" w:lineRule="auto"/>
        <w:tabs>
          <w:tab w:leader="none" w:pos="1206" w:val="left"/>
        </w:tabs>
        <w:numPr>
          <w:ilvl w:val="0"/>
          <w:numId w:val="145"/>
        </w:numPr>
        <w:rPr>
          <w:rFonts w:ascii="Arial" w:cs="Arial" w:eastAsia="Arial" w:hAnsi="Arial"/>
          <w:sz w:val="18"/>
          <w:szCs w:val="18"/>
          <w:b w:val="1"/>
          <w:bCs w:val="1"/>
          <w:color w:val="auto"/>
        </w:rPr>
      </w:pPr>
      <w:r>
        <w:rPr>
          <w:rFonts w:ascii="Arial" w:cs="Arial" w:eastAsia="Arial" w:hAnsi="Arial"/>
          <w:sz w:val="18"/>
          <w:szCs w:val="18"/>
          <w:color w:val="auto"/>
        </w:rPr>
        <w:t xml:space="preserve">All non-public information regarding the Company provided by the Company or any of its Representatives pursuant to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will be kept confidential in accordance with the terms of the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000"/>
          </w:cols>
          <w:pgMar w:left="440" w:top="274" w:right="459" w:bottom="1440" w:gutter="0" w:footer="0" w:header="0"/>
        </w:sectPr>
      </w:pPr>
    </w:p>
    <w:bookmarkStart w:id="80" w:name="page81"/>
    <w:bookmarkEnd w:id="80"/>
    <w:p>
      <w:pPr>
        <w:ind w:right="22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1" w:lineRule="exact"/>
        <w:rPr>
          <w:sz w:val="20"/>
          <w:szCs w:val="20"/>
          <w:color w:val="auto"/>
        </w:rPr>
      </w:pPr>
    </w:p>
    <w:p>
      <w:pPr>
        <w:ind w:right="300" w:firstLine="987"/>
        <w:spacing w:after="0" w:line="293" w:lineRule="auto"/>
        <w:tabs>
          <w:tab w:leader="none" w:pos="1216" w:val="left"/>
        </w:tabs>
        <w:numPr>
          <w:ilvl w:val="0"/>
          <w:numId w:val="146"/>
        </w:numPr>
        <w:rPr>
          <w:rFonts w:ascii="Arial" w:cs="Arial" w:eastAsia="Arial" w:hAnsi="Arial"/>
          <w:sz w:val="16"/>
          <w:szCs w:val="16"/>
          <w:b w:val="1"/>
          <w:bCs w:val="1"/>
          <w:color w:val="auto"/>
        </w:rPr>
      </w:pPr>
      <w:r>
        <w:rPr>
          <w:rFonts w:ascii="Arial" w:cs="Arial" w:eastAsia="Arial" w:hAnsi="Arial"/>
          <w:sz w:val="16"/>
          <w:szCs w:val="16"/>
          <w:color w:val="auto"/>
        </w:rPr>
        <w:t xml:space="preserve">Each of HoldCo and Marvell acknowledges and agrees that, other than reasonable out-of-pocket costs and expenses subject to reimbursement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Arial" w:cs="Arial" w:eastAsia="Arial" w:hAnsi="Arial"/>
          <w:sz w:val="16"/>
          <w:szCs w:val="16"/>
          <w:u w:val="single" w:color="auto"/>
          <w:color w:val="auto"/>
        </w:rPr>
        <w:t>Section 5.18</w:t>
      </w:r>
      <w:r>
        <w:rPr>
          <w:rFonts w:ascii="Arial" w:cs="Arial" w:eastAsia="Arial" w:hAnsi="Arial"/>
          <w:sz w:val="16"/>
          <w:szCs w:val="16"/>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6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5.19 Convertible Notes</w:t>
      </w:r>
      <w:r>
        <w:rPr>
          <w:rFonts w:ascii="Arial" w:cs="Arial" w:eastAsia="Arial" w:hAnsi="Arial"/>
          <w:sz w:val="18"/>
          <w:szCs w:val="18"/>
          <w:color w:val="auto"/>
        </w:rPr>
        <w:t>.</w:t>
      </w:r>
    </w:p>
    <w:p>
      <w:pPr>
        <w:spacing w:after="0" w:line="229" w:lineRule="exact"/>
        <w:rPr>
          <w:sz w:val="20"/>
          <w:szCs w:val="20"/>
          <w:color w:val="auto"/>
        </w:rPr>
      </w:pPr>
    </w:p>
    <w:p>
      <w:pPr>
        <w:ind w:right="120" w:firstLine="987"/>
        <w:spacing w:after="0" w:line="269" w:lineRule="auto"/>
        <w:tabs>
          <w:tab w:leader="none" w:pos="1246" w:val="left"/>
        </w:tabs>
        <w:numPr>
          <w:ilvl w:val="0"/>
          <w:numId w:val="147"/>
        </w:numPr>
        <w:rPr>
          <w:rFonts w:ascii="Arial" w:cs="Arial" w:eastAsia="Arial" w:hAnsi="Arial"/>
          <w:sz w:val="17"/>
          <w:szCs w:val="17"/>
          <w:b w:val="1"/>
          <w:bCs w:val="1"/>
          <w:color w:val="auto"/>
        </w:rPr>
      </w:pPr>
      <w:r>
        <w:rPr>
          <w:rFonts w:ascii="Arial" w:cs="Arial" w:eastAsia="Arial" w:hAnsi="Arial"/>
          <w:sz w:val="17"/>
          <w:szCs w:val="17"/>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85" w:lineRule="exact"/>
        <w:rPr>
          <w:rFonts w:ascii="Arial" w:cs="Arial" w:eastAsia="Arial" w:hAnsi="Arial"/>
          <w:sz w:val="17"/>
          <w:szCs w:val="17"/>
          <w:b w:val="1"/>
          <w:bCs w:val="1"/>
          <w:color w:val="auto"/>
        </w:rPr>
      </w:pPr>
    </w:p>
    <w:p>
      <w:pPr>
        <w:ind w:firstLine="987"/>
        <w:spacing w:after="0" w:line="270" w:lineRule="auto"/>
        <w:tabs>
          <w:tab w:leader="none" w:pos="1256" w:val="left"/>
        </w:tabs>
        <w:numPr>
          <w:ilvl w:val="0"/>
          <w:numId w:val="147"/>
        </w:numPr>
        <w:rPr>
          <w:rFonts w:ascii="Arial" w:cs="Arial" w:eastAsia="Arial" w:hAnsi="Arial"/>
          <w:sz w:val="17"/>
          <w:szCs w:val="17"/>
          <w:b w:val="1"/>
          <w:bCs w:val="1"/>
          <w:color w:val="auto"/>
        </w:rPr>
      </w:pPr>
      <w:r>
        <w:rPr>
          <w:rFonts w:ascii="Arial" w:cs="Arial" w:eastAsia="Arial" w:hAnsi="Arial"/>
          <w:sz w:val="17"/>
          <w:szCs w:val="17"/>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0" w:lineRule="exact"/>
        <w:rPr>
          <w:rFonts w:ascii="Arial" w:cs="Arial" w:eastAsia="Arial" w:hAnsi="Arial"/>
          <w:sz w:val="17"/>
          <w:szCs w:val="17"/>
          <w:b w:val="1"/>
          <w:bCs w:val="1"/>
          <w:color w:val="auto"/>
        </w:rPr>
      </w:pPr>
    </w:p>
    <w:p>
      <w:pPr>
        <w:ind w:right="360" w:firstLine="987"/>
        <w:spacing w:after="0" w:line="277" w:lineRule="auto"/>
        <w:tabs>
          <w:tab w:leader="none" w:pos="1236" w:val="left"/>
        </w:tabs>
        <w:numPr>
          <w:ilvl w:val="0"/>
          <w:numId w:val="147"/>
        </w:numPr>
        <w:rPr>
          <w:rFonts w:ascii="Arial" w:cs="Arial" w:eastAsia="Arial" w:hAnsi="Arial"/>
          <w:sz w:val="18"/>
          <w:szCs w:val="18"/>
          <w:b w:val="1"/>
          <w:bCs w:val="1"/>
          <w:color w:val="auto"/>
        </w:rPr>
      </w:pPr>
      <w:r>
        <w:rPr>
          <w:rFonts w:ascii="Arial" w:cs="Arial" w:eastAsia="Arial" w:hAnsi="Arial"/>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00"/>
          </w:cols>
          <w:pgMar w:left="440" w:top="274" w:right="459" w:bottom="1440" w:gutter="0" w:footer="0" w:header="0"/>
        </w:sectPr>
      </w:pPr>
    </w:p>
    <w:bookmarkStart w:id="81" w:name="page82"/>
    <w:bookmarkEnd w:id="81"/>
    <w:p>
      <w:pPr>
        <w:ind w:left="4" w:right="2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8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B</w:t>
      </w:r>
      <w:r>
        <w:rPr>
          <w:rFonts w:ascii="Arial" w:cs="Arial" w:eastAsia="Arial" w:hAnsi="Arial"/>
          <w:sz w:val="14"/>
          <w:szCs w:val="14"/>
          <w:b w:val="1"/>
          <w:bCs w:val="1"/>
          <w:color w:val="auto"/>
        </w:rPr>
        <w:t>ERMUDA</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 AND</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ELAWARE</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w:t>
      </w:r>
    </w:p>
    <w:p>
      <w:pPr>
        <w:spacing w:after="0" w:line="121"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80"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6.1 Accuracy of Representations</w:t>
      </w:r>
      <w:r>
        <w:rPr>
          <w:rFonts w:ascii="Arial" w:cs="Arial" w:eastAsia="Arial" w:hAnsi="Arial"/>
          <w:sz w:val="18"/>
          <w:szCs w:val="18"/>
          <w:color w:val="auto"/>
        </w:rPr>
        <w:t>.</w:t>
      </w:r>
    </w:p>
    <w:p>
      <w:pPr>
        <w:spacing w:after="0" w:line="229" w:lineRule="exact"/>
        <w:rPr>
          <w:sz w:val="20"/>
          <w:szCs w:val="20"/>
          <w:color w:val="auto"/>
        </w:rPr>
      </w:pPr>
    </w:p>
    <w:p>
      <w:pPr>
        <w:ind w:left="4" w:firstLine="987"/>
        <w:spacing w:after="0" w:line="284" w:lineRule="auto"/>
        <w:tabs>
          <w:tab w:leader="none" w:pos="1250" w:val="left"/>
        </w:tabs>
        <w:numPr>
          <w:ilvl w:val="1"/>
          <w:numId w:val="148"/>
        </w:numPr>
        <w:rPr>
          <w:rFonts w:ascii="Arial" w:cs="Arial" w:eastAsia="Arial" w:hAnsi="Arial"/>
          <w:sz w:val="16"/>
          <w:szCs w:val="16"/>
          <w:b w:val="1"/>
          <w:bCs w:val="1"/>
          <w:color w:val="auto"/>
        </w:rPr>
      </w:pPr>
      <w:r>
        <w:rPr>
          <w:rFonts w:ascii="Arial" w:cs="Arial" w:eastAsia="Arial" w:hAnsi="Arial"/>
          <w:sz w:val="16"/>
          <w:szCs w:val="16"/>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w:t>
      </w:r>
    </w:p>
    <w:p>
      <w:pPr>
        <w:spacing w:after="0" w:line="4" w:lineRule="exact"/>
        <w:rPr>
          <w:rFonts w:ascii="Arial" w:cs="Arial" w:eastAsia="Arial" w:hAnsi="Arial"/>
          <w:sz w:val="16"/>
          <w:szCs w:val="16"/>
          <w:b w:val="1"/>
          <w:bCs w:val="1"/>
          <w:color w:val="auto"/>
        </w:rPr>
      </w:pPr>
    </w:p>
    <w:p>
      <w:pPr>
        <w:ind w:left="4" w:right="280" w:hanging="4"/>
        <w:spacing w:after="0" w:line="255" w:lineRule="auto"/>
        <w:tabs>
          <w:tab w:leader="none" w:pos="219" w:val="left"/>
        </w:tabs>
        <w:numPr>
          <w:ilvl w:val="0"/>
          <w:numId w:val="149"/>
        </w:numPr>
        <w:rPr>
          <w:rFonts w:ascii="Arial" w:cs="Arial" w:eastAsia="Arial" w:hAnsi="Arial"/>
          <w:sz w:val="18"/>
          <w:szCs w:val="18"/>
          <w:color w:val="auto"/>
        </w:rPr>
      </w:pPr>
      <w:r>
        <w:rPr>
          <w:rFonts w:ascii="Arial" w:cs="Arial" w:eastAsia="Arial" w:hAnsi="Arial"/>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9" w:lineRule="exact"/>
        <w:rPr>
          <w:rFonts w:ascii="Arial" w:cs="Arial" w:eastAsia="Arial" w:hAnsi="Arial"/>
          <w:sz w:val="18"/>
          <w:szCs w:val="18"/>
          <w:color w:val="auto"/>
        </w:rPr>
      </w:pPr>
    </w:p>
    <w:p>
      <w:pPr>
        <w:ind w:left="4" w:right="20" w:firstLine="987"/>
        <w:spacing w:after="0" w:line="272" w:lineRule="auto"/>
        <w:tabs>
          <w:tab w:leader="none" w:pos="1260" w:val="left"/>
        </w:tabs>
        <w:numPr>
          <w:ilvl w:val="1"/>
          <w:numId w:val="149"/>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w:t>
      </w:r>
      <w:r>
        <w:rPr>
          <w:rFonts w:ascii="Arial" w:cs="Arial" w:eastAsia="Arial" w:hAnsi="Arial"/>
          <w:sz w:val="17"/>
          <w:szCs w:val="17"/>
          <w:u w:val="single" w:color="auto"/>
          <w:color w:val="auto"/>
        </w:rPr>
        <w:t>2.25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2.26</w:t>
      </w:r>
      <w:r>
        <w:rPr>
          <w:rFonts w:ascii="Arial" w:cs="Arial" w:eastAsia="Arial" w:hAnsi="Arial"/>
          <w:sz w:val="17"/>
          <w:szCs w:val="17"/>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77" w:lineRule="exact"/>
        <w:rPr>
          <w:rFonts w:ascii="Arial" w:cs="Arial" w:eastAsia="Arial" w:hAnsi="Arial"/>
          <w:sz w:val="17"/>
          <w:szCs w:val="17"/>
          <w:b w:val="1"/>
          <w:bCs w:val="1"/>
          <w:color w:val="auto"/>
        </w:rPr>
      </w:pPr>
    </w:p>
    <w:p>
      <w:pPr>
        <w:ind w:left="1244" w:hanging="253"/>
        <w:spacing w:after="0"/>
        <w:tabs>
          <w:tab w:leader="none" w:pos="1244" w:val="left"/>
        </w:tabs>
        <w:numPr>
          <w:ilvl w:val="1"/>
          <w:numId w:val="149"/>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shall have been accurate in all respects as of the date of this</w:t>
      </w:r>
    </w:p>
    <w:p>
      <w:pPr>
        <w:spacing w:after="0" w:line="46" w:lineRule="exact"/>
        <w:rPr>
          <w:rFonts w:ascii="Arial" w:cs="Arial" w:eastAsia="Arial" w:hAnsi="Arial"/>
          <w:sz w:val="16"/>
          <w:szCs w:val="16"/>
          <w:b w:val="1"/>
          <w:bCs w:val="1"/>
          <w:color w:val="auto"/>
        </w:rPr>
      </w:pPr>
    </w:p>
    <w:p>
      <w:pPr>
        <w:ind w:left="4"/>
        <w:spacing w:after="0"/>
        <w:rPr>
          <w:rFonts w:ascii="Arial" w:cs="Arial" w:eastAsia="Arial" w:hAnsi="Arial"/>
          <w:sz w:val="16"/>
          <w:szCs w:val="16"/>
          <w:b w:val="1"/>
          <w:bCs w:val="1"/>
          <w:color w:val="auto"/>
        </w:rPr>
      </w:pPr>
      <w:r>
        <w:rPr>
          <w:rFonts w:ascii="Arial" w:cs="Arial" w:eastAsia="Arial" w:hAnsi="Arial"/>
          <w:sz w:val="18"/>
          <w:szCs w:val="18"/>
          <w:color w:val="auto"/>
        </w:rPr>
        <w:t>Agreement.</w:t>
      </w:r>
    </w:p>
    <w:p>
      <w:pPr>
        <w:spacing w:after="0" w:line="210" w:lineRule="exact"/>
        <w:rPr>
          <w:rFonts w:ascii="Arial" w:cs="Arial" w:eastAsia="Arial" w:hAnsi="Arial"/>
          <w:sz w:val="16"/>
          <w:szCs w:val="16"/>
          <w:b w:val="1"/>
          <w:bCs w:val="1"/>
          <w:color w:val="auto"/>
        </w:rPr>
      </w:pPr>
    </w:p>
    <w:p>
      <w:pPr>
        <w:ind w:left="4" w:right="80" w:firstLine="987"/>
        <w:spacing w:after="0" w:line="263" w:lineRule="auto"/>
        <w:tabs>
          <w:tab w:leader="none" w:pos="1260" w:val="left"/>
        </w:tabs>
        <w:numPr>
          <w:ilvl w:val="1"/>
          <w:numId w:val="149"/>
        </w:numPr>
        <w:rPr>
          <w:rFonts w:ascii="Arial" w:cs="Arial" w:eastAsia="Arial" w:hAnsi="Arial"/>
          <w:sz w:val="18"/>
          <w:szCs w:val="18"/>
          <w:b w:val="1"/>
          <w:bCs w:val="1"/>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the first and last sentences of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2.3(d)</w:t>
      </w:r>
      <w:r>
        <w:rPr>
          <w:rFonts w:ascii="Arial" w:cs="Arial" w:eastAsia="Arial" w:hAnsi="Arial"/>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04"/>
          </w:cols>
          <w:pgMar w:left="436" w:top="274" w:right="459" w:bottom="1440" w:gutter="0" w:footer="0" w:header="0"/>
        </w:sectPr>
      </w:pPr>
    </w:p>
    <w:bookmarkStart w:id="82" w:name="page83"/>
    <w:bookmarkEnd w:id="82"/>
    <w:p>
      <w:pPr>
        <w:ind w:right="8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and amount will be disregarded;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84" w:lineRule="exact"/>
        <w:rPr>
          <w:sz w:val="20"/>
          <w:szCs w:val="20"/>
          <w:color w:val="auto"/>
        </w:rPr>
      </w:pPr>
    </w:p>
    <w:p>
      <w:pPr>
        <w:ind w:right="160" w:firstLine="440"/>
        <w:spacing w:after="0" w:line="282" w:lineRule="auto"/>
        <w:rPr>
          <w:sz w:val="20"/>
          <w:szCs w:val="20"/>
          <w:color w:val="auto"/>
        </w:rPr>
      </w:pPr>
      <w:r>
        <w:rPr>
          <w:rFonts w:ascii="Arial" w:cs="Arial" w:eastAsia="Arial" w:hAnsi="Arial"/>
          <w:sz w:val="18"/>
          <w:szCs w:val="18"/>
          <w:b w:val="1"/>
          <w:bCs w:val="1"/>
          <w:color w:val="auto"/>
        </w:rPr>
        <w:t>6.2 Performance of Covenants</w:t>
      </w:r>
      <w:r>
        <w:rPr>
          <w:rFonts w:ascii="Arial" w:cs="Arial" w:eastAsia="Arial" w:hAnsi="Arial"/>
          <w:sz w:val="18"/>
          <w:szCs w:val="18"/>
          <w:color w:val="auto"/>
        </w:rPr>
        <w:t>. 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firstLine="440"/>
        <w:spacing w:after="0" w:line="261" w:lineRule="auto"/>
        <w:rPr>
          <w:sz w:val="20"/>
          <w:szCs w:val="20"/>
          <w:color w:val="auto"/>
        </w:rPr>
      </w:pPr>
      <w:r>
        <w:rPr>
          <w:rFonts w:ascii="Arial" w:cs="Arial" w:eastAsia="Arial" w:hAnsi="Arial"/>
          <w:sz w:val="18"/>
          <w:szCs w:val="18"/>
          <w:b w:val="1"/>
          <w:bCs w:val="1"/>
          <w:color w:val="auto"/>
        </w:rPr>
        <w:t>6.3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right="240" w:firstLine="440"/>
        <w:spacing w:after="0" w:line="282" w:lineRule="auto"/>
        <w:rPr>
          <w:sz w:val="20"/>
          <w:szCs w:val="20"/>
          <w:color w:val="auto"/>
        </w:rPr>
      </w:pPr>
      <w:r>
        <w:rPr>
          <w:rFonts w:ascii="Arial" w:cs="Arial" w:eastAsia="Arial" w:hAnsi="Arial"/>
          <w:sz w:val="18"/>
          <w:szCs w:val="18"/>
          <w:b w:val="1"/>
          <w:bCs w:val="1"/>
          <w:color w:val="auto"/>
        </w:rPr>
        <w:t>6.4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6.5 Shareholder Approvals</w:t>
      </w:r>
      <w:r>
        <w:rPr>
          <w:rFonts w:ascii="Arial" w:cs="Arial" w:eastAsia="Arial" w:hAnsi="Arial"/>
          <w:sz w:val="18"/>
          <w:szCs w:val="18"/>
          <w:color w:val="auto"/>
        </w:rPr>
        <w:t>.</w:t>
      </w:r>
    </w:p>
    <w:p>
      <w:pPr>
        <w:spacing w:after="0" w:line="229" w:lineRule="exact"/>
        <w:rPr>
          <w:sz w:val="20"/>
          <w:szCs w:val="20"/>
          <w:color w:val="auto"/>
        </w:rPr>
      </w:pPr>
    </w:p>
    <w:p>
      <w:pPr>
        <w:ind w:left="1240" w:hanging="253"/>
        <w:spacing w:after="0"/>
        <w:tabs>
          <w:tab w:leader="none" w:pos="1240" w:val="left"/>
        </w:tabs>
        <w:numPr>
          <w:ilvl w:val="0"/>
          <w:numId w:val="150"/>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right="800" w:firstLine="987"/>
        <w:spacing w:after="0" w:line="277" w:lineRule="auto"/>
        <w:tabs>
          <w:tab w:leader="none" w:pos="1256" w:val="left"/>
        </w:tabs>
        <w:numPr>
          <w:ilvl w:val="0"/>
          <w:numId w:val="150"/>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right="240" w:firstLine="440"/>
        <w:spacing w:after="0" w:line="266" w:lineRule="auto"/>
        <w:rPr>
          <w:sz w:val="20"/>
          <w:szCs w:val="20"/>
          <w:color w:val="auto"/>
        </w:rPr>
      </w:pPr>
      <w:r>
        <w:rPr>
          <w:rFonts w:ascii="Arial" w:cs="Arial" w:eastAsia="Arial" w:hAnsi="Arial"/>
          <w:sz w:val="18"/>
          <w:szCs w:val="18"/>
          <w:b w:val="1"/>
          <w:bCs w:val="1"/>
          <w:color w:val="auto"/>
        </w:rPr>
        <w:t>6.6 Closing Certificate</w:t>
      </w:r>
      <w:r>
        <w:rPr>
          <w:rFonts w:ascii="Arial" w:cs="Arial" w:eastAsia="Arial" w:hAnsi="Arial"/>
          <w:sz w:val="18"/>
          <w:szCs w:val="18"/>
          <w:color w:val="auto"/>
        </w:rPr>
        <w:t>. Marvell shall have received a certificate executed on behalf of the Company by the Chief Executive Officer and Chief</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Financial Officer of the Company confirming that, to the Knowledge of such officer, the conditions set forth in </w:t>
      </w:r>
      <w:r>
        <w:rPr>
          <w:rFonts w:ascii="Arial" w:cs="Arial" w:eastAsia="Arial" w:hAnsi="Arial"/>
          <w:sz w:val="18"/>
          <w:szCs w:val="18"/>
          <w:u w:val="single" w:color="auto"/>
          <w:color w:val="auto"/>
        </w:rPr>
        <w:t>Sections 6.1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6.2</w:t>
      </w:r>
      <w:r>
        <w:rPr>
          <w:rFonts w:ascii="Arial" w:cs="Arial" w:eastAsia="Arial" w:hAnsi="Arial"/>
          <w:sz w:val="18"/>
          <w:szCs w:val="18"/>
          <w:color w:val="auto"/>
        </w:rPr>
        <w:t xml:space="preserve"> have been duly satisfied.</w:t>
      </w:r>
    </w:p>
    <w:p>
      <w:pPr>
        <w:spacing w:after="0" w:line="176" w:lineRule="exact"/>
        <w:rPr>
          <w:sz w:val="20"/>
          <w:szCs w:val="20"/>
          <w:color w:val="auto"/>
        </w:rPr>
      </w:pPr>
    </w:p>
    <w:p>
      <w:pPr>
        <w:ind w:right="160" w:firstLine="440"/>
        <w:spacing w:after="0" w:line="282" w:lineRule="auto"/>
        <w:rPr>
          <w:sz w:val="20"/>
          <w:szCs w:val="20"/>
          <w:color w:val="auto"/>
        </w:rPr>
      </w:pPr>
      <w:r>
        <w:rPr>
          <w:rFonts w:ascii="Arial" w:cs="Arial" w:eastAsia="Arial" w:hAnsi="Arial"/>
          <w:sz w:val="18"/>
          <w:szCs w:val="18"/>
          <w:b w:val="1"/>
          <w:bCs w:val="1"/>
          <w:color w:val="auto"/>
        </w:rPr>
        <w:t>6.7 No Material Adverse Effect on the Company</w:t>
      </w:r>
      <w:r>
        <w:rPr>
          <w:rFonts w:ascii="Arial" w:cs="Arial" w:eastAsia="Arial" w:hAnsi="Arial"/>
          <w:sz w:val="18"/>
          <w:szCs w:val="18"/>
          <w:color w:val="auto"/>
        </w:rPr>
        <w:t>. Since the date of this Agreement, there shall not have occurred any Material Adverse Effect</w:t>
      </w:r>
      <w:r>
        <w:rPr>
          <w:rFonts w:ascii="Arial" w:cs="Arial" w:eastAsia="Arial" w:hAnsi="Arial"/>
          <w:sz w:val="18"/>
          <w:szCs w:val="18"/>
          <w:b w:val="1"/>
          <w:bCs w:val="1"/>
          <w:color w:val="auto"/>
        </w:rPr>
        <w:t xml:space="preserve"> </w:t>
      </w:r>
      <w:r>
        <w:rPr>
          <w:rFonts w:ascii="Arial" w:cs="Arial" w:eastAsia="Arial" w:hAnsi="Arial"/>
          <w:sz w:val="18"/>
          <w:szCs w:val="18"/>
          <w:color w:val="auto"/>
        </w:rPr>
        <w:t>on the Company that is continuing.</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6.8 Regulatory Matters</w:t>
      </w:r>
      <w:r>
        <w:rPr>
          <w:rFonts w:ascii="Arial" w:cs="Arial" w:eastAsia="Arial" w:hAnsi="Arial"/>
          <w:sz w:val="18"/>
          <w:szCs w:val="18"/>
          <w:color w:val="auto"/>
        </w:rPr>
        <w:t>.</w:t>
      </w:r>
    </w:p>
    <w:p>
      <w:pPr>
        <w:spacing w:after="0" w:line="229" w:lineRule="exact"/>
        <w:rPr>
          <w:sz w:val="20"/>
          <w:szCs w:val="20"/>
          <w:color w:val="auto"/>
        </w:rPr>
      </w:pPr>
    </w:p>
    <w:p>
      <w:pPr>
        <w:jc w:val="both"/>
        <w:ind w:right="140" w:firstLine="987"/>
        <w:spacing w:after="0" w:line="259" w:lineRule="auto"/>
        <w:tabs>
          <w:tab w:leader="none" w:pos="1246" w:val="left"/>
        </w:tabs>
        <w:numPr>
          <w:ilvl w:val="0"/>
          <w:numId w:val="151"/>
        </w:numPr>
        <w:rPr>
          <w:rFonts w:ascii="Arial" w:cs="Arial" w:eastAsia="Arial" w:hAnsi="Arial"/>
          <w:sz w:val="18"/>
          <w:szCs w:val="18"/>
          <w:b w:val="1"/>
          <w:bCs w:val="1"/>
          <w:color w:val="auto"/>
        </w:rPr>
      </w:pPr>
      <w:r>
        <w:rPr>
          <w:rFonts w:ascii="Arial" w:cs="Arial" w:eastAsia="Arial" w:hAnsi="Arial"/>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jc w:val="both"/>
        <w:ind w:right="160" w:firstLine="987"/>
        <w:spacing w:after="0" w:line="259" w:lineRule="auto"/>
        <w:tabs>
          <w:tab w:leader="none" w:pos="1256" w:val="left"/>
        </w:tabs>
        <w:numPr>
          <w:ilvl w:val="0"/>
          <w:numId w:val="151"/>
        </w:numPr>
        <w:rPr>
          <w:rFonts w:ascii="Arial" w:cs="Arial" w:eastAsia="Arial" w:hAnsi="Arial"/>
          <w:sz w:val="18"/>
          <w:szCs w:val="18"/>
          <w:b w:val="1"/>
          <w:bCs w:val="1"/>
          <w:color w:val="auto"/>
        </w:rPr>
      </w:pPr>
      <w:r>
        <w:rPr>
          <w:rFonts w:ascii="Arial" w:cs="Arial" w:eastAsia="Arial" w:hAnsi="Arial"/>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ind w:right="120" w:firstLine="987"/>
        <w:spacing w:after="0" w:line="259" w:lineRule="auto"/>
        <w:tabs>
          <w:tab w:leader="none" w:pos="1236" w:val="left"/>
        </w:tabs>
        <w:numPr>
          <w:ilvl w:val="0"/>
          <w:numId w:val="151"/>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0980"/>
          </w:cols>
          <w:pgMar w:left="440" w:top="274" w:right="479" w:bottom="1440" w:gutter="0" w:footer="0" w:header="0"/>
        </w:sectPr>
      </w:pPr>
    </w:p>
    <w:bookmarkStart w:id="83" w:name="page84"/>
    <w:bookmarkEnd w:id="83"/>
    <w:p>
      <w:pPr>
        <w:ind w:left="4" w:right="100" w:firstLine="987"/>
        <w:spacing w:after="0" w:line="301" w:lineRule="auto"/>
        <w:tabs>
          <w:tab w:leader="none" w:pos="1260" w:val="left"/>
        </w:tabs>
        <w:numPr>
          <w:ilvl w:val="0"/>
          <w:numId w:val="152"/>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53" w:lineRule="exact"/>
        <w:rPr>
          <w:sz w:val="20"/>
          <w:szCs w:val="20"/>
          <w:color w:val="auto"/>
        </w:rPr>
      </w:pPr>
    </w:p>
    <w:p>
      <w:pPr>
        <w:ind w:left="4" w:firstLine="440"/>
        <w:spacing w:after="0" w:line="277" w:lineRule="auto"/>
        <w:rPr>
          <w:sz w:val="20"/>
          <w:szCs w:val="20"/>
          <w:color w:val="auto"/>
        </w:rPr>
      </w:pPr>
      <w:r>
        <w:rPr>
          <w:rFonts w:ascii="Arial" w:cs="Arial" w:eastAsia="Arial" w:hAnsi="Arial"/>
          <w:sz w:val="17"/>
          <w:szCs w:val="17"/>
          <w:b w:val="1"/>
          <w:bCs w:val="1"/>
          <w:color w:val="auto"/>
        </w:rPr>
        <w:t>6.9 No Restraints</w:t>
      </w:r>
      <w:r>
        <w:rPr>
          <w:rFonts w:ascii="Arial" w:cs="Arial" w:eastAsia="Arial" w:hAnsi="Arial"/>
          <w:sz w:val="17"/>
          <w:szCs w:val="17"/>
          <w:color w:val="auto"/>
        </w:rPr>
        <w:t>. No temporary restraining order, preliminary or permanent injunction or other binding Order preventing the consummation of</w:t>
      </w:r>
      <w:r>
        <w:rPr>
          <w:rFonts w:ascii="Arial" w:cs="Arial" w:eastAsia="Arial" w:hAnsi="Arial"/>
          <w:sz w:val="17"/>
          <w:szCs w:val="17"/>
          <w:b w:val="1"/>
          <w:bCs w:val="1"/>
          <w:color w:val="auto"/>
        </w:rPr>
        <w:t xml:space="preserve"> </w:t>
      </w:r>
      <w:r>
        <w:rPr>
          <w:rFonts w:ascii="Arial" w:cs="Arial" w:eastAsia="Arial" w:hAnsi="Arial"/>
          <w:sz w:val="17"/>
          <w:szCs w:val="17"/>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68" w:lineRule="exact"/>
        <w:rPr>
          <w:sz w:val="20"/>
          <w:szCs w:val="20"/>
          <w:color w:val="auto"/>
        </w:rPr>
      </w:pPr>
    </w:p>
    <w:p>
      <w:pPr>
        <w:ind w:left="444"/>
        <w:spacing w:after="0"/>
        <w:rPr>
          <w:sz w:val="20"/>
          <w:szCs w:val="20"/>
          <w:color w:val="auto"/>
        </w:rPr>
      </w:pPr>
      <w:r>
        <w:rPr>
          <w:rFonts w:ascii="Arial" w:cs="Arial" w:eastAsia="Arial" w:hAnsi="Arial"/>
          <w:sz w:val="16"/>
          <w:szCs w:val="16"/>
          <w:b w:val="1"/>
          <w:bCs w:val="1"/>
          <w:color w:val="auto"/>
        </w:rPr>
        <w:t>6.10 No Governmental Litigation</w:t>
      </w:r>
      <w:r>
        <w:rPr>
          <w:rFonts w:ascii="Arial" w:cs="Arial" w:eastAsia="Arial" w:hAnsi="Arial"/>
          <w:sz w:val="16"/>
          <w:szCs w:val="16"/>
          <w:color w:val="auto"/>
        </w:rPr>
        <w:t>. There shall not be pending or overtly threatened any Legal Proceeding brought by a Governmental Body:</w:t>
      </w:r>
    </w:p>
    <w:p>
      <w:pPr>
        <w:spacing w:after="0" w:line="50" w:lineRule="exact"/>
        <w:rPr>
          <w:sz w:val="20"/>
          <w:szCs w:val="20"/>
          <w:color w:val="auto"/>
        </w:rPr>
      </w:pPr>
    </w:p>
    <w:p>
      <w:pPr>
        <w:ind w:left="4" w:right="220" w:hanging="4"/>
        <w:spacing w:after="0" w:line="281" w:lineRule="auto"/>
        <w:tabs>
          <w:tab w:leader="none" w:pos="249" w:val="left"/>
        </w:tabs>
        <w:numPr>
          <w:ilvl w:val="0"/>
          <w:numId w:val="153"/>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spacing w:after="0" w:line="2" w:lineRule="exact"/>
        <w:rPr>
          <w:rFonts w:ascii="Arial" w:cs="Arial" w:eastAsia="Arial" w:hAnsi="Arial"/>
          <w:sz w:val="16"/>
          <w:szCs w:val="16"/>
          <w:color w:val="auto"/>
        </w:rPr>
      </w:pPr>
    </w:p>
    <w:p>
      <w:pPr>
        <w:ind w:left="4" w:right="80" w:hanging="4"/>
        <w:spacing w:after="0" w:line="295" w:lineRule="auto"/>
        <w:tabs>
          <w:tab w:leader="none" w:pos="259" w:val="left"/>
        </w:tabs>
        <w:numPr>
          <w:ilvl w:val="0"/>
          <w:numId w:val="154"/>
        </w:numPr>
        <w:rPr>
          <w:rFonts w:ascii="Arial" w:cs="Arial" w:eastAsia="Arial" w:hAnsi="Arial"/>
          <w:sz w:val="16"/>
          <w:szCs w:val="16"/>
          <w:color w:val="auto"/>
        </w:rPr>
      </w:pPr>
      <w:r>
        <w:rPr>
          <w:rFonts w:ascii="Arial" w:cs="Arial" w:eastAsia="Arial" w:hAnsi="Arial"/>
          <w:sz w:val="16"/>
          <w:szCs w:val="16"/>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6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121" w:lineRule="exact"/>
        <w:rPr>
          <w:sz w:val="20"/>
          <w:szCs w:val="20"/>
          <w:color w:val="auto"/>
        </w:rPr>
      </w:pPr>
    </w:p>
    <w:p>
      <w:pPr>
        <w:ind w:left="4" w:right="640" w:firstLine="440"/>
        <w:spacing w:after="0" w:line="277" w:lineRule="auto"/>
        <w:rPr>
          <w:sz w:val="20"/>
          <w:szCs w:val="20"/>
          <w:color w:val="auto"/>
        </w:rPr>
      </w:pPr>
      <w:r>
        <w:rPr>
          <w:rFonts w:ascii="Arial" w:cs="Arial" w:eastAsia="Arial" w:hAnsi="Arial"/>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8"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7.1 Accuracy of Representations</w:t>
      </w:r>
      <w:r>
        <w:rPr>
          <w:rFonts w:ascii="Arial" w:cs="Arial" w:eastAsia="Arial" w:hAnsi="Arial"/>
          <w:sz w:val="18"/>
          <w:szCs w:val="18"/>
          <w:color w:val="auto"/>
        </w:rPr>
        <w:t>.</w:t>
      </w:r>
    </w:p>
    <w:p>
      <w:pPr>
        <w:spacing w:after="0" w:line="121" w:lineRule="exact"/>
        <w:rPr>
          <w:sz w:val="20"/>
          <w:szCs w:val="20"/>
          <w:color w:val="auto"/>
        </w:rPr>
      </w:pPr>
    </w:p>
    <w:p>
      <w:pPr>
        <w:ind w:left="4" w:right="20" w:firstLine="987"/>
        <w:spacing w:after="0" w:line="270" w:lineRule="auto"/>
        <w:tabs>
          <w:tab w:leader="none" w:pos="1250" w:val="left"/>
        </w:tabs>
        <w:numPr>
          <w:ilvl w:val="0"/>
          <w:numId w:val="155"/>
        </w:numPr>
        <w:rPr>
          <w:rFonts w:ascii="Arial" w:cs="Arial" w:eastAsia="Arial" w:hAnsi="Arial"/>
          <w:sz w:val="17"/>
          <w:szCs w:val="17"/>
          <w:b w:val="1"/>
          <w:bCs w:val="1"/>
          <w:color w:val="auto"/>
        </w:rPr>
      </w:pPr>
      <w:r>
        <w:rPr>
          <w:rFonts w:ascii="Arial" w:cs="Arial" w:eastAsia="Arial" w:hAnsi="Arial"/>
          <w:sz w:val="17"/>
          <w:szCs w:val="17"/>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0" w:lineRule="exact"/>
        <w:rPr>
          <w:rFonts w:ascii="Arial" w:cs="Arial" w:eastAsia="Arial" w:hAnsi="Arial"/>
          <w:sz w:val="17"/>
          <w:szCs w:val="17"/>
          <w:b w:val="1"/>
          <w:bCs w:val="1"/>
          <w:color w:val="auto"/>
        </w:rPr>
      </w:pPr>
    </w:p>
    <w:p>
      <w:pPr>
        <w:ind w:left="4" w:right="20" w:firstLine="987"/>
        <w:spacing w:after="0" w:line="311" w:lineRule="auto"/>
        <w:tabs>
          <w:tab w:leader="none" w:pos="1260" w:val="left"/>
        </w:tabs>
        <w:numPr>
          <w:ilvl w:val="0"/>
          <w:numId w:val="155"/>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3.13</w:t>
      </w:r>
      <w:r>
        <w:rPr>
          <w:rFonts w:ascii="Arial" w:cs="Arial" w:eastAsia="Arial" w:hAnsi="Arial"/>
          <w:sz w:val="16"/>
          <w:szCs w:val="16"/>
          <w:color w:val="auto"/>
        </w:rPr>
        <w:t xml:space="preserve">, </w:t>
      </w:r>
      <w:r>
        <w:rPr>
          <w:rFonts w:ascii="Arial" w:cs="Arial" w:eastAsia="Arial" w:hAnsi="Arial"/>
          <w:sz w:val="16"/>
          <w:szCs w:val="16"/>
          <w:u w:val="single" w:color="auto"/>
          <w:color w:val="auto"/>
        </w:rPr>
        <w:t>3.14</w:t>
      </w:r>
      <w:r>
        <w:rPr>
          <w:rFonts w:ascii="Arial" w:cs="Arial" w:eastAsia="Arial" w:hAnsi="Arial"/>
          <w:sz w:val="16"/>
          <w:szCs w:val="16"/>
          <w:color w:val="auto"/>
        </w:rPr>
        <w:t xml:space="preserve">, </w:t>
      </w:r>
      <w:r>
        <w:rPr>
          <w:rFonts w:ascii="Arial" w:cs="Arial" w:eastAsia="Arial" w:hAnsi="Arial"/>
          <w:sz w:val="16"/>
          <w:szCs w:val="16"/>
          <w:u w:val="single" w:color="auto"/>
          <w:color w:val="auto"/>
        </w:rPr>
        <w:t>3.20</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3.21</w:t>
      </w:r>
      <w:r>
        <w:rPr>
          <w:rFonts w:ascii="Arial" w:cs="Arial" w:eastAsia="Arial" w:hAnsi="Arial"/>
          <w:sz w:val="16"/>
          <w:szCs w:val="16"/>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8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004"/>
          </w:cols>
          <w:pgMar w:left="436" w:top="274" w:right="459" w:bottom="1440" w:gutter="0" w:footer="0" w:header="0"/>
        </w:sectPr>
      </w:pPr>
    </w:p>
    <w:bookmarkStart w:id="84" w:name="page85"/>
    <w:bookmarkEnd w:id="84"/>
    <w:p>
      <w:pPr>
        <w:ind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respects as of such earlier date);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7" w:lineRule="exact"/>
        <w:rPr>
          <w:sz w:val="20"/>
          <w:szCs w:val="20"/>
          <w:color w:val="auto"/>
        </w:rPr>
      </w:pPr>
    </w:p>
    <w:p>
      <w:pPr>
        <w:ind w:left="1240" w:hanging="253"/>
        <w:spacing w:after="0"/>
        <w:tabs>
          <w:tab w:leader="none" w:pos="1240" w:val="left"/>
        </w:tabs>
        <w:numPr>
          <w:ilvl w:val="0"/>
          <w:numId w:val="156"/>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3.5</w:t>
      </w:r>
      <w:r>
        <w:rPr>
          <w:rFonts w:ascii="Arial" w:cs="Arial" w:eastAsia="Arial" w:hAnsi="Arial"/>
          <w:sz w:val="16"/>
          <w:szCs w:val="16"/>
          <w:color w:val="auto"/>
        </w:rPr>
        <w:t xml:space="preserve"> shall have been accurate in all respects as of the date of this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pacing w:after="0" w:line="211" w:lineRule="exact"/>
        <w:rPr>
          <w:sz w:val="20"/>
          <w:szCs w:val="20"/>
          <w:color w:val="auto"/>
        </w:rPr>
      </w:pPr>
    </w:p>
    <w:p>
      <w:pPr>
        <w:ind w:right="20" w:firstLine="987"/>
        <w:spacing w:after="0" w:line="293" w:lineRule="auto"/>
        <w:tabs>
          <w:tab w:leader="none" w:pos="1256" w:val="left"/>
        </w:tabs>
        <w:numPr>
          <w:ilvl w:val="0"/>
          <w:numId w:val="157"/>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w:t>
      </w:r>
      <w:r>
        <w:rPr>
          <w:rFonts w:ascii="Arial" w:cs="Arial" w:eastAsia="Arial" w:hAnsi="Arial"/>
          <w:sz w:val="16"/>
          <w:szCs w:val="16"/>
          <w:u w:val="single" w:color="auto"/>
          <w:color w:val="auto"/>
        </w:rPr>
        <w:t>3.3(b)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3.3(d)</w:t>
      </w:r>
      <w:r>
        <w:rPr>
          <w:rFonts w:ascii="Arial" w:cs="Arial" w:eastAsia="Arial" w:hAnsi="Arial"/>
          <w:sz w:val="16"/>
          <w:szCs w:val="16"/>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and amount will be disregarded;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 any update of or modification</w:t>
      </w:r>
      <w:r>
        <w:rPr>
          <w:rFonts w:ascii="Arial" w:cs="Arial" w:eastAsia="Arial" w:hAnsi="Arial"/>
          <w:sz w:val="16"/>
          <w:szCs w:val="16"/>
          <w:i w:val="1"/>
          <w:iCs w:val="1"/>
          <w:color w:val="auto"/>
        </w:rPr>
        <w:t xml:space="preserve"> </w:t>
      </w:r>
      <w:r>
        <w:rPr>
          <w:rFonts w:ascii="Arial" w:cs="Arial" w:eastAsia="Arial" w:hAnsi="Arial"/>
          <w:sz w:val="16"/>
          <w:szCs w:val="16"/>
          <w:color w:val="auto"/>
        </w:rPr>
        <w:t>to the Marvell Disclosure Schedule made or purported to have been made on or after the date of this Agreement shall be disregarded.</w:t>
      </w:r>
    </w:p>
    <w:p>
      <w:pPr>
        <w:spacing w:after="0" w:line="160" w:lineRule="exact"/>
        <w:rPr>
          <w:sz w:val="20"/>
          <w:szCs w:val="20"/>
          <w:color w:val="auto"/>
        </w:rPr>
      </w:pPr>
    </w:p>
    <w:p>
      <w:pPr>
        <w:ind w:right="220" w:firstLine="440"/>
        <w:spacing w:after="0" w:line="347" w:lineRule="auto"/>
        <w:rPr>
          <w:sz w:val="20"/>
          <w:szCs w:val="20"/>
          <w:color w:val="auto"/>
        </w:rPr>
      </w:pPr>
      <w:r>
        <w:rPr>
          <w:rFonts w:ascii="Arial" w:cs="Arial" w:eastAsia="Arial" w:hAnsi="Arial"/>
          <w:sz w:val="16"/>
          <w:szCs w:val="16"/>
          <w:b w:val="1"/>
          <w:bCs w:val="1"/>
          <w:color w:val="auto"/>
        </w:rPr>
        <w:t>7.2 Performance of Covenants</w:t>
      </w:r>
      <w:r>
        <w:rPr>
          <w:rFonts w:ascii="Arial" w:cs="Arial" w:eastAsia="Arial" w:hAnsi="Arial"/>
          <w:sz w:val="16"/>
          <w:szCs w:val="16"/>
          <w:color w:val="auto"/>
        </w:rPr>
        <w:t>. The covenants and obligations in this Agreement that Marvell, HoldCo, Delaware Merger Sub and Bermuda</w:t>
      </w:r>
      <w:r>
        <w:rPr>
          <w:rFonts w:ascii="Arial" w:cs="Arial" w:eastAsia="Arial" w:hAnsi="Arial"/>
          <w:sz w:val="16"/>
          <w:szCs w:val="16"/>
          <w:b w:val="1"/>
          <w:bCs w:val="1"/>
          <w:color w:val="auto"/>
        </w:rPr>
        <w:t xml:space="preserve"> </w:t>
      </w:r>
      <w:r>
        <w:rPr>
          <w:rFonts w:ascii="Arial" w:cs="Arial" w:eastAsia="Arial" w:hAnsi="Arial"/>
          <w:sz w:val="16"/>
          <w:szCs w:val="16"/>
          <w:color w:val="auto"/>
        </w:rPr>
        <w:t>Merger Sub are required to comply with or to perform at or prior to the Closing shall have been complied with and performed in all material respects.</w:t>
      </w:r>
    </w:p>
    <w:p>
      <w:pPr>
        <w:spacing w:after="0" w:line="116" w:lineRule="exact"/>
        <w:rPr>
          <w:sz w:val="20"/>
          <w:szCs w:val="20"/>
          <w:color w:val="auto"/>
        </w:rPr>
      </w:pPr>
    </w:p>
    <w:p>
      <w:pPr>
        <w:ind w:firstLine="440"/>
        <w:spacing w:after="0" w:line="261" w:lineRule="auto"/>
        <w:rPr>
          <w:sz w:val="20"/>
          <w:szCs w:val="20"/>
          <w:color w:val="auto"/>
        </w:rPr>
      </w:pPr>
      <w:r>
        <w:rPr>
          <w:rFonts w:ascii="Arial" w:cs="Arial" w:eastAsia="Arial" w:hAnsi="Arial"/>
          <w:sz w:val="18"/>
          <w:szCs w:val="18"/>
          <w:b w:val="1"/>
          <w:bCs w:val="1"/>
          <w:color w:val="auto"/>
        </w:rPr>
        <w:t>7.3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right="240" w:firstLine="440"/>
        <w:spacing w:after="0" w:line="282" w:lineRule="auto"/>
        <w:rPr>
          <w:sz w:val="20"/>
          <w:szCs w:val="20"/>
          <w:color w:val="auto"/>
        </w:rPr>
      </w:pPr>
      <w:r>
        <w:rPr>
          <w:rFonts w:ascii="Arial" w:cs="Arial" w:eastAsia="Arial" w:hAnsi="Arial"/>
          <w:sz w:val="18"/>
          <w:szCs w:val="18"/>
          <w:b w:val="1"/>
          <w:bCs w:val="1"/>
          <w:color w:val="auto"/>
        </w:rPr>
        <w:t>7.4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7.5 Shareholder Approvals</w:t>
      </w:r>
      <w:r>
        <w:rPr>
          <w:rFonts w:ascii="Arial" w:cs="Arial" w:eastAsia="Arial" w:hAnsi="Arial"/>
          <w:sz w:val="18"/>
          <w:szCs w:val="18"/>
          <w:color w:val="auto"/>
        </w:rPr>
        <w:t>.</w:t>
      </w:r>
    </w:p>
    <w:p>
      <w:pPr>
        <w:spacing w:after="0" w:line="229" w:lineRule="exact"/>
        <w:rPr>
          <w:sz w:val="20"/>
          <w:szCs w:val="20"/>
          <w:color w:val="auto"/>
        </w:rPr>
      </w:pPr>
    </w:p>
    <w:p>
      <w:pPr>
        <w:ind w:left="1240" w:hanging="253"/>
        <w:spacing w:after="0"/>
        <w:tabs>
          <w:tab w:leader="none" w:pos="1240" w:val="left"/>
        </w:tabs>
        <w:numPr>
          <w:ilvl w:val="0"/>
          <w:numId w:val="158"/>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right="800" w:firstLine="987"/>
        <w:spacing w:after="0" w:line="277" w:lineRule="auto"/>
        <w:tabs>
          <w:tab w:leader="none" w:pos="1256" w:val="left"/>
        </w:tabs>
        <w:numPr>
          <w:ilvl w:val="0"/>
          <w:numId w:val="158"/>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right="40" w:firstLine="440"/>
        <w:spacing w:after="0" w:line="282" w:lineRule="auto"/>
        <w:rPr>
          <w:sz w:val="20"/>
          <w:szCs w:val="20"/>
          <w:color w:val="auto"/>
        </w:rPr>
      </w:pPr>
      <w:r>
        <w:rPr>
          <w:rFonts w:ascii="Arial" w:cs="Arial" w:eastAsia="Arial" w:hAnsi="Arial"/>
          <w:sz w:val="18"/>
          <w:szCs w:val="18"/>
          <w:b w:val="1"/>
          <w:bCs w:val="1"/>
          <w:color w:val="auto"/>
        </w:rPr>
        <w:t>7.6 Closing Certificate</w:t>
      </w:r>
      <w:r>
        <w:rPr>
          <w:rFonts w:ascii="Arial" w:cs="Arial" w:eastAsia="Arial" w:hAnsi="Arial"/>
          <w:sz w:val="18"/>
          <w:szCs w:val="18"/>
          <w:color w:val="auto"/>
        </w:rPr>
        <w:t>. The Company shall have received a certificate executed on behalf of Marvell by an officer of Marvell confirming that, to</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Knowledge of such officer, the conditions set forth in </w:t>
      </w:r>
      <w:r>
        <w:rPr>
          <w:rFonts w:ascii="Arial" w:cs="Arial" w:eastAsia="Arial" w:hAnsi="Arial"/>
          <w:sz w:val="18"/>
          <w:szCs w:val="18"/>
          <w:u w:val="single" w:color="auto"/>
          <w:color w:val="auto"/>
        </w:rPr>
        <w:t>Sections 7.1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7.2</w:t>
      </w:r>
      <w:r>
        <w:rPr>
          <w:rFonts w:ascii="Arial" w:cs="Arial" w:eastAsia="Arial" w:hAnsi="Arial"/>
          <w:sz w:val="18"/>
          <w:szCs w:val="18"/>
          <w:color w:val="auto"/>
        </w:rPr>
        <w:t xml:space="preserve"> have been duly satisfied.</w:t>
      </w:r>
    </w:p>
    <w:p>
      <w:pPr>
        <w:spacing w:after="0" w:line="162" w:lineRule="exact"/>
        <w:rPr>
          <w:sz w:val="20"/>
          <w:szCs w:val="20"/>
          <w:color w:val="auto"/>
        </w:rPr>
      </w:pPr>
    </w:p>
    <w:p>
      <w:pPr>
        <w:ind w:right="340" w:firstLine="440"/>
        <w:spacing w:after="0" w:line="282" w:lineRule="auto"/>
        <w:rPr>
          <w:sz w:val="20"/>
          <w:szCs w:val="20"/>
          <w:color w:val="auto"/>
        </w:rPr>
      </w:pPr>
      <w:r>
        <w:rPr>
          <w:rFonts w:ascii="Arial" w:cs="Arial" w:eastAsia="Arial" w:hAnsi="Arial"/>
          <w:sz w:val="18"/>
          <w:szCs w:val="18"/>
          <w:b w:val="1"/>
          <w:bCs w:val="1"/>
          <w:color w:val="auto"/>
        </w:rPr>
        <w:t>7.7 No Material Adverse Effect on Marvell</w:t>
      </w:r>
      <w:r>
        <w:rPr>
          <w:rFonts w:ascii="Arial" w:cs="Arial" w:eastAsia="Arial" w:hAnsi="Arial"/>
          <w:sz w:val="18"/>
          <w:szCs w:val="18"/>
          <w:color w:val="auto"/>
        </w:rPr>
        <w:t>. Since the date of this Agreement, there shall not have occurred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that is continuing.</w:t>
      </w:r>
    </w:p>
    <w:p>
      <w:pPr>
        <w:spacing w:after="0" w:line="162" w:lineRule="exact"/>
        <w:rPr>
          <w:sz w:val="20"/>
          <w:szCs w:val="20"/>
          <w:color w:val="auto"/>
        </w:rPr>
      </w:pPr>
    </w:p>
    <w:p>
      <w:pPr>
        <w:jc w:val="both"/>
        <w:ind w:right="220" w:firstLine="440"/>
        <w:spacing w:after="0" w:line="261" w:lineRule="auto"/>
        <w:rPr>
          <w:sz w:val="20"/>
          <w:szCs w:val="20"/>
          <w:color w:val="auto"/>
        </w:rPr>
      </w:pPr>
      <w:r>
        <w:rPr>
          <w:rFonts w:ascii="Arial" w:cs="Arial" w:eastAsia="Arial" w:hAnsi="Arial"/>
          <w:sz w:val="18"/>
          <w:szCs w:val="18"/>
          <w:b w:val="1"/>
          <w:bCs w:val="1"/>
          <w:color w:val="auto"/>
        </w:rPr>
        <w:t>7.8 Regulatory Matters</w:t>
      </w:r>
      <w:r>
        <w:rPr>
          <w:rFonts w:ascii="Arial" w:cs="Arial" w:eastAsia="Arial" w:hAnsi="Arial"/>
          <w:sz w:val="18"/>
          <w:szCs w:val="18"/>
          <w:color w:val="auto"/>
        </w:rPr>
        <w:t>. The waiting period applicable to the consummation of the Delaware Merger under the HSR Act shall have expired or</w:t>
      </w:r>
      <w:r>
        <w:rPr>
          <w:rFonts w:ascii="Arial" w:cs="Arial" w:eastAsia="Arial" w:hAnsi="Arial"/>
          <w:sz w:val="18"/>
          <w:szCs w:val="18"/>
          <w:b w:val="1"/>
          <w:bCs w:val="1"/>
          <w:color w:val="auto"/>
        </w:rPr>
        <w:t xml:space="preserve"> </w:t>
      </w:r>
      <w:r>
        <w:rPr>
          <w:rFonts w:ascii="Arial" w:cs="Arial" w:eastAsia="Arial" w:hAnsi="Arial"/>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0980"/>
          </w:cols>
          <w:pgMar w:left="440" w:top="274" w:right="479" w:bottom="1440" w:gutter="0" w:footer="0" w:header="0"/>
        </w:sectPr>
      </w:pPr>
    </w:p>
    <w:bookmarkStart w:id="85" w:name="page86"/>
    <w:bookmarkEnd w:id="85"/>
    <w:p>
      <w:pPr>
        <w:ind w:right="180" w:firstLine="440"/>
        <w:spacing w:after="0" w:line="261"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7.9 No Restraints</w:t>
      </w:r>
      <w:r>
        <w:rPr>
          <w:rFonts w:ascii="Arial" w:cs="Arial" w:eastAsia="Arial" w:hAnsi="Arial"/>
          <w:sz w:val="18"/>
          <w:szCs w:val="18"/>
          <w:color w:val="auto"/>
        </w:rPr>
        <w:t>. No temporary restraining order, preliminary or permanent injunction or other Order preventing the consummation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4"/>
          <w:szCs w:val="14"/>
          <w:b w:val="1"/>
          <w:bCs w:val="1"/>
          <w:color w:val="auto"/>
        </w:rPr>
        <w:t>ERMINATION</w:t>
      </w:r>
    </w:p>
    <w:p>
      <w:pPr>
        <w:spacing w:after="0" w:line="117" w:lineRule="exact"/>
        <w:rPr>
          <w:sz w:val="20"/>
          <w:szCs w:val="20"/>
          <w:color w:val="auto"/>
        </w:rPr>
      </w:pPr>
    </w:p>
    <w:p>
      <w:pPr>
        <w:ind w:right="260" w:firstLine="440"/>
        <w:spacing w:after="0" w:line="266" w:lineRule="auto"/>
        <w:rPr>
          <w:sz w:val="20"/>
          <w:szCs w:val="20"/>
          <w:color w:val="auto"/>
        </w:rPr>
      </w:pPr>
      <w:r>
        <w:rPr>
          <w:rFonts w:ascii="Arial" w:cs="Arial" w:eastAsia="Arial" w:hAnsi="Arial"/>
          <w:sz w:val="18"/>
          <w:szCs w:val="18"/>
          <w:b w:val="1"/>
          <w:bCs w:val="1"/>
          <w:color w:val="auto"/>
        </w:rPr>
        <w:t>8.1 Termination</w:t>
      </w:r>
      <w:r>
        <w:rPr>
          <w:rFonts w:ascii="Arial" w:cs="Arial" w:eastAsia="Arial" w:hAnsi="Arial"/>
          <w:sz w:val="18"/>
          <w:szCs w:val="18"/>
          <w:color w:val="auto"/>
        </w:rPr>
        <w:t>. This Agreement may be terminated prior to the Bermuda Merger Effective Time (whether before or after the adoption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72" w:lineRule="exact"/>
        <w:rPr>
          <w:sz w:val="20"/>
          <w:szCs w:val="20"/>
          <w:color w:val="auto"/>
        </w:rPr>
      </w:pPr>
    </w:p>
    <w:p>
      <w:pPr>
        <w:ind w:left="1640" w:hanging="252"/>
        <w:spacing w:after="0"/>
        <w:tabs>
          <w:tab w:leader="none" w:pos="1640" w:val="left"/>
        </w:tabs>
        <w:numPr>
          <w:ilvl w:val="1"/>
          <w:numId w:val="159"/>
        </w:numPr>
        <w:rPr>
          <w:rFonts w:ascii="Arial" w:cs="Arial" w:eastAsia="Arial" w:hAnsi="Arial"/>
          <w:sz w:val="18"/>
          <w:szCs w:val="18"/>
          <w:b w:val="1"/>
          <w:bCs w:val="1"/>
          <w:color w:val="auto"/>
        </w:rPr>
      </w:pPr>
      <w:r>
        <w:rPr>
          <w:rFonts w:ascii="Arial" w:cs="Arial" w:eastAsia="Arial" w:hAnsi="Arial"/>
          <w:sz w:val="18"/>
          <w:szCs w:val="18"/>
          <w:color w:val="auto"/>
        </w:rPr>
        <w:t>by mutual written consent of Marvell and the Company;</w:t>
      </w:r>
    </w:p>
    <w:p>
      <w:pPr>
        <w:spacing w:after="0" w:line="117" w:lineRule="exact"/>
        <w:rPr>
          <w:rFonts w:ascii="Arial" w:cs="Arial" w:eastAsia="Arial" w:hAnsi="Arial"/>
          <w:sz w:val="18"/>
          <w:szCs w:val="18"/>
          <w:b w:val="1"/>
          <w:bCs w:val="1"/>
          <w:color w:val="auto"/>
        </w:rPr>
      </w:pPr>
    </w:p>
    <w:p>
      <w:pPr>
        <w:ind w:left="440" w:firstLine="948"/>
        <w:spacing w:after="0" w:line="284" w:lineRule="auto"/>
        <w:tabs>
          <w:tab w:leader="none" w:pos="1657" w:val="left"/>
        </w:tabs>
        <w:numPr>
          <w:ilvl w:val="1"/>
          <w:numId w:val="159"/>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the Mergers shall not have been consummated by 11:59 p.m. (California time) on June 29, 2021 (the “</w:t>
      </w:r>
      <w:r>
        <w:rPr>
          <w:rFonts w:ascii="Arial" w:cs="Arial" w:eastAsia="Arial" w:hAnsi="Arial"/>
          <w:sz w:val="16"/>
          <w:szCs w:val="16"/>
          <w:u w:val="single" w:color="auto"/>
          <w:color w:val="auto"/>
        </w:rPr>
        <w:t>End Date</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 if, as of 11:59 p.m. (California time) on June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June 29, 2021); (ii) if, as of 11:59 p.m. (California time) on June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June 29, 2021); (iii) if, as of 11:59 p.m. (California time) on October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October 29, 2021); (iv) if, as of 11:59 p.m. (California time) on October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October 29, 2021); and (v) a Principal Party shall not be permitted to terminate this Agreement pursuant to this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65" w:lineRule="exact"/>
        <w:rPr>
          <w:rFonts w:ascii="Arial" w:cs="Arial" w:eastAsia="Arial" w:hAnsi="Arial"/>
          <w:sz w:val="16"/>
          <w:szCs w:val="16"/>
          <w:b w:val="1"/>
          <w:bCs w:val="1"/>
          <w:color w:val="auto"/>
        </w:rPr>
      </w:pPr>
    </w:p>
    <w:p>
      <w:pPr>
        <w:ind w:left="440" w:right="240" w:firstLine="419"/>
        <w:spacing w:after="0" w:line="263" w:lineRule="auto"/>
        <w:tabs>
          <w:tab w:leader="none" w:pos="1107" w:val="left"/>
        </w:tabs>
        <w:numPr>
          <w:ilvl w:val="0"/>
          <w:numId w:val="160"/>
        </w:numPr>
        <w:rPr>
          <w:rFonts w:ascii="Arial" w:cs="Arial" w:eastAsia="Arial" w:hAnsi="Arial"/>
          <w:sz w:val="18"/>
          <w:szCs w:val="18"/>
          <w:b w:val="1"/>
          <w:bCs w:val="1"/>
          <w:color w:val="auto"/>
        </w:rPr>
      </w:pPr>
      <w:r>
        <w:rPr>
          <w:rFonts w:ascii="Arial" w:cs="Arial" w:eastAsia="Arial" w:hAnsi="Arial"/>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000"/>
          </w:cols>
          <w:pgMar w:left="440" w:top="270" w:right="459" w:bottom="1440" w:gutter="0" w:footer="0" w:header="0"/>
        </w:sectPr>
      </w:pPr>
    </w:p>
    <w:bookmarkStart w:id="86" w:name="page87"/>
    <w:bookmarkEnd w:id="86"/>
    <w:p>
      <w:pPr>
        <w:ind w:left="4" w:right="3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enacted, promulgated, issued or deemed applicable to the Delaware Merger or the Bermuda Merger by any Specified Governmental Body that would make consummation of the Delaware Merger or the Bermuda Merger illegal;</w:t>
      </w:r>
    </w:p>
    <w:p>
      <w:pPr>
        <w:spacing w:after="0" w:line="62" w:lineRule="exact"/>
        <w:rPr>
          <w:sz w:val="20"/>
          <w:szCs w:val="20"/>
          <w:color w:val="auto"/>
        </w:rPr>
      </w:pPr>
    </w:p>
    <w:p>
      <w:pPr>
        <w:ind w:left="4" w:right="140" w:firstLine="419"/>
        <w:spacing w:after="0" w:line="291" w:lineRule="auto"/>
        <w:tabs>
          <w:tab w:leader="none" w:pos="691" w:val="left"/>
        </w:tabs>
        <w:numPr>
          <w:ilvl w:val="1"/>
          <w:numId w:val="161"/>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4" w:right="160" w:hanging="4"/>
        <w:spacing w:after="0" w:line="292" w:lineRule="auto"/>
        <w:tabs>
          <w:tab w:leader="none" w:pos="268" w:val="left"/>
        </w:tabs>
        <w:numPr>
          <w:ilvl w:val="0"/>
          <w:numId w:val="162"/>
        </w:numPr>
        <w:rPr>
          <w:rFonts w:ascii="Arial" w:cs="Arial" w:eastAsia="Arial" w:hAnsi="Arial"/>
          <w:sz w:val="16"/>
          <w:szCs w:val="16"/>
          <w:color w:val="auto"/>
        </w:rPr>
      </w:pPr>
      <w:r>
        <w:rPr>
          <w:rFonts w:ascii="Arial" w:cs="Arial" w:eastAsia="Arial" w:hAnsi="Arial"/>
          <w:sz w:val="16"/>
          <w:szCs w:val="16"/>
          <w:color w:val="auto"/>
        </w:rPr>
        <w:t xml:space="preserve">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8.1(d)</w:t>
      </w:r>
      <w:r>
        <w:rPr>
          <w:rFonts w:ascii="Arial" w:cs="Arial" w:eastAsia="Arial" w:hAnsi="Arial"/>
          <w:sz w:val="16"/>
          <w:szCs w:val="16"/>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54" w:lineRule="exact"/>
        <w:rPr>
          <w:rFonts w:ascii="Arial" w:cs="Arial" w:eastAsia="Arial" w:hAnsi="Arial"/>
          <w:sz w:val="16"/>
          <w:szCs w:val="16"/>
          <w:color w:val="auto"/>
        </w:rPr>
      </w:pPr>
    </w:p>
    <w:p>
      <w:pPr>
        <w:ind w:left="4" w:firstLine="419"/>
        <w:spacing w:after="0" w:line="291" w:lineRule="auto"/>
        <w:tabs>
          <w:tab w:leader="none" w:pos="671" w:val="left"/>
        </w:tabs>
        <w:numPr>
          <w:ilvl w:val="1"/>
          <w:numId w:val="162"/>
        </w:numPr>
        <w:rPr>
          <w:rFonts w:ascii="Arial" w:cs="Arial" w:eastAsia="Arial" w:hAnsi="Arial"/>
          <w:sz w:val="16"/>
          <w:szCs w:val="16"/>
          <w:b w:val="1"/>
          <w:bCs w:val="1"/>
          <w:color w:val="auto"/>
        </w:rPr>
      </w:pPr>
      <w:r>
        <w:rPr>
          <w:rFonts w:ascii="Arial" w:cs="Arial" w:eastAsia="Arial" w:hAnsi="Arial"/>
          <w:sz w:val="16"/>
          <w:szCs w:val="16"/>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8.1(e)</w:t>
      </w:r>
      <w:r>
        <w:rPr>
          <w:rFonts w:ascii="Arial" w:cs="Arial" w:eastAsia="Arial" w:hAnsi="Arial"/>
          <w:sz w:val="16"/>
          <w:szCs w:val="16"/>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58" w:lineRule="exact"/>
        <w:rPr>
          <w:rFonts w:ascii="Arial" w:cs="Arial" w:eastAsia="Arial" w:hAnsi="Arial"/>
          <w:sz w:val="16"/>
          <w:szCs w:val="16"/>
          <w:b w:val="1"/>
          <w:bCs w:val="1"/>
          <w:color w:val="auto"/>
        </w:rPr>
      </w:pPr>
    </w:p>
    <w:p>
      <w:pPr>
        <w:ind w:left="4" w:right="240" w:firstLine="419"/>
        <w:spacing w:after="0" w:line="277" w:lineRule="auto"/>
        <w:tabs>
          <w:tab w:leader="none" w:pos="651" w:val="left"/>
        </w:tabs>
        <w:numPr>
          <w:ilvl w:val="1"/>
          <w:numId w:val="162"/>
        </w:numPr>
        <w:rPr>
          <w:rFonts w:ascii="Arial" w:cs="Arial" w:eastAsia="Arial" w:hAnsi="Arial"/>
          <w:sz w:val="18"/>
          <w:szCs w:val="18"/>
          <w:b w:val="1"/>
          <w:bCs w:val="1"/>
          <w:color w:val="auto"/>
        </w:rPr>
      </w:pPr>
      <w:r>
        <w:rPr>
          <w:rFonts w:ascii="Arial" w:cs="Arial" w:eastAsia="Arial" w:hAnsi="Arial"/>
          <w:sz w:val="18"/>
          <w:szCs w:val="18"/>
          <w:color w:val="auto"/>
        </w:rPr>
        <w:t>by Marvell (at any time prior to the adoption of this Agreement by the Required Company Stockholder Vote) if a Company Triggering Event shall have occurred;</w:t>
      </w:r>
    </w:p>
    <w:p>
      <w:pPr>
        <w:spacing w:after="0" w:line="62" w:lineRule="exact"/>
        <w:rPr>
          <w:rFonts w:ascii="Arial" w:cs="Arial" w:eastAsia="Arial" w:hAnsi="Arial"/>
          <w:sz w:val="18"/>
          <w:szCs w:val="18"/>
          <w:b w:val="1"/>
          <w:bCs w:val="1"/>
          <w:color w:val="auto"/>
        </w:rPr>
      </w:pPr>
    </w:p>
    <w:p>
      <w:pPr>
        <w:ind w:left="4" w:right="520" w:firstLine="419"/>
        <w:spacing w:after="0" w:line="277" w:lineRule="auto"/>
        <w:tabs>
          <w:tab w:leader="none" w:pos="681" w:val="left"/>
        </w:tabs>
        <w:numPr>
          <w:ilvl w:val="1"/>
          <w:numId w:val="162"/>
        </w:numPr>
        <w:rPr>
          <w:rFonts w:ascii="Arial" w:cs="Arial" w:eastAsia="Arial" w:hAnsi="Arial"/>
          <w:sz w:val="18"/>
          <w:szCs w:val="18"/>
          <w:b w:val="1"/>
          <w:bCs w:val="1"/>
          <w:color w:val="auto"/>
        </w:rPr>
      </w:pPr>
      <w:r>
        <w:rPr>
          <w:rFonts w:ascii="Arial" w:cs="Arial" w:eastAsia="Arial" w:hAnsi="Arial"/>
          <w:sz w:val="18"/>
          <w:szCs w:val="18"/>
          <w:color w:val="auto"/>
        </w:rPr>
        <w:t>by the Company (at any time prior to the approval of the Marvell Merger Proposal by the Required Marvell Shareholder Vote) if a Marvell Triggering Event shall have occurred;</w:t>
      </w:r>
    </w:p>
    <w:p>
      <w:pPr>
        <w:spacing w:after="0" w:line="62" w:lineRule="exact"/>
        <w:rPr>
          <w:rFonts w:ascii="Arial" w:cs="Arial" w:eastAsia="Arial" w:hAnsi="Arial"/>
          <w:sz w:val="18"/>
          <w:szCs w:val="18"/>
          <w:b w:val="1"/>
          <w:bCs w:val="1"/>
          <w:color w:val="auto"/>
        </w:rPr>
      </w:pPr>
    </w:p>
    <w:p>
      <w:pPr>
        <w:ind w:left="4" w:firstLine="419"/>
        <w:spacing w:after="0" w:line="268" w:lineRule="auto"/>
        <w:tabs>
          <w:tab w:leader="none" w:pos="691" w:val="left"/>
        </w:tabs>
        <w:numPr>
          <w:ilvl w:val="1"/>
          <w:numId w:val="162"/>
        </w:numPr>
        <w:rPr>
          <w:rFonts w:ascii="Arial" w:cs="Arial" w:eastAsia="Arial" w:hAnsi="Arial"/>
          <w:sz w:val="17"/>
          <w:szCs w:val="17"/>
          <w:b w:val="1"/>
          <w:bCs w:val="1"/>
          <w:color w:val="auto"/>
        </w:rPr>
      </w:pPr>
      <w:r>
        <w:rPr>
          <w:rFonts w:ascii="Arial" w:cs="Arial" w:eastAsia="Arial" w:hAnsi="Arial"/>
          <w:sz w:val="17"/>
          <w:szCs w:val="17"/>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not be satisfied; or (iii) a Material Adverse Effect on the Company shall have occurred following the date of this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clauses “(i)” and “(ii)” above, if an inaccuracy in any of the Company’s representations or warranties as of a date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subsequent to the date of this Agreement or a breach of a covenant or obligation by the Company is curable by the Company prior to the End Date (as it may be extended in accordance with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and the Company is continuing to exercise its reasonable best efforts to cure such inaccuracy or breach, then Marvell may not terminate this Agreement under this </w:t>
      </w:r>
      <w:r>
        <w:rPr>
          <w:rFonts w:ascii="Arial" w:cs="Arial" w:eastAsia="Arial" w:hAnsi="Arial"/>
          <w:sz w:val="17"/>
          <w:szCs w:val="17"/>
          <w:u w:val="single" w:color="auto"/>
          <w:color w:val="auto"/>
        </w:rPr>
        <w:t>Section 8.1(h)</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76" w:lineRule="exact"/>
        <w:rPr>
          <w:rFonts w:ascii="Arial" w:cs="Arial" w:eastAsia="Arial" w:hAnsi="Arial"/>
          <w:sz w:val="17"/>
          <w:szCs w:val="17"/>
          <w:b w:val="1"/>
          <w:bCs w:val="1"/>
          <w:color w:val="auto"/>
        </w:rPr>
      </w:pPr>
    </w:p>
    <w:p>
      <w:pPr>
        <w:ind w:left="4" w:firstLine="419"/>
        <w:spacing w:after="0" w:line="263" w:lineRule="auto"/>
        <w:tabs>
          <w:tab w:leader="none" w:pos="641" w:val="left"/>
        </w:tabs>
        <w:numPr>
          <w:ilvl w:val="1"/>
          <w:numId w:val="162"/>
        </w:numPr>
        <w:rPr>
          <w:rFonts w:ascii="Arial" w:cs="Arial" w:eastAsia="Arial" w:hAnsi="Arial"/>
          <w:sz w:val="18"/>
          <w:szCs w:val="18"/>
          <w:b w:val="1"/>
          <w:bCs w:val="1"/>
          <w:color w:val="auto"/>
        </w:rPr>
      </w:pPr>
      <w:r>
        <w:rPr>
          <w:rFonts w:ascii="Arial" w:cs="Arial" w:eastAsia="Arial" w:hAnsi="Arial"/>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16" w:lineRule="exact"/>
        <w:rPr>
          <w:sz w:val="20"/>
          <w:szCs w:val="20"/>
          <w:color w:val="auto"/>
        </w:rPr>
      </w:pPr>
    </w:p>
    <w:p>
      <w:pPr>
        <w:jc w:val="center"/>
        <w:ind w:right="416"/>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0564"/>
          </w:cols>
          <w:pgMar w:left="876" w:top="274" w:right="459" w:bottom="1440" w:gutter="0" w:footer="0" w:header="0"/>
        </w:sectPr>
      </w:pPr>
    </w:p>
    <w:bookmarkStart w:id="87" w:name="page88"/>
    <w:bookmarkEnd w:id="87"/>
    <w:p>
      <w:pPr>
        <w:ind w:left="440"/>
        <w:spacing w:after="0" w:line="287" w:lineRule="auto"/>
        <w:rPr>
          <w:sz w:val="20"/>
          <w:szCs w:val="20"/>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7.1</w:t>
      </w:r>
      <w:r>
        <w:rPr>
          <w:rFonts w:ascii="Arial" w:cs="Arial" w:eastAsia="Arial" w:hAnsi="Arial"/>
          <w:sz w:val="16"/>
          <w:szCs w:val="16"/>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would not be satisfied; or (iii) a Material Adverse Effect on Marvell shall have occurred following the date of this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and Marvell is continuing to exercise its reasonable best efforts to cure such inaccuracy or breach, then the Company may not terminate this Agreement under this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64" w:lineRule="exact"/>
        <w:rPr>
          <w:sz w:val="20"/>
          <w:szCs w:val="20"/>
          <w:color w:val="auto"/>
        </w:rPr>
      </w:pPr>
    </w:p>
    <w:p>
      <w:pPr>
        <w:ind w:left="440" w:right="20" w:firstLine="419"/>
        <w:spacing w:after="0" w:line="284" w:lineRule="auto"/>
        <w:tabs>
          <w:tab w:leader="none" w:pos="1088" w:val="left"/>
        </w:tabs>
        <w:numPr>
          <w:ilvl w:val="1"/>
          <w:numId w:val="163"/>
        </w:numPr>
        <w:rPr>
          <w:rFonts w:ascii="Arial" w:cs="Arial" w:eastAsia="Arial" w:hAnsi="Arial"/>
          <w:sz w:val="16"/>
          <w:szCs w:val="16"/>
          <w:b w:val="1"/>
          <w:bCs w:val="1"/>
          <w:color w:val="auto"/>
        </w:rPr>
      </w:pPr>
      <w:r>
        <w:rPr>
          <w:rFonts w:ascii="Arial" w:cs="Arial" w:eastAsia="Arial" w:hAnsi="Arial"/>
          <w:sz w:val="16"/>
          <w:szCs w:val="16"/>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Arial" w:cs="Arial" w:eastAsia="Arial" w:hAnsi="Arial"/>
          <w:sz w:val="16"/>
          <w:szCs w:val="16"/>
          <w:u w:val="single" w:color="auto"/>
          <w:color w:val="auto"/>
        </w:rPr>
        <w:t>Specified 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Acquisition Agreement</w:t>
      </w:r>
      <w:r>
        <w:rPr>
          <w:rFonts w:ascii="Arial" w:cs="Arial" w:eastAsia="Arial" w:hAnsi="Arial"/>
          <w:sz w:val="16"/>
          <w:szCs w:val="16"/>
          <w:color w:val="auto"/>
        </w:rPr>
        <w:t xml:space="preserve">”), if: (i) the Company’s board of directors, after satisfying all of the requirements set forth in </w:t>
      </w:r>
      <w:r>
        <w:rPr>
          <w:rFonts w:ascii="Arial" w:cs="Arial" w:eastAsia="Arial" w:hAnsi="Arial"/>
          <w:sz w:val="16"/>
          <w:szCs w:val="16"/>
          <w:u w:val="single" w:color="auto"/>
          <w:color w:val="auto"/>
        </w:rPr>
        <w:t>Section 5.2(f)(i)</w:t>
      </w:r>
      <w:r>
        <w:rPr>
          <w:rFonts w:ascii="Arial" w:cs="Arial" w:eastAsia="Arial" w:hAnsi="Arial"/>
          <w:sz w:val="16"/>
          <w:szCs w:val="16"/>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Arial" w:cs="Arial" w:eastAsia="Arial" w:hAnsi="Arial"/>
          <w:sz w:val="16"/>
          <w:szCs w:val="16"/>
          <w:u w:val="single" w:color="auto"/>
          <w:color w:val="auto"/>
        </w:rPr>
        <w:t>Section 8.1(j)</w:t>
      </w:r>
      <w:r>
        <w:rPr>
          <w:rFonts w:ascii="Arial" w:cs="Arial" w:eastAsia="Arial" w:hAnsi="Arial"/>
          <w:sz w:val="16"/>
          <w:szCs w:val="16"/>
          <w:color w:val="auto"/>
        </w:rPr>
        <w:t>; (iii) concurrently with the termination of this Agreement pursuant to this</w:t>
      </w:r>
    </w:p>
    <w:p>
      <w:pPr>
        <w:ind w:left="440"/>
        <w:spacing w:after="0"/>
        <w:rPr>
          <w:rFonts w:ascii="Arial" w:cs="Arial" w:eastAsia="Arial" w:hAnsi="Arial"/>
          <w:sz w:val="16"/>
          <w:szCs w:val="16"/>
          <w:b w:val="1"/>
          <w:bCs w:val="1"/>
          <w:color w:val="auto"/>
        </w:rPr>
      </w:pPr>
      <w:r>
        <w:rPr>
          <w:rFonts w:ascii="Arial" w:cs="Arial" w:eastAsia="Arial" w:hAnsi="Arial"/>
          <w:sz w:val="17"/>
          <w:szCs w:val="17"/>
          <w:u w:val="single" w:color="auto"/>
          <w:color w:val="auto"/>
        </w:rPr>
        <w:t>Section 8.1(j)</w:t>
      </w:r>
      <w:r>
        <w:rPr>
          <w:rFonts w:ascii="Arial" w:cs="Arial" w:eastAsia="Arial" w:hAnsi="Arial"/>
          <w:sz w:val="17"/>
          <w:szCs w:val="17"/>
          <w:color w:val="auto"/>
        </w:rPr>
        <w:t>, the Company enters into the Specified Company Acquisition Agreement with respect to such Company Superior Offer; and</w:t>
      </w:r>
    </w:p>
    <w:p>
      <w:pPr>
        <w:spacing w:after="0" w:line="20" w:lineRule="exact"/>
        <w:rPr>
          <w:rFonts w:ascii="Arial" w:cs="Arial" w:eastAsia="Arial" w:hAnsi="Arial"/>
          <w:sz w:val="16"/>
          <w:szCs w:val="16"/>
          <w:b w:val="1"/>
          <w:bCs w:val="1"/>
          <w:color w:val="auto"/>
        </w:rPr>
      </w:pPr>
    </w:p>
    <w:p>
      <w:pPr>
        <w:ind w:left="440" w:right="20" w:hanging="4"/>
        <w:spacing w:after="0" w:line="260" w:lineRule="auto"/>
        <w:tabs>
          <w:tab w:leader="none" w:pos="745" w:val="left"/>
        </w:tabs>
        <w:numPr>
          <w:ilvl w:val="0"/>
          <w:numId w:val="164"/>
        </w:numPr>
        <w:rPr>
          <w:rFonts w:ascii="Arial" w:cs="Arial" w:eastAsia="Arial" w:hAnsi="Arial"/>
          <w:sz w:val="18"/>
          <w:szCs w:val="18"/>
          <w:color w:val="auto"/>
        </w:rPr>
      </w:pPr>
      <w:r>
        <w:rPr>
          <w:rFonts w:ascii="Arial" w:cs="Arial" w:eastAsia="Arial" w:hAnsi="Arial"/>
          <w:sz w:val="18"/>
          <w:szCs w:val="18"/>
          <w:color w:val="auto"/>
        </w:rPr>
        <w:t>immediately prior to or concurrently with such termination, the Company shall have paid to Marvell or its designee the Company Termination Fee; or</w:t>
      </w:r>
    </w:p>
    <w:p>
      <w:pPr>
        <w:spacing w:after="0" w:line="77" w:lineRule="exact"/>
        <w:rPr>
          <w:rFonts w:ascii="Arial" w:cs="Arial" w:eastAsia="Arial" w:hAnsi="Arial"/>
          <w:sz w:val="18"/>
          <w:szCs w:val="18"/>
          <w:color w:val="auto"/>
        </w:rPr>
      </w:pPr>
    </w:p>
    <w:p>
      <w:pPr>
        <w:ind w:left="440" w:right="40" w:firstLine="419"/>
        <w:spacing w:after="0" w:line="269" w:lineRule="auto"/>
        <w:tabs>
          <w:tab w:leader="none" w:pos="1128" w:val="left"/>
        </w:tabs>
        <w:numPr>
          <w:ilvl w:val="1"/>
          <w:numId w:val="164"/>
        </w:numPr>
        <w:rPr>
          <w:rFonts w:ascii="Arial" w:cs="Arial" w:eastAsia="Arial" w:hAnsi="Arial"/>
          <w:sz w:val="17"/>
          <w:szCs w:val="17"/>
          <w:b w:val="1"/>
          <w:bCs w:val="1"/>
          <w:color w:val="auto"/>
        </w:rPr>
      </w:pPr>
      <w:r>
        <w:rPr>
          <w:rFonts w:ascii="Arial" w:cs="Arial" w:eastAsia="Arial" w:hAnsi="Arial"/>
          <w:sz w:val="17"/>
          <w:szCs w:val="17"/>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Arial" w:cs="Arial" w:eastAsia="Arial" w:hAnsi="Arial"/>
          <w:sz w:val="17"/>
          <w:szCs w:val="17"/>
          <w:u w:val="single" w:color="auto"/>
          <w:color w:val="auto"/>
        </w:rPr>
        <w:t>Specified Marvell Acquisition Agreement</w:t>
      </w:r>
      <w:r>
        <w:rPr>
          <w:rFonts w:ascii="Arial" w:cs="Arial" w:eastAsia="Arial" w:hAnsi="Arial"/>
          <w:sz w:val="17"/>
          <w:szCs w:val="17"/>
          <w:color w:val="auto"/>
        </w:rPr>
        <w:t xml:space="preserve">”), if: (i) Marvell’s board of directors, after satisfying all of the requirements set forth in </w:t>
      </w:r>
      <w:r>
        <w:rPr>
          <w:rFonts w:ascii="Arial" w:cs="Arial" w:eastAsia="Arial" w:hAnsi="Arial"/>
          <w:sz w:val="17"/>
          <w:szCs w:val="17"/>
          <w:u w:val="single" w:color="auto"/>
          <w:color w:val="auto"/>
        </w:rPr>
        <w:t>Section 5.3(f)(i)</w:t>
      </w:r>
      <w:r>
        <w:rPr>
          <w:rFonts w:ascii="Arial" w:cs="Arial" w:eastAsia="Arial" w:hAnsi="Arial"/>
          <w:sz w:val="17"/>
          <w:szCs w:val="17"/>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82" w:lineRule="exact"/>
        <w:rPr>
          <w:sz w:val="20"/>
          <w:szCs w:val="20"/>
          <w:color w:val="auto"/>
        </w:rPr>
      </w:pPr>
    </w:p>
    <w:p>
      <w:pPr>
        <w:ind w:right="380"/>
        <w:spacing w:after="0" w:line="263" w:lineRule="auto"/>
        <w:rPr>
          <w:sz w:val="20"/>
          <w:szCs w:val="20"/>
          <w:color w:val="auto"/>
        </w:rPr>
      </w:pPr>
      <w:r>
        <w:rPr>
          <w:rFonts w:ascii="Arial" w:cs="Arial" w:eastAsia="Arial" w:hAnsi="Arial"/>
          <w:sz w:val="18"/>
          <w:szCs w:val="18"/>
          <w:color w:val="auto"/>
        </w:rPr>
        <w:t xml:space="preserve">Notwithstanding anything to the contrary contained in this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shall have been paid or made in full.</w:t>
      </w:r>
    </w:p>
    <w:p>
      <w:pPr>
        <w:spacing w:after="0" w:line="180" w:lineRule="exact"/>
        <w:rPr>
          <w:sz w:val="20"/>
          <w:szCs w:val="20"/>
          <w:color w:val="auto"/>
        </w:rPr>
      </w:pPr>
    </w:p>
    <w:p>
      <w:pPr>
        <w:ind w:right="140" w:firstLine="440"/>
        <w:spacing w:after="0" w:line="282" w:lineRule="auto"/>
        <w:rPr>
          <w:sz w:val="20"/>
          <w:szCs w:val="20"/>
          <w:color w:val="auto"/>
        </w:rPr>
      </w:pPr>
      <w:r>
        <w:rPr>
          <w:rFonts w:ascii="Arial" w:cs="Arial" w:eastAsia="Arial" w:hAnsi="Arial"/>
          <w:sz w:val="18"/>
          <w:szCs w:val="18"/>
          <w:b w:val="1"/>
          <w:bCs w:val="1"/>
          <w:color w:val="auto"/>
        </w:rPr>
        <w:t>8.2 Effect of Termination</w:t>
      </w:r>
      <w:r>
        <w:rPr>
          <w:rFonts w:ascii="Arial" w:cs="Arial" w:eastAsia="Arial" w:hAnsi="Arial"/>
          <w:sz w:val="18"/>
          <w:szCs w:val="18"/>
          <w:color w:val="auto"/>
        </w:rPr>
        <w:t>. If this Agreement is terminated as provided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8.1</w:t>
      </w:r>
      <w:r>
        <w:rPr>
          <w:rFonts w:ascii="Arial" w:cs="Arial" w:eastAsia="Arial" w:hAnsi="Arial"/>
          <w:sz w:val="18"/>
          <w:szCs w:val="18"/>
          <w:color w:val="auto"/>
        </w:rPr>
        <w:t>, all further obligations of the parties under this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shall terminate, this Agreement shall be of no further force or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000"/>
          </w:cols>
          <w:pgMar w:left="440" w:top="274" w:right="459" w:bottom="1440" w:gutter="0" w:footer="0" w:header="0"/>
        </w:sectPr>
      </w:pPr>
    </w:p>
    <w:bookmarkStart w:id="88" w:name="page89"/>
    <w:bookmarkEnd w:id="88"/>
    <w:p>
      <w:pPr>
        <w:ind w:right="8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effect and there shall be no liability on the part of the Company, Marvell, HoldCo, Bermuda Merger Sub, Delaware Merger Sub or any of their respective stockholders or Representatives;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Arial" w:cs="Arial" w:eastAsia="Arial" w:hAnsi="Arial"/>
          <w:sz w:val="16"/>
          <w:szCs w:val="16"/>
          <w:u w:val="single" w:color="auto"/>
          <w:color w:val="auto"/>
        </w:rPr>
        <w:t>Section 8</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only: (i) “</w:t>
      </w:r>
      <w:r>
        <w:rPr>
          <w:rFonts w:ascii="Arial" w:cs="Arial" w:eastAsia="Arial" w:hAnsi="Arial"/>
          <w:sz w:val="16"/>
          <w:szCs w:val="16"/>
          <w:u w:val="single" w:color="auto"/>
          <w:color w:val="auto"/>
        </w:rPr>
        <w:t>knowing and intentional breach</w:t>
      </w:r>
      <w:r>
        <w:rPr>
          <w:rFonts w:ascii="Arial" w:cs="Arial" w:eastAsia="Arial" w:hAnsi="Arial"/>
          <w:sz w:val="16"/>
          <w:szCs w:val="16"/>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Arial" w:cs="Arial" w:eastAsia="Arial" w:hAnsi="Arial"/>
          <w:sz w:val="16"/>
          <w:szCs w:val="16"/>
          <w:u w:val="single" w:color="auto"/>
          <w:color w:val="auto"/>
        </w:rPr>
        <w:t>fraud</w:t>
      </w:r>
      <w:r>
        <w:rPr>
          <w:rFonts w:ascii="Arial" w:cs="Arial" w:eastAsia="Arial" w:hAnsi="Arial"/>
          <w:sz w:val="16"/>
          <w:szCs w:val="16"/>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8.3 Expenses; Termination Fees.</w:t>
      </w:r>
    </w:p>
    <w:p>
      <w:pPr>
        <w:spacing w:after="0" w:line="229" w:lineRule="exact"/>
        <w:rPr>
          <w:sz w:val="20"/>
          <w:szCs w:val="20"/>
          <w:color w:val="auto"/>
        </w:rPr>
      </w:pPr>
    </w:p>
    <w:p>
      <w:pPr>
        <w:ind w:right="280" w:firstLine="987"/>
        <w:spacing w:after="0" w:line="308" w:lineRule="auto"/>
        <w:tabs>
          <w:tab w:leader="none" w:pos="1246" w:val="left"/>
        </w:tabs>
        <w:numPr>
          <w:ilvl w:val="0"/>
          <w:numId w:val="165"/>
        </w:numPr>
        <w:rPr>
          <w:rFonts w:ascii="Arial" w:cs="Arial" w:eastAsia="Arial" w:hAnsi="Arial"/>
          <w:sz w:val="17"/>
          <w:szCs w:val="17"/>
          <w:b w:val="1"/>
          <w:bCs w:val="1"/>
          <w:color w:val="auto"/>
        </w:rPr>
      </w:pPr>
      <w:r>
        <w:rPr>
          <w:rFonts w:ascii="Arial" w:cs="Arial" w:eastAsia="Arial" w:hAnsi="Arial"/>
          <w:sz w:val="17"/>
          <w:szCs w:val="17"/>
          <w:color w:val="auto"/>
        </w:rPr>
        <w:t xml:space="preserve">Except as set forth in this </w:t>
      </w:r>
      <w:r>
        <w:rPr>
          <w:rFonts w:ascii="Arial" w:cs="Arial" w:eastAsia="Arial" w:hAnsi="Arial"/>
          <w:sz w:val="17"/>
          <w:szCs w:val="17"/>
          <w:u w:val="single" w:color="auto"/>
          <w:color w:val="auto"/>
        </w:rPr>
        <w:t>Section 8.3</w:t>
      </w:r>
      <w:r>
        <w:rPr>
          <w:rFonts w:ascii="Arial" w:cs="Arial" w:eastAsia="Arial" w:hAnsi="Arial"/>
          <w:sz w:val="17"/>
          <w:szCs w:val="17"/>
          <w:color w:val="auto"/>
        </w:rPr>
        <w:t>, all fees and expenses incurred in connection with this Agreement or any of the Contemplated Transactions shall be paid by the party incurring such fees and expenses, whether or not the Mergers are consummated.</w:t>
      </w:r>
    </w:p>
    <w:p>
      <w:pPr>
        <w:spacing w:after="0" w:line="146" w:lineRule="exact"/>
        <w:rPr>
          <w:rFonts w:ascii="Arial" w:cs="Arial" w:eastAsia="Arial" w:hAnsi="Arial"/>
          <w:sz w:val="17"/>
          <w:szCs w:val="17"/>
          <w:b w:val="1"/>
          <w:bCs w:val="1"/>
          <w:color w:val="auto"/>
        </w:rPr>
      </w:pPr>
    </w:p>
    <w:p>
      <w:pPr>
        <w:ind w:right="40" w:firstLine="987"/>
        <w:spacing w:after="0" w:line="263" w:lineRule="auto"/>
        <w:tabs>
          <w:tab w:leader="none" w:pos="1256"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by Marvell or the Company: (i)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then the Company shall make the Company Expense Payment to Marvell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 xml:space="preserve">; or (ii)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then Marvell shall make the Marvell Expense Payment to the Company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right="60" w:firstLine="987"/>
        <w:spacing w:after="0" w:line="287" w:lineRule="auto"/>
        <w:tabs>
          <w:tab w:leader="none" w:pos="1236" w:val="left"/>
        </w:tabs>
        <w:numPr>
          <w:ilvl w:val="0"/>
          <w:numId w:val="165"/>
        </w:numPr>
        <w:rPr>
          <w:rFonts w:ascii="Arial" w:cs="Arial" w:eastAsia="Arial" w:hAnsi="Arial"/>
          <w:sz w:val="16"/>
          <w:szCs w:val="16"/>
          <w:b w:val="1"/>
          <w:bCs w:val="1"/>
          <w:color w:val="auto"/>
        </w:rPr>
      </w:pPr>
      <w:r>
        <w:rPr>
          <w:rFonts w:ascii="Arial" w:cs="Arial" w:eastAsia="Arial" w:hAnsi="Arial"/>
          <w:sz w:val="16"/>
          <w:szCs w:val="16"/>
          <w:color w:val="auto"/>
        </w:rPr>
        <w:t xml:space="preserve">If: (i) this Agreement is terminated by Marvell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Arial" w:cs="Arial" w:eastAsia="Arial" w:hAnsi="Arial"/>
          <w:sz w:val="16"/>
          <w:szCs w:val="16"/>
          <w:u w:val="single" w:color="auto"/>
          <w:color w:val="auto"/>
        </w:rPr>
        <w:t>Company Termination Fee</w:t>
      </w:r>
      <w:r>
        <w:rPr>
          <w:rFonts w:ascii="Arial" w:cs="Arial" w:eastAsia="Arial" w:hAnsi="Arial"/>
          <w:sz w:val="16"/>
          <w:szCs w:val="16"/>
          <w:color w:val="auto"/>
        </w:rPr>
        <w:t xml:space="preserve">”) in cash;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 “(iv)” of this </w:t>
      </w:r>
      <w:r>
        <w:rPr>
          <w:rFonts w:ascii="Arial" w:cs="Arial" w:eastAsia="Arial" w:hAnsi="Arial"/>
          <w:sz w:val="16"/>
          <w:szCs w:val="16"/>
          <w:u w:val="single" w:color="auto"/>
          <w:color w:val="auto"/>
        </w:rPr>
        <w:t>Section 8.3(c)</w:t>
      </w:r>
      <w:r>
        <w:rPr>
          <w:rFonts w:ascii="Arial" w:cs="Arial" w:eastAsia="Arial" w:hAnsi="Arial"/>
          <w:sz w:val="16"/>
          <w:szCs w:val="16"/>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67" w:lineRule="exact"/>
        <w:rPr>
          <w:rFonts w:ascii="Arial" w:cs="Arial" w:eastAsia="Arial" w:hAnsi="Arial"/>
          <w:sz w:val="16"/>
          <w:szCs w:val="16"/>
          <w:b w:val="1"/>
          <w:bCs w:val="1"/>
          <w:color w:val="auto"/>
        </w:rPr>
      </w:pPr>
    </w:p>
    <w:p>
      <w:pPr>
        <w:ind w:firstLine="987"/>
        <w:spacing w:after="0" w:line="253" w:lineRule="auto"/>
        <w:tabs>
          <w:tab w:leader="none" w:pos="1256"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for purposes of clause “(iii)” of this </w:t>
      </w:r>
      <w:r>
        <w:rPr>
          <w:rFonts w:ascii="Arial" w:cs="Arial" w:eastAsia="Arial" w:hAnsi="Arial"/>
          <w:sz w:val="18"/>
          <w:szCs w:val="18"/>
          <w:u w:val="single" w:color="auto"/>
          <w:color w:val="auto"/>
        </w:rPr>
        <w:t>Section 8.3(d)</w:t>
      </w:r>
      <w:r>
        <w:rPr>
          <w:rFonts w:ascii="Arial" w:cs="Arial" w:eastAsia="Arial" w:hAnsi="Arial"/>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000"/>
          </w:cols>
          <w:pgMar w:left="440" w:top="274" w:right="459" w:bottom="1440" w:gutter="0" w:footer="0" w:header="0"/>
        </w:sectPr>
      </w:pPr>
    </w:p>
    <w:bookmarkStart w:id="89" w:name="page90"/>
    <w:bookmarkEnd w:id="89"/>
    <w:p>
      <w:pPr>
        <w:jc w:val="both"/>
        <w:ind w:right="2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4" w:lineRule="exact"/>
        <w:rPr>
          <w:sz w:val="20"/>
          <w:szCs w:val="20"/>
          <w:color w:val="auto"/>
        </w:rPr>
      </w:pPr>
    </w:p>
    <w:p>
      <w:pPr>
        <w:ind w:firstLine="987"/>
        <w:spacing w:after="0" w:line="255" w:lineRule="auto"/>
        <w:tabs>
          <w:tab w:leader="none" w:pos="1236" w:val="left"/>
        </w:tabs>
        <w:numPr>
          <w:ilvl w:val="0"/>
          <w:numId w:val="166"/>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(i) by Marvell pursuant to </w:t>
      </w:r>
      <w:r>
        <w:rPr>
          <w:rFonts w:ascii="Arial" w:cs="Arial" w:eastAsia="Arial" w:hAnsi="Arial"/>
          <w:sz w:val="18"/>
          <w:szCs w:val="18"/>
          <w:u w:val="single" w:color="auto"/>
          <w:color w:val="auto"/>
        </w:rPr>
        <w:t>Section 8.1(f)</w:t>
      </w:r>
      <w:r>
        <w:rPr>
          <w:rFonts w:ascii="Arial" w:cs="Arial" w:eastAsia="Arial" w:hAnsi="Arial"/>
          <w:sz w:val="18"/>
          <w:szCs w:val="18"/>
          <w:color w:val="auto"/>
        </w:rPr>
        <w:t xml:space="preserve">; (ii) by Marvell or the Company pursuant to any other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8.1(g)</w:t>
      </w:r>
      <w:r>
        <w:rPr>
          <w:rFonts w:ascii="Arial" w:cs="Arial" w:eastAsia="Arial" w:hAnsi="Arial"/>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Arial" w:cs="Arial" w:eastAsia="Arial" w:hAnsi="Arial"/>
          <w:sz w:val="18"/>
          <w:szCs w:val="18"/>
          <w:u w:val="single" w:color="auto"/>
          <w:color w:val="auto"/>
        </w:rPr>
        <w:t>Section 8.1(j)</w:t>
      </w:r>
      <w:r>
        <w:rPr>
          <w:rFonts w:ascii="Arial" w:cs="Arial" w:eastAsia="Arial" w:hAnsi="Arial"/>
          <w:sz w:val="18"/>
          <w:szCs w:val="18"/>
          <w:color w:val="auto"/>
        </w:rPr>
        <w:t>, then the Company shall pay to Marvell the Company Termination Fee in cash.</w:t>
      </w:r>
    </w:p>
    <w:p>
      <w:pPr>
        <w:spacing w:after="0" w:line="192" w:lineRule="exact"/>
        <w:rPr>
          <w:rFonts w:ascii="Arial" w:cs="Arial" w:eastAsia="Arial" w:hAnsi="Arial"/>
          <w:sz w:val="18"/>
          <w:szCs w:val="18"/>
          <w:b w:val="1"/>
          <w:bCs w:val="1"/>
          <w:color w:val="auto"/>
        </w:rPr>
      </w:pPr>
    </w:p>
    <w:p>
      <w:pPr>
        <w:ind w:right="200" w:firstLine="987"/>
        <w:spacing w:after="0" w:line="293" w:lineRule="auto"/>
        <w:tabs>
          <w:tab w:leader="none" w:pos="1216" w:val="left"/>
        </w:tabs>
        <w:numPr>
          <w:ilvl w:val="0"/>
          <w:numId w:val="166"/>
        </w:numPr>
        <w:rPr>
          <w:rFonts w:ascii="Arial" w:cs="Arial" w:eastAsia="Arial" w:hAnsi="Arial"/>
          <w:sz w:val="16"/>
          <w:szCs w:val="16"/>
          <w:b w:val="1"/>
          <w:bCs w:val="1"/>
          <w:color w:val="auto"/>
        </w:rPr>
      </w:pPr>
      <w:r>
        <w:rPr>
          <w:rFonts w:ascii="Arial" w:cs="Arial" w:eastAsia="Arial" w:hAnsi="Arial"/>
          <w:sz w:val="16"/>
          <w:szCs w:val="16"/>
          <w:color w:val="auto"/>
        </w:rPr>
        <w:t xml:space="preserve">If this Agreement is terminated: (i) by the Company pursuant to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(ii) by Marvell or the Company pursuant to any other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then Marvell shall pay to the Company a non-refundable fee in the amount of $400,000,000 (such non-refundable fee being referred to as the “</w:t>
      </w:r>
      <w:r>
        <w:rPr>
          <w:rFonts w:ascii="Arial" w:cs="Arial" w:eastAsia="Arial" w:hAnsi="Arial"/>
          <w:sz w:val="16"/>
          <w:szCs w:val="16"/>
          <w:u w:val="single" w:color="auto"/>
          <w:color w:val="auto"/>
        </w:rPr>
        <w:t>Marvell Termination Fee</w:t>
      </w:r>
      <w:r>
        <w:rPr>
          <w:rFonts w:ascii="Arial" w:cs="Arial" w:eastAsia="Arial" w:hAnsi="Arial"/>
          <w:sz w:val="16"/>
          <w:szCs w:val="16"/>
          <w:color w:val="auto"/>
        </w:rPr>
        <w:t>”) in cash.</w:t>
      </w:r>
    </w:p>
    <w:p>
      <w:pPr>
        <w:spacing w:after="0" w:line="164" w:lineRule="exact"/>
        <w:rPr>
          <w:rFonts w:ascii="Arial" w:cs="Arial" w:eastAsia="Arial" w:hAnsi="Arial"/>
          <w:sz w:val="16"/>
          <w:szCs w:val="16"/>
          <w:b w:val="1"/>
          <w:bCs w:val="1"/>
          <w:color w:val="auto"/>
        </w:rPr>
      </w:pPr>
    </w:p>
    <w:p>
      <w:pPr>
        <w:ind w:left="1240" w:hanging="253"/>
        <w:spacing w:after="0"/>
        <w:tabs>
          <w:tab w:leader="none" w:pos="1240" w:val="left"/>
        </w:tabs>
        <w:numPr>
          <w:ilvl w:val="0"/>
          <w:numId w:val="166"/>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(in the case of</w:t>
      </w:r>
    </w:p>
    <w:p>
      <w:pPr>
        <w:spacing w:after="0" w:line="23" w:lineRule="exact"/>
        <w:rPr>
          <w:sz w:val="20"/>
          <w:szCs w:val="20"/>
          <w:color w:val="auto"/>
        </w:rPr>
      </w:pPr>
    </w:p>
    <w:p>
      <w:pPr>
        <w:ind w:right="60"/>
        <w:spacing w:after="0" w:line="269" w:lineRule="auto"/>
        <w:rPr>
          <w:sz w:val="20"/>
          <w:szCs w:val="20"/>
          <w:color w:val="auto"/>
        </w:rPr>
      </w:pP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6.5</w:t>
      </w:r>
      <w:r>
        <w:rPr>
          <w:rFonts w:ascii="Arial" w:cs="Arial" w:eastAsia="Arial" w:hAnsi="Arial"/>
          <w:sz w:val="17"/>
          <w:szCs w:val="17"/>
          <w:color w:val="auto"/>
        </w:rPr>
        <w:t xml:space="preserve">, </w:t>
      </w:r>
      <w:r>
        <w:rPr>
          <w:rFonts w:ascii="Arial" w:cs="Arial" w:eastAsia="Arial" w:hAnsi="Arial"/>
          <w:sz w:val="17"/>
          <w:szCs w:val="17"/>
          <w:u w:val="single" w:color="auto"/>
          <w:color w:val="auto"/>
        </w:rPr>
        <w:t>6.7</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Designated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Designated Circumstance) shall have been satisfied or waived (it being understood that, for purposes of this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all references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Arial" w:cs="Arial" w:eastAsia="Arial" w:hAnsi="Arial"/>
          <w:sz w:val="17"/>
          <w:szCs w:val="17"/>
          <w:u w:val="single" w:color="auto"/>
          <w:color w:val="auto"/>
        </w:rPr>
        <w:t>Reverse Termination Fee</w:t>
      </w:r>
      <w:r>
        <w:rPr>
          <w:rFonts w:ascii="Arial" w:cs="Arial" w:eastAsia="Arial" w:hAnsi="Arial"/>
          <w:sz w:val="17"/>
          <w:szCs w:val="17"/>
          <w:color w:val="auto"/>
        </w:rPr>
        <w:t>”) in cash within two Business Days after the date of such termination.</w:t>
      </w:r>
    </w:p>
    <w:p>
      <w:pPr>
        <w:spacing w:after="0" w:line="180" w:lineRule="exact"/>
        <w:rPr>
          <w:sz w:val="20"/>
          <w:szCs w:val="20"/>
          <w:color w:val="auto"/>
        </w:rPr>
      </w:pPr>
    </w:p>
    <w:p>
      <w:pPr>
        <w:ind w:right="80" w:firstLine="987"/>
        <w:spacing w:after="0" w:line="289" w:lineRule="auto"/>
        <w:tabs>
          <w:tab w:leader="none" w:pos="1256" w:val="left"/>
        </w:tabs>
        <w:numPr>
          <w:ilvl w:val="0"/>
          <w:numId w:val="167"/>
        </w:numPr>
        <w:rPr>
          <w:rFonts w:ascii="Arial" w:cs="Arial" w:eastAsia="Arial" w:hAnsi="Arial"/>
          <w:sz w:val="16"/>
          <w:szCs w:val="16"/>
          <w:b w:val="1"/>
          <w:bCs w:val="1"/>
          <w:color w:val="auto"/>
        </w:rPr>
      </w:pPr>
      <w:r>
        <w:rPr>
          <w:rFonts w:ascii="Arial" w:cs="Arial" w:eastAsia="Arial" w:hAnsi="Arial"/>
          <w:sz w:val="16"/>
          <w:szCs w:val="16"/>
          <w:color w:val="auto"/>
        </w:rPr>
        <w:t xml:space="preserve">Any Company Termination Fee required to be paid to Marvell pursuant to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shall be paid by the Company contemporaneously with the earlier to occur of the consummation of, or entry into of a definitive agreement relating to, the Company Acquisition Transaction contemplated by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Any Company Termination Fee required to be paid to Marvell pursuant to </w:t>
      </w:r>
      <w:r>
        <w:rPr>
          <w:rFonts w:ascii="Arial" w:cs="Arial" w:eastAsia="Arial" w:hAnsi="Arial"/>
          <w:sz w:val="16"/>
          <w:szCs w:val="16"/>
          <w:u w:val="single" w:color="auto"/>
          <w:color w:val="auto"/>
        </w:rPr>
        <w:t>Section 8.3(e)</w:t>
      </w:r>
      <w:r>
        <w:rPr>
          <w:rFonts w:ascii="Arial" w:cs="Arial" w:eastAsia="Arial" w:hAnsi="Arial"/>
          <w:sz w:val="16"/>
          <w:szCs w:val="16"/>
          <w:color w:val="auto"/>
        </w:rPr>
        <w:t xml:space="preserve">, and any Company Expense Payment required to be made pursuant to clause “(i)” of </w:t>
      </w:r>
      <w:r>
        <w:rPr>
          <w:rFonts w:ascii="Arial" w:cs="Arial" w:eastAsia="Arial" w:hAnsi="Arial"/>
          <w:sz w:val="16"/>
          <w:szCs w:val="16"/>
          <w:u w:val="single" w:color="auto"/>
          <w:color w:val="auto"/>
        </w:rPr>
        <w:t>Section 8.3(b)</w:t>
      </w:r>
      <w:r>
        <w:rPr>
          <w:rFonts w:ascii="Arial" w:cs="Arial" w:eastAsia="Arial" w:hAnsi="Arial"/>
          <w:sz w:val="16"/>
          <w:szCs w:val="16"/>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Arial" w:cs="Arial" w:eastAsia="Arial" w:hAnsi="Arial"/>
          <w:sz w:val="16"/>
          <w:szCs w:val="16"/>
          <w:u w:val="single" w:color="auto"/>
          <w:color w:val="auto"/>
        </w:rPr>
        <w:t>Section 8.3(f)</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8.3(g)</w:t>
      </w:r>
      <w:r>
        <w:rPr>
          <w:rFonts w:ascii="Arial" w:cs="Arial" w:eastAsia="Arial" w:hAnsi="Arial"/>
          <w:sz w:val="16"/>
          <w:szCs w:val="16"/>
          <w:color w:val="auto"/>
        </w:rPr>
        <w:t xml:space="preserve">, respectively, and any Marvell Expense Payment required to be made pursuant to clause “(ii)” of </w:t>
      </w:r>
      <w:r>
        <w:rPr>
          <w:rFonts w:ascii="Arial" w:cs="Arial" w:eastAsia="Arial" w:hAnsi="Arial"/>
          <w:sz w:val="16"/>
          <w:szCs w:val="16"/>
          <w:u w:val="single" w:color="auto"/>
          <w:color w:val="auto"/>
        </w:rPr>
        <w:t>Section 8.3(b)</w:t>
      </w:r>
      <w:r>
        <w:rPr>
          <w:rFonts w:ascii="Arial" w:cs="Arial" w:eastAsia="Arial" w:hAnsi="Arial"/>
          <w:sz w:val="16"/>
          <w:szCs w:val="16"/>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66" w:lineRule="exact"/>
        <w:rPr>
          <w:rFonts w:ascii="Arial" w:cs="Arial" w:eastAsia="Arial" w:hAnsi="Arial"/>
          <w:sz w:val="16"/>
          <w:szCs w:val="16"/>
          <w:b w:val="1"/>
          <w:bCs w:val="1"/>
          <w:color w:val="auto"/>
        </w:rPr>
      </w:pPr>
    </w:p>
    <w:p>
      <w:pPr>
        <w:ind w:firstLine="987"/>
        <w:spacing w:after="0" w:line="311" w:lineRule="auto"/>
        <w:tabs>
          <w:tab w:leader="none" w:pos="1206" w:val="left"/>
        </w:tabs>
        <w:numPr>
          <w:ilvl w:val="0"/>
          <w:numId w:val="167"/>
        </w:numPr>
        <w:rPr>
          <w:rFonts w:ascii="Arial" w:cs="Arial" w:eastAsia="Arial" w:hAnsi="Arial"/>
          <w:sz w:val="16"/>
          <w:szCs w:val="16"/>
          <w:b w:val="1"/>
          <w:bCs w:val="1"/>
          <w:color w:val="auto"/>
        </w:rPr>
      </w:pPr>
      <w:r>
        <w:rPr>
          <w:rFonts w:ascii="Arial" w:cs="Arial" w:eastAsia="Arial" w:hAnsi="Arial"/>
          <w:sz w:val="16"/>
          <w:szCs w:val="16"/>
          <w:color w:val="auto"/>
        </w:rPr>
        <w:t xml:space="preserve">Each of the parties acknowledges and agrees that in no event shall the Company be required to pay the Company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000"/>
          </w:cols>
          <w:pgMar w:left="440" w:top="274" w:right="459" w:bottom="1440" w:gutter="0" w:footer="0" w:header="0"/>
        </w:sectPr>
      </w:pPr>
    </w:p>
    <w:bookmarkStart w:id="90" w:name="page91"/>
    <w:bookmarkEnd w:id="90"/>
    <w:p>
      <w:pPr>
        <w:ind w:left="4" w:hanging="4"/>
        <w:spacing w:after="0" w:line="283" w:lineRule="auto"/>
        <w:tabs>
          <w:tab w:leader="none" w:pos="219" w:val="left"/>
        </w:tabs>
        <w:numPr>
          <w:ilvl w:val="0"/>
          <w:numId w:val="16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pay both the Marvell Termination Fee and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or (ii) pay the Marvell Termination Fee or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Marvell’s right to receive the Company Expense Payment and the Company Termination Fee from the Company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(2) except in the case of fraud or a knowing and intentional breach of any of Marvell’s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Marvell Termination Fee,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(y) if both the Marvell Expense Payment and the Reverse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w:t>
      </w:r>
    </w:p>
    <w:p>
      <w:pPr>
        <w:spacing w:after="0" w:line="184" w:lineRule="exact"/>
        <w:rPr>
          <w:rFonts w:ascii="Arial" w:cs="Arial" w:eastAsia="Arial" w:hAnsi="Arial"/>
          <w:sz w:val="16"/>
          <w:szCs w:val="16"/>
          <w:color w:val="auto"/>
        </w:rPr>
      </w:pPr>
    </w:p>
    <w:p>
      <w:pPr>
        <w:ind w:left="4" w:right="20" w:firstLine="987"/>
        <w:spacing w:after="0" w:line="257" w:lineRule="auto"/>
        <w:tabs>
          <w:tab w:leader="none" w:pos="1220" w:val="left"/>
        </w:tabs>
        <w:numPr>
          <w:ilvl w:val="1"/>
          <w:numId w:val="168"/>
        </w:numPr>
        <w:rPr>
          <w:rFonts w:ascii="Arial" w:cs="Arial" w:eastAsia="Arial" w:hAnsi="Arial"/>
          <w:sz w:val="18"/>
          <w:szCs w:val="18"/>
          <w:b w:val="1"/>
          <w:bCs w:val="1"/>
          <w:color w:val="auto"/>
        </w:rPr>
      </w:pPr>
      <w:r>
        <w:rPr>
          <w:rFonts w:ascii="Arial" w:cs="Arial" w:eastAsia="Arial" w:hAnsi="Arial"/>
          <w:sz w:val="18"/>
          <w:szCs w:val="18"/>
          <w:color w:val="auto"/>
        </w:rPr>
        <w:t xml:space="preserve">If any Principal Party fails to pay when due any amount payable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004"/>
          </w:cols>
          <w:pgMar w:left="436" w:top="274" w:right="459" w:bottom="1440" w:gutter="0" w:footer="0" w:header="0"/>
        </w:sectPr>
      </w:pPr>
    </w:p>
    <w:bookmarkStart w:id="91" w:name="page92"/>
    <w:bookmarkEnd w:id="91"/>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per annum equal to the sum of the Prime Rate in effect on the date such overdue amount was originally required to be paid plus 500 basis points.</w:t>
      </w:r>
    </w:p>
    <w:p>
      <w:pPr>
        <w:spacing w:after="0" w:line="237" w:lineRule="exact"/>
        <w:rPr>
          <w:sz w:val="20"/>
          <w:szCs w:val="20"/>
          <w:color w:val="auto"/>
        </w:rPr>
      </w:pPr>
    </w:p>
    <w:p>
      <w:pPr>
        <w:ind w:left="1260" w:hanging="273"/>
        <w:spacing w:after="0"/>
        <w:tabs>
          <w:tab w:leader="none" w:pos="1260" w:val="left"/>
        </w:tabs>
        <w:numPr>
          <w:ilvl w:val="0"/>
          <w:numId w:val="169"/>
        </w:numPr>
        <w:rPr>
          <w:rFonts w:ascii="Arial" w:cs="Arial" w:eastAsia="Arial" w:hAnsi="Arial"/>
          <w:sz w:val="17"/>
          <w:szCs w:val="17"/>
          <w:b w:val="1"/>
          <w:bCs w:val="1"/>
          <w:color w:val="auto"/>
        </w:rPr>
      </w:pPr>
      <w:r>
        <w:rPr>
          <w:rFonts w:ascii="Arial" w:cs="Arial" w:eastAsia="Arial" w:hAnsi="Arial"/>
          <w:sz w:val="17"/>
          <w:szCs w:val="17"/>
          <w:color w:val="auto"/>
        </w:rPr>
        <w:t xml:space="preserve">Any fee or other amount payable pursuant to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shall be paid free and clear of all deductions and withholdings.</w:t>
      </w:r>
    </w:p>
    <w:p>
      <w:pPr>
        <w:spacing w:after="0" w:line="236" w:lineRule="exact"/>
        <w:rPr>
          <w:rFonts w:ascii="Arial" w:cs="Arial" w:eastAsia="Arial" w:hAnsi="Arial"/>
          <w:sz w:val="17"/>
          <w:szCs w:val="17"/>
          <w:b w:val="1"/>
          <w:bCs w:val="1"/>
          <w:color w:val="auto"/>
        </w:rPr>
      </w:pPr>
    </w:p>
    <w:p>
      <w:pPr>
        <w:ind w:right="20" w:firstLine="987"/>
        <w:spacing w:after="0" w:line="269" w:lineRule="auto"/>
        <w:tabs>
          <w:tab w:leader="none" w:pos="1206" w:val="left"/>
        </w:tabs>
        <w:numPr>
          <w:ilvl w:val="0"/>
          <w:numId w:val="169"/>
        </w:numPr>
        <w:rPr>
          <w:rFonts w:ascii="Arial" w:cs="Arial" w:eastAsia="Arial" w:hAnsi="Arial"/>
          <w:sz w:val="17"/>
          <w:szCs w:val="17"/>
          <w:b w:val="1"/>
          <w:bCs w:val="1"/>
          <w:color w:val="auto"/>
        </w:rPr>
      </w:pPr>
      <w:r>
        <w:rPr>
          <w:rFonts w:ascii="Arial" w:cs="Arial" w:eastAsia="Arial" w:hAnsi="Arial"/>
          <w:sz w:val="17"/>
          <w:szCs w:val="17"/>
          <w:color w:val="auto"/>
        </w:rPr>
        <w:t xml:space="preserve">For purposes of this </w:t>
      </w:r>
      <w:r>
        <w:rPr>
          <w:rFonts w:ascii="Arial" w:cs="Arial" w:eastAsia="Arial" w:hAnsi="Arial"/>
          <w:sz w:val="17"/>
          <w:szCs w:val="17"/>
          <w:u w:val="single" w:color="auto"/>
          <w:color w:val="auto"/>
        </w:rPr>
        <w:t>Section 8.3</w:t>
      </w:r>
      <w:r>
        <w:rPr>
          <w:rFonts w:ascii="Arial" w:cs="Arial" w:eastAsia="Arial" w:hAnsi="Arial"/>
          <w:sz w:val="17"/>
          <w:szCs w:val="17"/>
          <w:color w:val="auto"/>
        </w:rPr>
        <w:t>: (i) “</w:t>
      </w:r>
      <w:r>
        <w:rPr>
          <w:rFonts w:ascii="Arial" w:cs="Arial" w:eastAsia="Arial" w:hAnsi="Arial"/>
          <w:sz w:val="17"/>
          <w:szCs w:val="17"/>
          <w:u w:val="single" w:color="auto"/>
          <w:color w:val="auto"/>
        </w:rPr>
        <w:t>Company Expense Payment</w:t>
      </w:r>
      <w:r>
        <w:rPr>
          <w:rFonts w:ascii="Arial" w:cs="Arial" w:eastAsia="Arial" w:hAnsi="Arial"/>
          <w:sz w:val="17"/>
          <w:szCs w:val="17"/>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Arial" w:cs="Arial" w:eastAsia="Arial" w:hAnsi="Arial"/>
          <w:sz w:val="17"/>
          <w:szCs w:val="17"/>
          <w:u w:val="single" w:color="auto"/>
          <w:color w:val="auto"/>
        </w:rPr>
        <w:t>Marvell Expense Payment</w:t>
      </w:r>
      <w:r>
        <w:rPr>
          <w:rFonts w:ascii="Arial" w:cs="Arial" w:eastAsia="Arial" w:hAnsi="Arial"/>
          <w:sz w:val="17"/>
          <w:szCs w:val="17"/>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9</w:t>
      </w:r>
      <w:r>
        <w:rPr>
          <w:rFonts w:ascii="Arial" w:cs="Arial" w:eastAsia="Arial" w:hAnsi="Arial"/>
          <w:sz w:val="18"/>
          <w:szCs w:val="18"/>
          <w:color w:val="auto"/>
        </w:rPr>
        <w:t>.</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ROVISIONS</w:t>
      </w:r>
    </w:p>
    <w:p>
      <w:pPr>
        <w:spacing w:after="0" w:line="225" w:lineRule="exact"/>
        <w:rPr>
          <w:sz w:val="20"/>
          <w:szCs w:val="20"/>
          <w:color w:val="auto"/>
        </w:rPr>
      </w:pPr>
    </w:p>
    <w:p>
      <w:pPr>
        <w:ind w:firstLine="440"/>
        <w:spacing w:after="0" w:line="289" w:lineRule="auto"/>
        <w:rPr>
          <w:sz w:val="20"/>
          <w:szCs w:val="20"/>
          <w:color w:val="auto"/>
        </w:rPr>
      </w:pPr>
      <w:r>
        <w:rPr>
          <w:rFonts w:ascii="Arial" w:cs="Arial" w:eastAsia="Arial" w:hAnsi="Arial"/>
          <w:sz w:val="16"/>
          <w:szCs w:val="16"/>
          <w:b w:val="1"/>
          <w:bCs w:val="1"/>
          <w:color w:val="auto"/>
        </w:rPr>
        <w:t>9.1 Amendment</w:t>
      </w:r>
      <w:r>
        <w:rPr>
          <w:rFonts w:ascii="Arial" w:cs="Arial" w:eastAsia="Arial" w:hAnsi="Arial"/>
          <w:sz w:val="16"/>
          <w:szCs w:val="16"/>
          <w:color w:val="auto"/>
        </w:rPr>
        <w:t>. This Agreement may be amended by the Company and Marvell at any time (whether before or after the adoption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Agreement by the Company’s stockholders and whether before or after approval of the Marvell Merger Proposal by Marvell’s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Arial" w:cs="Arial" w:eastAsia="Arial" w:hAnsi="Arial"/>
          <w:sz w:val="16"/>
          <w:szCs w:val="16"/>
          <w:u w:val="single" w:color="auto"/>
          <w:color w:val="auto"/>
        </w:rPr>
        <w:t>Sections 9.5(b)</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the last sentence of </w:t>
      </w:r>
      <w:r>
        <w:rPr>
          <w:rFonts w:ascii="Arial" w:cs="Arial" w:eastAsia="Arial" w:hAnsi="Arial"/>
          <w:sz w:val="16"/>
          <w:szCs w:val="16"/>
          <w:u w:val="single" w:color="auto"/>
          <w:color w:val="auto"/>
        </w:rPr>
        <w:t>Section 9.11</w:t>
      </w:r>
      <w:r>
        <w:rPr>
          <w:rFonts w:ascii="Arial" w:cs="Arial" w:eastAsia="Arial" w:hAnsi="Arial"/>
          <w:sz w:val="16"/>
          <w:szCs w:val="16"/>
          <w:color w:val="auto"/>
        </w:rPr>
        <w:t xml:space="preserve">, clause “(b)” of </w:t>
      </w:r>
      <w:r>
        <w:rPr>
          <w:rFonts w:ascii="Arial" w:cs="Arial" w:eastAsia="Arial" w:hAnsi="Arial"/>
          <w:sz w:val="16"/>
          <w:szCs w:val="16"/>
          <w:u w:val="single" w:color="auto"/>
          <w:color w:val="auto"/>
        </w:rPr>
        <w:t>Section 9.7</w:t>
      </w:r>
      <w:r>
        <w:rPr>
          <w:rFonts w:ascii="Arial" w:cs="Arial" w:eastAsia="Arial" w:hAnsi="Arial"/>
          <w:sz w:val="16"/>
          <w:szCs w:val="16"/>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61"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9.2 Waiver</w:t>
      </w:r>
      <w:r>
        <w:rPr>
          <w:rFonts w:ascii="Arial" w:cs="Arial" w:eastAsia="Arial" w:hAnsi="Arial"/>
          <w:sz w:val="18"/>
          <w:szCs w:val="18"/>
          <w:color w:val="auto"/>
        </w:rPr>
        <w:t>.</w:t>
      </w:r>
    </w:p>
    <w:p>
      <w:pPr>
        <w:spacing w:after="0" w:line="229" w:lineRule="exact"/>
        <w:rPr>
          <w:sz w:val="20"/>
          <w:szCs w:val="20"/>
          <w:color w:val="auto"/>
        </w:rPr>
      </w:pPr>
    </w:p>
    <w:p>
      <w:pPr>
        <w:jc w:val="both"/>
        <w:ind w:right="80" w:firstLine="987"/>
        <w:spacing w:after="0" w:line="259" w:lineRule="auto"/>
        <w:tabs>
          <w:tab w:leader="none" w:pos="1246" w:val="left"/>
        </w:tabs>
        <w:numPr>
          <w:ilvl w:val="0"/>
          <w:numId w:val="170"/>
        </w:numPr>
        <w:rPr>
          <w:rFonts w:ascii="Arial" w:cs="Arial" w:eastAsia="Arial" w:hAnsi="Arial"/>
          <w:sz w:val="18"/>
          <w:szCs w:val="18"/>
          <w:b w:val="1"/>
          <w:bCs w:val="1"/>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b w:val="1"/>
          <w:bCs w:val="1"/>
          <w:color w:val="auto"/>
        </w:rPr>
      </w:pPr>
    </w:p>
    <w:p>
      <w:pPr>
        <w:jc w:val="both"/>
        <w:ind w:right="100" w:firstLine="987"/>
        <w:spacing w:after="0" w:line="311" w:lineRule="auto"/>
        <w:tabs>
          <w:tab w:leader="none" w:pos="1256" w:val="left"/>
        </w:tabs>
        <w:numPr>
          <w:ilvl w:val="0"/>
          <w:numId w:val="170"/>
        </w:numPr>
        <w:rPr>
          <w:rFonts w:ascii="Arial" w:cs="Arial" w:eastAsia="Arial" w:hAnsi="Arial"/>
          <w:sz w:val="16"/>
          <w:szCs w:val="16"/>
          <w:b w:val="1"/>
          <w:bCs w:val="1"/>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000"/>
          </w:cols>
          <w:pgMar w:left="440" w:top="274" w:right="459" w:bottom="1440" w:gutter="0" w:footer="0" w:header="0"/>
        </w:sectPr>
      </w:pPr>
    </w:p>
    <w:bookmarkStart w:id="92" w:name="page93"/>
    <w:bookmarkEnd w:id="92"/>
    <w:p>
      <w:pPr>
        <w:ind w:left="4" w:right="740" w:firstLine="44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9.3 No Survival of Representations and Warranties</w:t>
      </w:r>
      <w:r>
        <w:rPr>
          <w:rFonts w:ascii="Arial" w:cs="Arial" w:eastAsia="Arial" w:hAnsi="Arial"/>
          <w:sz w:val="18"/>
          <w:szCs w:val="18"/>
          <w:color w:val="auto"/>
        </w:rPr>
        <w:t>. 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Mergers.</w:t>
      </w:r>
    </w:p>
    <w:p>
      <w:pPr>
        <w:spacing w:after="0" w:line="162" w:lineRule="exact"/>
        <w:rPr>
          <w:sz w:val="20"/>
          <w:szCs w:val="20"/>
          <w:color w:val="auto"/>
        </w:rPr>
      </w:pPr>
    </w:p>
    <w:p>
      <w:pPr>
        <w:ind w:left="4" w:right="20" w:firstLine="440"/>
        <w:spacing w:after="0" w:line="271" w:lineRule="auto"/>
        <w:rPr>
          <w:sz w:val="20"/>
          <w:szCs w:val="20"/>
          <w:color w:val="auto"/>
        </w:rPr>
      </w:pPr>
      <w:r>
        <w:rPr>
          <w:rFonts w:ascii="Arial" w:cs="Arial" w:eastAsia="Arial" w:hAnsi="Arial"/>
          <w:sz w:val="17"/>
          <w:szCs w:val="17"/>
          <w:b w:val="1"/>
          <w:bCs w:val="1"/>
          <w:color w:val="auto"/>
        </w:rPr>
        <w:t>9.4 Entire Agreement; Counterparts; Exchanges by Facsimile or Electronic Delivery</w:t>
      </w:r>
      <w:r>
        <w:rPr>
          <w:rFonts w:ascii="Arial" w:cs="Arial" w:eastAsia="Arial" w:hAnsi="Arial"/>
          <w:sz w:val="17"/>
          <w:szCs w:val="17"/>
          <w:color w:val="auto"/>
        </w:rPr>
        <w:t>. This Agreement (including all Exhibits hereto),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Disclosure Schedule, the Marvell Disclosure Schedule and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provisions of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73" w:lineRule="exact"/>
        <w:rPr>
          <w:sz w:val="20"/>
          <w:szCs w:val="20"/>
          <w:color w:val="auto"/>
        </w:rPr>
      </w:pPr>
    </w:p>
    <w:p>
      <w:pPr>
        <w:ind w:left="444"/>
        <w:spacing w:after="0"/>
        <w:rPr>
          <w:sz w:val="20"/>
          <w:szCs w:val="20"/>
          <w:color w:val="auto"/>
        </w:rPr>
      </w:pPr>
      <w:r>
        <w:rPr>
          <w:rFonts w:ascii="Arial" w:cs="Arial" w:eastAsia="Arial" w:hAnsi="Arial"/>
          <w:sz w:val="18"/>
          <w:szCs w:val="18"/>
          <w:b w:val="1"/>
          <w:bCs w:val="1"/>
          <w:color w:val="auto"/>
        </w:rPr>
        <w:t>9.5 Applicable Law; Jurisdiction; Waiver of Jury Trial</w:t>
      </w:r>
      <w:r>
        <w:rPr>
          <w:rFonts w:ascii="Arial" w:cs="Arial" w:eastAsia="Arial" w:hAnsi="Arial"/>
          <w:sz w:val="18"/>
          <w:szCs w:val="18"/>
          <w:color w:val="auto"/>
        </w:rPr>
        <w:t>.</w:t>
      </w:r>
    </w:p>
    <w:p>
      <w:pPr>
        <w:spacing w:after="0" w:line="229" w:lineRule="exact"/>
        <w:rPr>
          <w:sz w:val="20"/>
          <w:szCs w:val="20"/>
          <w:color w:val="auto"/>
        </w:rPr>
      </w:pPr>
    </w:p>
    <w:p>
      <w:pPr>
        <w:ind w:left="4" w:firstLine="987"/>
        <w:spacing w:after="0" w:line="284" w:lineRule="auto"/>
        <w:tabs>
          <w:tab w:leader="none" w:pos="1250" w:val="left"/>
        </w:tabs>
        <w:numPr>
          <w:ilvl w:val="1"/>
          <w:numId w:val="171"/>
        </w:numPr>
        <w:rPr>
          <w:rFonts w:ascii="Arial" w:cs="Arial" w:eastAsia="Arial" w:hAnsi="Arial"/>
          <w:sz w:val="16"/>
          <w:szCs w:val="16"/>
          <w:b w:val="1"/>
          <w:bCs w:val="1"/>
          <w:color w:val="auto"/>
        </w:rPr>
      </w:pPr>
      <w:r>
        <w:rPr>
          <w:rFonts w:ascii="Arial" w:cs="Arial" w:eastAsia="Arial" w:hAnsi="Arial"/>
          <w:sz w:val="16"/>
          <w:szCs w:val="16"/>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4" w:right="160" w:hanging="4"/>
        <w:spacing w:after="0" w:line="260" w:lineRule="auto"/>
        <w:tabs>
          <w:tab w:leader="none" w:pos="319" w:val="left"/>
        </w:tabs>
        <w:numPr>
          <w:ilvl w:val="0"/>
          <w:numId w:val="172"/>
        </w:numPr>
        <w:rPr>
          <w:rFonts w:ascii="Arial" w:cs="Arial" w:eastAsia="Arial" w:hAnsi="Arial"/>
          <w:sz w:val="18"/>
          <w:szCs w:val="18"/>
          <w:color w:val="auto"/>
        </w:rPr>
      </w:pPr>
      <w:r>
        <w:rPr>
          <w:rFonts w:ascii="Arial" w:cs="Arial" w:eastAsia="Arial" w:hAnsi="Arial"/>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Arial" w:cs="Arial" w:eastAsia="Arial" w:hAnsi="Arial"/>
          <w:sz w:val="18"/>
          <w:szCs w:val="18"/>
          <w:u w:val="single" w:color="auto"/>
          <w:color w:val="auto"/>
        </w:rPr>
        <w:t>Section 9.8</w:t>
      </w:r>
      <w:r>
        <w:rPr>
          <w:rFonts w:ascii="Arial" w:cs="Arial" w:eastAsia="Arial" w:hAnsi="Arial"/>
          <w:sz w:val="18"/>
          <w:szCs w:val="18"/>
          <w:color w:val="auto"/>
        </w:rPr>
        <w:t xml:space="preserve"> shall be effective service of process for any such action.</w:t>
      </w:r>
    </w:p>
    <w:p>
      <w:pPr>
        <w:spacing w:after="0" w:line="185" w:lineRule="exact"/>
        <w:rPr>
          <w:rFonts w:ascii="Arial" w:cs="Arial" w:eastAsia="Arial" w:hAnsi="Arial"/>
          <w:sz w:val="18"/>
          <w:szCs w:val="18"/>
          <w:color w:val="auto"/>
        </w:rPr>
      </w:pPr>
    </w:p>
    <w:p>
      <w:pPr>
        <w:ind w:left="4" w:right="20" w:firstLine="987"/>
        <w:spacing w:after="0" w:line="289" w:lineRule="auto"/>
        <w:tabs>
          <w:tab w:leader="none" w:pos="1260" w:val="left"/>
        </w:tabs>
        <w:numPr>
          <w:ilvl w:val="1"/>
          <w:numId w:val="172"/>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9.5(c)</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b w:val="1"/>
          <w:bCs w:val="1"/>
          <w:color w:val="auto"/>
        </w:rPr>
      </w:pPr>
    </w:p>
    <w:p>
      <w:pPr>
        <w:ind w:left="4" w:right="20" w:firstLine="987"/>
        <w:spacing w:after="0" w:line="257" w:lineRule="auto"/>
        <w:tabs>
          <w:tab w:leader="none" w:pos="1240" w:val="left"/>
        </w:tabs>
        <w:numPr>
          <w:ilvl w:val="1"/>
          <w:numId w:val="172"/>
        </w:numPr>
        <w:rPr>
          <w:rFonts w:ascii="Arial" w:cs="Arial" w:eastAsia="Arial" w:hAnsi="Arial"/>
          <w:sz w:val="18"/>
          <w:szCs w:val="18"/>
          <w:b w:val="1"/>
          <w:bCs w:val="1"/>
          <w:color w:val="auto"/>
        </w:rPr>
      </w:pPr>
      <w:r>
        <w:rPr>
          <w:rFonts w:ascii="Arial" w:cs="Arial" w:eastAsia="Arial" w:hAnsi="Arial"/>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024"/>
          </w:cols>
          <w:pgMar w:left="436" w:top="270" w:right="439" w:bottom="1440" w:gutter="0" w:footer="0" w:header="0"/>
        </w:sectPr>
      </w:pPr>
    </w:p>
    <w:bookmarkStart w:id="93" w:name="page94"/>
    <w:bookmarkEnd w:id="93"/>
    <w:p>
      <w:pPr>
        <w:ind w:right="2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Arial" w:cs="Arial" w:eastAsia="Arial" w:hAnsi="Arial"/>
          <w:sz w:val="18"/>
          <w:szCs w:val="18"/>
          <w:u w:val="single" w:color="auto"/>
          <w:color w:val="auto"/>
        </w:rPr>
        <w:t>SECTION 9.5</w:t>
      </w:r>
      <w:r>
        <w:rPr>
          <w:rFonts w:ascii="Arial" w:cs="Arial" w:eastAsia="Arial" w:hAnsi="Arial"/>
          <w:sz w:val="18"/>
          <w:szCs w:val="18"/>
          <w:color w:val="auto"/>
        </w:rPr>
        <w:t>.</w:t>
      </w:r>
    </w:p>
    <w:p>
      <w:pPr>
        <w:spacing w:after="0" w:line="188" w:lineRule="exact"/>
        <w:rPr>
          <w:sz w:val="20"/>
          <w:szCs w:val="20"/>
          <w:color w:val="auto"/>
        </w:rPr>
      </w:pPr>
    </w:p>
    <w:p>
      <w:pPr>
        <w:ind w:right="20" w:firstLine="440"/>
        <w:spacing w:after="0" w:line="288" w:lineRule="auto"/>
        <w:rPr>
          <w:sz w:val="20"/>
          <w:szCs w:val="20"/>
          <w:color w:val="auto"/>
        </w:rPr>
      </w:pPr>
      <w:r>
        <w:rPr>
          <w:rFonts w:ascii="Arial" w:cs="Arial" w:eastAsia="Arial" w:hAnsi="Arial"/>
          <w:sz w:val="16"/>
          <w:szCs w:val="16"/>
          <w:b w:val="1"/>
          <w:bCs w:val="1"/>
          <w:color w:val="auto"/>
        </w:rPr>
        <w:t>9.6 Disclosure Schedules</w:t>
      </w:r>
      <w:r>
        <w:rPr>
          <w:rFonts w:ascii="Arial" w:cs="Arial" w:eastAsia="Arial" w:hAnsi="Arial"/>
          <w:sz w:val="16"/>
          <w:szCs w:val="16"/>
          <w:color w:val="auto"/>
        </w:rPr>
        <w:t>. 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63" w:lineRule="exact"/>
        <w:rPr>
          <w:sz w:val="20"/>
          <w:szCs w:val="20"/>
          <w:color w:val="auto"/>
        </w:rPr>
      </w:pPr>
    </w:p>
    <w:p>
      <w:pPr>
        <w:ind w:firstLine="440"/>
        <w:spacing w:after="0" w:line="268" w:lineRule="auto"/>
        <w:rPr>
          <w:sz w:val="20"/>
          <w:szCs w:val="20"/>
          <w:color w:val="auto"/>
        </w:rPr>
      </w:pPr>
      <w:r>
        <w:rPr>
          <w:rFonts w:ascii="Arial" w:cs="Arial" w:eastAsia="Arial" w:hAnsi="Arial"/>
          <w:sz w:val="17"/>
          <w:szCs w:val="17"/>
          <w:b w:val="1"/>
          <w:bCs w:val="1"/>
          <w:color w:val="auto"/>
        </w:rPr>
        <w:t>9.7 Assignability; No Third-Party Beneficiaries</w:t>
      </w:r>
      <w:r>
        <w:rPr>
          <w:rFonts w:ascii="Arial" w:cs="Arial" w:eastAsia="Arial" w:hAnsi="Arial"/>
          <w:sz w:val="17"/>
          <w:szCs w:val="17"/>
          <w:color w:val="auto"/>
        </w:rPr>
        <w:t>. This Agreement shall be binding upon, and shall be enforceable by and inure solely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benefit of, the parties hereto and their respective successors and permitted assigns;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(ii) the Financing Sources and the Financing Source Related Parties shall be third-party beneficiaries of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Sections 9.5(b)</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9.5(c)</w:t>
      </w:r>
      <w:r>
        <w:rPr>
          <w:rFonts w:ascii="Arial" w:cs="Arial" w:eastAsia="Arial" w:hAnsi="Arial"/>
          <w:sz w:val="17"/>
          <w:szCs w:val="17"/>
          <w:color w:val="auto"/>
        </w:rPr>
        <w:t xml:space="preserve">, this sentence and the last sentence of </w:t>
      </w:r>
      <w:r>
        <w:rPr>
          <w:rFonts w:ascii="Arial" w:cs="Arial" w:eastAsia="Arial" w:hAnsi="Arial"/>
          <w:sz w:val="17"/>
          <w:szCs w:val="17"/>
          <w:u w:val="single" w:color="auto"/>
          <w:color w:val="auto"/>
        </w:rPr>
        <w:t>Section 9.11</w:t>
      </w:r>
      <w:r>
        <w:rPr>
          <w:rFonts w:ascii="Arial" w:cs="Arial" w:eastAsia="Arial" w:hAnsi="Arial"/>
          <w:sz w:val="17"/>
          <w:szCs w:val="17"/>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80" w:lineRule="exact"/>
        <w:rPr>
          <w:sz w:val="20"/>
          <w:szCs w:val="20"/>
          <w:color w:val="auto"/>
        </w:rPr>
      </w:pPr>
    </w:p>
    <w:p>
      <w:pPr>
        <w:ind w:right="220" w:firstLine="440"/>
        <w:spacing w:after="0" w:line="281" w:lineRule="auto"/>
        <w:rPr>
          <w:sz w:val="20"/>
          <w:szCs w:val="20"/>
          <w:color w:val="auto"/>
        </w:rPr>
      </w:pPr>
      <w:r>
        <w:rPr>
          <w:rFonts w:ascii="Arial" w:cs="Arial" w:eastAsia="Arial" w:hAnsi="Arial"/>
          <w:sz w:val="17"/>
          <w:szCs w:val="17"/>
          <w:b w:val="1"/>
          <w:bCs w:val="1"/>
          <w:color w:val="auto"/>
        </w:rPr>
        <w:t>9.8 Notices</w:t>
      </w:r>
      <w:r>
        <w:rPr>
          <w:rFonts w:ascii="Arial" w:cs="Arial" w:eastAsia="Arial" w:hAnsi="Arial"/>
          <w:sz w:val="17"/>
          <w:szCs w:val="17"/>
          <w:color w:val="auto"/>
        </w:rPr>
        <w:t>. Each notice, request, demand or other communication under this Agreement shall be in writing and shall be deemed to have been</w:t>
      </w:r>
      <w:r>
        <w:rPr>
          <w:rFonts w:ascii="Arial" w:cs="Arial" w:eastAsia="Arial" w:hAnsi="Arial"/>
          <w:sz w:val="17"/>
          <w:szCs w:val="17"/>
          <w:b w:val="1"/>
          <w:bCs w:val="1"/>
          <w:color w:val="auto"/>
        </w:rPr>
        <w:t xml:space="preserve"> </w:t>
      </w:r>
      <w:r>
        <w:rPr>
          <w:rFonts w:ascii="Arial" w:cs="Arial" w:eastAsia="Arial" w:hAnsi="Arial"/>
          <w:sz w:val="17"/>
          <w:szCs w:val="17"/>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020"/>
          </w:cols>
          <w:pgMar w:left="440" w:top="274" w:right="439" w:bottom="1440" w:gutter="0" w:footer="0" w:header="0"/>
        </w:sectPr>
      </w:pPr>
    </w:p>
    <w:bookmarkStart w:id="94" w:name="page95"/>
    <w:bookmarkEnd w:id="94"/>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8"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if to Marvell, HoldCo, Delaware Merger Sub or Bermuda Merger Sub:</w:t>
      </w:r>
    </w:p>
    <w:p>
      <w:pPr>
        <w:spacing w:after="0" w:line="117"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Victoria Place, 5th Floor</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31 Victoria Street</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Hamilton HM 10, Bermuda</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Attention: General Manager</w:t>
      </w:r>
    </w:p>
    <w:p>
      <w:pPr>
        <w:spacing w:after="0" w:line="9" w:lineRule="exact"/>
        <w:rPr>
          <w:sz w:val="20"/>
          <w:szCs w:val="20"/>
          <w:color w:val="auto"/>
        </w:rPr>
      </w:pPr>
    </w:p>
    <w:p>
      <w:pPr>
        <w:ind w:left="1980"/>
        <w:spacing w:after="0"/>
        <w:tabs>
          <w:tab w:leader="none" w:pos="276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legalnotices@marvell.com</w:t>
      </w:r>
    </w:p>
    <w:p>
      <w:pPr>
        <w:spacing w:after="0" w:line="21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Attention: Chief Administration and Legal Officer</w:t>
      </w:r>
    </w:p>
    <w:p>
      <w:pPr>
        <w:spacing w:after="0" w:line="9" w:lineRule="exact"/>
        <w:rPr>
          <w:sz w:val="20"/>
          <w:szCs w:val="20"/>
          <w:color w:val="auto"/>
        </w:rPr>
      </w:pPr>
    </w:p>
    <w:p>
      <w:pPr>
        <w:ind w:left="1980"/>
        <w:spacing w:after="0"/>
        <w:tabs>
          <w:tab w:leader="none" w:pos="276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mgaynor@marvell.com</w:t>
      </w:r>
    </w:p>
    <w:p>
      <w:pPr>
        <w:spacing w:after="0" w:line="10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and:</w:t>
      </w:r>
    </w:p>
    <w:p>
      <w:pPr>
        <w:spacing w:after="0" w:line="117"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Attention: Richard E. Climan</w:t>
      </w:r>
    </w:p>
    <w:p>
      <w:pPr>
        <w:spacing w:after="0" w:line="9" w:lineRule="exact"/>
        <w:rPr>
          <w:sz w:val="20"/>
          <w:szCs w:val="20"/>
          <w:color w:val="auto"/>
        </w:rPr>
      </w:pPr>
    </w:p>
    <w:p>
      <w:pPr>
        <w:ind w:left="276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Facsimile: (650) 463-4199</w:t>
      </w:r>
    </w:p>
    <w:p>
      <w:pPr>
        <w:spacing w:after="0" w:line="9" w:lineRule="exact"/>
        <w:rPr>
          <w:sz w:val="20"/>
          <w:szCs w:val="20"/>
          <w:color w:val="auto"/>
        </w:rPr>
      </w:pPr>
    </w:p>
    <w:p>
      <w:pPr>
        <w:ind w:left="1980"/>
        <w:spacing w:after="0"/>
        <w:tabs>
          <w:tab w:leader="none" w:pos="276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richard.climan@hoganlovells.com</w:t>
      </w:r>
    </w:p>
    <w:p>
      <w:pPr>
        <w:spacing w:after="0" w:line="9" w:lineRule="exact"/>
        <w:rPr>
          <w:sz w:val="20"/>
          <w:szCs w:val="20"/>
          <w:color w:val="auto"/>
        </w:rPr>
      </w:pPr>
    </w:p>
    <w:p>
      <w:pPr>
        <w:ind w:left="2760"/>
        <w:spacing w:after="0"/>
        <w:rPr>
          <w:sz w:val="20"/>
          <w:szCs w:val="20"/>
          <w:color w:val="auto"/>
        </w:rPr>
      </w:pPr>
      <w:r>
        <w:rPr>
          <w:rFonts w:ascii="Arial" w:cs="Arial" w:eastAsia="Arial" w:hAnsi="Arial"/>
          <w:sz w:val="18"/>
          <w:szCs w:val="18"/>
          <w:color w:val="auto"/>
        </w:rPr>
        <w:t>christopher.moore@hoganlovells.com</w:t>
      </w:r>
    </w:p>
    <w:p>
      <w:pPr>
        <w:spacing w:after="0" w:line="21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if to the Company:</w:t>
      </w:r>
    </w:p>
    <w:p>
      <w:pPr>
        <w:spacing w:after="0" w:line="117"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Attention: Richard Ogawa</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Facsimile: (408) 217-7351</w:t>
      </w:r>
    </w:p>
    <w:p>
      <w:pPr>
        <w:spacing w:after="0" w:line="9" w:lineRule="exact"/>
        <w:rPr>
          <w:sz w:val="20"/>
          <w:szCs w:val="20"/>
          <w:color w:val="auto"/>
        </w:rPr>
      </w:pPr>
    </w:p>
    <w:p>
      <w:pPr>
        <w:ind w:left="1980"/>
        <w:spacing w:after="0"/>
        <w:tabs>
          <w:tab w:leader="none" w:pos="276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rogawa@inphi.com</w:t>
      </w:r>
    </w:p>
    <w:p>
      <w:pPr>
        <w:spacing w:after="0" w:line="21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Pillsbury Winthrop Shaw Pittman LLP</w:t>
      </w:r>
    </w:p>
    <w:p>
      <w:pPr>
        <w:spacing w:after="0" w:line="23"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2550 Hanover Street</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Palo Alto, CA 94304</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Attention: Allison M. Leopold Tilley</w:t>
      </w:r>
    </w:p>
    <w:p>
      <w:pPr>
        <w:spacing w:after="0" w:line="9" w:lineRule="exact"/>
        <w:rPr>
          <w:sz w:val="20"/>
          <w:szCs w:val="20"/>
          <w:color w:val="auto"/>
        </w:rPr>
      </w:pPr>
    </w:p>
    <w:p>
      <w:pPr>
        <w:ind w:left="2980"/>
        <w:spacing w:after="0"/>
        <w:rPr>
          <w:sz w:val="20"/>
          <w:szCs w:val="20"/>
          <w:color w:val="auto"/>
        </w:rPr>
      </w:pPr>
      <w:r>
        <w:rPr>
          <w:rFonts w:ascii="Arial" w:cs="Arial" w:eastAsia="Arial" w:hAnsi="Arial"/>
          <w:sz w:val="18"/>
          <w:szCs w:val="18"/>
          <w:color w:val="auto"/>
        </w:rPr>
        <w:t>Christina F. Pearson</w:t>
      </w:r>
    </w:p>
    <w:p>
      <w:pPr>
        <w:spacing w:after="0" w:line="9"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Facsimile: (650) 388-3768</w:t>
      </w:r>
    </w:p>
    <w:p>
      <w:pPr>
        <w:spacing w:after="0" w:line="9" w:lineRule="exact"/>
        <w:rPr>
          <w:sz w:val="20"/>
          <w:szCs w:val="20"/>
          <w:color w:val="auto"/>
        </w:rPr>
      </w:pPr>
    </w:p>
    <w:p>
      <w:pPr>
        <w:ind w:left="1980"/>
        <w:spacing w:after="0"/>
        <w:tabs>
          <w:tab w:leader="none" w:pos="276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allison@pillsburylaw.com</w:t>
      </w:r>
    </w:p>
    <w:p>
      <w:pPr>
        <w:spacing w:after="0" w:line="9" w:lineRule="exact"/>
        <w:rPr>
          <w:sz w:val="20"/>
          <w:szCs w:val="20"/>
          <w:color w:val="auto"/>
        </w:rPr>
      </w:pPr>
    </w:p>
    <w:p>
      <w:pPr>
        <w:ind w:left="2760"/>
        <w:spacing w:after="0"/>
        <w:rPr>
          <w:sz w:val="20"/>
          <w:szCs w:val="20"/>
          <w:color w:val="auto"/>
        </w:rPr>
      </w:pPr>
      <w:r>
        <w:rPr>
          <w:rFonts w:ascii="Arial" w:cs="Arial" w:eastAsia="Arial" w:hAnsi="Arial"/>
          <w:sz w:val="18"/>
          <w:szCs w:val="18"/>
          <w:color w:val="auto"/>
        </w:rPr>
        <w:t>christina.pearson@pillsburylaw.com</w:t>
      </w:r>
    </w:p>
    <w:p>
      <w:pPr>
        <w:spacing w:after="0" w:line="14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0980"/>
          </w:cols>
          <w:pgMar w:left="440" w:top="274" w:right="479" w:bottom="1440" w:gutter="0" w:footer="0" w:header="0"/>
        </w:sectPr>
      </w:pPr>
    </w:p>
    <w:bookmarkStart w:id="95" w:name="page96"/>
    <w:bookmarkEnd w:id="95"/>
    <w:p>
      <w:pPr>
        <w:ind w:right="40" w:firstLine="44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9.9 Cooperation</w:t>
      </w:r>
      <w:r>
        <w:rPr>
          <w:rFonts w:ascii="Arial" w:cs="Arial" w:eastAsia="Arial" w:hAnsi="Arial"/>
          <w:sz w:val="18"/>
          <w:szCs w:val="18"/>
          <w:color w:val="auto"/>
        </w:rPr>
        <w:t>. Each Principal Party agrees to cooperate with the other Principal Party and to execute and deliver such further documents,</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6" w:lineRule="exact"/>
        <w:rPr>
          <w:sz w:val="20"/>
          <w:szCs w:val="20"/>
          <w:color w:val="auto"/>
        </w:rPr>
      </w:pPr>
    </w:p>
    <w:p>
      <w:pPr>
        <w:ind w:right="40" w:firstLine="440"/>
        <w:spacing w:after="0" w:line="271" w:lineRule="auto"/>
        <w:rPr>
          <w:sz w:val="20"/>
          <w:szCs w:val="20"/>
          <w:color w:val="auto"/>
        </w:rPr>
      </w:pPr>
      <w:r>
        <w:rPr>
          <w:rFonts w:ascii="Arial" w:cs="Arial" w:eastAsia="Arial" w:hAnsi="Arial"/>
          <w:sz w:val="17"/>
          <w:szCs w:val="17"/>
          <w:b w:val="1"/>
          <w:bCs w:val="1"/>
          <w:color w:val="auto"/>
        </w:rPr>
        <w:t>9.10 Severability</w:t>
      </w:r>
      <w:r>
        <w:rPr>
          <w:rFonts w:ascii="Arial" w:cs="Arial" w:eastAsia="Arial" w:hAnsi="Arial"/>
          <w:sz w:val="17"/>
          <w:szCs w:val="17"/>
          <w:color w:val="auto"/>
        </w:rPr>
        <w:t>. Any term or provision of this Agreement that is invalid or unenforceable in any situation in any jurisdiction shall not affect the</w:t>
      </w:r>
      <w:r>
        <w:rPr>
          <w:rFonts w:ascii="Arial" w:cs="Arial" w:eastAsia="Arial" w:hAnsi="Arial"/>
          <w:sz w:val="17"/>
          <w:szCs w:val="17"/>
          <w:b w:val="1"/>
          <w:bCs w:val="1"/>
          <w:color w:val="auto"/>
        </w:rPr>
        <w:t xml:space="preserve"> </w:t>
      </w:r>
      <w:r>
        <w:rPr>
          <w:rFonts w:ascii="Arial" w:cs="Arial" w:eastAsia="Arial" w:hAnsi="Arial"/>
          <w:sz w:val="17"/>
          <w:szCs w:val="17"/>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74" w:lineRule="exact"/>
        <w:rPr>
          <w:sz w:val="20"/>
          <w:szCs w:val="20"/>
          <w:color w:val="auto"/>
        </w:rPr>
      </w:pPr>
    </w:p>
    <w:p>
      <w:pPr>
        <w:ind w:firstLine="440"/>
        <w:spacing w:after="0" w:line="285" w:lineRule="auto"/>
        <w:rPr>
          <w:sz w:val="20"/>
          <w:szCs w:val="20"/>
          <w:color w:val="auto"/>
        </w:rPr>
      </w:pPr>
      <w:r>
        <w:rPr>
          <w:rFonts w:ascii="Arial" w:cs="Arial" w:eastAsia="Arial" w:hAnsi="Arial"/>
          <w:sz w:val="16"/>
          <w:szCs w:val="16"/>
          <w:b w:val="1"/>
          <w:bCs w:val="1"/>
          <w:color w:val="auto"/>
        </w:rPr>
        <w:t>9.11 Remedies</w:t>
      </w:r>
      <w:r>
        <w:rPr>
          <w:rFonts w:ascii="Arial" w:cs="Arial" w:eastAsia="Arial" w:hAnsi="Arial"/>
          <w:sz w:val="16"/>
          <w:szCs w:val="16"/>
          <w:color w:val="auto"/>
        </w:rPr>
        <w:t>. The parties acknowledge and agree that irreparable damage would occur in the event any of the provisions of this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right="120"/>
        <w:spacing w:after="0" w:line="268" w:lineRule="auto"/>
        <w:rPr>
          <w:sz w:val="20"/>
          <w:szCs w:val="20"/>
          <w:color w:val="auto"/>
        </w:rPr>
      </w:pPr>
      <w:r>
        <w:rPr>
          <w:rFonts w:ascii="Arial" w:cs="Arial" w:eastAsia="Arial" w:hAnsi="Arial"/>
          <w:sz w:val="17"/>
          <w:szCs w:val="17"/>
          <w:u w:val="single" w:color="auto"/>
          <w:color w:val="auto"/>
        </w:rPr>
        <w:t>Section 8.3(i)</w:t>
      </w:r>
      <w:r>
        <w:rPr>
          <w:rFonts w:ascii="Arial" w:cs="Arial" w:eastAsia="Arial" w:hAnsi="Arial"/>
          <w:sz w:val="17"/>
          <w:szCs w:val="17"/>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Arial" w:cs="Arial" w:eastAsia="Arial" w:hAnsi="Arial"/>
          <w:sz w:val="17"/>
          <w:szCs w:val="17"/>
          <w:u w:val="single" w:color="auto"/>
          <w:color w:val="auto"/>
        </w:rPr>
        <w:t>Financing Source Related Parties</w:t>
      </w:r>
      <w:r>
        <w:rPr>
          <w:rFonts w:ascii="Arial" w:cs="Arial" w:eastAsia="Arial" w:hAnsi="Arial"/>
          <w:sz w:val="17"/>
          <w:szCs w:val="17"/>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9.12 Construction</w:t>
      </w:r>
      <w:r>
        <w:rPr>
          <w:rFonts w:ascii="Arial" w:cs="Arial" w:eastAsia="Arial" w:hAnsi="Arial"/>
          <w:sz w:val="18"/>
          <w:szCs w:val="18"/>
          <w:color w:val="auto"/>
        </w:rPr>
        <w:t>.</w:t>
      </w:r>
    </w:p>
    <w:p>
      <w:pPr>
        <w:spacing w:after="0" w:line="229" w:lineRule="exact"/>
        <w:rPr>
          <w:sz w:val="20"/>
          <w:szCs w:val="20"/>
          <w:color w:val="auto"/>
        </w:rPr>
      </w:pPr>
    </w:p>
    <w:p>
      <w:pPr>
        <w:ind w:right="400" w:firstLine="987"/>
        <w:spacing w:after="0" w:line="263" w:lineRule="auto"/>
        <w:tabs>
          <w:tab w:leader="none" w:pos="1246" w:val="left"/>
        </w:tabs>
        <w:numPr>
          <w:ilvl w:val="0"/>
          <w:numId w:val="173"/>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3" w:lineRule="exact"/>
        <w:rPr>
          <w:rFonts w:ascii="Arial" w:cs="Arial" w:eastAsia="Arial" w:hAnsi="Arial"/>
          <w:sz w:val="18"/>
          <w:szCs w:val="18"/>
          <w:b w:val="1"/>
          <w:bCs w:val="1"/>
          <w:color w:val="auto"/>
        </w:rPr>
      </w:pPr>
    </w:p>
    <w:p>
      <w:pPr>
        <w:ind w:right="320" w:firstLine="987"/>
        <w:spacing w:after="0" w:line="277" w:lineRule="auto"/>
        <w:tabs>
          <w:tab w:leader="none" w:pos="1256" w:val="left"/>
        </w:tabs>
        <w:numPr>
          <w:ilvl w:val="0"/>
          <w:numId w:val="173"/>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020"/>
          </w:cols>
          <w:pgMar w:left="440" w:top="270" w:right="439" w:bottom="1440" w:gutter="0" w:footer="0" w:header="0"/>
        </w:sectPr>
      </w:pPr>
    </w:p>
    <w:bookmarkStart w:id="96" w:name="page97"/>
    <w:bookmarkEnd w:id="96"/>
    <w:p>
      <w:pPr>
        <w:jc w:val="both"/>
        <w:ind w:left="-40" w:right="120" w:firstLine="987"/>
        <w:spacing w:after="0" w:line="263" w:lineRule="auto"/>
        <w:tabs>
          <w:tab w:leader="none" w:pos="1196" w:val="left"/>
        </w:tabs>
        <w:numPr>
          <w:ilvl w:val="0"/>
          <w:numId w:val="174"/>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83" w:lineRule="exact"/>
        <w:rPr>
          <w:rFonts w:ascii="Arial" w:cs="Arial" w:eastAsia="Arial" w:hAnsi="Arial"/>
          <w:sz w:val="18"/>
          <w:szCs w:val="18"/>
          <w:b w:val="1"/>
          <w:bCs w:val="1"/>
          <w:color w:val="auto"/>
        </w:rPr>
      </w:pPr>
    </w:p>
    <w:p>
      <w:pPr>
        <w:ind w:left="-40" w:firstLine="987"/>
        <w:spacing w:after="0" w:line="291" w:lineRule="auto"/>
        <w:tabs>
          <w:tab w:leader="none" w:pos="1216" w:val="left"/>
        </w:tabs>
        <w:numPr>
          <w:ilvl w:val="0"/>
          <w:numId w:val="174"/>
        </w:numPr>
        <w:rPr>
          <w:rFonts w:ascii="Arial" w:cs="Arial" w:eastAsia="Arial" w:hAnsi="Arial"/>
          <w:sz w:val="16"/>
          <w:szCs w:val="16"/>
          <w:b w:val="1"/>
          <w:bCs w:val="1"/>
          <w:color w:val="auto"/>
        </w:rPr>
      </w:pPr>
      <w:r>
        <w:rPr>
          <w:rFonts w:ascii="Arial" w:cs="Arial" w:eastAsia="Arial" w:hAnsi="Arial"/>
          <w:sz w:val="16"/>
          <w:szCs w:val="16"/>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66" w:lineRule="exact"/>
        <w:rPr>
          <w:rFonts w:ascii="Arial" w:cs="Arial" w:eastAsia="Arial" w:hAnsi="Arial"/>
          <w:sz w:val="16"/>
          <w:szCs w:val="16"/>
          <w:b w:val="1"/>
          <w:bCs w:val="1"/>
          <w:color w:val="auto"/>
        </w:rPr>
      </w:pPr>
    </w:p>
    <w:p>
      <w:pPr>
        <w:ind w:left="-40" w:right="240" w:firstLine="987"/>
        <w:spacing w:after="0" w:line="277" w:lineRule="auto"/>
        <w:tabs>
          <w:tab w:leader="none" w:pos="1196" w:val="left"/>
        </w:tabs>
        <w:numPr>
          <w:ilvl w:val="0"/>
          <w:numId w:val="174"/>
        </w:numPr>
        <w:rPr>
          <w:rFonts w:ascii="Arial" w:cs="Arial" w:eastAsia="Arial" w:hAnsi="Arial"/>
          <w:sz w:val="18"/>
          <w:szCs w:val="18"/>
          <w:b w:val="1"/>
          <w:bCs w:val="1"/>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[Remainder of page intentionally left blank]</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0920"/>
          </w:cols>
          <w:pgMar w:left="480" w:top="274" w:right="499" w:bottom="1440" w:gutter="0" w:footer="0" w:header="0"/>
        </w:sectPr>
      </w:pPr>
    </w:p>
    <w:bookmarkStart w:id="97" w:name="page98"/>
    <w:bookmarkEnd w:id="9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parties have caused this Agreement to be duly executed as of the date first above written.</w:t>
      </w:r>
    </w:p>
    <w:p>
      <w:pPr>
        <w:spacing w:after="0" w:line="248"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Title: Chief Administration and Legal Officer and Secretary</w:t>
      </w:r>
    </w:p>
    <w:p>
      <w:pPr>
        <w:spacing w:after="0" w:line="23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Title: Authorized Signatory</w:t>
      </w:r>
    </w:p>
    <w:p>
      <w:pPr>
        <w:spacing w:after="0" w:line="23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Richard T. Ogawa</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Title: General Counsel</w:t>
      </w:r>
    </w:p>
    <w:p>
      <w:pPr>
        <w:spacing w:after="0" w:line="143" w:lineRule="exact"/>
        <w:rPr>
          <w:sz w:val="20"/>
          <w:szCs w:val="20"/>
          <w:color w:val="auto"/>
        </w:rPr>
      </w:pPr>
    </w:p>
    <w:p>
      <w:pPr>
        <w:ind w:left="2520"/>
        <w:spacing w:after="0"/>
        <w:rPr>
          <w:sz w:val="20"/>
          <w:szCs w:val="20"/>
          <w:color w:val="auto"/>
        </w:rPr>
      </w:pPr>
      <w:r>
        <w:rPr>
          <w:rFonts w:ascii="Arial" w:cs="Arial" w:eastAsia="Arial" w:hAnsi="Arial"/>
          <w:sz w:val="18"/>
          <w:szCs w:val="18"/>
          <w:color w:val="auto"/>
        </w:rPr>
        <w:t>[Signature Page to Agreement and Plan of Merger and Reorganization]</w:t>
      </w:r>
    </w:p>
    <w:p>
      <w:pPr>
        <w:sectPr>
          <w:pgSz w:w="11900" w:h="16838" w:orient="portrait"/>
          <w:cols w:equalWidth="0" w:num="1">
            <w:col w:w="10480"/>
          </w:cols>
          <w:pgMar w:left="880" w:top="274" w:right="539" w:bottom="1440" w:gutter="0" w:footer="0" w:header="0"/>
        </w:sectPr>
      </w:pPr>
    </w:p>
    <w:bookmarkStart w:id="98" w:name="page99"/>
    <w:bookmarkEnd w:id="98"/>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A</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117" w:lineRule="exact"/>
        <w:rPr>
          <w:sz w:val="20"/>
          <w:szCs w:val="20"/>
          <w:color w:val="auto"/>
        </w:rPr>
      </w:pPr>
    </w:p>
    <w:p>
      <w:pPr>
        <w:jc w:val="both"/>
        <w:ind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2015 Capped Call Confirmations</w:t>
      </w:r>
      <w:r>
        <w:rPr>
          <w:rFonts w:ascii="Arial" w:cs="Arial" w:eastAsia="Arial" w:hAnsi="Arial"/>
          <w:sz w:val="16"/>
          <w:szCs w:val="16"/>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24"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Indenture</w:t>
      </w:r>
      <w:r>
        <w:rPr>
          <w:rFonts w:ascii="Arial" w:cs="Arial" w:eastAsia="Arial" w:hAnsi="Arial"/>
          <w:sz w:val="18"/>
          <w:szCs w:val="18"/>
          <w:color w:val="auto"/>
        </w:rPr>
        <w:t>” means the indenture, dated as of December 8, 2015, by and between the Company and Wells Fargo Bank, National Association, as trustee.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Notes</w:t>
      </w:r>
      <w:r>
        <w:rPr>
          <w:rFonts w:ascii="Arial" w:cs="Arial" w:eastAsia="Arial" w:hAnsi="Arial"/>
          <w:sz w:val="18"/>
          <w:szCs w:val="18"/>
          <w:color w:val="auto"/>
        </w:rPr>
        <w:t>” means the Company’s 1.125% Convertible Senior Notes due 2020 issued pursuant to the 2015 Indenture.</w:t>
      </w:r>
    </w:p>
    <w:p>
      <w:pPr>
        <w:spacing w:after="0" w:line="225" w:lineRule="exact"/>
        <w:rPr>
          <w:sz w:val="20"/>
          <w:szCs w:val="20"/>
          <w:color w:val="auto"/>
        </w:rPr>
      </w:pPr>
    </w:p>
    <w:p>
      <w:pPr>
        <w:ind w:right="2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2016 Capped Call Confirmations</w:t>
      </w:r>
      <w:r>
        <w:rPr>
          <w:rFonts w:ascii="Arial" w:cs="Arial" w:eastAsia="Arial" w:hAnsi="Arial"/>
          <w:sz w:val="16"/>
          <w:szCs w:val="16"/>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24" w:lineRule="exact"/>
        <w:rPr>
          <w:sz w:val="20"/>
          <w:szCs w:val="20"/>
          <w:color w:val="auto"/>
        </w:rPr>
      </w:pPr>
    </w:p>
    <w:p>
      <w:pPr>
        <w:ind w:right="8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Indenture</w:t>
      </w:r>
      <w:r>
        <w:rPr>
          <w:rFonts w:ascii="Arial" w:cs="Arial" w:eastAsia="Arial" w:hAnsi="Arial"/>
          <w:sz w:val="18"/>
          <w:szCs w:val="18"/>
          <w:color w:val="auto"/>
        </w:rPr>
        <w:t>” means the indenture, dated as of September 12, 2016, by and between the Company and Wells Fargo Bank, National Association, as trustee.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Notes</w:t>
      </w:r>
      <w:r>
        <w:rPr>
          <w:rFonts w:ascii="Arial" w:cs="Arial" w:eastAsia="Arial" w:hAnsi="Arial"/>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Capped Call Confirmations</w:t>
      </w:r>
      <w:r>
        <w:rPr>
          <w:rFonts w:ascii="Arial" w:cs="Arial" w:eastAsia="Arial" w:hAnsi="Arial"/>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2020 Indenture</w:t>
      </w:r>
      <w:r>
        <w:rPr>
          <w:rFonts w:ascii="Arial" w:cs="Arial" w:eastAsia="Arial" w:hAnsi="Arial"/>
          <w:sz w:val="16"/>
          <w:szCs w:val="16"/>
          <w:color w:val="auto"/>
        </w:rPr>
        <w:t>” means the indenture, dated as of April 24, 2020, by and between the Company and U.S. Bank National Association, as trustee.</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Notes</w:t>
      </w:r>
      <w:r>
        <w:rPr>
          <w:rFonts w:ascii="Arial" w:cs="Arial" w:eastAsia="Arial" w:hAnsi="Arial"/>
          <w:sz w:val="18"/>
          <w:szCs w:val="18"/>
          <w:color w:val="auto"/>
        </w:rPr>
        <w:t>” means the Company’s 0.75% Convertible Senior Notes due 2025 issued pursuant to the 2020 Indenture.</w:t>
      </w:r>
    </w:p>
    <w:p>
      <w:pPr>
        <w:spacing w:after="0" w:line="225" w:lineRule="exact"/>
        <w:rPr>
          <w:sz w:val="20"/>
          <w:szCs w:val="20"/>
          <w:color w:val="auto"/>
        </w:rPr>
      </w:pPr>
    </w:p>
    <w:p>
      <w:pPr>
        <w:ind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Appraised Fair Value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0940"/>
          </w:cols>
          <w:pgMar w:left="440" w:top="270" w:right="519" w:bottom="1440" w:gutter="0" w:footer="0" w:header="0"/>
        </w:sectPr>
      </w:pPr>
    </w:p>
    <w:bookmarkStart w:id="99" w:name="page100"/>
    <w:bookmarkEnd w:id="9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Marvell is not obligated to accept or take pursuant to </w:t>
      </w:r>
      <w:r>
        <w:rPr>
          <w:rFonts w:ascii="Arial" w:cs="Arial" w:eastAsia="Arial" w:hAnsi="Arial"/>
          <w:sz w:val="18"/>
          <w:szCs w:val="18"/>
          <w:u w:val="single" w:color="auto"/>
          <w:color w:val="auto"/>
        </w:rPr>
        <w:t>Section 5.9(f)</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70"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Capped Call Confirmations</w:t>
      </w:r>
      <w:r>
        <w:rPr>
          <w:rFonts w:ascii="Arial" w:cs="Arial" w:eastAsia="Arial" w:hAnsi="Arial"/>
          <w:sz w:val="18"/>
          <w:szCs w:val="18"/>
          <w:color w:val="auto"/>
        </w:rPr>
        <w:t>” means collectively, the 2015 Capped Call Confirmations, the 2016 Capped Call Confirmations and the 2020 Capped Call Confirmations.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Chosen Court</w:t>
      </w:r>
      <w:r>
        <w:rPr>
          <w:rFonts w:ascii="Arial" w:cs="Arial" w:eastAsia="Arial" w:hAnsi="Arial"/>
          <w:sz w:val="18"/>
          <w:szCs w:val="18"/>
          <w:color w:val="auto"/>
        </w:rPr>
        <w:t xml:space="preserve">” means: (a) if the federal courts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Court of Chancery of the State of Delaware in and for New Castle County, Delaware;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84"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or proposal made or submitted by Marvell or any of its Subsidiaries) contemplating or otherwise relating to any Company Acquisition Transaction.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000"/>
          </w:cols>
          <w:pgMar w:left="440" w:top="274" w:right="459" w:bottom="1440" w:gutter="0" w:footer="0" w:header="0"/>
        </w:sectPr>
      </w:pPr>
    </w:p>
    <w:bookmarkStart w:id="100" w:name="page101"/>
    <w:bookmarkEnd w:id="100"/>
    <w:p>
      <w:pPr>
        <w:ind w:left="44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u w:val="single" w:color="auto"/>
          <w:color w:val="auto"/>
        </w:rPr>
        <w:t>Company Acquisition Transaction</w:t>
      </w:r>
      <w:r>
        <w:rPr>
          <w:rFonts w:ascii="Arial" w:cs="Arial" w:eastAsia="Arial" w:hAnsi="Arial"/>
          <w:sz w:val="17"/>
          <w:szCs w:val="17"/>
          <w:color w:val="auto"/>
        </w:rPr>
        <w:t>” means any transaction or series of transactions (other than the Contemplated Transactions) involving:</w:t>
      </w:r>
    </w:p>
    <w:p>
      <w:pPr>
        <w:spacing w:after="0" w:line="129" w:lineRule="exact"/>
        <w:rPr>
          <w:sz w:val="20"/>
          <w:szCs w:val="20"/>
          <w:color w:val="auto"/>
        </w:rPr>
      </w:pPr>
    </w:p>
    <w:p>
      <w:pPr>
        <w:ind w:left="440" w:right="180" w:firstLine="419"/>
        <w:spacing w:after="0" w:line="284" w:lineRule="auto"/>
        <w:tabs>
          <w:tab w:leader="none" w:pos="1108" w:val="left"/>
        </w:tabs>
        <w:numPr>
          <w:ilvl w:val="1"/>
          <w:numId w:val="175"/>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Arial" w:cs="Arial" w:eastAsia="Arial" w:hAnsi="Arial"/>
          <w:sz w:val="16"/>
          <w:szCs w:val="16"/>
          <w:color w:val="auto"/>
        </w:rPr>
      </w:pPr>
    </w:p>
    <w:p>
      <w:pPr>
        <w:ind w:left="440" w:right="260" w:hanging="4"/>
        <w:spacing w:after="0" w:line="253" w:lineRule="auto"/>
        <w:tabs>
          <w:tab w:leader="none" w:pos="755" w:val="left"/>
        </w:tabs>
        <w:numPr>
          <w:ilvl w:val="0"/>
          <w:numId w:val="176"/>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440" w:firstLine="419"/>
        <w:spacing w:after="0" w:line="285" w:lineRule="auto"/>
        <w:tabs>
          <w:tab w:leader="none" w:pos="1118" w:val="left"/>
        </w:tabs>
        <w:numPr>
          <w:ilvl w:val="1"/>
          <w:numId w:val="176"/>
        </w:numPr>
        <w:rPr>
          <w:rFonts w:ascii="Arial" w:cs="Arial" w:eastAsia="Arial" w:hAnsi="Arial"/>
          <w:sz w:val="16"/>
          <w:szCs w:val="16"/>
          <w:color w:val="auto"/>
        </w:rPr>
      </w:pPr>
      <w:r>
        <w:rPr>
          <w:rFonts w:ascii="Arial" w:cs="Arial" w:eastAsia="Arial" w:hAnsi="Arial"/>
          <w:sz w:val="16"/>
          <w:szCs w:val="16"/>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1" w:lineRule="exact"/>
        <w:rPr>
          <w:rFonts w:ascii="Arial" w:cs="Arial" w:eastAsia="Arial" w:hAnsi="Arial"/>
          <w:sz w:val="16"/>
          <w:szCs w:val="16"/>
          <w:color w:val="auto"/>
        </w:rPr>
      </w:pPr>
    </w:p>
    <w:p>
      <w:pPr>
        <w:ind w:left="440" w:right="260" w:hanging="4"/>
        <w:spacing w:after="0" w:line="253" w:lineRule="auto"/>
        <w:tabs>
          <w:tab w:leader="none" w:pos="705" w:val="left"/>
        </w:tabs>
        <w:numPr>
          <w:ilvl w:val="0"/>
          <w:numId w:val="177"/>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440" w:right="20" w:firstLine="419"/>
        <w:spacing w:after="0" w:line="259" w:lineRule="auto"/>
        <w:tabs>
          <w:tab w:leader="none" w:pos="1108" w:val="left"/>
        </w:tabs>
        <w:numPr>
          <w:ilvl w:val="1"/>
          <w:numId w:val="177"/>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8" w:lineRule="exact"/>
        <w:rPr>
          <w:rFonts w:ascii="Arial" w:cs="Arial" w:eastAsia="Arial" w:hAnsi="Arial"/>
          <w:sz w:val="18"/>
          <w:szCs w:val="18"/>
          <w:color w:val="auto"/>
        </w:rPr>
      </w:pPr>
    </w:p>
    <w:p>
      <w:pPr>
        <w:ind w:left="1120" w:hanging="261"/>
        <w:spacing w:after="0"/>
        <w:tabs>
          <w:tab w:leader="none" w:pos="1120" w:val="left"/>
        </w:tabs>
        <w:numPr>
          <w:ilvl w:val="1"/>
          <w:numId w:val="177"/>
        </w:numPr>
        <w:rPr>
          <w:rFonts w:ascii="Arial" w:cs="Arial" w:eastAsia="Arial" w:hAnsi="Arial"/>
          <w:sz w:val="18"/>
          <w:szCs w:val="18"/>
          <w:color w:val="auto"/>
        </w:rPr>
      </w:pPr>
      <w:r>
        <w:rPr>
          <w:rFonts w:ascii="Arial" w:cs="Arial" w:eastAsia="Arial" w:hAnsi="Arial"/>
          <w:sz w:val="18"/>
          <w:szCs w:val="18"/>
          <w:color w:val="auto"/>
        </w:rPr>
        <w:t>any liquidation or dissolution of the Company or any of its Significant Subsidiaries.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Balance Sheet</w:t>
      </w:r>
      <w:r>
        <w:rPr>
          <w:rFonts w:ascii="Arial" w:cs="Arial" w:eastAsia="Arial" w:hAnsi="Arial"/>
          <w:sz w:val="16"/>
          <w:szCs w:val="16"/>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Cash-Out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0980"/>
          </w:cols>
          <w:pgMar w:left="440" w:top="274" w:right="479" w:bottom="1440" w:gutter="0" w:footer="0" w:header="0"/>
        </w:sectPr>
      </w:pPr>
    </w:p>
    <w:bookmarkStart w:id="101" w:name="page102"/>
    <w:bookmarkEnd w:id="101"/>
    <w:p>
      <w:pPr>
        <w:ind w:right="20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the Company to Marvell on the date of the Agreement.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w:t>
      </w:r>
      <w:r>
        <w:rPr>
          <w:rFonts w:ascii="Arial" w:cs="Arial" w:eastAsia="Arial" w:hAnsi="Arial"/>
          <w:sz w:val="18"/>
          <w:szCs w:val="18"/>
          <w:color w:val="auto"/>
        </w:rPr>
        <w:t>” means any Company Option, Company MSU, Company PSU or Company RSU.</w:t>
      </w:r>
    </w:p>
    <w:p>
      <w:pPr>
        <w:spacing w:after="0" w:line="225" w:lineRule="exact"/>
        <w:rPr>
          <w:sz w:val="20"/>
          <w:szCs w:val="20"/>
          <w:color w:val="auto"/>
        </w:rPr>
      </w:pPr>
    </w:p>
    <w:p>
      <w:pPr>
        <w:ind w:right="4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Equity Plans</w:t>
      </w:r>
      <w:r>
        <w:rPr>
          <w:rFonts w:ascii="Arial" w:cs="Arial" w:eastAsia="Arial" w:hAnsi="Arial"/>
          <w:sz w:val="16"/>
          <w:szCs w:val="16"/>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 Rights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18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MSU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8" w:lineRule="exact"/>
        <w:rPr>
          <w:sz w:val="20"/>
          <w:szCs w:val="20"/>
          <w:color w:val="auto"/>
        </w:rPr>
      </w:pPr>
    </w:p>
    <w:p>
      <w:pPr>
        <w:ind w:right="1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Option</w:t>
      </w:r>
      <w:r>
        <w:rPr>
          <w:rFonts w:ascii="Arial" w:cs="Arial" w:eastAsia="Arial" w:hAnsi="Arial"/>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Restricted Stock</w:t>
      </w:r>
      <w:r>
        <w:rPr>
          <w:rFonts w:ascii="Arial" w:cs="Arial" w:eastAsia="Arial" w:hAnsi="Arial"/>
          <w:sz w:val="17"/>
          <w:szCs w:val="17"/>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46" w:lineRule="exact"/>
        <w:rPr>
          <w:sz w:val="20"/>
          <w:szCs w:val="20"/>
          <w:color w:val="auto"/>
        </w:rPr>
      </w:pPr>
    </w:p>
    <w:p>
      <w:pPr>
        <w:ind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7"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Reports</w:t>
      </w:r>
      <w:r>
        <w:rPr>
          <w:rFonts w:ascii="Arial" w:cs="Arial" w:eastAsia="Arial" w:hAnsi="Arial"/>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0980"/>
          </w:cols>
          <w:pgMar w:left="440" w:top="274" w:right="479" w:bottom="1440" w:gutter="0" w:footer="0" w:header="0"/>
        </w:sectPr>
      </w:pPr>
    </w:p>
    <w:bookmarkStart w:id="102" w:name="page103"/>
    <w:bookmarkEnd w:id="102"/>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Superior Offer</w:t>
      </w:r>
      <w:r>
        <w:rPr>
          <w:rFonts w:ascii="Arial" w:cs="Arial" w:eastAsia="Arial" w:hAnsi="Arial"/>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92"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shall be deemed to have occurred if: (a) the Company’s board of directors or any committee thereof shall have:</w:t>
      </w:r>
    </w:p>
    <w:p>
      <w:pPr>
        <w:spacing w:after="0" w:line="46" w:lineRule="exact"/>
        <w:rPr>
          <w:sz w:val="20"/>
          <w:szCs w:val="20"/>
          <w:color w:val="auto"/>
        </w:rPr>
      </w:pPr>
    </w:p>
    <w:p>
      <w:pPr>
        <w:ind w:left="4" w:hanging="4"/>
        <w:spacing w:after="0" w:line="284" w:lineRule="auto"/>
        <w:tabs>
          <w:tab w:leader="none" w:pos="219" w:val="left"/>
        </w:tabs>
        <w:numPr>
          <w:ilvl w:val="0"/>
          <w:numId w:val="178"/>
        </w:numPr>
        <w:rPr>
          <w:rFonts w:ascii="Arial" w:cs="Arial" w:eastAsia="Arial" w:hAnsi="Arial"/>
          <w:sz w:val="16"/>
          <w:szCs w:val="16"/>
          <w:color w:val="auto"/>
        </w:rPr>
      </w:pPr>
      <w:r>
        <w:rPr>
          <w:rFonts w:ascii="Arial" w:cs="Arial" w:eastAsia="Arial" w:hAnsi="Arial"/>
          <w:sz w:val="16"/>
          <w:szCs w:val="16"/>
          <w:color w:val="auto"/>
        </w:rPr>
        <w:t xml:space="preserve">withdrawn the Company Board Recommendation; (ii) modified the Company Board Recommendation in a manner adverse to Marvell; or (iii) taken, authorized or publicly proposed any of the actions referred to in </w:t>
      </w:r>
      <w:r>
        <w:rPr>
          <w:rFonts w:ascii="Arial" w:cs="Arial" w:eastAsia="Arial" w:hAnsi="Arial"/>
          <w:sz w:val="16"/>
          <w:szCs w:val="16"/>
          <w:u w:val="single" w:color="auto"/>
          <w:color w:val="auto"/>
        </w:rPr>
        <w:t>Section 5.2(e)</w:t>
      </w:r>
      <w:r>
        <w:rPr>
          <w:rFonts w:ascii="Arial" w:cs="Arial" w:eastAsia="Arial" w:hAnsi="Arial"/>
          <w:sz w:val="16"/>
          <w:szCs w:val="16"/>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the Agreement and such breach results in a Company Acquisition Proposal.</w:t>
      </w:r>
    </w:p>
    <w:p>
      <w:pPr>
        <w:spacing w:after="0" w:line="171" w:lineRule="exact"/>
        <w:rPr>
          <w:sz w:val="20"/>
          <w:szCs w:val="20"/>
          <w:color w:val="auto"/>
        </w:rPr>
      </w:pPr>
    </w:p>
    <w:p>
      <w:pPr>
        <w:ind w:left="4" w:right="4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September 20, 2020 by and between Marvell Semiconductor, Inc. and the Company, as amended and restated on October 10, 2020.</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Mergers.</w:t>
      </w:r>
    </w:p>
    <w:p>
      <w:pPr>
        <w:spacing w:after="0" w:line="158" w:lineRule="exact"/>
        <w:rPr>
          <w:sz w:val="20"/>
          <w:szCs w:val="20"/>
          <w:color w:val="auto"/>
        </w:rPr>
      </w:pPr>
    </w:p>
    <w:p>
      <w:pPr>
        <w:ind w:left="5364"/>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004"/>
          </w:cols>
          <w:pgMar w:left="436" w:top="274" w:right="459" w:bottom="1440" w:gutter="0" w:footer="0" w:header="0"/>
        </w:sectPr>
      </w:pPr>
    </w:p>
    <w:bookmarkStart w:id="103" w:name="page104"/>
    <w:bookmarkEnd w:id="103"/>
    <w:p>
      <w:pPr>
        <w:jc w:val="both"/>
        <w:ind w:right="12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Continuing Employee</w:t>
      </w:r>
      <w:r>
        <w:rPr>
          <w:rFonts w:ascii="Arial" w:cs="Arial" w:eastAsia="Arial" w:hAnsi="Arial"/>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84" w:lineRule="exact"/>
        <w:rPr>
          <w:sz w:val="20"/>
          <w:szCs w:val="20"/>
          <w:color w:val="auto"/>
        </w:rPr>
      </w:pPr>
    </w:p>
    <w:p>
      <w:pPr>
        <w:ind w:right="3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Service Provider</w:t>
      </w:r>
      <w:r>
        <w:rPr>
          <w:rFonts w:ascii="Arial" w:cs="Arial" w:eastAsia="Arial" w:hAnsi="Arial"/>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7"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w:t>
      </w:r>
      <w:r>
        <w:rPr>
          <w:rFonts w:ascii="Arial" w:cs="Arial" w:eastAsia="Arial" w:hAnsi="Arial"/>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84" w:lineRule="exact"/>
        <w:rPr>
          <w:sz w:val="20"/>
          <w:szCs w:val="20"/>
          <w:color w:val="auto"/>
        </w:rPr>
      </w:pPr>
    </w:p>
    <w:p>
      <w:pPr>
        <w:jc w:val="both"/>
        <w:ind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 Worker</w:t>
      </w:r>
      <w:r>
        <w:rPr>
          <w:rFonts w:ascii="Arial" w:cs="Arial" w:eastAsia="Arial" w:hAnsi="Arial"/>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84"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Marvell Measurement Price.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5.4(h)</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Convertible Notes</w:t>
      </w:r>
      <w:r>
        <w:rPr>
          <w:rFonts w:ascii="Arial" w:cs="Arial" w:eastAsia="Arial" w:hAnsi="Arial"/>
          <w:sz w:val="18"/>
          <w:szCs w:val="18"/>
          <w:color w:val="auto"/>
        </w:rPr>
        <w:t>” means, collectively, the 2015 Notes, the 2016 Notes and the 2020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Consideration</w:t>
      </w:r>
      <w:r>
        <w:rPr>
          <w:rFonts w:ascii="Arial" w:cs="Arial" w:eastAsia="Arial" w:hAnsi="Arial"/>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 (b) any cash in lieu of fractional shares of HoldCo Common Stock such holder is entitled to receive pursuant to </w:t>
      </w:r>
      <w:r>
        <w:rPr>
          <w:rFonts w:ascii="Arial" w:cs="Arial" w:eastAsia="Arial" w:hAnsi="Arial"/>
          <w:sz w:val="18"/>
          <w:szCs w:val="18"/>
          <w:u w:val="single" w:color="auto"/>
          <w:color w:val="auto"/>
        </w:rPr>
        <w:t>Section 1.7(e)</w:t>
      </w:r>
      <w:r>
        <w:rPr>
          <w:rFonts w:ascii="Arial" w:cs="Arial" w:eastAsia="Arial" w:hAnsi="Arial"/>
          <w:sz w:val="18"/>
          <w:szCs w:val="18"/>
          <w:color w:val="auto"/>
        </w:rPr>
        <w:t xml:space="preserve"> of the Agreement; and (c) any dividends or other distributions such holder is entitled to receive pursuant to </w:t>
      </w:r>
      <w:r>
        <w:rPr>
          <w:rFonts w:ascii="Arial" w:cs="Arial" w:eastAsia="Arial" w:hAnsi="Arial"/>
          <w:sz w:val="18"/>
          <w:szCs w:val="18"/>
          <w:u w:val="single" w:color="auto"/>
          <w:color w:val="auto"/>
        </w:rPr>
        <w:t>Section 1.11(b)</w:t>
      </w:r>
      <w:r>
        <w:rPr>
          <w:rFonts w:ascii="Arial" w:cs="Arial" w:eastAsia="Arial" w:hAnsi="Arial"/>
          <w:sz w:val="18"/>
          <w:szCs w:val="18"/>
          <w:color w:val="auto"/>
        </w:rPr>
        <w:t xml:space="preserve"> of the Agreement.</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Sub</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0980"/>
          </w:cols>
          <w:pgMar w:left="440" w:top="274" w:right="479" w:bottom="1440" w:gutter="0" w:footer="0" w:header="0"/>
        </w:sectPr>
      </w:pPr>
    </w:p>
    <w:bookmarkStart w:id="104" w:name="page105"/>
    <w:bookmarkEnd w:id="104"/>
    <w:p>
      <w:pPr>
        <w:ind w:right="4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w:t>
      </w:r>
      <w:r>
        <w:rPr>
          <w:rFonts w:ascii="Arial" w:cs="Arial" w:eastAsia="Arial" w:hAnsi="Arial"/>
          <w:sz w:val="18"/>
          <w:szCs w:val="18"/>
          <w:u w:val="single" w:color="auto"/>
          <w:color w:val="auto"/>
        </w:rPr>
        <w:t>Designated Circumstance</w:t>
      </w:r>
      <w:r>
        <w:rPr>
          <w:rFonts w:ascii="Arial" w:cs="Arial" w:eastAsia="Arial" w:hAnsi="Arial"/>
          <w:sz w:val="18"/>
          <w:szCs w:val="18"/>
          <w:color w:val="auto"/>
        </w:rPr>
        <w:t xml:space="preserve">” shall be deemed to exist if: (a) any condition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Marvell contained in: (a) </w:t>
      </w:r>
      <w:r>
        <w:rPr>
          <w:rFonts w:ascii="Arial" w:cs="Arial" w:eastAsia="Arial" w:hAnsi="Arial"/>
          <w:sz w:val="18"/>
          <w:szCs w:val="18"/>
          <w:u w:val="single" w:color="auto"/>
          <w:color w:val="auto"/>
        </w:rPr>
        <w:t>Sections 3.3(a)</w:t>
      </w:r>
      <w:r>
        <w:rPr>
          <w:rFonts w:ascii="Arial" w:cs="Arial" w:eastAsia="Arial" w:hAnsi="Arial"/>
          <w:sz w:val="18"/>
          <w:szCs w:val="18"/>
          <w:color w:val="auto"/>
        </w:rPr>
        <w:t xml:space="preserve">, </w:t>
      </w:r>
      <w:r>
        <w:rPr>
          <w:rFonts w:ascii="Arial" w:cs="Arial" w:eastAsia="Arial" w:hAnsi="Arial"/>
          <w:sz w:val="18"/>
          <w:szCs w:val="18"/>
          <w:u w:val="single" w:color="auto"/>
          <w:color w:val="auto"/>
        </w:rPr>
        <w:t>3.3(b)</w:t>
      </w:r>
      <w:r>
        <w:rPr>
          <w:rFonts w:ascii="Arial" w:cs="Arial" w:eastAsia="Arial" w:hAnsi="Arial"/>
          <w:sz w:val="18"/>
          <w:szCs w:val="18"/>
          <w:color w:val="auto"/>
        </w:rPr>
        <w:t xml:space="preserve">, </w:t>
      </w:r>
      <w:r>
        <w:rPr>
          <w:rFonts w:ascii="Arial" w:cs="Arial" w:eastAsia="Arial" w:hAnsi="Arial"/>
          <w:sz w:val="18"/>
          <w:szCs w:val="18"/>
          <w:u w:val="single" w:color="auto"/>
          <w:color w:val="auto"/>
        </w:rPr>
        <w:t>3.3(d)</w:t>
      </w:r>
      <w:r>
        <w:rPr>
          <w:rFonts w:ascii="Arial" w:cs="Arial" w:eastAsia="Arial" w:hAnsi="Arial"/>
          <w:sz w:val="18"/>
          <w:szCs w:val="18"/>
          <w:color w:val="auto"/>
        </w:rPr>
        <w:t xml:space="preserve">, </w:t>
      </w:r>
      <w:r>
        <w:rPr>
          <w:rFonts w:ascii="Arial" w:cs="Arial" w:eastAsia="Arial" w:hAnsi="Arial"/>
          <w:sz w:val="18"/>
          <w:szCs w:val="18"/>
          <w:u w:val="single" w:color="auto"/>
          <w:color w:val="auto"/>
        </w:rPr>
        <w:t>3.13</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w:t>
      </w:r>
      <w:r>
        <w:rPr>
          <w:rFonts w:ascii="Arial" w:cs="Arial" w:eastAsia="Arial" w:hAnsi="Arial"/>
          <w:sz w:val="18"/>
          <w:szCs w:val="18"/>
          <w:u w:val="single" w:color="auto"/>
          <w:color w:val="auto"/>
        </w:rPr>
        <w:t>3.20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3.21</w:t>
      </w:r>
      <w:r>
        <w:rPr>
          <w:rFonts w:ascii="Arial" w:cs="Arial" w:eastAsia="Arial" w:hAnsi="Arial"/>
          <w:sz w:val="18"/>
          <w:szCs w:val="18"/>
          <w:color w:val="auto"/>
        </w:rPr>
        <w:t xml:space="preserve"> of the Agreement; and (b) clause “(a)” of </w:t>
      </w:r>
      <w:r>
        <w:rPr>
          <w:rFonts w:ascii="Arial" w:cs="Arial" w:eastAsia="Arial" w:hAnsi="Arial"/>
          <w:sz w:val="18"/>
          <w:szCs w:val="18"/>
          <w:u w:val="single" w:color="auto"/>
          <w:color w:val="auto"/>
        </w:rPr>
        <w:t>Section 3.5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Option</w:t>
      </w:r>
      <w:r>
        <w:rPr>
          <w:rFonts w:ascii="Arial" w:cs="Arial" w:eastAsia="Arial" w:hAnsi="Arial"/>
          <w:sz w:val="18"/>
          <w:szCs w:val="18"/>
          <w:color w:val="auto"/>
        </w:rPr>
        <w:t>” means a Company Option held by a non-employee member of the Company’s board of directors.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RSU</w:t>
      </w:r>
      <w:r>
        <w:rPr>
          <w:rFonts w:ascii="Arial" w:cs="Arial" w:eastAsia="Arial" w:hAnsi="Arial"/>
          <w:sz w:val="18"/>
          <w:szCs w:val="18"/>
          <w:color w:val="auto"/>
        </w:rPr>
        <w:t>” means a Company RSU held by a non-employee member of the Company’s board of directors.</w:t>
      </w:r>
    </w:p>
    <w:p>
      <w:pPr>
        <w:spacing w:after="0" w:line="225" w:lineRule="exact"/>
        <w:rPr>
          <w:sz w:val="20"/>
          <w:szCs w:val="20"/>
          <w:color w:val="auto"/>
        </w:rPr>
      </w:pPr>
    </w:p>
    <w:p>
      <w:pPr>
        <w:ind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Disregarded Company Share</w:t>
      </w:r>
      <w:r>
        <w:rPr>
          <w:rFonts w:ascii="Arial" w:cs="Arial" w:eastAsia="Arial" w:hAnsi="Arial"/>
          <w:sz w:val="17"/>
          <w:szCs w:val="17"/>
          <w:color w:val="auto"/>
        </w:rPr>
        <w:t xml:space="preserve">” means each share of Company Common Stock that continues to be held by a Subsidiary of the Surviving Delaware Corporation or a Marvell Entity following the Delaware Merger Effective Time in accordance with </w:t>
      </w:r>
      <w:r>
        <w:rPr>
          <w:rFonts w:ascii="Arial" w:cs="Arial" w:eastAsia="Arial" w:hAnsi="Arial"/>
          <w:sz w:val="17"/>
          <w:szCs w:val="17"/>
          <w:u w:val="single" w:color="auto"/>
          <w:color w:val="auto"/>
        </w:rPr>
        <w:t>Section 1.7(c)(i)</w:t>
      </w:r>
      <w:r>
        <w:rPr>
          <w:rFonts w:ascii="Arial" w:cs="Arial" w:eastAsia="Arial" w:hAnsi="Arial"/>
          <w:sz w:val="17"/>
          <w:szCs w:val="17"/>
          <w:color w:val="auto"/>
        </w:rPr>
        <w:t xml:space="preserve"> of the Agreement.</w:t>
      </w:r>
    </w:p>
    <w:p>
      <w:pPr>
        <w:spacing w:after="0" w:line="146"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Disregarded Marvell Share</w:t>
      </w:r>
      <w:r>
        <w:rPr>
          <w:rFonts w:ascii="Arial" w:cs="Arial" w:eastAsia="Arial" w:hAnsi="Arial"/>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Arial" w:cs="Arial" w:eastAsia="Arial" w:hAnsi="Arial"/>
          <w:sz w:val="18"/>
          <w:szCs w:val="18"/>
          <w:u w:val="single" w:color="auto"/>
          <w:color w:val="auto"/>
        </w:rPr>
        <w:t>Section 1.7(a)(i)</w:t>
      </w:r>
      <w:r>
        <w:rPr>
          <w:rFonts w:ascii="Arial" w:cs="Arial" w:eastAsia="Arial" w:hAnsi="Arial"/>
          <w:sz w:val="18"/>
          <w:szCs w:val="18"/>
          <w:color w:val="auto"/>
        </w:rPr>
        <w:t xml:space="preserve"> of the Agreement; or (b) is canceled and retired in accordance with </w:t>
      </w:r>
      <w:r>
        <w:rPr>
          <w:rFonts w:ascii="Arial" w:cs="Arial" w:eastAsia="Arial" w:hAnsi="Arial"/>
          <w:sz w:val="18"/>
          <w:szCs w:val="18"/>
          <w:u w:val="single" w:color="auto"/>
          <w:color w:val="auto"/>
        </w:rPr>
        <w:t>Section 1.7(a)(ii)</w:t>
      </w:r>
      <w:r>
        <w:rPr>
          <w:rFonts w:ascii="Arial" w:cs="Arial" w:eastAsia="Arial" w:hAnsi="Arial"/>
          <w:sz w:val="18"/>
          <w:szCs w:val="18"/>
          <w:color w:val="auto"/>
        </w:rPr>
        <w:t xml:space="preserve"> of the Agreement.</w:t>
      </w:r>
    </w:p>
    <w:p>
      <w:pPr>
        <w:spacing w:after="0" w:line="184"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Disruptive Marvell Acquisition Proposal</w:t>
      </w:r>
      <w:r>
        <w:rPr>
          <w:rFonts w:ascii="Arial" w:cs="Arial" w:eastAsia="Arial" w:hAnsi="Arial"/>
          <w:sz w:val="18"/>
          <w:szCs w:val="18"/>
          <w:color w:val="auto"/>
        </w:rPr>
        <w:t>” means any offer or proposal that contemplates a Marvell Acquisition Transaction and that is expressly conditioned on the termination of the Agreement.</w:t>
      </w:r>
    </w:p>
    <w:p>
      <w:pPr>
        <w:spacing w:after="0" w:line="170"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Disruptive Marvell Superior Offer</w:t>
      </w:r>
      <w:r>
        <w:rPr>
          <w:rFonts w:ascii="Arial" w:cs="Arial" w:eastAsia="Arial" w:hAnsi="Arial"/>
          <w:sz w:val="17"/>
          <w:szCs w:val="17"/>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Company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Marvell Shares</w:t>
      </w:r>
      <w:r>
        <w:rPr>
          <w:rFonts w:ascii="Arial" w:cs="Arial" w:eastAsia="Arial" w:hAnsi="Arial"/>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w:t>
      </w:r>
      <w:r>
        <w:rPr>
          <w:rFonts w:ascii="Arial" w:cs="Arial" w:eastAsia="Arial" w:hAnsi="Arial"/>
          <w:sz w:val="18"/>
          <w:szCs w:val="18"/>
          <w:color w:val="auto"/>
        </w:rPr>
        <w:t>” means the United States Department of Labor.</w:t>
      </w:r>
    </w:p>
    <w:p>
      <w:pPr>
        <w:spacing w:after="0" w:line="225"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Domain Name</w:t>
      </w:r>
      <w:r>
        <w:rPr>
          <w:rFonts w:ascii="Arial" w:cs="Arial" w:eastAsia="Arial" w:hAnsi="Arial"/>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000"/>
          </w:cols>
          <w:pgMar w:left="440" w:top="274" w:right="459" w:bottom="1440" w:gutter="0" w:footer="0" w:header="0"/>
        </w:sectPr>
      </w:pPr>
    </w:p>
    <w:bookmarkStart w:id="105" w:name="page106"/>
    <w:bookmarkEnd w:id="10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Employment Law</w:t>
      </w:r>
      <w:r>
        <w:rPr>
          <w:rFonts w:ascii="Arial" w:cs="Arial" w:eastAsia="Arial" w:hAnsi="Arial"/>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right="8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61" w:lineRule="exact"/>
        <w:rPr>
          <w:sz w:val="20"/>
          <w:szCs w:val="20"/>
          <w:color w:val="auto"/>
        </w:rPr>
      </w:pPr>
    </w:p>
    <w:p>
      <w:pPr>
        <w:jc w:val="both"/>
        <w:ind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Customer</w:t>
      </w:r>
      <w:r>
        <w:rPr>
          <w:rFonts w:ascii="Arial" w:cs="Arial" w:eastAsia="Arial" w:hAnsi="Arial"/>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4"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76"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 Amount</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Marvell Measurement Price.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Person under common control with any of the Inphi Entities within the meaning of Sections 414(b), (c), (m) and (o) of the Code, and the regulations thereunder.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0980"/>
          </w:cols>
          <w:pgMar w:left="440" w:top="274" w:right="479" w:bottom="1440" w:gutter="0" w:footer="0" w:header="0"/>
        </w:sectPr>
      </w:pPr>
    </w:p>
    <w:bookmarkStart w:id="106" w:name="page107"/>
    <w:bookmarkEnd w:id="106"/>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Expense Payment</w:t>
      </w:r>
      <w:r>
        <w:rPr>
          <w:rFonts w:ascii="Arial" w:cs="Arial" w:eastAsia="Arial" w:hAnsi="Arial"/>
          <w:sz w:val="18"/>
          <w:szCs w:val="18"/>
          <w:color w:val="auto"/>
        </w:rPr>
        <w:t>” means the Company Expense Payment or the Marvell Expense Payment.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Exercise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9.11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Foreign Export and Import Law</w:t>
      </w:r>
      <w:r>
        <w:rPr>
          <w:rFonts w:ascii="Arial" w:cs="Arial" w:eastAsia="Arial" w:hAnsi="Arial"/>
          <w:sz w:val="16"/>
          <w:szCs w:val="16"/>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24"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Inphi Plan</w:t>
      </w:r>
      <w:r>
        <w:rPr>
          <w:rFonts w:ascii="Arial" w:cs="Arial" w:eastAsia="Arial" w:hAnsi="Arial"/>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7" w:lineRule="exact"/>
        <w:rPr>
          <w:sz w:val="20"/>
          <w:szCs w:val="20"/>
          <w:color w:val="auto"/>
        </w:rPr>
      </w:pPr>
    </w:p>
    <w:p>
      <w:pPr>
        <w:ind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fraud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w:t>
      </w:r>
    </w:p>
    <w:p>
      <w:pPr>
        <w:spacing w:after="0" w:line="225" w:lineRule="exact"/>
        <w:rPr>
          <w:sz w:val="20"/>
          <w:szCs w:val="20"/>
          <w:color w:val="auto"/>
        </w:rPr>
      </w:pPr>
    </w:p>
    <w:p>
      <w:pPr>
        <w:ind w:right="2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0940"/>
          </w:cols>
          <w:pgMar w:left="440" w:top="274" w:right="519" w:bottom="1440" w:gutter="0" w:footer="0" w:header="0"/>
        </w:sectPr>
      </w:pPr>
    </w:p>
    <w:bookmarkStart w:id="107" w:name="page108"/>
    <w:bookmarkEnd w:id="107"/>
    <w:p>
      <w:pPr>
        <w:ind w:right="120" w:firstLine="4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8" w:lineRule="exact"/>
        <w:rPr>
          <w:sz w:val="20"/>
          <w:szCs w:val="20"/>
          <w:color w:val="auto"/>
        </w:rPr>
      </w:pPr>
    </w:p>
    <w:p>
      <w:pPr>
        <w:ind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Governmental Body</w:t>
      </w:r>
      <w:r>
        <w:rPr>
          <w:rFonts w:ascii="Arial" w:cs="Arial" w:eastAsia="Arial" w:hAnsi="Arial"/>
          <w:sz w:val="16"/>
          <w:szCs w:val="16"/>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1" w:lineRule="exact"/>
        <w:rPr>
          <w:sz w:val="20"/>
          <w:szCs w:val="20"/>
          <w:color w:val="auto"/>
        </w:rPr>
      </w:pPr>
    </w:p>
    <w:p>
      <w:pPr>
        <w:ind w:right="6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Materials</w:t>
      </w:r>
      <w:r>
        <w:rPr>
          <w:rFonts w:ascii="Arial" w:cs="Arial" w:eastAsia="Arial" w:hAnsi="Arial"/>
          <w:sz w:val="16"/>
          <w:szCs w:val="16"/>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6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 Common Stock</w:t>
      </w:r>
      <w:r>
        <w:rPr>
          <w:rFonts w:ascii="Arial" w:cs="Arial" w:eastAsia="Arial" w:hAnsi="Arial"/>
          <w:sz w:val="18"/>
          <w:szCs w:val="18"/>
          <w:color w:val="auto"/>
        </w:rPr>
        <w:t>” means the common stock, $0.002 par value per share, of HoldCo.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Company Option</w:t>
      </w:r>
      <w:r>
        <w:rPr>
          <w:rFonts w:ascii="Arial" w:cs="Arial" w:eastAsia="Arial" w:hAnsi="Arial"/>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means the 2015 Indenture, the 2016 Indenture or the 2020 Indenture.</w:t>
      </w:r>
    </w:p>
    <w:p>
      <w:pPr>
        <w:spacing w:after="0" w:line="225"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Associate</w:t>
      </w:r>
      <w:r>
        <w:rPr>
          <w:rFonts w:ascii="Arial" w:cs="Arial" w:eastAsia="Arial" w:hAnsi="Arial"/>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70"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Contract</w:t>
      </w:r>
      <w:r>
        <w:rPr>
          <w:rFonts w:ascii="Arial" w:cs="Arial" w:eastAsia="Arial" w:hAnsi="Arial"/>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84"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Employee Agreement</w:t>
      </w:r>
      <w:r>
        <w:rPr>
          <w:rFonts w:ascii="Arial" w:cs="Arial" w:eastAsia="Arial" w:hAnsi="Arial"/>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000"/>
          </w:cols>
          <w:pgMar w:left="440" w:top="274" w:right="459" w:bottom="1440" w:gutter="0" w:footer="0" w:header="0"/>
        </w:sectPr>
      </w:pPr>
    </w:p>
    <w:bookmarkStart w:id="108" w:name="page109"/>
    <w:bookmarkEnd w:id="108"/>
    <w:p>
      <w:pPr>
        <w:ind w:left="444"/>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u w:val="single" w:color="auto"/>
          <w:color w:val="auto"/>
        </w:rPr>
        <w:t>Inphi Employee Plan</w:t>
      </w:r>
      <w:r>
        <w:rPr>
          <w:rFonts w:ascii="Arial" w:cs="Arial" w:eastAsia="Arial" w:hAnsi="Arial"/>
          <w:sz w:val="17"/>
          <w:szCs w:val="17"/>
          <w:color w:val="auto"/>
        </w:rPr>
        <w:t>” means: (a) each “employee benefit plan” (as defined in Section 3(3) of ERISA), whether or not subject to ERISA; and</w:t>
      </w:r>
    </w:p>
    <w:p>
      <w:pPr>
        <w:spacing w:after="0" w:line="35" w:lineRule="exact"/>
        <w:rPr>
          <w:sz w:val="20"/>
          <w:szCs w:val="20"/>
          <w:color w:val="auto"/>
        </w:rPr>
      </w:pPr>
    </w:p>
    <w:p>
      <w:pPr>
        <w:ind w:left="4" w:hanging="4"/>
        <w:spacing w:after="0" w:line="251" w:lineRule="auto"/>
        <w:tabs>
          <w:tab w:leader="none" w:pos="259" w:val="left"/>
        </w:tabs>
        <w:numPr>
          <w:ilvl w:val="0"/>
          <w:numId w:val="179"/>
        </w:numPr>
        <w:rPr>
          <w:rFonts w:ascii="Arial" w:cs="Arial" w:eastAsia="Arial" w:hAnsi="Arial"/>
          <w:sz w:val="18"/>
          <w:szCs w:val="18"/>
          <w:color w:val="auto"/>
        </w:rPr>
      </w:pPr>
      <w:r>
        <w:rPr>
          <w:rFonts w:ascii="Arial" w:cs="Arial" w:eastAsia="Arial" w:hAnsi="Arial"/>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7" w:lineRule="exact"/>
        <w:rPr>
          <w:sz w:val="20"/>
          <w:szCs w:val="20"/>
          <w:color w:val="auto"/>
        </w:rPr>
      </w:pPr>
    </w:p>
    <w:p>
      <w:pPr>
        <w:ind w:left="4"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w:t>
      </w:r>
      <w:r>
        <w:rPr>
          <w:rFonts w:ascii="Arial" w:cs="Arial" w:eastAsia="Arial" w:hAnsi="Arial"/>
          <w:sz w:val="18"/>
          <w:szCs w:val="18"/>
          <w:color w:val="auto"/>
        </w:rPr>
        <w:t xml:space="preserve">” means: (a) the Company; (b) each Subsidiary of the Company; and (c) for purposes of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 Returns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Inbound License</w:t>
      </w:r>
      <w:r>
        <w:rPr>
          <w:rFonts w:ascii="Arial" w:cs="Arial" w:eastAsia="Arial" w:hAnsi="Arial"/>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7" w:lineRule="exact"/>
        <w:rPr>
          <w:sz w:val="20"/>
          <w:szCs w:val="20"/>
          <w:color w:val="auto"/>
        </w:rPr>
      </w:pPr>
    </w:p>
    <w:p>
      <w:pPr>
        <w:ind w:left="4" w:right="7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IP</w:t>
      </w:r>
      <w:r>
        <w:rPr>
          <w:rFonts w:ascii="Arial" w:cs="Arial" w:eastAsia="Arial" w:hAnsi="Arial"/>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Outbound License</w:t>
      </w:r>
      <w:r>
        <w:rPr>
          <w:rFonts w:ascii="Arial" w:cs="Arial" w:eastAsia="Arial" w:hAnsi="Arial"/>
          <w:sz w:val="18"/>
          <w:szCs w:val="18"/>
          <w:color w:val="auto"/>
        </w:rPr>
        <w:t>” means any Contract pursuant to which any Inphi Entity has granted any Person a license, covenant not to sue, or other right or immunity under, in or to any Inphi IP.</w:t>
      </w:r>
    </w:p>
    <w:p>
      <w:pPr>
        <w:spacing w:after="0" w:line="170" w:lineRule="exact"/>
        <w:rPr>
          <w:sz w:val="20"/>
          <w:szCs w:val="20"/>
          <w:color w:val="auto"/>
        </w:rPr>
      </w:pPr>
    </w:p>
    <w:p>
      <w:pPr>
        <w:ind w:left="4" w:right="6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Patent License</w:t>
      </w:r>
      <w:r>
        <w:rPr>
          <w:rFonts w:ascii="Arial" w:cs="Arial" w:eastAsia="Arial" w:hAnsi="Arial"/>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8" w:lineRule="exact"/>
        <w:rPr>
          <w:sz w:val="20"/>
          <w:szCs w:val="20"/>
          <w:color w:val="auto"/>
        </w:rPr>
      </w:pPr>
    </w:p>
    <w:p>
      <w:pPr>
        <w:ind w:left="4"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Pension Plan</w:t>
      </w:r>
      <w:r>
        <w:rPr>
          <w:rFonts w:ascii="Arial" w:cs="Arial" w:eastAsia="Arial" w:hAnsi="Arial"/>
          <w:sz w:val="16"/>
          <w:szCs w:val="16"/>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24" w:lineRule="exact"/>
        <w:rPr>
          <w:sz w:val="20"/>
          <w:szCs w:val="20"/>
          <w:color w:val="auto"/>
        </w:rPr>
      </w:pPr>
    </w:p>
    <w:p>
      <w:pPr>
        <w:ind w:left="4"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Product</w:t>
      </w:r>
      <w:r>
        <w:rPr>
          <w:rFonts w:ascii="Arial" w:cs="Arial" w:eastAsia="Arial" w:hAnsi="Arial"/>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70" w:lineRule="exact"/>
        <w:rPr>
          <w:sz w:val="20"/>
          <w:szCs w:val="20"/>
          <w:color w:val="auto"/>
        </w:rPr>
      </w:pPr>
    </w:p>
    <w:p>
      <w:pPr>
        <w:ind w:left="4" w:right="3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Software</w:t>
      </w:r>
      <w:r>
        <w:rPr>
          <w:rFonts w:ascii="Arial" w:cs="Arial" w:eastAsia="Arial" w:hAnsi="Arial"/>
          <w:sz w:val="18"/>
          <w:szCs w:val="18"/>
          <w:color w:val="auto"/>
        </w:rPr>
        <w:t>” means Software owned, developed (or currently being developed), used, marketed, distributed, licensed or sold by any of the Inphi Entities at any time (other than commercially available “shrink</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004"/>
          </w:cols>
          <w:pgMar w:left="436" w:top="274" w:right="459" w:bottom="1440" w:gutter="0" w:footer="0" w:header="0"/>
        </w:sectPr>
      </w:pPr>
    </w:p>
    <w:bookmarkStart w:id="109" w:name="page110"/>
    <w:bookmarkEnd w:id="109"/>
    <w:p>
      <w:pPr>
        <w:ind w:right="3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wrap” or similar “off-the-shelf” software that is not incorporated or embodied in, or distributed or otherwise made available in connection with, any Inphi Product or otherwise material to an Inphi Entity’s business).</w:t>
      </w:r>
    </w:p>
    <w:p>
      <w:pPr>
        <w:spacing w:after="0" w:line="170"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Technology</w:t>
      </w:r>
      <w:r>
        <w:rPr>
          <w:rFonts w:ascii="Arial" w:cs="Arial" w:eastAsia="Arial" w:hAnsi="Arial"/>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84"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84"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66"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 Rights</w:t>
      </w:r>
      <w:r>
        <w:rPr>
          <w:rFonts w:ascii="Arial" w:cs="Arial" w:eastAsia="Arial" w:hAnsi="Arial"/>
          <w:sz w:val="17"/>
          <w:szCs w:val="17"/>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Arial" w:cs="Arial" w:eastAsia="Arial" w:hAnsi="Arial"/>
          <w:sz w:val="17"/>
          <w:szCs w:val="17"/>
          <w:u w:val="single" w:color="auto"/>
          <w:color w:val="auto"/>
        </w:rPr>
        <w:t>Patents</w:t>
      </w:r>
      <w:r>
        <w:rPr>
          <w:rFonts w:ascii="Arial" w:cs="Arial" w:eastAsia="Arial" w:hAnsi="Arial"/>
          <w:sz w:val="17"/>
          <w:szCs w:val="17"/>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7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United States Internal Revenue Service.</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 System</w:t>
      </w:r>
      <w:r>
        <w:rPr>
          <w:rFonts w:ascii="Arial" w:cs="Arial" w:eastAsia="Arial" w:hAnsi="Arial"/>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ITAR</w:t>
      </w:r>
      <w:r>
        <w:rPr>
          <w:rFonts w:ascii="Arial" w:cs="Arial" w:eastAsia="Arial" w:hAnsi="Arial"/>
          <w:sz w:val="18"/>
          <w:szCs w:val="18"/>
          <w:color w:val="auto"/>
        </w:rPr>
        <w:t>” means the International Traffic in Arms Regulations.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 Securities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3.20</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0980"/>
          </w:cols>
          <w:pgMar w:left="440" w:top="274" w:right="479" w:bottom="1440" w:gutter="0" w:footer="0" w:header="0"/>
        </w:sectPr>
      </w:pPr>
    </w:p>
    <w:bookmarkStart w:id="110" w:name="page111"/>
    <w:bookmarkEnd w:id="110"/>
    <w:p>
      <w:pPr>
        <w:ind w:right="14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u w:val="single" w:color="auto"/>
          <w:color w:val="auto"/>
        </w:rPr>
        <w:t>Joint Proxy Statement/Prospectus</w:t>
      </w:r>
      <w:r>
        <w:rPr>
          <w:rFonts w:ascii="Arial" w:cs="Arial" w:eastAsia="Arial" w:hAnsi="Arial"/>
          <w:sz w:val="17"/>
          <w:szCs w:val="17"/>
          <w:color w:val="auto"/>
        </w:rPr>
        <w:t>” means the joint proxy statement/prospectus to be sent to the Company’s stockholders in connection with the Company Stockholders’ Meeting and to Marvell’s shareholders in connection with the Marvell Shareholders’ Meeting.</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knowing and intentional breach</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3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with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Marvell, the knowledge of the individuals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Marvell Disclosure Schedule, after reasonable inquiry.</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84" w:lineRule="exact"/>
        <w:rPr>
          <w:sz w:val="20"/>
          <w:szCs w:val="20"/>
          <w:color w:val="auto"/>
        </w:rPr>
      </w:pPr>
    </w:p>
    <w:p>
      <w:pPr>
        <w:jc w:val="both"/>
        <w:ind w:right="2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Requirement</w:t>
      </w:r>
      <w:r>
        <w:rPr>
          <w:rFonts w:ascii="Arial" w:cs="Arial" w:eastAsia="Arial" w:hAnsi="Arial"/>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84"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3</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the</w:t>
      </w:r>
      <w:r>
        <w:rPr>
          <w:rFonts w:ascii="Arial" w:cs="Arial" w:eastAsia="Arial" w:hAnsi="Arial"/>
          <w:sz w:val="17"/>
          <w:szCs w:val="17"/>
          <w:color w:val="auto"/>
        </w:rPr>
        <w:t xml:space="preserve"> </w:t>
      </w:r>
      <w:r>
        <w:rPr>
          <w:rFonts w:ascii="Arial" w:cs="Arial" w:eastAsia="Arial" w:hAnsi="Arial"/>
          <w:sz w:val="17"/>
          <w:szCs w:val="17"/>
          <w:u w:val="single" w:color="auto"/>
          <w:color w:val="auto"/>
        </w:rPr>
        <w:t>Company</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76" w:lineRule="exact"/>
        <w:rPr>
          <w:sz w:val="20"/>
          <w:szCs w:val="20"/>
          <w:color w:val="auto"/>
        </w:rPr>
      </w:pPr>
    </w:p>
    <w:p>
      <w:pPr>
        <w:ind w:right="20"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2</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Marvell</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 (c) acknowledged in writing by Marvell or its counsel as being deemed Made Available to Marvell.</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0980"/>
          </w:cols>
          <w:pgMar w:left="440" w:top="274" w:right="479" w:bottom="1440" w:gutter="0" w:footer="0" w:header="0"/>
        </w:sectPr>
      </w:pPr>
    </w:p>
    <w:bookmarkStart w:id="111" w:name="page112"/>
    <w:bookmarkEnd w:id="111"/>
    <w:p>
      <w:pPr>
        <w:ind w:left="44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u w:val="single" w:color="auto"/>
          <w:color w:val="auto"/>
        </w:rPr>
        <w:t>Marvell Acquisition Transaction</w:t>
      </w:r>
      <w:r>
        <w:rPr>
          <w:rFonts w:ascii="Arial" w:cs="Arial" w:eastAsia="Arial" w:hAnsi="Arial"/>
          <w:sz w:val="17"/>
          <w:szCs w:val="17"/>
          <w:color w:val="auto"/>
        </w:rPr>
        <w:t>” means any transaction or series of transactions (other than the Contemplated Transactions) involving:</w:t>
      </w:r>
    </w:p>
    <w:p>
      <w:pPr>
        <w:spacing w:after="0" w:line="129" w:lineRule="exact"/>
        <w:rPr>
          <w:sz w:val="20"/>
          <w:szCs w:val="20"/>
          <w:color w:val="auto"/>
        </w:rPr>
      </w:pPr>
    </w:p>
    <w:p>
      <w:pPr>
        <w:ind w:firstLine="987"/>
        <w:spacing w:after="0" w:line="293" w:lineRule="auto"/>
        <w:tabs>
          <w:tab w:leader="none" w:pos="1236" w:val="left"/>
        </w:tabs>
        <w:numPr>
          <w:ilvl w:val="0"/>
          <w:numId w:val="180"/>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64" w:lineRule="exact"/>
        <w:rPr>
          <w:rFonts w:ascii="Arial" w:cs="Arial" w:eastAsia="Arial" w:hAnsi="Arial"/>
          <w:sz w:val="16"/>
          <w:szCs w:val="16"/>
          <w:color w:val="auto"/>
        </w:rPr>
      </w:pPr>
    </w:p>
    <w:p>
      <w:pPr>
        <w:ind w:right="80" w:firstLine="987"/>
        <w:spacing w:after="0" w:line="275" w:lineRule="auto"/>
        <w:tabs>
          <w:tab w:leader="none" w:pos="1246" w:val="left"/>
        </w:tabs>
        <w:numPr>
          <w:ilvl w:val="0"/>
          <w:numId w:val="180"/>
        </w:numPr>
        <w:rPr>
          <w:rFonts w:ascii="Arial" w:cs="Arial" w:eastAsia="Arial" w:hAnsi="Arial"/>
          <w:sz w:val="17"/>
          <w:szCs w:val="17"/>
          <w:color w:val="auto"/>
        </w:rPr>
      </w:pPr>
      <w:r>
        <w:rPr>
          <w:rFonts w:ascii="Arial" w:cs="Arial" w:eastAsia="Arial" w:hAnsi="Arial"/>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76" w:lineRule="exact"/>
        <w:rPr>
          <w:rFonts w:ascii="Arial" w:cs="Arial" w:eastAsia="Arial" w:hAnsi="Arial"/>
          <w:sz w:val="17"/>
          <w:szCs w:val="17"/>
          <w:color w:val="auto"/>
        </w:rPr>
      </w:pPr>
    </w:p>
    <w:p>
      <w:pPr>
        <w:ind w:right="20" w:firstLine="987"/>
        <w:spacing w:after="0" w:line="259" w:lineRule="auto"/>
        <w:tabs>
          <w:tab w:leader="none" w:pos="1236"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86" w:lineRule="exact"/>
        <w:rPr>
          <w:rFonts w:ascii="Arial" w:cs="Arial" w:eastAsia="Arial" w:hAnsi="Arial"/>
          <w:sz w:val="18"/>
          <w:szCs w:val="18"/>
          <w:color w:val="auto"/>
        </w:rPr>
      </w:pPr>
    </w:p>
    <w:p>
      <w:pPr>
        <w:ind w:left="1240" w:hanging="253"/>
        <w:spacing w:after="0"/>
        <w:tabs>
          <w:tab w:leader="none" w:pos="1240" w:val="left"/>
        </w:tabs>
        <w:numPr>
          <w:ilvl w:val="0"/>
          <w:numId w:val="180"/>
        </w:numPr>
        <w:rPr>
          <w:rFonts w:ascii="Arial" w:cs="Arial" w:eastAsia="Arial" w:hAnsi="Arial"/>
          <w:sz w:val="18"/>
          <w:szCs w:val="18"/>
          <w:color w:val="auto"/>
        </w:rPr>
      </w:pPr>
      <w:r>
        <w:rPr>
          <w:rFonts w:ascii="Arial" w:cs="Arial" w:eastAsia="Arial" w:hAnsi="Arial"/>
          <w:sz w:val="18"/>
          <w:szCs w:val="18"/>
          <w:color w:val="auto"/>
        </w:rPr>
        <w:t>any liquidation or dissolution of Marvell or any of its Significant Subsidiaries.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Marvell Balance Sheet</w:t>
      </w:r>
      <w:r>
        <w:rPr>
          <w:rFonts w:ascii="Arial" w:cs="Arial" w:eastAsia="Arial" w:hAnsi="Arial"/>
          <w:sz w:val="16"/>
          <w:szCs w:val="16"/>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Amendment</w:t>
      </w:r>
      <w:r>
        <w:rPr>
          <w:rFonts w:ascii="Arial" w:cs="Arial" w:eastAsia="Arial" w:hAnsi="Arial"/>
          <w:sz w:val="18"/>
          <w:szCs w:val="18"/>
          <w:color w:val="auto"/>
        </w:rPr>
        <w:t xml:space="preserve">” means an amendment to the Marvell Bye-Laws in the form set forth on </w:t>
      </w:r>
      <w:r>
        <w:rPr>
          <w:rFonts w:ascii="Arial" w:cs="Arial" w:eastAsia="Arial" w:hAnsi="Arial"/>
          <w:sz w:val="18"/>
          <w:szCs w:val="18"/>
          <w:u w:val="single" w:color="auto"/>
          <w:color w:val="auto"/>
        </w:rPr>
        <w:t>Exhibit E</w:t>
      </w:r>
      <w:r>
        <w:rPr>
          <w:rFonts w:ascii="Arial" w:cs="Arial" w:eastAsia="Arial" w:hAnsi="Arial"/>
          <w:sz w:val="18"/>
          <w:szCs w:val="18"/>
          <w:color w:val="auto"/>
        </w:rPr>
        <w: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Proposal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Bye-Laws</w:t>
      </w:r>
      <w:r>
        <w:rPr>
          <w:rFonts w:ascii="Arial" w:cs="Arial" w:eastAsia="Arial" w:hAnsi="Arial"/>
          <w:sz w:val="18"/>
          <w:szCs w:val="18"/>
          <w:color w:val="auto"/>
        </w:rPr>
        <w:t>” means Marvell’s Fourth Amended &amp; Restated Bye-Laws.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u w:val="single" w:color="auto"/>
          <w:color w:val="auto"/>
        </w:rPr>
        <w:t>“Marvell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Common Share</w:t>
      </w:r>
      <w:r>
        <w:rPr>
          <w:rFonts w:ascii="Arial" w:cs="Arial" w:eastAsia="Arial" w:hAnsi="Arial"/>
          <w:sz w:val="18"/>
          <w:szCs w:val="18"/>
          <w:color w:val="auto"/>
        </w:rPr>
        <w:t>” means a common share, $0.002 par value per share, of Marvell.</w:t>
      </w:r>
    </w:p>
    <w:p>
      <w:pPr>
        <w:spacing w:after="0" w:line="225" w:lineRule="exact"/>
        <w:rPr>
          <w:sz w:val="20"/>
          <w:szCs w:val="20"/>
          <w:color w:val="auto"/>
        </w:rPr>
      </w:pPr>
    </w:p>
    <w:p>
      <w:pPr>
        <w:ind w:right="6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Disclosure Schedule</w:t>
      </w:r>
      <w:r>
        <w:rPr>
          <w:rFonts w:ascii="Arial" w:cs="Arial" w:eastAsia="Arial" w:hAnsi="Arial"/>
          <w:sz w:val="18"/>
          <w:szCs w:val="18"/>
          <w:color w:val="auto"/>
        </w:rPr>
        <w:t xml:space="preserve">” means the disclosure schedule that has been prepared by Marvell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Marvell to the Company on the date of the Agreement.</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0860"/>
          </w:cols>
          <w:pgMar w:left="440" w:top="274" w:right="599" w:bottom="1440" w:gutter="0" w:footer="0" w:header="0"/>
        </w:sectPr>
      </w:pPr>
    </w:p>
    <w:bookmarkStart w:id="112" w:name="page113"/>
    <w:bookmarkEnd w:id="112"/>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Marvell Employee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Entity</w:t>
      </w:r>
      <w:r>
        <w:rPr>
          <w:rFonts w:ascii="Arial" w:cs="Arial" w:eastAsia="Arial" w:hAnsi="Arial"/>
          <w:sz w:val="18"/>
          <w:szCs w:val="18"/>
          <w:color w:val="auto"/>
        </w:rPr>
        <w:t>” means Marvell or any Subsidiary of Marvell.</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Equity Award</w:t>
      </w:r>
      <w:r>
        <w:rPr>
          <w:rFonts w:ascii="Arial" w:cs="Arial" w:eastAsia="Arial" w:hAnsi="Arial"/>
          <w:sz w:val="18"/>
          <w:szCs w:val="18"/>
          <w:color w:val="auto"/>
        </w:rPr>
        <w:t>” means any Marvell Option, Marvell RSU or Marvell PSU.</w:t>
      </w:r>
    </w:p>
    <w:p>
      <w:pPr>
        <w:spacing w:after="0" w:line="225" w:lineRule="exact"/>
        <w:rPr>
          <w:sz w:val="20"/>
          <w:szCs w:val="20"/>
          <w:color w:val="auto"/>
        </w:rPr>
      </w:pPr>
    </w:p>
    <w:p>
      <w:pPr>
        <w:ind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Equity Plans</w:t>
      </w:r>
      <w:r>
        <w:rPr>
          <w:rFonts w:ascii="Arial" w:cs="Arial" w:eastAsia="Arial" w:hAnsi="Arial"/>
          <w:sz w:val="17"/>
          <w:szCs w:val="17"/>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ESPP</w:t>
      </w:r>
      <w:r>
        <w:rPr>
          <w:rFonts w:ascii="Arial" w:cs="Arial" w:eastAsia="Arial" w:hAnsi="Arial"/>
          <w:sz w:val="18"/>
          <w:szCs w:val="18"/>
          <w:color w:val="auto"/>
        </w:rPr>
        <w:t>” means Marvell’s 2000 Employee Stock Purchase Plan as Amended and Restated as of October 31, 2011.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20" w:firstLine="440"/>
        <w:spacing w:after="0" w:line="277" w:lineRule="auto"/>
        <w:rPr>
          <w:sz w:val="20"/>
          <w:szCs w:val="20"/>
          <w:color w:val="auto"/>
        </w:rPr>
      </w:pPr>
      <w:r>
        <w:rPr>
          <w:rFonts w:ascii="Arial" w:cs="Arial" w:eastAsia="Arial" w:hAnsi="Arial"/>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689610</wp:posOffset>
            </wp:positionH>
            <wp:positionV relativeFrom="paragraph">
              <wp:posOffset>-182245</wp:posOffset>
            </wp:positionV>
            <wp:extent cx="13017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5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Measurement Price</w:t>
      </w:r>
      <w:r>
        <w:rPr>
          <w:rFonts w:ascii="Arial" w:cs="Arial" w:eastAsia="Arial" w:hAnsi="Arial"/>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Merger Proposal</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right="44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Option</w:t>
      </w:r>
      <w:r>
        <w:rPr>
          <w:rFonts w:ascii="Arial" w:cs="Arial" w:eastAsia="Arial" w:hAnsi="Arial"/>
          <w:sz w:val="17"/>
          <w:szCs w:val="17"/>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Preferred Share</w:t>
      </w:r>
      <w:r>
        <w:rPr>
          <w:rFonts w:ascii="Arial" w:cs="Arial" w:eastAsia="Arial" w:hAnsi="Arial"/>
          <w:sz w:val="18"/>
          <w:szCs w:val="18"/>
          <w:color w:val="auto"/>
        </w:rPr>
        <w:t>” means a preferred share, $0.002 par value per share, of Marvell.</w:t>
      </w:r>
    </w:p>
    <w:p>
      <w:pPr>
        <w:spacing w:after="0" w:line="225"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PSU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0940"/>
          </w:cols>
          <w:pgMar w:left="440" w:top="274" w:right="519" w:bottom="1440" w:gutter="0" w:footer="0" w:header="0"/>
        </w:sectPr>
      </w:pPr>
    </w:p>
    <w:bookmarkStart w:id="113" w:name="page114"/>
    <w:bookmarkEnd w:id="113"/>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Marvell SEC Reports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Shareholders’ Meeting</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Stock Exchange</w:t>
      </w:r>
      <w:r>
        <w:rPr>
          <w:rFonts w:ascii="Arial" w:cs="Arial" w:eastAsia="Arial" w:hAnsi="Arial"/>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Marvell Triggering Event</w:t>
      </w:r>
      <w:r>
        <w:rPr>
          <w:rFonts w:ascii="Arial" w:cs="Arial" w:eastAsia="Arial" w:hAnsi="Arial"/>
          <w:sz w:val="17"/>
          <w:szCs w:val="17"/>
          <w:color w:val="auto"/>
        </w:rPr>
        <w:t>” shall be deemed to have occurred if: (a) Marvell’s board of directors or any committee thereof shall have:</w:t>
      </w:r>
    </w:p>
    <w:p>
      <w:pPr>
        <w:spacing w:after="0" w:line="35" w:lineRule="exact"/>
        <w:rPr>
          <w:sz w:val="20"/>
          <w:szCs w:val="20"/>
          <w:color w:val="auto"/>
        </w:rPr>
      </w:pPr>
    </w:p>
    <w:p>
      <w:pPr>
        <w:ind w:left="4"/>
        <w:spacing w:after="0"/>
        <w:rPr>
          <w:sz w:val="20"/>
          <w:szCs w:val="20"/>
          <w:color w:val="auto"/>
        </w:rPr>
      </w:pPr>
      <w:r>
        <w:rPr>
          <w:rFonts w:ascii="Arial" w:cs="Arial" w:eastAsia="Arial" w:hAnsi="Arial"/>
          <w:sz w:val="17"/>
          <w:szCs w:val="17"/>
          <w:color w:val="auto"/>
        </w:rPr>
        <w:t>(i) withdrawn the Marvell Board Recommendation; (ii) modified the Marvell Board Recommendation in a manner adverse to the Company; or</w:t>
      </w:r>
    </w:p>
    <w:p>
      <w:pPr>
        <w:spacing w:after="0" w:line="21" w:lineRule="exact"/>
        <w:rPr>
          <w:sz w:val="20"/>
          <w:szCs w:val="20"/>
          <w:color w:val="auto"/>
        </w:rPr>
      </w:pPr>
    </w:p>
    <w:p>
      <w:pPr>
        <w:ind w:left="4" w:right="40" w:hanging="4"/>
        <w:spacing w:after="0" w:line="284" w:lineRule="auto"/>
        <w:tabs>
          <w:tab w:leader="none" w:pos="319" w:val="left"/>
        </w:tabs>
        <w:numPr>
          <w:ilvl w:val="0"/>
          <w:numId w:val="181"/>
        </w:numPr>
        <w:rPr>
          <w:rFonts w:ascii="Arial" w:cs="Arial" w:eastAsia="Arial" w:hAnsi="Arial"/>
          <w:sz w:val="16"/>
          <w:szCs w:val="16"/>
          <w:color w:val="auto"/>
        </w:rPr>
      </w:pPr>
      <w:r>
        <w:rPr>
          <w:rFonts w:ascii="Arial" w:cs="Arial" w:eastAsia="Arial" w:hAnsi="Arial"/>
          <w:sz w:val="16"/>
          <w:szCs w:val="16"/>
          <w:color w:val="auto"/>
        </w:rPr>
        <w:t xml:space="preserve">taken, authorized or publicly proposed any of the actions referred to in </w:t>
      </w:r>
      <w:r>
        <w:rPr>
          <w:rFonts w:ascii="Arial" w:cs="Arial" w:eastAsia="Arial" w:hAnsi="Arial"/>
          <w:sz w:val="16"/>
          <w:szCs w:val="16"/>
          <w:u w:val="single" w:color="auto"/>
          <w:color w:val="auto"/>
        </w:rPr>
        <w:t>Section 5.3(e)</w:t>
      </w:r>
      <w:r>
        <w:rPr>
          <w:rFonts w:ascii="Arial" w:cs="Arial" w:eastAsia="Arial" w:hAnsi="Arial"/>
          <w:sz w:val="16"/>
          <w:szCs w:val="16"/>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of the Agreement and such breach results in a Disruptive Marvell Acquisition Proposal.</w:t>
      </w:r>
    </w:p>
    <w:p>
      <w:pPr>
        <w:spacing w:after="0" w:line="390" w:lineRule="exact"/>
        <w:rPr>
          <w:sz w:val="20"/>
          <w:szCs w:val="20"/>
          <w:color w:val="auto"/>
        </w:rPr>
      </w:pPr>
    </w:p>
    <w:p>
      <w:pPr>
        <w:ind w:left="4"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Adverse Effect on the Company</w:t>
      </w:r>
      <w:r>
        <w:rPr>
          <w:rFonts w:ascii="Arial" w:cs="Arial" w:eastAsia="Arial" w:hAnsi="Arial"/>
          <w:sz w:val="17"/>
          <w:szCs w:val="17"/>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1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004"/>
          </w:cols>
          <w:pgMar w:left="436" w:top="274" w:right="459" w:bottom="1440" w:gutter="0" w:footer="0" w:header="0"/>
        </w:sectPr>
      </w:pPr>
    </w:p>
    <w:bookmarkStart w:id="114" w:name="page115"/>
    <w:bookmarkEnd w:id="114"/>
    <w:p>
      <w:pPr>
        <w:ind w:left="4"/>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0" w:lineRule="exact"/>
        <w:rPr>
          <w:sz w:val="20"/>
          <w:szCs w:val="20"/>
          <w:color w:val="auto"/>
        </w:rPr>
      </w:pPr>
    </w:p>
    <w:p>
      <w:pPr>
        <w:spacing w:after="0" w:line="205" w:lineRule="exact"/>
        <w:rPr>
          <w:sz w:val="20"/>
          <w:szCs w:val="20"/>
          <w:color w:val="auto"/>
        </w:rPr>
      </w:pPr>
    </w:p>
    <w:p>
      <w:pPr>
        <w:ind w:left="4" w:firstLine="440"/>
        <w:spacing w:after="0" w:line="285"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 on Marvell</w:t>
      </w:r>
      <w:r>
        <w:rPr>
          <w:rFonts w:ascii="Arial" w:cs="Arial" w:eastAsia="Arial" w:hAnsi="Arial"/>
          <w:sz w:val="16"/>
          <w:szCs w:val="16"/>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2" w:lineRule="exact"/>
        <w:rPr>
          <w:sz w:val="20"/>
          <w:szCs w:val="20"/>
          <w:color w:val="auto"/>
        </w:rPr>
      </w:pPr>
    </w:p>
    <w:p>
      <w:pPr>
        <w:ind w:left="4" w:right="320" w:hanging="4"/>
        <w:spacing w:after="0" w:line="295" w:lineRule="auto"/>
        <w:tabs>
          <w:tab w:leader="none" w:pos="249" w:val="left"/>
        </w:tabs>
        <w:numPr>
          <w:ilvl w:val="0"/>
          <w:numId w:val="182"/>
        </w:numPr>
        <w:rPr>
          <w:rFonts w:ascii="Arial" w:cs="Arial" w:eastAsia="Arial" w:hAnsi="Arial"/>
          <w:sz w:val="16"/>
          <w:szCs w:val="16"/>
          <w:color w:val="auto"/>
        </w:rPr>
      </w:pPr>
      <w:r>
        <w:rPr>
          <w:rFonts w:ascii="Arial" w:cs="Arial" w:eastAsia="Arial" w:hAnsi="Arial"/>
          <w:sz w:val="16"/>
          <w:szCs w:val="16"/>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9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024"/>
          </w:cols>
          <w:pgMar w:left="436" w:top="274" w:right="439" w:bottom="1440" w:gutter="0" w:footer="0" w:header="0"/>
        </w:sectPr>
      </w:pPr>
    </w:p>
    <w:bookmarkStart w:id="115" w:name="page116"/>
    <w:bookmarkEnd w:id="115"/>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spacing w:after="0" w:line="20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0980"/>
          </w:cols>
          <w:pgMar w:left="440" w:top="274" w:right="479" w:bottom="1440" w:gutter="0" w:footer="0" w:header="0"/>
        </w:sectPr>
      </w:pPr>
    </w:p>
    <w:bookmarkStart w:id="116" w:name="page117"/>
    <w:bookmarkEnd w:id="116"/>
    <w:p>
      <w:pPr>
        <w:ind w:right="180" w:firstLine="440"/>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Office of Foreign Assets Control of the U.S. Department of the Treasury.</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Open Source Software</w:t>
      </w:r>
      <w:r>
        <w:rPr>
          <w:rFonts w:ascii="Arial" w:cs="Arial" w:eastAsia="Arial" w:hAnsi="Arial"/>
          <w:sz w:val="17"/>
          <w:szCs w:val="17"/>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Order</w:t>
      </w:r>
      <w:r>
        <w:rPr>
          <w:rFonts w:ascii="Arial" w:cs="Arial" w:eastAsia="Arial" w:hAnsi="Arial"/>
          <w:sz w:val="18"/>
          <w:szCs w:val="18"/>
          <w:color w:val="auto"/>
        </w:rPr>
        <w:t>” means any order, writ, injunction, judgment or decree.</w:t>
      </w:r>
    </w:p>
    <w:p>
      <w:pPr>
        <w:spacing w:after="0" w:line="22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Out-of-the-Money Option</w:t>
      </w:r>
      <w:r>
        <w:rPr>
          <w:rFonts w:ascii="Arial" w:cs="Arial" w:eastAsia="Arial" w:hAnsi="Arial"/>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PCI DSS</w:t>
      </w:r>
      <w:r>
        <w:rPr>
          <w:rFonts w:ascii="Arial" w:cs="Arial" w:eastAsia="Arial" w:hAnsi="Arial"/>
          <w:sz w:val="17"/>
          <w:szCs w:val="17"/>
          <w:color w:val="auto"/>
        </w:rPr>
        <w:t>” means the Payment Card Industry Data Security Standard, issued by the Payment Card Industry Security Standards Council.</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1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Encumbrance</w:t>
      </w:r>
      <w:r>
        <w:rPr>
          <w:rFonts w:ascii="Arial" w:cs="Arial" w:eastAsia="Arial" w:hAnsi="Arial"/>
          <w:sz w:val="17"/>
          <w:szCs w:val="17"/>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7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right="3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Personal Data</w:t>
      </w:r>
      <w:r>
        <w:rPr>
          <w:rFonts w:ascii="Arial" w:cs="Arial" w:eastAsia="Arial" w:hAnsi="Arial"/>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0980"/>
          </w:cols>
          <w:pgMar w:left="440" w:top="274" w:right="479" w:bottom="1440" w:gutter="0" w:footer="0" w:header="0"/>
        </w:sectPr>
      </w:pPr>
    </w:p>
    <w:bookmarkStart w:id="117" w:name="page118"/>
    <w:bookmarkEnd w:id="11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Party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right="6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Protected Information</w:t>
      </w:r>
      <w:r>
        <w:rPr>
          <w:rFonts w:ascii="Arial" w:cs="Arial" w:eastAsia="Arial" w:hAnsi="Arial"/>
          <w:sz w:val="16"/>
          <w:szCs w:val="16"/>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6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5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Release</w:t>
      </w:r>
      <w:r>
        <w:rPr>
          <w:rFonts w:ascii="Arial" w:cs="Arial" w:eastAsia="Arial" w:hAnsi="Arial"/>
          <w:sz w:val="16"/>
          <w:szCs w:val="16"/>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directors, officers, other employees, agents, attorneys, accountants, advisors and representatives.</w:t>
      </w:r>
    </w:p>
    <w:p>
      <w:pPr>
        <w:spacing w:after="0" w:line="225" w:lineRule="exact"/>
        <w:rPr>
          <w:sz w:val="20"/>
          <w:szCs w:val="20"/>
          <w:color w:val="auto"/>
        </w:rPr>
      </w:pPr>
    </w:p>
    <w:p>
      <w:pPr>
        <w:ind w:right="10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Requesting Authority</w:t>
      </w:r>
      <w:r>
        <w:rPr>
          <w:rFonts w:ascii="Arial" w:cs="Arial" w:eastAsia="Arial" w:hAnsi="Arial"/>
          <w:sz w:val="16"/>
          <w:szCs w:val="16"/>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Required Marvell Shareholder Vote</w:t>
      </w:r>
      <w:r>
        <w:rPr>
          <w:rFonts w:ascii="Arial" w:cs="Arial" w:eastAsia="Arial" w:hAnsi="Arial"/>
          <w:sz w:val="16"/>
          <w:szCs w:val="16"/>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Reverse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means the Sarbanes-Oxley Act of 2002, as it may be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Section 409A</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0960"/>
          </w:cols>
          <w:pgMar w:left="440" w:top="274" w:right="499" w:bottom="1440" w:gutter="0" w:footer="0" w:header="0"/>
        </w:sectPr>
      </w:pPr>
    </w:p>
    <w:bookmarkStart w:id="118" w:name="page119"/>
    <w:bookmarkEnd w:id="118"/>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Sexual Misconduct Allegation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2.16(g)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3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Significant Subsidiary</w:t>
      </w:r>
      <w:r>
        <w:rPr>
          <w:rFonts w:ascii="Arial" w:cs="Arial" w:eastAsia="Arial" w:hAnsi="Arial"/>
          <w:sz w:val="16"/>
          <w:szCs w:val="16"/>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24" w:lineRule="exact"/>
        <w:rPr>
          <w:sz w:val="20"/>
          <w:szCs w:val="20"/>
          <w:color w:val="auto"/>
        </w:rPr>
      </w:pPr>
    </w:p>
    <w:p>
      <w:pPr>
        <w:jc w:val="both"/>
        <w:ind w:right="1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Software</w:t>
      </w:r>
      <w:r>
        <w:rPr>
          <w:rFonts w:ascii="Arial" w:cs="Arial" w:eastAsia="Arial" w:hAnsi="Arial"/>
          <w:sz w:val="16"/>
          <w:szCs w:val="16"/>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22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Source Material</w:t>
      </w:r>
      <w:r>
        <w:rPr>
          <w:rFonts w:ascii="Arial" w:cs="Arial" w:eastAsia="Arial" w:hAnsi="Arial"/>
          <w:sz w:val="17"/>
          <w:szCs w:val="17"/>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6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7.8</w:t>
      </w:r>
      <w:r>
        <w:rPr>
          <w:rFonts w:ascii="Arial" w:cs="Arial" w:eastAsia="Arial" w:hAnsi="Arial"/>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7.9</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right="12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Governmental Body</w:t>
      </w:r>
      <w:r>
        <w:rPr>
          <w:rFonts w:ascii="Arial" w:cs="Arial" w:eastAsia="Arial" w:hAnsi="Arial"/>
          <w:sz w:val="16"/>
          <w:szCs w:val="16"/>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Marvell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Representations</w:t>
      </w:r>
      <w:r>
        <w:rPr>
          <w:rFonts w:ascii="Arial" w:cs="Arial" w:eastAsia="Arial" w:hAnsi="Arial"/>
          <w:sz w:val="16"/>
          <w:szCs w:val="16"/>
          <w:color w:val="auto"/>
        </w:rPr>
        <w:t xml:space="preserve">” means the representations and warranties of the Company contained in: (a) </w:t>
      </w:r>
      <w:r>
        <w:rPr>
          <w:rFonts w:ascii="Arial" w:cs="Arial" w:eastAsia="Arial" w:hAnsi="Arial"/>
          <w:sz w:val="16"/>
          <w:szCs w:val="16"/>
          <w:u w:val="single" w:color="auto"/>
          <w:color w:val="auto"/>
        </w:rPr>
        <w:t>Section 2.3(a)</w:t>
      </w:r>
      <w:r>
        <w:rPr>
          <w:rFonts w:ascii="Arial" w:cs="Arial" w:eastAsia="Arial" w:hAnsi="Arial"/>
          <w:sz w:val="16"/>
          <w:szCs w:val="16"/>
          <w:color w:val="auto"/>
        </w:rPr>
        <w:t xml:space="preserve">, the first and last sentences of </w:t>
      </w:r>
      <w:r>
        <w:rPr>
          <w:rFonts w:ascii="Arial" w:cs="Arial" w:eastAsia="Arial" w:hAnsi="Arial"/>
          <w:sz w:val="16"/>
          <w:szCs w:val="16"/>
          <w:u w:val="single" w:color="auto"/>
          <w:color w:val="auto"/>
        </w:rPr>
        <w:t>Section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2.3(d)</w:t>
      </w:r>
      <w:r>
        <w:rPr>
          <w:rFonts w:ascii="Arial" w:cs="Arial" w:eastAsia="Arial" w:hAnsi="Arial"/>
          <w:sz w:val="16"/>
          <w:szCs w:val="16"/>
          <w:color w:val="auto"/>
        </w:rPr>
        <w:t xml:space="preserve">, </w:t>
      </w:r>
      <w:r>
        <w:rPr>
          <w:rFonts w:ascii="Arial" w:cs="Arial" w:eastAsia="Arial" w:hAnsi="Arial"/>
          <w:sz w:val="16"/>
          <w:szCs w:val="16"/>
          <w:u w:val="single" w:color="auto"/>
          <w:color w:val="auto"/>
        </w:rPr>
        <w:t>2.20</w:t>
      </w:r>
      <w:r>
        <w:rPr>
          <w:rFonts w:ascii="Arial" w:cs="Arial" w:eastAsia="Arial" w:hAnsi="Arial"/>
          <w:sz w:val="16"/>
          <w:szCs w:val="16"/>
          <w:color w:val="auto"/>
        </w:rPr>
        <w:t xml:space="preserve">, </w:t>
      </w:r>
      <w:r>
        <w:rPr>
          <w:rFonts w:ascii="Arial" w:cs="Arial" w:eastAsia="Arial" w:hAnsi="Arial"/>
          <w:sz w:val="16"/>
          <w:szCs w:val="16"/>
          <w:u w:val="single" w:color="auto"/>
          <w:color w:val="auto"/>
        </w:rPr>
        <w:t>2.22</w:t>
      </w:r>
      <w:r>
        <w:rPr>
          <w:rFonts w:ascii="Arial" w:cs="Arial" w:eastAsia="Arial" w:hAnsi="Arial"/>
          <w:sz w:val="16"/>
          <w:szCs w:val="16"/>
          <w:color w:val="auto"/>
        </w:rPr>
        <w:t xml:space="preserve">, </w:t>
      </w:r>
      <w:r>
        <w:rPr>
          <w:rFonts w:ascii="Arial" w:cs="Arial" w:eastAsia="Arial" w:hAnsi="Arial"/>
          <w:sz w:val="16"/>
          <w:szCs w:val="16"/>
          <w:u w:val="single" w:color="auto"/>
          <w:color w:val="auto"/>
        </w:rPr>
        <w:t>2.23</w:t>
      </w:r>
      <w:r>
        <w:rPr>
          <w:rFonts w:ascii="Arial" w:cs="Arial" w:eastAsia="Arial" w:hAnsi="Arial"/>
          <w:sz w:val="16"/>
          <w:szCs w:val="16"/>
          <w:color w:val="auto"/>
        </w:rPr>
        <w:t xml:space="preserve">, </w:t>
      </w:r>
      <w:r>
        <w:rPr>
          <w:rFonts w:ascii="Arial" w:cs="Arial" w:eastAsia="Arial" w:hAnsi="Arial"/>
          <w:sz w:val="16"/>
          <w:szCs w:val="16"/>
          <w:u w:val="single" w:color="auto"/>
          <w:color w:val="auto"/>
        </w:rPr>
        <w:t>2.25</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2.26</w:t>
      </w:r>
      <w:r>
        <w:rPr>
          <w:rFonts w:ascii="Arial" w:cs="Arial" w:eastAsia="Arial" w:hAnsi="Arial"/>
          <w:sz w:val="16"/>
          <w:szCs w:val="16"/>
          <w:color w:val="auto"/>
        </w:rPr>
        <w:t xml:space="preserve"> of the Agreement; and (b)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of the Agreement.</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An Entity shall be deemed to be a “</w:t>
      </w:r>
      <w:r>
        <w:rPr>
          <w:rFonts w:ascii="Arial" w:cs="Arial" w:eastAsia="Arial" w:hAnsi="Arial"/>
          <w:sz w:val="18"/>
          <w:szCs w:val="18"/>
          <w:u w:val="single" w:color="auto"/>
          <w:color w:val="auto"/>
        </w:rPr>
        <w:t>Subsidiary</w:t>
      </w:r>
      <w:r>
        <w:rPr>
          <w:rFonts w:ascii="Arial" w:cs="Arial" w:eastAsia="Arial" w:hAnsi="Arial"/>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7" w:lineRule="exact"/>
        <w:rPr>
          <w:sz w:val="20"/>
          <w:szCs w:val="20"/>
          <w:color w:val="auto"/>
        </w:rPr>
      </w:pPr>
    </w:p>
    <w:p>
      <w:pPr>
        <w:ind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Supply Chain Customer</w:t>
      </w:r>
      <w:r>
        <w:rPr>
          <w:rFonts w:ascii="Arial" w:cs="Arial" w:eastAsia="Arial" w:hAnsi="Arial"/>
          <w:sz w:val="16"/>
          <w:szCs w:val="16"/>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0980"/>
          </w:cols>
          <w:pgMar w:left="440" w:top="274" w:right="479" w:bottom="1440" w:gutter="0" w:footer="0" w:header="0"/>
        </w:sectPr>
      </w:pPr>
    </w:p>
    <w:bookmarkStart w:id="119" w:name="page120"/>
    <w:bookmarkEnd w:id="11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Delaware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Tail Policy Purchaser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8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w:t>
      </w:r>
      <w:r>
        <w:rPr>
          <w:rFonts w:ascii="Arial" w:cs="Arial" w:eastAsia="Arial" w:hAnsi="Arial"/>
          <w:sz w:val="16"/>
          <w:szCs w:val="16"/>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57" w:lineRule="exact"/>
        <w:rPr>
          <w:sz w:val="20"/>
          <w:szCs w:val="20"/>
          <w:color w:val="auto"/>
        </w:rPr>
      </w:pPr>
    </w:p>
    <w:p>
      <w:pPr>
        <w:ind w:right="4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 Return</w:t>
      </w:r>
      <w:r>
        <w:rPr>
          <w:rFonts w:ascii="Arial" w:cs="Arial" w:eastAsia="Arial" w:hAnsi="Arial"/>
          <w:sz w:val="16"/>
          <w:szCs w:val="16"/>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Export and Import Law</w:t>
      </w:r>
      <w:r>
        <w:rPr>
          <w:rFonts w:ascii="Arial" w:cs="Arial" w:eastAsia="Arial" w:hAnsi="Arial"/>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Company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Marvell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Company MSU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right="9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w:t>
      </w:r>
      <w:r>
        <w:rPr>
          <w:rFonts w:ascii="Arial" w:cs="Arial" w:eastAsia="Arial" w:hAnsi="Arial"/>
          <w:sz w:val="18"/>
          <w:szCs w:val="18"/>
          <w:color w:val="auto"/>
        </w:rPr>
        <w:t>” means, collectively, the WARN Act and all similar foreign, state, or local “mass layoff,” “relocation,” “planting closing” or “termination” Legal Requirements.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means the Worker Adjustment and Retraining Notification Act of 1988, as amended.</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0980"/>
          </w:cols>
          <w:pgMar w:left="440" w:top="274" w:right="479" w:bottom="1440" w:gutter="0" w:footer="0" w:header="0"/>
        </w:sectPr>
      </w:pPr>
    </w:p>
    <w:bookmarkStart w:id="120" w:name="page121"/>
    <w:bookmarkEnd w:id="12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B</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STATUTORY MERGER AGREEMENT</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9019"/>
          </w:cols>
          <w:pgMar w:left="1440" w:top="270" w:right="1440" w:bottom="1440" w:gutter="0" w:footer="0" w:header="0"/>
        </w:sectPr>
      </w:pPr>
    </w:p>
    <w:bookmarkStart w:id="121" w:name="page122"/>
    <w:bookmarkEnd w:id="12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AMENDED AND RESTATED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CERTIFICATE OF INCORPORATION OF HOLDCO</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9019"/>
          </w:cols>
          <w:pgMar w:left="1440" w:top="270" w:right="1440" w:bottom="1440" w:gutter="0" w:footer="0" w:header="0"/>
        </w:sectPr>
      </w:pPr>
    </w:p>
    <w:bookmarkStart w:id="122" w:name="page123"/>
    <w:bookmarkEnd w:id="12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D</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FORM OF AMENDED AND RESTATED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BYLAWS OF HOLDCO</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9019"/>
          </w:cols>
          <w:pgMar w:left="1440" w:top="270" w:right="1440" w:bottom="1440" w:gutter="0" w:footer="0" w:header="0"/>
        </w:sectPr>
      </w:pPr>
    </w:p>
    <w:bookmarkStart w:id="123" w:name="page124"/>
    <w:bookmarkEnd w:id="12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E</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FORM OF MARVELL BYE-LAW AMENDMENT</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9019"/>
          </w:cols>
          <w:pgMar w:left="1440" w:top="270" w:right="1440" w:bottom="1440" w:gutter="0" w:footer="0" w:header="0"/>
        </w:sectPr>
      </w:pPr>
    </w:p>
    <w:bookmarkStart w:id="124" w:name="page125"/>
    <w:bookmarkEnd w:id="124"/>
    <w:p>
      <w:pPr>
        <w:jc w:val="right"/>
        <w:spacing w:after="0"/>
        <w:rPr>
          <w:sz w:val="20"/>
          <w:szCs w:val="20"/>
          <w:color w:val="auto"/>
        </w:rPr>
      </w:pPr>
      <w:r>
        <w:rPr>
          <w:rFonts w:ascii="Arial" w:cs="Arial" w:eastAsia="Arial" w:hAnsi="Arial"/>
          <w:sz w:val="18"/>
          <w:szCs w:val="18"/>
          <w:b w:val="1"/>
          <w:bCs w:val="1"/>
          <w:color w:val="auto"/>
        </w:rPr>
        <w:t>Exhibit 10.1</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u w:val="single" w:color="auto"/>
          <w:color w:val="auto"/>
        </w:rPr>
        <w:t>Execution Version</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JPMORGAN CHASE BANK, N.A.</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383 Madison Avenue</w:t>
      </w:r>
    </w:p>
    <w:p>
      <w:pPr>
        <w:spacing w:after="0" w:line="103"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New York, NY 10179</w:t>
      </w:r>
    </w:p>
    <w:p>
      <w:pPr>
        <w:spacing w:after="0" w:line="117" w:lineRule="exact"/>
        <w:rPr>
          <w:sz w:val="20"/>
          <w:szCs w:val="20"/>
          <w:color w:val="auto"/>
        </w:rPr>
      </w:pPr>
    </w:p>
    <w:p>
      <w:pPr>
        <w:ind w:left="9760"/>
        <w:spacing w:after="0"/>
        <w:rPr>
          <w:sz w:val="20"/>
          <w:szCs w:val="20"/>
          <w:color w:val="auto"/>
        </w:rPr>
      </w:pPr>
      <w:r>
        <w:rPr>
          <w:rFonts w:ascii="Arial" w:cs="Arial" w:eastAsia="Arial" w:hAnsi="Arial"/>
          <w:sz w:val="16"/>
          <w:szCs w:val="16"/>
          <w:color w:val="auto"/>
        </w:rPr>
        <w:t>October 29, 2020</w:t>
      </w:r>
    </w:p>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Project Palau</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364-Day Bridge Facility</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Commitment Letter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Maui Holdco,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Jean Hu, Chief Financial Officer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Marvell Technology Group Ltd., a Bermuda exempted company (“</w:t>
      </w:r>
      <w:r>
        <w:rPr>
          <w:rFonts w:ascii="Arial" w:cs="Arial" w:eastAsia="Arial" w:hAnsi="Arial"/>
          <w:sz w:val="17"/>
          <w:szCs w:val="17"/>
          <w:b w:val="1"/>
          <w:bCs w:val="1"/>
          <w:i w:val="1"/>
          <w:iCs w:val="1"/>
          <w:color w:val="auto"/>
        </w:rPr>
        <w:t>you</w:t>
      </w:r>
      <w:r>
        <w:rPr>
          <w:rFonts w:ascii="Arial" w:cs="Arial" w:eastAsia="Arial" w:hAnsi="Arial"/>
          <w:sz w:val="17"/>
          <w:szCs w:val="17"/>
          <w:color w:val="auto"/>
        </w:rPr>
        <w:t>” or “</w:t>
      </w:r>
      <w:r>
        <w:rPr>
          <w:rFonts w:ascii="Arial" w:cs="Arial" w:eastAsia="Arial" w:hAnsi="Arial"/>
          <w:sz w:val="17"/>
          <w:szCs w:val="17"/>
          <w:b w:val="1"/>
          <w:bCs w:val="1"/>
          <w:i w:val="1"/>
          <w:iCs w:val="1"/>
          <w:color w:val="auto"/>
        </w:rPr>
        <w:t>Maui</w:t>
      </w:r>
      <w:r>
        <w:rPr>
          <w:rFonts w:ascii="Arial" w:cs="Arial" w:eastAsia="Arial" w:hAnsi="Arial"/>
          <w:sz w:val="17"/>
          <w:szCs w:val="17"/>
          <w:color w:val="auto"/>
        </w:rPr>
        <w:t>”), has advised JPMorgan Chase Bank N.A. (“</w:t>
      </w:r>
      <w:r>
        <w:rPr>
          <w:rFonts w:ascii="Arial" w:cs="Arial" w:eastAsia="Arial" w:hAnsi="Arial"/>
          <w:sz w:val="17"/>
          <w:szCs w:val="17"/>
          <w:b w:val="1"/>
          <w:bCs w:val="1"/>
          <w:i w:val="1"/>
          <w:iCs w:val="1"/>
          <w:color w:val="auto"/>
        </w:rPr>
        <w:t>JPMorgan</w:t>
      </w:r>
      <w:r>
        <w:rPr>
          <w:rFonts w:ascii="Arial" w:cs="Arial" w:eastAsia="Arial" w:hAnsi="Arial"/>
          <w:sz w:val="17"/>
          <w:szCs w:val="17"/>
          <w:color w:val="auto"/>
        </w:rPr>
        <w:t>”, the</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Commitment Party</w:t>
      </w:r>
      <w:r>
        <w:rPr>
          <w:rFonts w:ascii="Arial" w:cs="Arial" w:eastAsia="Arial" w:hAnsi="Arial"/>
          <w:sz w:val="16"/>
          <w:szCs w:val="16"/>
          <w:color w:val="auto"/>
        </w:rPr>
        <w:t>”, “</w:t>
      </w:r>
      <w:r>
        <w:rPr>
          <w:rFonts w:ascii="Arial" w:cs="Arial" w:eastAsia="Arial" w:hAnsi="Arial"/>
          <w:sz w:val="16"/>
          <w:szCs w:val="16"/>
          <w:b w:val="1"/>
          <w:bCs w:val="1"/>
          <w:i w:val="1"/>
          <w:iCs w:val="1"/>
          <w:color w:val="auto"/>
        </w:rPr>
        <w:t>we</w:t>
      </w:r>
      <w:r>
        <w:rPr>
          <w:rFonts w:ascii="Arial" w:cs="Arial" w:eastAsia="Arial" w:hAnsi="Arial"/>
          <w:sz w:val="16"/>
          <w:szCs w:val="16"/>
          <w:color w:val="auto"/>
        </w:rPr>
        <w:t>” or “</w:t>
      </w:r>
      <w:r>
        <w:rPr>
          <w:rFonts w:ascii="Arial" w:cs="Arial" w:eastAsia="Arial" w:hAnsi="Arial"/>
          <w:sz w:val="16"/>
          <w:szCs w:val="16"/>
          <w:b w:val="1"/>
          <w:bCs w:val="1"/>
          <w:i w:val="1"/>
          <w:iCs w:val="1"/>
          <w:color w:val="auto"/>
        </w:rPr>
        <w:t>us</w:t>
      </w:r>
      <w:r>
        <w:rPr>
          <w:rFonts w:ascii="Arial" w:cs="Arial" w:eastAsia="Arial" w:hAnsi="Arial"/>
          <w:sz w:val="16"/>
          <w:szCs w:val="16"/>
          <w:color w:val="auto"/>
        </w:rPr>
        <w:t>”) that it intends to acquire (the “</w:t>
      </w:r>
      <w:r>
        <w:rPr>
          <w:rFonts w:ascii="Arial" w:cs="Arial" w:eastAsia="Arial" w:hAnsi="Arial"/>
          <w:sz w:val="16"/>
          <w:szCs w:val="16"/>
          <w:b w:val="1"/>
          <w:bCs w:val="1"/>
          <w:i w:val="1"/>
          <w:iCs w:val="1"/>
          <w:color w:val="auto"/>
        </w:rPr>
        <w:t>Acquisition</w:t>
      </w:r>
      <w:r>
        <w:rPr>
          <w:rFonts w:ascii="Arial" w:cs="Arial" w:eastAsia="Arial" w:hAnsi="Arial"/>
          <w:sz w:val="16"/>
          <w:szCs w:val="16"/>
          <w:color w:val="auto"/>
        </w:rPr>
        <w:t>”) a Delaware corporation previously identified to us and codenamed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“Indigo” (the “</w:t>
      </w:r>
      <w:r>
        <w:rPr>
          <w:rFonts w:ascii="Arial" w:cs="Arial" w:eastAsia="Arial" w:hAnsi="Arial"/>
          <w:sz w:val="16"/>
          <w:szCs w:val="16"/>
          <w:b w:val="1"/>
          <w:bCs w:val="1"/>
          <w:i w:val="1"/>
          <w:iCs w:val="1"/>
          <w:color w:val="auto"/>
        </w:rPr>
        <w:t>Target</w:t>
      </w:r>
      <w:r>
        <w:rPr>
          <w:rFonts w:ascii="Arial" w:cs="Arial" w:eastAsia="Arial" w:hAnsi="Arial"/>
          <w:sz w:val="16"/>
          <w:szCs w:val="16"/>
          <w:color w:val="auto"/>
        </w:rPr>
        <w:t>”, and together with its subsidiaries, the “</w:t>
      </w:r>
      <w:r>
        <w:rPr>
          <w:rFonts w:ascii="Arial" w:cs="Arial" w:eastAsia="Arial" w:hAnsi="Arial"/>
          <w:sz w:val="16"/>
          <w:szCs w:val="16"/>
          <w:b w:val="1"/>
          <w:bCs w:val="1"/>
          <w:i w:val="1"/>
          <w:iCs w:val="1"/>
          <w:color w:val="auto"/>
        </w:rPr>
        <w:t>Acquired Business</w:t>
      </w:r>
      <w:r>
        <w:rPr>
          <w:rFonts w:ascii="Arial" w:cs="Arial" w:eastAsia="Arial" w:hAnsi="Arial"/>
          <w:sz w:val="16"/>
          <w:szCs w:val="16"/>
          <w:color w:val="auto"/>
        </w:rPr>
        <w:t>”) pursuant to an agreement and plan of merger and reorganization,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 dated as of the date hereof (including the exhibits and schedules thereto, collectively, the “</w:t>
      </w:r>
      <w:r>
        <w:rPr>
          <w:rFonts w:ascii="Arial" w:cs="Arial" w:eastAsia="Arial" w:hAnsi="Arial"/>
          <w:sz w:val="16"/>
          <w:szCs w:val="16"/>
          <w:b w:val="1"/>
          <w:bCs w:val="1"/>
          <w:i w:val="1"/>
          <w:iCs w:val="1"/>
          <w:color w:val="auto"/>
        </w:rPr>
        <w:t>Acquisition Agreement</w:t>
      </w:r>
      <w:r>
        <w:rPr>
          <w:rFonts w:ascii="Arial" w:cs="Arial" w:eastAsia="Arial" w:hAnsi="Arial"/>
          <w:sz w:val="16"/>
          <w:szCs w:val="16"/>
          <w:color w:val="auto"/>
        </w:rPr>
        <w:t>”), by and among Maui, Target,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Maui Holdco, Inc., a Delaware corporation and a wholly-owned subsidiary of Maui (“</w:t>
      </w:r>
      <w:r>
        <w:rPr>
          <w:rFonts w:ascii="Arial" w:cs="Arial" w:eastAsia="Arial" w:hAnsi="Arial"/>
          <w:sz w:val="17"/>
          <w:szCs w:val="17"/>
          <w:b w:val="1"/>
          <w:bCs w:val="1"/>
          <w:i w:val="1"/>
          <w:iCs w:val="1"/>
          <w:color w:val="auto"/>
        </w:rPr>
        <w:t>Holdco</w:t>
      </w:r>
      <w:r>
        <w:rPr>
          <w:rFonts w:ascii="Arial" w:cs="Arial" w:eastAsia="Arial" w:hAnsi="Arial"/>
          <w:sz w:val="17"/>
          <w:szCs w:val="17"/>
          <w:color w:val="auto"/>
        </w:rPr>
        <w:t>” or the “</w:t>
      </w:r>
      <w:r>
        <w:rPr>
          <w:rFonts w:ascii="Arial" w:cs="Arial" w:eastAsia="Arial" w:hAnsi="Arial"/>
          <w:sz w:val="17"/>
          <w:szCs w:val="17"/>
          <w:b w:val="1"/>
          <w:bCs w:val="1"/>
          <w:i w:val="1"/>
          <w:iCs w:val="1"/>
          <w:color w:val="auto"/>
        </w:rPr>
        <w:t>Borrower</w:t>
      </w:r>
      <w:r>
        <w:rPr>
          <w:rFonts w:ascii="Arial" w:cs="Arial" w:eastAsia="Arial" w:hAnsi="Arial"/>
          <w:sz w:val="17"/>
          <w:szCs w:val="17"/>
          <w:color w:val="auto"/>
        </w:rPr>
        <w:t>”), Maui Acquisition Company Ltd, a</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Bermuda exempted company and a wholly-owned subsidiary of Holdco (“</w:t>
      </w:r>
      <w:r>
        <w:rPr>
          <w:rFonts w:ascii="Arial" w:cs="Arial" w:eastAsia="Arial" w:hAnsi="Arial"/>
          <w:sz w:val="17"/>
          <w:szCs w:val="17"/>
          <w:b w:val="1"/>
          <w:bCs w:val="1"/>
          <w:i w:val="1"/>
          <w:iCs w:val="1"/>
          <w:color w:val="auto"/>
        </w:rPr>
        <w:t>Bermuda Merger Sub</w:t>
      </w:r>
      <w:r>
        <w:rPr>
          <w:rFonts w:ascii="Arial" w:cs="Arial" w:eastAsia="Arial" w:hAnsi="Arial"/>
          <w:sz w:val="17"/>
          <w:szCs w:val="17"/>
          <w:color w:val="auto"/>
        </w:rPr>
        <w:t>”), and Indigo Acquisition Corp., a Delaware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corporation and a wholly-owned subsidiary of Holdco (“</w:t>
      </w:r>
      <w:r>
        <w:rPr>
          <w:rFonts w:ascii="Arial" w:cs="Arial" w:eastAsia="Arial" w:hAnsi="Arial"/>
          <w:sz w:val="16"/>
          <w:szCs w:val="16"/>
          <w:b w:val="1"/>
          <w:bCs w:val="1"/>
          <w:i w:val="1"/>
          <w:iCs w:val="1"/>
          <w:color w:val="auto"/>
        </w:rPr>
        <w:t>Delaware Merger Sub</w:t>
      </w:r>
      <w:r>
        <w:rPr>
          <w:rFonts w:ascii="Arial" w:cs="Arial" w:eastAsia="Arial" w:hAnsi="Arial"/>
          <w:sz w:val="16"/>
          <w:szCs w:val="16"/>
          <w:color w:val="auto"/>
        </w:rPr>
        <w:t>”), in accordance with which: (i) Bermuda Merger Sub will merge with</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and into you, with you surviving as a wholly-owned subsidiary of Holdco (the “</w:t>
      </w:r>
      <w:r>
        <w:rPr>
          <w:rFonts w:ascii="Arial" w:cs="Arial" w:eastAsia="Arial" w:hAnsi="Arial"/>
          <w:sz w:val="17"/>
          <w:szCs w:val="17"/>
          <w:b w:val="1"/>
          <w:bCs w:val="1"/>
          <w:i w:val="1"/>
          <w:iCs w:val="1"/>
          <w:color w:val="auto"/>
        </w:rPr>
        <w:t>Reorganization</w:t>
      </w:r>
      <w:r>
        <w:rPr>
          <w:rFonts w:ascii="Arial" w:cs="Arial" w:eastAsia="Arial" w:hAnsi="Arial"/>
          <w:sz w:val="17"/>
          <w:szCs w:val="17"/>
          <w:color w:val="auto"/>
        </w:rPr>
        <w:t>”); and (ii) Delaware Merger Sub will merge with and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into the Target, with the Target surviving as a wholly-owned subsidiary of Holdco and with the existing equity holders of the Target being entitled to</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receive the aggregate cash consideration (the “</w:t>
      </w:r>
      <w:r>
        <w:rPr>
          <w:rFonts w:ascii="Arial" w:cs="Arial" w:eastAsia="Arial" w:hAnsi="Arial"/>
          <w:sz w:val="16"/>
          <w:szCs w:val="16"/>
          <w:b w:val="1"/>
          <w:bCs w:val="1"/>
          <w:i w:val="1"/>
          <w:iCs w:val="1"/>
          <w:color w:val="auto"/>
        </w:rPr>
        <w:t>Acquisition Cash Consideration</w:t>
      </w:r>
      <w:r>
        <w:rPr>
          <w:rFonts w:ascii="Arial" w:cs="Arial" w:eastAsia="Arial" w:hAnsi="Arial"/>
          <w:sz w:val="16"/>
          <w:szCs w:val="16"/>
          <w:color w:val="auto"/>
        </w:rPr>
        <w:t>”) and newly issued shares of common stock of the Borrower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Acquisition Common Stock Consideration</w:t>
      </w:r>
      <w:r>
        <w:rPr>
          <w:rFonts w:ascii="Arial" w:cs="Arial" w:eastAsia="Arial" w:hAnsi="Arial"/>
          <w:sz w:val="16"/>
          <w:szCs w:val="16"/>
          <w:color w:val="auto"/>
        </w:rPr>
        <w:t>” and together with the Acquisition Cash Consideration, the “</w:t>
      </w:r>
      <w:r>
        <w:rPr>
          <w:rFonts w:ascii="Arial" w:cs="Arial" w:eastAsia="Arial" w:hAnsi="Arial"/>
          <w:sz w:val="16"/>
          <w:szCs w:val="16"/>
          <w:b w:val="1"/>
          <w:bCs w:val="1"/>
          <w:i w:val="1"/>
          <w:iCs w:val="1"/>
          <w:color w:val="auto"/>
        </w:rPr>
        <w:t>Acquisition Consideration</w:t>
      </w:r>
      <w:r>
        <w:rPr>
          <w:rFonts w:ascii="Arial" w:cs="Arial" w:eastAsia="Arial" w:hAnsi="Arial"/>
          <w:sz w:val="16"/>
          <w:szCs w:val="16"/>
          <w:color w:val="auto"/>
        </w:rPr>
        <w:t>”), in each case, as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set forth in the Acquisition Agreement as in effect on the date hereof, and, in connection therewith, to repay certain existing indebtedness of the</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Acquired Business. The date of the consummation of the Acquisition is referred to herein as the “</w:t>
      </w:r>
      <w:r>
        <w:rPr>
          <w:rFonts w:ascii="Arial" w:cs="Arial" w:eastAsia="Arial" w:hAnsi="Arial"/>
          <w:sz w:val="18"/>
          <w:szCs w:val="18"/>
          <w:b w:val="1"/>
          <w:bCs w:val="1"/>
          <w:i w:val="1"/>
          <w:iCs w:val="1"/>
          <w:color w:val="auto"/>
        </w:rPr>
        <w:t>Closing Date</w:t>
      </w:r>
      <w:r>
        <w:rPr>
          <w:rFonts w:ascii="Arial" w:cs="Arial" w:eastAsia="Arial" w:hAnsi="Arial"/>
          <w:sz w:val="18"/>
          <w:szCs w:val="18"/>
          <w:color w:val="auto"/>
        </w:rPr>
        <w:t>”.</w:t>
      </w:r>
    </w:p>
    <w:p>
      <w:pPr>
        <w:spacing w:after="0" w:line="211" w:lineRule="exact"/>
        <w:rPr>
          <w:sz w:val="20"/>
          <w:szCs w:val="20"/>
          <w:color w:val="auto"/>
        </w:rPr>
      </w:pPr>
    </w:p>
    <w:p>
      <w:pPr>
        <w:ind w:right="80" w:firstLine="440"/>
        <w:spacing w:after="0" w:line="257" w:lineRule="auto"/>
        <w:rPr>
          <w:sz w:val="20"/>
          <w:szCs w:val="20"/>
          <w:color w:val="auto"/>
        </w:rPr>
      </w:pPr>
      <w:r>
        <w:rPr>
          <w:rFonts w:ascii="Arial" w:cs="Arial" w:eastAsia="Arial" w:hAnsi="Arial"/>
          <w:sz w:val="18"/>
          <w:szCs w:val="18"/>
          <w:color w:val="auto"/>
        </w:rPr>
        <w:t>In connection therewith, you have advised us that the total amount required to effect the Acquisition (excluding common stock of the Borrower to be issued as direct consideration for the Acquisition), to repay certain existing indebtedness of the Acquired Business, and to pay the fees and expenses incurred in connection therewith (the “</w:t>
      </w:r>
      <w:r>
        <w:rPr>
          <w:rFonts w:ascii="Arial" w:cs="Arial" w:eastAsia="Arial" w:hAnsi="Arial"/>
          <w:sz w:val="18"/>
          <w:szCs w:val="18"/>
          <w:b w:val="1"/>
          <w:bCs w:val="1"/>
          <w:i w:val="1"/>
          <w:iCs w:val="1"/>
          <w:color w:val="auto"/>
        </w:rPr>
        <w:t>Transaction Costs</w:t>
      </w:r>
      <w:r>
        <w:rPr>
          <w:rFonts w:ascii="Arial" w:cs="Arial" w:eastAsia="Arial" w:hAnsi="Arial"/>
          <w:sz w:val="18"/>
          <w:szCs w:val="18"/>
          <w:color w:val="auto"/>
        </w:rPr>
        <w:t>”) is expected to be provided by a combination of (a) the issuance by you or the Borrower of unsecured debt securities, in public or private offerings the proceeds of which are to be used to finance the Transactions (the “</w:t>
      </w:r>
      <w:r>
        <w:rPr>
          <w:rFonts w:ascii="Arial" w:cs="Arial" w:eastAsia="Arial" w:hAnsi="Arial"/>
          <w:sz w:val="18"/>
          <w:szCs w:val="18"/>
          <w:b w:val="1"/>
          <w:bCs w:val="1"/>
          <w:i w:val="1"/>
          <w:iCs w:val="1"/>
          <w:color w:val="auto"/>
        </w:rPr>
        <w:t>Debt Securities</w:t>
      </w:r>
      <w:r>
        <w:rPr>
          <w:rFonts w:ascii="Arial" w:cs="Arial" w:eastAsia="Arial" w:hAnsi="Arial"/>
          <w:sz w:val="18"/>
          <w:szCs w:val="18"/>
          <w:color w:val="auto"/>
        </w:rPr>
        <w:t>”), (b) the incurrence by you or the Borrower of unsecured</w:t>
      </w:r>
    </w:p>
    <w:p>
      <w:pPr>
        <w:sectPr>
          <w:pgSz w:w="11900" w:h="16838" w:orient="portrait"/>
          <w:cols w:equalWidth="0" w:num="1">
            <w:col w:w="11020"/>
          </w:cols>
          <w:pgMar w:left="440" w:top="121" w:right="439" w:bottom="1440" w:gutter="0" w:footer="0" w:header="0"/>
        </w:sectPr>
      </w:pPr>
    </w:p>
    <w:bookmarkStart w:id="125" w:name="page126"/>
    <w:bookmarkEnd w:id="125"/>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term loan facilities (collectively, the “</w:t>
      </w:r>
      <w:r>
        <w:rPr>
          <w:rFonts w:ascii="Arial" w:cs="Arial" w:eastAsia="Arial" w:hAnsi="Arial"/>
          <w:sz w:val="18"/>
          <w:szCs w:val="18"/>
          <w:b w:val="1"/>
          <w:bCs w:val="1"/>
          <w:i w:val="1"/>
          <w:iCs w:val="1"/>
          <w:color w:val="auto"/>
        </w:rPr>
        <w:t>Term Loan Facility</w:t>
      </w:r>
      <w:r>
        <w:rPr>
          <w:rFonts w:ascii="Arial" w:cs="Arial" w:eastAsia="Arial" w:hAnsi="Arial"/>
          <w:sz w:val="18"/>
          <w:szCs w:val="18"/>
          <w:color w:val="auto"/>
        </w:rPr>
        <w:t>” and, together with the Debt Securities, the “</w:t>
      </w:r>
      <w:r>
        <w:rPr>
          <w:rFonts w:ascii="Arial" w:cs="Arial" w:eastAsia="Arial" w:hAnsi="Arial"/>
          <w:sz w:val="18"/>
          <w:szCs w:val="18"/>
          <w:b w:val="1"/>
          <w:bCs w:val="1"/>
          <w:i w:val="1"/>
          <w:iCs w:val="1"/>
          <w:color w:val="auto"/>
        </w:rPr>
        <w:t>Permanent Financing</w:t>
      </w:r>
      <w:r>
        <w:rPr>
          <w:rFonts w:ascii="Arial" w:cs="Arial" w:eastAsia="Arial" w:hAnsi="Arial"/>
          <w:sz w:val="18"/>
          <w:szCs w:val="18"/>
          <w:color w:val="auto"/>
        </w:rPr>
        <w:t>”) and/or (c) to the extent that Debt Securities are not issued on or prior to the Closing Date in an aggregate amount of at least $2,500,000,000, the borrowing by the Borrower of loans under a 364-day senior unsecured bridge term loan facility (the “</w:t>
      </w:r>
      <w:r>
        <w:rPr>
          <w:rFonts w:ascii="Arial" w:cs="Arial" w:eastAsia="Arial" w:hAnsi="Arial"/>
          <w:sz w:val="18"/>
          <w:szCs w:val="18"/>
          <w:b w:val="1"/>
          <w:bCs w:val="1"/>
          <w:i w:val="1"/>
          <w:iCs w:val="1"/>
          <w:color w:val="auto"/>
        </w:rPr>
        <w:t>Bridge Facility</w:t>
      </w:r>
      <w:r>
        <w:rPr>
          <w:rFonts w:ascii="Arial" w:cs="Arial" w:eastAsia="Arial" w:hAnsi="Arial"/>
          <w:sz w:val="18"/>
          <w:szCs w:val="18"/>
          <w:color w:val="auto"/>
        </w:rPr>
        <w:t>”) in an aggregate principal amount not to exceed $2,500,000,000. You have further advised us that in connection therewith, it is expected that either (i) the term loan facility under the Existing Credit Agreement shall be amended prior to the Closing Date to permit the Transactions (as defined below) or (ii) all outstanding term loans thereunder shall be repaid in full. The Acquisition, the entering into and funding of the Bridge Facility, the Permanent Financing, the repayment of certain existing indebtedness of the Acquired Business and the transactions contemplated by or related to the foregoing are collectively referred to as the “</w:t>
      </w:r>
      <w:r>
        <w:rPr>
          <w:rFonts w:ascii="Arial" w:cs="Arial" w:eastAsia="Arial" w:hAnsi="Arial"/>
          <w:sz w:val="18"/>
          <w:szCs w:val="18"/>
          <w:b w:val="1"/>
          <w:bCs w:val="1"/>
          <w:i w:val="1"/>
          <w:iCs w:val="1"/>
          <w:color w:val="auto"/>
        </w:rPr>
        <w:t>Transactions</w:t>
      </w:r>
      <w:r>
        <w:rPr>
          <w:rFonts w:ascii="Arial" w:cs="Arial" w:eastAsia="Arial" w:hAnsi="Arial"/>
          <w:sz w:val="18"/>
          <w:szCs w:val="18"/>
          <w:color w:val="auto"/>
        </w:rPr>
        <w:t>”.</w:t>
      </w:r>
    </w:p>
    <w:p>
      <w:pPr>
        <w:spacing w:after="0" w:line="192" w:lineRule="exact"/>
        <w:rPr>
          <w:sz w:val="20"/>
          <w:szCs w:val="20"/>
          <w:color w:val="auto"/>
        </w:rPr>
      </w:pPr>
    </w:p>
    <w:p>
      <w:pPr>
        <w:ind w:left="620" w:hanging="184"/>
        <w:spacing w:after="0"/>
        <w:tabs>
          <w:tab w:leader="none" w:pos="620" w:val="left"/>
        </w:tabs>
        <w:numPr>
          <w:ilvl w:val="0"/>
          <w:numId w:val="183"/>
        </w:numPr>
        <w:rPr>
          <w:rFonts w:ascii="Arial" w:cs="Arial" w:eastAsia="Arial" w:hAnsi="Arial"/>
          <w:sz w:val="18"/>
          <w:szCs w:val="18"/>
          <w:color w:val="auto"/>
        </w:rPr>
      </w:pPr>
      <w:r>
        <w:rPr>
          <w:rFonts w:ascii="Arial" w:cs="Arial" w:eastAsia="Arial" w:hAnsi="Arial"/>
          <w:sz w:val="18"/>
          <w:szCs w:val="18"/>
          <w:u w:val="single" w:color="auto"/>
          <w:color w:val="auto"/>
        </w:rPr>
        <w:t>Commitment</w:t>
      </w:r>
    </w:p>
    <w:p>
      <w:pPr>
        <w:spacing w:after="0" w:line="225" w:lineRule="exact"/>
        <w:rPr>
          <w:sz w:val="20"/>
          <w:szCs w:val="20"/>
          <w:color w:val="auto"/>
        </w:rPr>
      </w:pPr>
    </w:p>
    <w:p>
      <w:pPr>
        <w:ind w:right="140" w:firstLine="440"/>
        <w:spacing w:after="0" w:line="311" w:lineRule="auto"/>
        <w:rPr>
          <w:sz w:val="20"/>
          <w:szCs w:val="20"/>
          <w:color w:val="auto"/>
        </w:rPr>
      </w:pPr>
      <w:r>
        <w:rPr>
          <w:rFonts w:ascii="Arial" w:cs="Arial" w:eastAsia="Arial" w:hAnsi="Arial"/>
          <w:sz w:val="16"/>
          <w:szCs w:val="16"/>
          <w:color w:val="auto"/>
        </w:rPr>
        <w:t>The Commitment Party is pleased to advise you of its commitment to provide the entire amount of the Bridge Facility (the “</w:t>
      </w:r>
      <w:r>
        <w:rPr>
          <w:rFonts w:ascii="Arial" w:cs="Arial" w:eastAsia="Arial" w:hAnsi="Arial"/>
          <w:sz w:val="16"/>
          <w:szCs w:val="16"/>
          <w:b w:val="1"/>
          <w:bCs w:val="1"/>
          <w:i w:val="1"/>
          <w:iCs w:val="1"/>
          <w:color w:val="auto"/>
        </w:rPr>
        <w:t>Commitment</w:t>
      </w:r>
      <w:r>
        <w:rPr>
          <w:rFonts w:ascii="Arial" w:cs="Arial" w:eastAsia="Arial" w:hAnsi="Arial"/>
          <w:sz w:val="16"/>
          <w:szCs w:val="16"/>
          <w:color w:val="auto"/>
        </w:rPr>
        <w:t>”) upon the terms and conditions set forth or referred to in this commitment letter (the “</w:t>
      </w:r>
      <w:r>
        <w:rPr>
          <w:rFonts w:ascii="Arial" w:cs="Arial" w:eastAsia="Arial" w:hAnsi="Arial"/>
          <w:sz w:val="16"/>
          <w:szCs w:val="16"/>
          <w:b w:val="1"/>
          <w:bCs w:val="1"/>
          <w:i w:val="1"/>
          <w:iCs w:val="1"/>
          <w:color w:val="auto"/>
        </w:rPr>
        <w:t>Commitment Letter</w:t>
      </w:r>
      <w:r>
        <w:rPr>
          <w:rFonts w:ascii="Arial" w:cs="Arial" w:eastAsia="Arial" w:hAnsi="Arial"/>
          <w:sz w:val="16"/>
          <w:szCs w:val="16"/>
          <w:color w:val="auto"/>
        </w:rPr>
        <w:t>”) and in the Summary of Terms and Conditions attached hereto as Exhibit A (together with Exhibit B hereto, the “</w:t>
      </w:r>
      <w:r>
        <w:rPr>
          <w:rFonts w:ascii="Arial" w:cs="Arial" w:eastAsia="Arial" w:hAnsi="Arial"/>
          <w:sz w:val="16"/>
          <w:szCs w:val="16"/>
          <w:b w:val="1"/>
          <w:bCs w:val="1"/>
          <w:i w:val="1"/>
          <w:iCs w:val="1"/>
          <w:color w:val="auto"/>
        </w:rPr>
        <w:t>Term Sheet</w:t>
      </w:r>
      <w:r>
        <w:rPr>
          <w:rFonts w:ascii="Arial" w:cs="Arial" w:eastAsia="Arial" w:hAnsi="Arial"/>
          <w:sz w:val="16"/>
          <w:szCs w:val="16"/>
          <w:color w:val="auto"/>
        </w:rPr>
        <w:t>”) and subject solely to the Funding Conditions (as defined below).</w:t>
      </w:r>
    </w:p>
    <w:p>
      <w:pPr>
        <w:spacing w:after="0" w:line="149" w:lineRule="exact"/>
        <w:rPr>
          <w:sz w:val="20"/>
          <w:szCs w:val="20"/>
          <w:color w:val="auto"/>
        </w:rPr>
      </w:pPr>
    </w:p>
    <w:p>
      <w:pPr>
        <w:ind w:left="620" w:hanging="184"/>
        <w:spacing w:after="0"/>
        <w:tabs>
          <w:tab w:leader="none" w:pos="620" w:val="left"/>
        </w:tabs>
        <w:numPr>
          <w:ilvl w:val="0"/>
          <w:numId w:val="184"/>
        </w:numPr>
        <w:rPr>
          <w:rFonts w:ascii="Arial" w:cs="Arial" w:eastAsia="Arial" w:hAnsi="Arial"/>
          <w:sz w:val="18"/>
          <w:szCs w:val="18"/>
          <w:color w:val="auto"/>
        </w:rPr>
      </w:pPr>
      <w:r>
        <w:rPr>
          <w:rFonts w:ascii="Arial" w:cs="Arial" w:eastAsia="Arial" w:hAnsi="Arial"/>
          <w:sz w:val="18"/>
          <w:szCs w:val="18"/>
          <w:u w:val="single" w:color="auto"/>
          <w:color w:val="auto"/>
        </w:rPr>
        <w:t>Titles and Roles</w:t>
      </w:r>
    </w:p>
    <w:p>
      <w:pPr>
        <w:spacing w:after="0" w:line="225" w:lineRule="exact"/>
        <w:rPr>
          <w:sz w:val="20"/>
          <w:szCs w:val="20"/>
          <w:color w:val="auto"/>
        </w:rPr>
      </w:pPr>
    </w:p>
    <w:p>
      <w:pPr>
        <w:ind w:right="240" w:firstLine="440"/>
        <w:spacing w:after="0" w:line="255" w:lineRule="auto"/>
        <w:rPr>
          <w:sz w:val="20"/>
          <w:szCs w:val="20"/>
          <w:color w:val="auto"/>
        </w:rPr>
      </w:pPr>
      <w:r>
        <w:rPr>
          <w:rFonts w:ascii="Arial" w:cs="Arial" w:eastAsia="Arial" w:hAnsi="Arial"/>
          <w:sz w:val="18"/>
          <w:szCs w:val="18"/>
          <w:color w:val="auto"/>
        </w:rPr>
        <w:t>It is agreed that JPMorgan will act as the sole and exclusive Administrative Agent (in such capacity, the “</w:t>
      </w:r>
      <w:r>
        <w:rPr>
          <w:rFonts w:ascii="Arial" w:cs="Arial" w:eastAsia="Arial" w:hAnsi="Arial"/>
          <w:sz w:val="18"/>
          <w:szCs w:val="18"/>
          <w:b w:val="1"/>
          <w:bCs w:val="1"/>
          <w:i w:val="1"/>
          <w:iCs w:val="1"/>
          <w:color w:val="auto"/>
        </w:rPr>
        <w:t>Administrative Agent</w:t>
      </w:r>
      <w:r>
        <w:rPr>
          <w:rFonts w:ascii="Arial" w:cs="Arial" w:eastAsia="Arial" w:hAnsi="Arial"/>
          <w:sz w:val="18"/>
          <w:szCs w:val="18"/>
          <w:color w:val="auto"/>
        </w:rPr>
        <w:t>”), and that JPMorgan will act as the sole and exclusive lead arranger and bookrunner (in such capacities, the “</w:t>
      </w:r>
      <w:r>
        <w:rPr>
          <w:rFonts w:ascii="Arial" w:cs="Arial" w:eastAsia="Arial" w:hAnsi="Arial"/>
          <w:sz w:val="18"/>
          <w:szCs w:val="18"/>
          <w:b w:val="1"/>
          <w:bCs w:val="1"/>
          <w:i w:val="1"/>
          <w:iCs w:val="1"/>
          <w:color w:val="auto"/>
        </w:rPr>
        <w:t>Lead Arranger</w:t>
      </w:r>
      <w:r>
        <w:rPr>
          <w:rFonts w:ascii="Arial" w:cs="Arial" w:eastAsia="Arial" w:hAnsi="Arial"/>
          <w:sz w:val="18"/>
          <w:szCs w:val="18"/>
          <w:color w:val="auto"/>
        </w:rPr>
        <w:t xml:space="preserve">”) for the Bridge Facility;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Borrower agrees that JPMorgan may perform its responsibilities hereunder through its affiliate J.P. Morgan Securities LLC. You agree that no other agents, co-agents, bookrunners or arrangers will be appointed, no other titles will be awarded and no compensation (other than as expressly contemplated by this Commitment Letter and the Fee Letter referred to below) will be paid in connection with the Bridge Facility;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you may assign agent or co-agent titles as reasonably agreed by us.</w:t>
      </w:r>
    </w:p>
    <w:p>
      <w:pPr>
        <w:spacing w:after="0" w:line="192" w:lineRule="exact"/>
        <w:rPr>
          <w:sz w:val="20"/>
          <w:szCs w:val="20"/>
          <w:color w:val="auto"/>
        </w:rPr>
      </w:pPr>
    </w:p>
    <w:p>
      <w:pPr>
        <w:ind w:left="620" w:hanging="184"/>
        <w:spacing w:after="0"/>
        <w:tabs>
          <w:tab w:leader="none" w:pos="620" w:val="left"/>
        </w:tabs>
        <w:numPr>
          <w:ilvl w:val="0"/>
          <w:numId w:val="185"/>
        </w:numPr>
        <w:rPr>
          <w:rFonts w:ascii="Arial" w:cs="Arial" w:eastAsia="Arial" w:hAnsi="Arial"/>
          <w:sz w:val="18"/>
          <w:szCs w:val="18"/>
          <w:color w:val="auto"/>
        </w:rPr>
      </w:pPr>
      <w:r>
        <w:rPr>
          <w:rFonts w:ascii="Arial" w:cs="Arial" w:eastAsia="Arial" w:hAnsi="Arial"/>
          <w:sz w:val="18"/>
          <w:szCs w:val="18"/>
          <w:u w:val="single" w:color="auto"/>
          <w:color w:val="auto"/>
        </w:rPr>
        <w:t>Syndication</w:t>
      </w:r>
    </w:p>
    <w:p>
      <w:pPr>
        <w:spacing w:after="0" w:line="225" w:lineRule="exact"/>
        <w:rPr>
          <w:sz w:val="20"/>
          <w:szCs w:val="20"/>
          <w:color w:val="auto"/>
        </w:rPr>
      </w:pPr>
    </w:p>
    <w:p>
      <w:pPr>
        <w:ind w:right="20" w:firstLine="440"/>
        <w:spacing w:after="0" w:line="269" w:lineRule="auto"/>
        <w:rPr>
          <w:sz w:val="20"/>
          <w:szCs w:val="20"/>
          <w:color w:val="auto"/>
        </w:rPr>
      </w:pPr>
      <w:r>
        <w:rPr>
          <w:rFonts w:ascii="Arial" w:cs="Arial" w:eastAsia="Arial" w:hAnsi="Arial"/>
          <w:sz w:val="17"/>
          <w:szCs w:val="17"/>
          <w:color w:val="auto"/>
        </w:rPr>
        <w:t>We intend to syndicate the Bridge Facility to a group of financial institutions (together with JPMorgan, the “</w:t>
      </w:r>
      <w:r>
        <w:rPr>
          <w:rFonts w:ascii="Arial" w:cs="Arial" w:eastAsia="Arial" w:hAnsi="Arial"/>
          <w:sz w:val="17"/>
          <w:szCs w:val="17"/>
          <w:b w:val="1"/>
          <w:bCs w:val="1"/>
          <w:i w:val="1"/>
          <w:iCs w:val="1"/>
          <w:color w:val="auto"/>
        </w:rPr>
        <w:t>Lenders</w:t>
      </w:r>
      <w:r>
        <w:rPr>
          <w:rFonts w:ascii="Arial" w:cs="Arial" w:eastAsia="Arial" w:hAnsi="Arial"/>
          <w:sz w:val="17"/>
          <w:szCs w:val="17"/>
          <w:color w:val="auto"/>
        </w:rPr>
        <w:t>”) identified by us in consultation with you. JPMorgan intends to commence syndication efforts promptly upon the execution of this Commitment Letter and the execution of the Acquisition Agreement (which syndication shall not reduce the commitment of the Commitment Party hereunder, except as provided for in the first paragraph of Section 10 hereof). Until the earlier of 60 days following the Closing Date and the completion of a Successful Syndication (as defined in the Fee Letter (as defined below)) (such earlier date, the “</w:t>
      </w:r>
      <w:r>
        <w:rPr>
          <w:rFonts w:ascii="Arial" w:cs="Arial" w:eastAsia="Arial" w:hAnsi="Arial"/>
          <w:sz w:val="17"/>
          <w:szCs w:val="17"/>
          <w:b w:val="1"/>
          <w:bCs w:val="1"/>
          <w:i w:val="1"/>
          <w:iCs w:val="1"/>
          <w:color w:val="auto"/>
        </w:rPr>
        <w:t>Syndication Date</w:t>
      </w:r>
      <w:r>
        <w:rPr>
          <w:rFonts w:ascii="Arial" w:cs="Arial" w:eastAsia="Arial" w:hAnsi="Arial"/>
          <w:sz w:val="17"/>
          <w:szCs w:val="17"/>
          <w:color w:val="auto"/>
        </w:rPr>
        <w:t>”), you agree actively to assist (and to use your commercially reasonable efforts to cause the Acquired Business to actively assist) JPMorgan in completing a Successful Syndication. Such assistance shall include (a) your using commercially reasonable efforts to ensure that the syndication efforts benefit materially from your existing lending relationships, (b) direct contact between your senior management and advisors and the proposed Lenders (and using your commercially reasonable efforts to ensure such contact between senior management of the Target and the proposed Lenders) on reasonable prior notice and at reasonable times and places, (c) your assistance in the preparation of a confidential information memorandum with respect to the Bridge Facility in form and substance customary for transactions of this type and otherwise reasonably satisfactory to JPMorgan (each a “</w:t>
      </w:r>
      <w:r>
        <w:rPr>
          <w:rFonts w:ascii="Arial" w:cs="Arial" w:eastAsia="Arial" w:hAnsi="Arial"/>
          <w:sz w:val="17"/>
          <w:szCs w:val="17"/>
          <w:b w:val="1"/>
          <w:bCs w:val="1"/>
          <w:i w:val="1"/>
          <w:iCs w:val="1"/>
          <w:color w:val="auto"/>
        </w:rPr>
        <w:t>Confidential Information</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126" w:name="page127"/>
    <w:bookmarkEnd w:id="126"/>
    <w:p>
      <w:pPr>
        <w:ind w:left="4"/>
        <w:spacing w:after="0" w:line="285" w:lineRule="auto"/>
        <w:rPr>
          <w:sz w:val="20"/>
          <w:szCs w:val="20"/>
          <w:color w:val="auto"/>
        </w:rPr>
      </w:pPr>
      <w:r>
        <w:rPr>
          <w:rFonts w:ascii="Arial" w:cs="Arial" w:eastAsia="Arial" w:hAnsi="Arial"/>
          <w:sz w:val="16"/>
          <w:szCs w:val="16"/>
          <w:b w:val="1"/>
          <w:bCs w:val="1"/>
          <w:i w:val="1"/>
          <w:i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Memorandum</w:t>
      </w:r>
      <w:r>
        <w:rPr>
          <w:rFonts w:ascii="Arial" w:cs="Arial" w:eastAsia="Arial" w:hAnsi="Arial"/>
          <w:sz w:val="16"/>
          <w:szCs w:val="16"/>
          <w:color w:val="auto"/>
        </w:rPr>
        <w:t>”) and other customary marketing materials to be used in connection with the syndication of the Bridge Facility (collectively with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Term Sheet and any additional summary of terms prepared for distributions to the Public-Siders (as hereafter defined), the “</w:t>
      </w:r>
      <w:r>
        <w:rPr>
          <w:rFonts w:ascii="Arial" w:cs="Arial" w:eastAsia="Arial" w:hAnsi="Arial"/>
          <w:sz w:val="16"/>
          <w:szCs w:val="16"/>
          <w:b w:val="1"/>
          <w:bCs w:val="1"/>
          <w:i w:val="1"/>
          <w:iCs w:val="1"/>
          <w:color w:val="auto"/>
        </w:rPr>
        <w:t>Information Materials</w:t>
      </w:r>
      <w:r>
        <w:rPr>
          <w:rFonts w:ascii="Arial" w:cs="Arial" w:eastAsia="Arial" w:hAnsi="Arial"/>
          <w:sz w:val="16"/>
          <w:szCs w:val="16"/>
          <w:color w:val="auto"/>
        </w:rPr>
        <w:t>”), (d) prior to the completion of a Successful Syndication, your using commercially reasonable efforts to cause the Borrower to have monitored Public Debt Ratings (but no specific rating) that give effect to the Transactions from Moody’s Investor Services (“</w:t>
      </w:r>
      <w:r>
        <w:rPr>
          <w:rFonts w:ascii="Arial" w:cs="Arial" w:eastAsia="Arial" w:hAnsi="Arial"/>
          <w:sz w:val="16"/>
          <w:szCs w:val="16"/>
          <w:b w:val="1"/>
          <w:bCs w:val="1"/>
          <w:i w:val="1"/>
          <w:iCs w:val="1"/>
          <w:color w:val="auto"/>
        </w:rPr>
        <w:t>Moody’s</w:t>
      </w:r>
      <w:r>
        <w:rPr>
          <w:rFonts w:ascii="Arial" w:cs="Arial" w:eastAsia="Arial" w:hAnsi="Arial"/>
          <w:sz w:val="16"/>
          <w:szCs w:val="16"/>
          <w:color w:val="auto"/>
        </w:rPr>
        <w:t>”), Standard &amp; Poor’s Financial Services LLC (“</w:t>
      </w:r>
      <w:r>
        <w:rPr>
          <w:rFonts w:ascii="Arial" w:cs="Arial" w:eastAsia="Arial" w:hAnsi="Arial"/>
          <w:sz w:val="16"/>
          <w:szCs w:val="16"/>
          <w:b w:val="1"/>
          <w:bCs w:val="1"/>
          <w:i w:val="1"/>
          <w:iCs w:val="1"/>
          <w:color w:val="auto"/>
        </w:rPr>
        <w:t>S&amp;P</w:t>
      </w:r>
      <w:r>
        <w:rPr>
          <w:rFonts w:ascii="Arial" w:cs="Arial" w:eastAsia="Arial" w:hAnsi="Arial"/>
          <w:sz w:val="16"/>
          <w:szCs w:val="16"/>
          <w:color w:val="auto"/>
        </w:rPr>
        <w:t>”) and Fitch Ratings, Inc. (“</w:t>
      </w:r>
      <w:r>
        <w:rPr>
          <w:rFonts w:ascii="Arial" w:cs="Arial" w:eastAsia="Arial" w:hAnsi="Arial"/>
          <w:sz w:val="16"/>
          <w:szCs w:val="16"/>
          <w:b w:val="1"/>
          <w:bCs w:val="1"/>
          <w:i w:val="1"/>
          <w:iCs w:val="1"/>
          <w:color w:val="auto"/>
        </w:rPr>
        <w:t>Fitch</w:t>
      </w:r>
      <w:r>
        <w:rPr>
          <w:rFonts w:ascii="Arial" w:cs="Arial" w:eastAsia="Arial" w:hAnsi="Arial"/>
          <w:sz w:val="16"/>
          <w:szCs w:val="16"/>
          <w:color w:val="auto"/>
        </w:rPr>
        <w:t>”), (e) the hosting, with JPMorgan, of one or more meetings of prospective Lenders at times and places to be mutually agreed (which meetings may be held virtually) and (f) your using commercially reasonable efforts to execute and deliver one or more Joinder Agreements (as hereinafter defined) delivered to you in respect of any Permitted Assignee, as soon as reasonably practicable following commencement of syndication of the Bridge Facility. You hereby authorize the Lead Arranger to download copies of your trademark logos from its website and post copies thereof and any Information Materials to a deal site on IntraLinks</w:t>
      </w:r>
      <w:r>
        <w:rPr>
          <w:rFonts w:ascii="Arial" w:cs="Arial" w:eastAsia="Arial" w:hAnsi="Arial"/>
          <w:sz w:val="13"/>
          <w:szCs w:val="13"/>
          <w:color w:val="auto"/>
        </w:rPr>
        <w:t>™</w:t>
      </w:r>
      <w:r>
        <w:rPr>
          <w:rFonts w:ascii="Arial" w:cs="Arial" w:eastAsia="Arial" w:hAnsi="Arial"/>
          <w:sz w:val="16"/>
          <w:szCs w:val="16"/>
          <w:color w:val="auto"/>
        </w:rPr>
        <w:t>, DebtDomain, SyndTrak, ClearPar or any other electronic platform chosen by the Lead Arranger to be its electronic transmission system (an “</w:t>
      </w:r>
      <w:r>
        <w:rPr>
          <w:rFonts w:ascii="Arial" w:cs="Arial" w:eastAsia="Arial" w:hAnsi="Arial"/>
          <w:sz w:val="16"/>
          <w:szCs w:val="16"/>
          <w:b w:val="1"/>
          <w:bCs w:val="1"/>
          <w:i w:val="1"/>
          <w:iCs w:val="1"/>
          <w:color w:val="auto"/>
        </w:rPr>
        <w:t>Electronic Platform</w:t>
      </w:r>
      <w:r>
        <w:rPr>
          <w:rFonts w:ascii="Arial" w:cs="Arial" w:eastAsia="Arial" w:hAnsi="Arial"/>
          <w:sz w:val="16"/>
          <w:szCs w:val="16"/>
          <w:color w:val="auto"/>
        </w:rPr>
        <w:t>”) established by the Lead Arranger to syndicate the Bridge Facility, and to use the Borrower’s trademark logos on any confidential information memoranda, presentations and other marketing materials prepared in connection with the syndication of the Bridge Facility or, with your consent, in any advertisements that we may place after the closing of the Bridge Facility in financial and other newspapers, journals, the World Wide Web, home page or otherwise, at JPMorgan’s own expense describing its services to the Borrower hereunder. Upon the request of JPMorgan, you will use commercially reasonable efforts to cause the Target to furnish for no fee, to JPMorgan, an electronic version of the Target’s trademark logos for use in marketing materials for the purpose of facilitating the syndication of the Bridge Facility. You also understand and acknowledge that we may provide to market data collectors, such as league tables, or other service providers to the lending industry, information regarding the closing date, size, type, purpose of, and parties to, the Bridge Facility.</w:t>
      </w:r>
    </w:p>
    <w:p>
      <w:pPr>
        <w:spacing w:after="0" w:line="174" w:lineRule="exact"/>
        <w:rPr>
          <w:sz w:val="20"/>
          <w:szCs w:val="20"/>
          <w:color w:val="auto"/>
        </w:rPr>
      </w:pPr>
    </w:p>
    <w:p>
      <w:pPr>
        <w:ind w:left="4" w:right="120" w:firstLine="440"/>
        <w:spacing w:after="0" w:line="287" w:lineRule="auto"/>
        <w:rPr>
          <w:sz w:val="20"/>
          <w:szCs w:val="20"/>
          <w:color w:val="auto"/>
        </w:rPr>
      </w:pPr>
      <w:r>
        <w:rPr>
          <w:rFonts w:ascii="Arial" w:cs="Arial" w:eastAsia="Arial" w:hAnsi="Arial"/>
          <w:sz w:val="16"/>
          <w:szCs w:val="16"/>
          <w:color w:val="auto"/>
        </w:rPr>
        <w:t>In order to facilitate an orderly and successful syndication of the Bridge Facility, you agree that until the Syndication Date, the Borrower will not (and will use commercially reasonable efforts to cause the Acquired Business to not) issue, announce, offer, place or arrange debt securities or any syndicated credit facilities of the Borrower or its subsidiaries (or the Acquired Business) (other than (i) the Debt Securities, (ii) the Term Loan Facility,</w:t>
      </w:r>
    </w:p>
    <w:p>
      <w:pPr>
        <w:spacing w:after="0" w:line="2" w:lineRule="exact"/>
        <w:rPr>
          <w:sz w:val="20"/>
          <w:szCs w:val="20"/>
          <w:color w:val="auto"/>
        </w:rPr>
      </w:pPr>
    </w:p>
    <w:p>
      <w:pPr>
        <w:ind w:left="4" w:hanging="4"/>
        <w:spacing w:after="0" w:line="287" w:lineRule="auto"/>
        <w:tabs>
          <w:tab w:leader="none" w:pos="319" w:val="left"/>
        </w:tabs>
        <w:numPr>
          <w:ilvl w:val="0"/>
          <w:numId w:val="186"/>
        </w:numPr>
        <w:rPr>
          <w:rFonts w:ascii="Arial" w:cs="Arial" w:eastAsia="Arial" w:hAnsi="Arial"/>
          <w:sz w:val="16"/>
          <w:szCs w:val="16"/>
          <w:color w:val="auto"/>
        </w:rPr>
      </w:pPr>
      <w:r>
        <w:rPr>
          <w:rFonts w:ascii="Arial" w:cs="Arial" w:eastAsia="Arial" w:hAnsi="Arial"/>
          <w:sz w:val="16"/>
          <w:szCs w:val="16"/>
          <w:color w:val="auto"/>
        </w:rPr>
        <w:t>any amendment or refinancing of the revolving credit facility under that certain Credit Agreement dated as of June 13, 2018 among as Goldman Sachs Bank USA, as general administrative agent and term facility agent, Bank of America, N.A., as revolving facility agent, Maui, as borrower and the lenders party thereto (the “</w:t>
      </w:r>
      <w:r>
        <w:rPr>
          <w:rFonts w:ascii="Arial" w:cs="Arial" w:eastAsia="Arial" w:hAnsi="Arial"/>
          <w:sz w:val="16"/>
          <w:szCs w:val="16"/>
          <w:b w:val="1"/>
          <w:bCs w:val="1"/>
          <w:i w:val="1"/>
          <w:iCs w:val="1"/>
          <w:color w:val="auto"/>
        </w:rPr>
        <w:t>Existing Credit Agreement</w:t>
      </w:r>
      <w:r>
        <w:rPr>
          <w:rFonts w:ascii="Arial" w:cs="Arial" w:eastAsia="Arial" w:hAnsi="Arial"/>
          <w:sz w:val="16"/>
          <w:szCs w:val="16"/>
          <w:color w:val="auto"/>
        </w:rPr>
        <w:t>”) or any increase thereto, so long as the aggregate committed amount and, without duplication, outstanding amount thereunder shall not exceed $750,000,000, (iv) indebtedness permitted to be incurred by the Acquired Business pursuant to the Acquisition Agreement, (v) other indebtedness in an aggregate principal amount not to exceed $100,000,000, (vi) capital leases, letters of credit and purchase money and equipment financings of the Borrower and its subsidiaries and of the Acquired Business, in each case, in the ordinary course of business, (vii) working capital facilities of foreign subsidiaries and (viii) any other financing agreed by the Lead Arranger), in each case if such issuance, announcement, offering, placement or arrangement could reasonably be expected to materially impair the primary syndication of the Bridge Facility.</w:t>
      </w:r>
    </w:p>
    <w:p>
      <w:pPr>
        <w:spacing w:after="0" w:line="170" w:lineRule="exact"/>
        <w:rPr>
          <w:sz w:val="20"/>
          <w:szCs w:val="20"/>
          <w:color w:val="auto"/>
        </w:rPr>
      </w:pPr>
    </w:p>
    <w:p>
      <w:pPr>
        <w:ind w:left="4" w:right="20" w:firstLine="440"/>
        <w:spacing w:after="0" w:line="263" w:lineRule="auto"/>
        <w:rPr>
          <w:sz w:val="20"/>
          <w:szCs w:val="20"/>
          <w:color w:val="auto"/>
        </w:rPr>
      </w:pPr>
      <w:r>
        <w:rPr>
          <w:rFonts w:ascii="Arial" w:cs="Arial" w:eastAsia="Arial" w:hAnsi="Arial"/>
          <w:sz w:val="18"/>
          <w:szCs w:val="18"/>
          <w:color w:val="auto"/>
        </w:rPr>
        <w:t>You will assist us in preparing Information Materials, including but not limited to a Confidential Information Memorandum or lender slides, for distribution to prospective Lenders. If requested, you also will assist us in preparing an additional version of the Information Materials (the “</w:t>
      </w:r>
      <w:r>
        <w:rPr>
          <w:rFonts w:ascii="Arial" w:cs="Arial" w:eastAsia="Arial" w:hAnsi="Arial"/>
          <w:sz w:val="18"/>
          <w:szCs w:val="18"/>
          <w:b w:val="1"/>
          <w:bCs w:val="1"/>
          <w:i w:val="1"/>
          <w:iCs w:val="1"/>
          <w:color w:val="auto"/>
        </w:rPr>
        <w:t>Public-Side</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Version</w:t>
      </w:r>
      <w:r>
        <w:rPr>
          <w:rFonts w:ascii="Arial" w:cs="Arial" w:eastAsia="Arial" w:hAnsi="Arial"/>
          <w:sz w:val="18"/>
          <w:szCs w:val="18"/>
          <w:color w:val="auto"/>
        </w:rPr>
        <w:t>”) to be used by prospective Lenders’ public-side employees</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4"/>
          </w:cols>
          <w:pgMar w:left="436" w:top="274" w:right="459" w:bottom="1440" w:gutter="0" w:footer="0" w:header="0"/>
        </w:sectPr>
      </w:pPr>
    </w:p>
    <w:bookmarkStart w:id="127" w:name="page128"/>
    <w:bookmarkEnd w:id="127"/>
    <w:p>
      <w:pPr>
        <w:ind w:left="4" w:right="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and representatives (“</w:t>
      </w:r>
      <w:r>
        <w:rPr>
          <w:rFonts w:ascii="Arial" w:cs="Arial" w:eastAsia="Arial" w:hAnsi="Arial"/>
          <w:sz w:val="16"/>
          <w:szCs w:val="16"/>
          <w:b w:val="1"/>
          <w:bCs w:val="1"/>
          <w:i w:val="1"/>
          <w:iCs w:val="1"/>
          <w:color w:val="auto"/>
        </w:rPr>
        <w:t>Public-Siders</w:t>
      </w:r>
      <w:r>
        <w:rPr>
          <w:rFonts w:ascii="Arial" w:cs="Arial" w:eastAsia="Arial" w:hAnsi="Arial"/>
          <w:sz w:val="16"/>
          <w:szCs w:val="16"/>
          <w:color w:val="auto"/>
        </w:rPr>
        <w:t>”) who do not wish to receive material non-public information (within the meaning of United States federal securities laws) with respect to you, the Target, the Borrower, their respective affiliates and any of their respective securities (“</w:t>
      </w:r>
      <w:r>
        <w:rPr>
          <w:rFonts w:ascii="Arial" w:cs="Arial" w:eastAsia="Arial" w:hAnsi="Arial"/>
          <w:sz w:val="16"/>
          <w:szCs w:val="16"/>
          <w:b w:val="1"/>
          <w:bCs w:val="1"/>
          <w:i w:val="1"/>
          <w:iCs w:val="1"/>
          <w:color w:val="auto"/>
        </w:rPr>
        <w:t>MNPI</w:t>
      </w:r>
      <w:r>
        <w:rPr>
          <w:rFonts w:ascii="Arial" w:cs="Arial" w:eastAsia="Arial" w:hAnsi="Arial"/>
          <w:sz w:val="16"/>
          <w:szCs w:val="16"/>
          <w:color w:val="auto"/>
        </w:rPr>
        <w:t>”) and who may be engaged in investment and other market-related activities with respect to you, the Target, the Borrower’s or their affiliates’ securities or loans. Before distribution of any Information Materials, you agree to execute and deliver to us (i) a customary letter in which you authorize distribution of the Information Materials to a prospective Lender’s employees willing to receive MNPI (“</w:t>
      </w:r>
      <w:r>
        <w:rPr>
          <w:rFonts w:ascii="Arial" w:cs="Arial" w:eastAsia="Arial" w:hAnsi="Arial"/>
          <w:sz w:val="16"/>
          <w:szCs w:val="16"/>
          <w:b w:val="1"/>
          <w:bCs w:val="1"/>
          <w:i w:val="1"/>
          <w:iCs w:val="1"/>
          <w:color w:val="auto"/>
        </w:rPr>
        <w:t>Private-Siders</w:t>
      </w:r>
      <w:r>
        <w:rPr>
          <w:rFonts w:ascii="Arial" w:cs="Arial" w:eastAsia="Arial" w:hAnsi="Arial"/>
          <w:sz w:val="16"/>
          <w:szCs w:val="16"/>
          <w:color w:val="auto"/>
        </w:rPr>
        <w:t>”) and (ii) a separate customary letter in which you authorize distribution of the Public-Side Version to Public-Siders not containing any MNPI. You also acknowledge that publishing debt analysts employed by JPMorgan and its affiliates who are Public-Siders may participate in any meetings or telephone conference calls held pursuant to clause</w:t>
      </w:r>
    </w:p>
    <w:p>
      <w:pPr>
        <w:spacing w:after="0" w:line="2" w:lineRule="exact"/>
        <w:rPr>
          <w:sz w:val="20"/>
          <w:szCs w:val="20"/>
          <w:color w:val="auto"/>
        </w:rPr>
      </w:pPr>
    </w:p>
    <w:p>
      <w:pPr>
        <w:ind w:left="4" w:right="80" w:hanging="4"/>
        <w:spacing w:after="0" w:line="277" w:lineRule="auto"/>
        <w:tabs>
          <w:tab w:leader="none" w:pos="249" w:val="left"/>
        </w:tabs>
        <w:numPr>
          <w:ilvl w:val="0"/>
          <w:numId w:val="187"/>
        </w:numPr>
        <w:rPr>
          <w:rFonts w:ascii="Arial" w:cs="Arial" w:eastAsia="Arial" w:hAnsi="Arial"/>
          <w:sz w:val="17"/>
          <w:szCs w:val="17"/>
          <w:color w:val="auto"/>
        </w:rPr>
      </w:pPr>
      <w:r>
        <w:rPr>
          <w:rFonts w:ascii="Arial" w:cs="Arial" w:eastAsia="Arial" w:hAnsi="Arial"/>
          <w:sz w:val="17"/>
          <w:szCs w:val="17"/>
          <w:color w:val="auto"/>
        </w:rPr>
        <w:t xml:space="preserve">of the first paragraph of Section 3 of this Commitment Letter;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analysts shall not publish any information obtained from such meetings or calls (i) until the syndication of the Bridge Facility has been completed upon the making of allocations by JPMorgan and JPMorgan freeing the Bridge Facility to trade or (ii) in violation of any confidentiality agreement between you and JPMorgan.</w:t>
      </w:r>
    </w:p>
    <w:p>
      <w:pPr>
        <w:spacing w:after="0" w:line="173" w:lineRule="exact"/>
        <w:rPr>
          <w:sz w:val="20"/>
          <w:szCs w:val="20"/>
          <w:color w:val="auto"/>
        </w:rPr>
      </w:pPr>
    </w:p>
    <w:p>
      <w:pPr>
        <w:ind w:left="4" w:right="80" w:firstLine="440"/>
        <w:spacing w:after="0" w:line="293" w:lineRule="auto"/>
        <w:rPr>
          <w:sz w:val="20"/>
          <w:szCs w:val="20"/>
          <w:color w:val="auto"/>
        </w:rPr>
      </w:pPr>
      <w:r>
        <w:rPr>
          <w:rFonts w:ascii="Arial" w:cs="Arial" w:eastAsia="Arial" w:hAnsi="Arial"/>
          <w:sz w:val="16"/>
          <w:szCs w:val="16"/>
          <w:color w:val="auto"/>
        </w:rPr>
        <w:t>The Borrower agrees that the following documents may be distributed to both Private-Siders and Public-Siders, unless the Borrower advises JPMorgan in writing (including by email) within a reasonable time prior to their intended distribution that such materials should only be distributed to Private-Siders: (a) administrative materials prepared by JPMorgan for prospective Lenders (such as a lender meeting invitation, bank allocation, if any, and funding and closing memoranda), (b) term sheets summarizing the Bridge Facility’s terms and notification of changes in the Bridge Facility’s terms and (c) other materials intended for prospective Lenders after the initial distribution of Information Materials. If you advise us that any of the foregoing should be distributed only to Private-Siders, then Public-Siders will not receive such materials without further discussions with you.</w:t>
      </w:r>
    </w:p>
    <w:p>
      <w:pPr>
        <w:spacing w:after="0" w:line="164" w:lineRule="exact"/>
        <w:rPr>
          <w:sz w:val="20"/>
          <w:szCs w:val="20"/>
          <w:color w:val="auto"/>
        </w:rPr>
      </w:pPr>
    </w:p>
    <w:p>
      <w:pPr>
        <w:ind w:left="4" w:right="60" w:firstLine="440"/>
        <w:spacing w:after="0" w:line="277" w:lineRule="auto"/>
        <w:rPr>
          <w:sz w:val="20"/>
          <w:szCs w:val="20"/>
          <w:color w:val="auto"/>
        </w:rPr>
      </w:pPr>
      <w:r>
        <w:rPr>
          <w:rFonts w:ascii="Arial" w:cs="Arial" w:eastAsia="Arial" w:hAnsi="Arial"/>
          <w:sz w:val="18"/>
          <w:szCs w:val="18"/>
          <w:color w:val="auto"/>
        </w:rPr>
        <w:t>The Borrower hereby authorizes JPMorgan to distribute draft and execution versions of definitive documentation relating to the Bridge Facility to Private-Siders and Public-Siders.</w:t>
      </w:r>
    </w:p>
    <w:p>
      <w:pPr>
        <w:spacing w:after="0" w:line="170" w:lineRule="exact"/>
        <w:rPr>
          <w:sz w:val="20"/>
          <w:szCs w:val="20"/>
          <w:color w:val="auto"/>
        </w:rPr>
      </w:pPr>
    </w:p>
    <w:p>
      <w:pPr>
        <w:ind w:left="4" w:firstLine="440"/>
        <w:spacing w:after="0" w:line="288" w:lineRule="auto"/>
        <w:rPr>
          <w:sz w:val="20"/>
          <w:szCs w:val="20"/>
          <w:color w:val="auto"/>
        </w:rPr>
      </w:pPr>
      <w:r>
        <w:rPr>
          <w:rFonts w:ascii="Arial" w:cs="Arial" w:eastAsia="Arial" w:hAnsi="Arial"/>
          <w:sz w:val="16"/>
          <w:szCs w:val="16"/>
          <w:color w:val="auto"/>
        </w:rPr>
        <w:t xml:space="preserve">As the Lead Arranger, JPMorgan will manage all aspects of the syndication in consultation with you, including decisions as to the selection of institutions to be approached and when they will be approached, when their commitments will be accepted, which institutions will participate, the allocations of the commitments among the Lenders and the amount and distribution of fees among the Lenders;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Lead Arranger will not syndicate to any person (other than those financial institutions (and their affiliates) identified by the Lead Arranger to you in writing on or prior to the date hereof (including, for the avoidance of doubt, those lenders identified in the “syndication plan” for the Bridge Facility agreed to by the Lead Arranger and you prior to the date hereof)), any Permitted Assignee and to lenders under the Existing Credit Agreement (other than a “defaulting lender” under and as defined therein, as of the date of such syndication) without your consent (such consent not to be unreasonably withheld or delayed). In acting as the Lead Arranger, JPMorgan will have no responsibility other than to arrange the syndication as set forth herein and is acting solely in the capacity of an arm’s-length contractual counterparty to the Borrower with respect to the arrangement of the Bridge Facility (including in connection with determining the terms of the Bridge Facility) and not as a financial advisor or a fiduciary to, or an agent of, the Borrower or any other person.</w:t>
      </w:r>
    </w:p>
    <w:p>
      <w:pPr>
        <w:spacing w:after="0" w:line="10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4"/>
          </w:cols>
          <w:pgMar w:left="436" w:top="274" w:right="459" w:bottom="1440" w:gutter="0" w:footer="0" w:header="0"/>
        </w:sectPr>
      </w:pPr>
    </w:p>
    <w:bookmarkStart w:id="128" w:name="page129"/>
    <w:bookmarkEnd w:id="128"/>
    <w:p>
      <w:pPr>
        <w:ind w:right="160"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Notwithstanding anything to the contrary contained in this Commitment Letter or any other agreement or undertaking concerning the Bridge Facility, but without limiting the conditions precedent in Section 6 hereof or Exhibit B, and without limiting your obligations to assist with syndication in this Section 3, none of the foregoing obligations under the provisions of this Section 3 nor the commencement, conduct or completion of the syndication contemplated by this Section 3 is a condition to the Commitment or the funding of the Bridge Facility on the Closing Date.</w:t>
      </w:r>
    </w:p>
    <w:p>
      <w:pPr>
        <w:spacing w:after="0" w:line="157" w:lineRule="exact"/>
        <w:rPr>
          <w:sz w:val="20"/>
          <w:szCs w:val="20"/>
          <w:color w:val="auto"/>
        </w:rPr>
      </w:pPr>
    </w:p>
    <w:p>
      <w:pPr>
        <w:ind w:right="40" w:firstLine="440"/>
        <w:spacing w:after="0" w:line="293" w:lineRule="auto"/>
        <w:rPr>
          <w:sz w:val="20"/>
          <w:szCs w:val="20"/>
          <w:color w:val="auto"/>
        </w:rPr>
      </w:pPr>
      <w:r>
        <w:rPr>
          <w:rFonts w:ascii="Arial" w:cs="Arial" w:eastAsia="Arial" w:hAnsi="Arial"/>
          <w:sz w:val="16"/>
          <w:szCs w:val="16"/>
          <w:color w:val="auto"/>
        </w:rPr>
        <w:t xml:space="preserve">For the avoidance of doubt, without limiting your representation and covenant set forth in Section 4 below, nothing contained in this Commitment Letter shall require you to provide any information to the extent that the provision thereof would violate any attorney-client privilege, law, rule or regulation, or any obligation of confidentiality binding on you, the Acquired Business or your or its respective affiliates;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you shall (x) use commercially reasonable efforts to communicate, to the extent permitted, the applicable information in a way that would not violate the applicable law, rule, regulation or obligation, and (y) to the extent you are unable to disclose any such information, notify us if any such information is being withheld as a result of any such obligation of confidentiality (but solely if providing such notice would not violate such confidentiality obligation).</w:t>
      </w:r>
    </w:p>
    <w:p>
      <w:pPr>
        <w:spacing w:after="0" w:line="164" w:lineRule="exact"/>
        <w:rPr>
          <w:sz w:val="20"/>
          <w:szCs w:val="20"/>
          <w:color w:val="auto"/>
        </w:rPr>
      </w:pPr>
    </w:p>
    <w:p>
      <w:pPr>
        <w:ind w:left="620" w:hanging="184"/>
        <w:spacing w:after="0"/>
        <w:tabs>
          <w:tab w:leader="none" w:pos="620" w:val="left"/>
        </w:tabs>
        <w:numPr>
          <w:ilvl w:val="0"/>
          <w:numId w:val="188"/>
        </w:numPr>
        <w:rPr>
          <w:rFonts w:ascii="Arial" w:cs="Arial" w:eastAsia="Arial" w:hAnsi="Arial"/>
          <w:sz w:val="18"/>
          <w:szCs w:val="18"/>
          <w:color w:val="auto"/>
        </w:rPr>
      </w:pPr>
      <w:r>
        <w:rPr>
          <w:rFonts w:ascii="Arial" w:cs="Arial" w:eastAsia="Arial" w:hAnsi="Arial"/>
          <w:sz w:val="18"/>
          <w:szCs w:val="18"/>
          <w:u w:val="single" w:color="auto"/>
          <w:color w:val="auto"/>
        </w:rPr>
        <w:t>Information</w:t>
      </w:r>
    </w:p>
    <w:p>
      <w:pPr>
        <w:spacing w:after="0" w:line="225"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To assist JPMorgan in its syndication efforts, you agree promptly to prepare and provide to the Lead Arranger all customary information with respect to the Borrower and the transactions contemplated hereby, including all financial information and projections concerning the Borrower and the Acquired Business (the “</w:t>
      </w:r>
      <w:r>
        <w:rPr>
          <w:rFonts w:ascii="Arial" w:cs="Arial" w:eastAsia="Arial" w:hAnsi="Arial"/>
          <w:sz w:val="16"/>
          <w:szCs w:val="16"/>
          <w:b w:val="1"/>
          <w:bCs w:val="1"/>
          <w:i w:val="1"/>
          <w:iCs w:val="1"/>
          <w:color w:val="auto"/>
        </w:rPr>
        <w:t>Projections</w:t>
      </w:r>
      <w:r>
        <w:rPr>
          <w:rFonts w:ascii="Arial" w:cs="Arial" w:eastAsia="Arial" w:hAnsi="Arial"/>
          <w:sz w:val="16"/>
          <w:szCs w:val="16"/>
          <w:color w:val="auto"/>
        </w:rPr>
        <w:t>”), as we may reasonably request in connection with the arrangement and syndication of the Bridge Facility. You hereby represent and covenant (to the best of your knowledge to the extent relating to the Acquired Business) that (a) all written information other than the Projections, forward-looking information and other information of a general economic or industry nature (the “</w:t>
      </w:r>
      <w:r>
        <w:rPr>
          <w:rFonts w:ascii="Arial" w:cs="Arial" w:eastAsia="Arial" w:hAnsi="Arial"/>
          <w:sz w:val="16"/>
          <w:szCs w:val="16"/>
          <w:b w:val="1"/>
          <w:bCs w:val="1"/>
          <w:i w:val="1"/>
          <w:iCs w:val="1"/>
          <w:color w:val="auto"/>
        </w:rPr>
        <w:t>Information</w:t>
      </w:r>
      <w:r>
        <w:rPr>
          <w:rFonts w:ascii="Arial" w:cs="Arial" w:eastAsia="Arial" w:hAnsi="Arial"/>
          <w:sz w:val="16"/>
          <w:szCs w:val="16"/>
          <w:color w:val="auto"/>
        </w:rPr>
        <w:t>”) that has been or will be made available to the Lead Arranger by you or any of your representatives in connection with the Transactions, when taken as a whole, is or will be, when furnished, complete and correct in all material respects and does not or will not, when furnished, contain any untrue statement of a material fact or omit to state a material fact necessary in order to make the statements contained therein not materially misleading in light of the circumstances under which such statements are made when taken as a whole and giving effect to all supplements and updates thereto and (b) the Projections concerning you, the Borrower and the Acquired Business that have been or will be made available to the Lead Arranger by you or any of your representatives have been or will be prepared in good faith based upon assumptions that were believed by the Borrower to be reasonable as of the date such Projections are prepared and as of the date such Projections are made available to the Lead Arranger (it being understood that the Projections are as to future events and are not to be viewed as facts, the Projections are subject to significant uncertainties and contingencies, many of which are beyond your control, that no assurance can be given that any particular Projections will be realized and that actual results during the period or periods covered by any such Projections may differ significantly from the projected results and such differences may be material). If, at any time prior to the later of the Closing Date and the Syndication Date, you become aware that any of the representations and warranties in the preceding sentence would not be accurate and complete in any material respect (to your knowledge with respect to Information and Projections relating to the Acquired Business) if the Information or Projections were being furnished, and such representations and warranties were being made, at such time, then you agree to promptly supplement the Information and/or Projections so that the representations and warranties contained in this paragraph (to your knowledge with respect to Information and Projections relating to the Acquired Business) remain accurate and complete in all material respects under those circumstances. The accuracy of the foregoing representations and warranties shall not be a condition to the obligations of the Commitment Party hereunder unless the inaccuracy results in an express condition hereunder otherwise not being satisfied on the Closing Date. You understand that in arranging and syndicating the Bridge Facility, we may use and rely on the Information and Projections without independent verification thereof.</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29" w:name="page130"/>
    <w:bookmarkEnd w:id="129"/>
    <w:p>
      <w:pPr>
        <w:ind w:left="620" w:hanging="184"/>
        <w:spacing w:after="0"/>
        <w:tabs>
          <w:tab w:leader="none" w:pos="620" w:val="left"/>
        </w:tabs>
        <w:numPr>
          <w:ilvl w:val="0"/>
          <w:numId w:val="18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Fees</w:t>
      </w:r>
    </w:p>
    <w:p>
      <w:pPr>
        <w:spacing w:after="0" w:line="225" w:lineRule="exact"/>
        <w:rPr>
          <w:sz w:val="20"/>
          <w:szCs w:val="20"/>
          <w:color w:val="auto"/>
        </w:rPr>
      </w:pPr>
    </w:p>
    <w:p>
      <w:pPr>
        <w:ind w:right="240" w:firstLine="440"/>
        <w:spacing w:after="0" w:line="263" w:lineRule="auto"/>
        <w:rPr>
          <w:sz w:val="20"/>
          <w:szCs w:val="20"/>
          <w:color w:val="auto"/>
        </w:rPr>
      </w:pPr>
      <w:r>
        <w:rPr>
          <w:rFonts w:ascii="Arial" w:cs="Arial" w:eastAsia="Arial" w:hAnsi="Arial"/>
          <w:sz w:val="18"/>
          <w:szCs w:val="18"/>
          <w:color w:val="auto"/>
        </w:rPr>
        <w:t>As consideration for JPMorgan’s commitment hereunder and its agreement to perform the services described herein, you agree to pay to JPMorgan the nonrefundable fees set forth in Annex I to the Term Sheet and in the Fee Letter dated the date hereof and delivered herewith (the “</w:t>
      </w:r>
      <w:r>
        <w:rPr>
          <w:rFonts w:ascii="Arial" w:cs="Arial" w:eastAsia="Arial" w:hAnsi="Arial"/>
          <w:sz w:val="18"/>
          <w:szCs w:val="18"/>
          <w:b w:val="1"/>
          <w:bCs w:val="1"/>
          <w:i w:val="1"/>
          <w:iCs w:val="1"/>
          <w:color w:val="auto"/>
        </w:rPr>
        <w:t>Fee</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Letter</w:t>
      </w:r>
      <w:r>
        <w:rPr>
          <w:rFonts w:ascii="Arial" w:cs="Arial" w:eastAsia="Arial" w:hAnsi="Arial"/>
          <w:sz w:val="18"/>
          <w:szCs w:val="18"/>
          <w:color w:val="auto"/>
        </w:rPr>
        <w:t>”).</w:t>
      </w:r>
    </w:p>
    <w:p>
      <w:pPr>
        <w:spacing w:after="0" w:line="184"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You agree that, once paid, the fees or any part thereof payable hereunder or under the Fee Letter shall not be refundable under any circumstances, regardless of whether the transactions or borrowings contemplated by this Commitment Letter are consummated, except as otherwise agreed in writing by you and JPMorgan. All fees payable hereunder and under the Fee Letter shall be paid in immediately available funds in U.S. Dollars and shall not be subject to reduction by way of withholding, setoff or counterclaim or be otherwise affected by any claim or dispute related to any other matter. In addition, all fees payable hereunder shall be paid without deduction for any taxes, levies, imposts, duties, deductions, charges or withholdings imposed by any national, state or local taxing authority, or will be grossed up by you for such amounts.</w:t>
      </w:r>
    </w:p>
    <w:p>
      <w:pPr>
        <w:spacing w:after="0" w:line="178" w:lineRule="exact"/>
        <w:rPr>
          <w:sz w:val="20"/>
          <w:szCs w:val="20"/>
          <w:color w:val="auto"/>
        </w:rPr>
      </w:pPr>
    </w:p>
    <w:p>
      <w:pPr>
        <w:ind w:left="620" w:hanging="184"/>
        <w:spacing w:after="0"/>
        <w:tabs>
          <w:tab w:leader="none" w:pos="620" w:val="left"/>
        </w:tabs>
        <w:numPr>
          <w:ilvl w:val="0"/>
          <w:numId w:val="190"/>
        </w:numPr>
        <w:rPr>
          <w:rFonts w:ascii="Arial" w:cs="Arial" w:eastAsia="Arial" w:hAnsi="Arial"/>
          <w:sz w:val="18"/>
          <w:szCs w:val="18"/>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100" w:firstLine="440"/>
        <w:spacing w:after="0" w:line="269" w:lineRule="auto"/>
        <w:rPr>
          <w:sz w:val="20"/>
          <w:szCs w:val="20"/>
          <w:color w:val="auto"/>
        </w:rPr>
      </w:pPr>
      <w:r>
        <w:rPr>
          <w:rFonts w:ascii="Arial" w:cs="Arial" w:eastAsia="Arial" w:hAnsi="Arial"/>
          <w:sz w:val="17"/>
          <w:szCs w:val="17"/>
          <w:color w:val="auto"/>
        </w:rPr>
        <w:t>The Commitment Party’s commitment hereunder, and the Commitment Party’s agreement to perform the services described herein, are subject solely to satisfaction or waiver of each of the following conditions precedent: (a) since the date of the Acquisition Agreement, there shall not have occurred any Target Material Adverse Effect (as defined below), (b) the execution and delivery by the parties thereto of definitive documentation with respect to the Bridge Facility consistent with this Commitment Letter and the Fee Letter (the “</w:t>
      </w:r>
      <w:r>
        <w:rPr>
          <w:rFonts w:ascii="Arial" w:cs="Arial" w:eastAsia="Arial" w:hAnsi="Arial"/>
          <w:sz w:val="17"/>
          <w:szCs w:val="17"/>
          <w:b w:val="1"/>
          <w:bCs w:val="1"/>
          <w:i w:val="1"/>
          <w:iCs w:val="1"/>
          <w:color w:val="auto"/>
        </w:rPr>
        <w:t>Credit Documentation</w:t>
      </w:r>
      <w:r>
        <w:rPr>
          <w:rFonts w:ascii="Arial" w:cs="Arial" w:eastAsia="Arial" w:hAnsi="Arial"/>
          <w:sz w:val="17"/>
          <w:szCs w:val="17"/>
          <w:color w:val="auto"/>
        </w:rPr>
        <w:t>” and the date of effectiveness thereof, the “</w:t>
      </w:r>
      <w:r>
        <w:rPr>
          <w:rFonts w:ascii="Arial" w:cs="Arial" w:eastAsia="Arial" w:hAnsi="Arial"/>
          <w:sz w:val="17"/>
          <w:szCs w:val="17"/>
          <w:b w:val="1"/>
          <w:bCs w:val="1"/>
          <w:i w:val="1"/>
          <w:iCs w:val="1"/>
          <w:color w:val="auto"/>
        </w:rPr>
        <w:t>Effective Date</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subject to the Limited Conditionality Provision (as defined below), documentation substantially similar to the documentation (with adjustments to reflect that the Bridge Facility is a “bridge” facility) in connection with the Existing Credit Agreement, with such modifications as are set forth in the Term Sheet (including, for the avoidance of doubt, the modifications referred to in Exhibit C solely to the extent such modifications are made to the Existing Credit Agreement or any amendment, restatement, refinancing or replacement thereof) or are mutually agreed upon, is satisfactory for this purpose, and (c) the satisfaction of the conditions set forth on Exhibit B (clauses (a) through (c) collectively, the “</w:t>
      </w:r>
      <w:r>
        <w:rPr>
          <w:rFonts w:ascii="Arial" w:cs="Arial" w:eastAsia="Arial" w:hAnsi="Arial"/>
          <w:sz w:val="17"/>
          <w:szCs w:val="17"/>
          <w:b w:val="1"/>
          <w:bCs w:val="1"/>
          <w:i w:val="1"/>
          <w:iCs w:val="1"/>
          <w:color w:val="auto"/>
        </w:rPr>
        <w:t>Funding Conditions</w:t>
      </w:r>
      <w:r>
        <w:rPr>
          <w:rFonts w:ascii="Arial" w:cs="Arial" w:eastAsia="Arial" w:hAnsi="Arial"/>
          <w:sz w:val="17"/>
          <w:szCs w:val="17"/>
          <w:color w:val="auto"/>
        </w:rPr>
        <w:t>”).</w:t>
      </w:r>
    </w:p>
    <w:p>
      <w:pPr>
        <w:spacing w:after="0" w:line="185"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For the purposes hereof, “</w:t>
      </w:r>
      <w:r>
        <w:rPr>
          <w:rFonts w:ascii="Arial" w:cs="Arial" w:eastAsia="Arial" w:hAnsi="Arial"/>
          <w:sz w:val="18"/>
          <w:szCs w:val="18"/>
          <w:b w:val="1"/>
          <w:bCs w:val="1"/>
          <w:i w:val="1"/>
          <w:iCs w:val="1"/>
          <w:color w:val="auto"/>
        </w:rPr>
        <w:t>Target Material Adverse Effect</w:t>
      </w:r>
      <w:r>
        <w:rPr>
          <w:rFonts w:ascii="Arial" w:cs="Arial" w:eastAsia="Arial" w:hAnsi="Arial"/>
          <w:sz w:val="18"/>
          <w:szCs w:val="18"/>
          <w:color w:val="auto"/>
        </w:rPr>
        <w:t>” means a “Material Adverse Effect on the Company” (as defined in the Acquisition Agreement as in effect on the date hereof).</w:t>
      </w:r>
    </w:p>
    <w:p>
      <w:pPr>
        <w:spacing w:after="0" w:line="170"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Notwithstanding anything in this Commitment Letter, the Fee Letter, the Credit Documentation or any other letter agreement or other undertaking concerning the financing of the Transactions to the contrary, (a) the only representations the accuracy of which shall be a condition to the availability of the Bridge Facility on the Closing Date shall be (i) such of the representations made by the Target in the Acquisition Agreement (as hereinafter defined) as are material to the interests of the Lenders, but only to the extent that you have (or an affiliate of yours has) the right to terminate your (or your affiliates’) obligations under the Acquisition Agreement as a result of the breach of such representations in the Acquisition Agreement, or the accuracy of such representations in the Acquisition Agreement is a condition to your (or your</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440" w:top="274" w:right="519" w:bottom="1440" w:gutter="0" w:footer="0" w:header="0"/>
        </w:sectPr>
      </w:pPr>
    </w:p>
    <w:bookmarkStart w:id="130" w:name="page131"/>
    <w:bookmarkEnd w:id="130"/>
    <w:p>
      <w:pPr>
        <w:ind w:left="4"/>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affiliates’) obligations to consummate the Acquisition pursuant to the Acquisition Agreement (the “</w:t>
      </w:r>
      <w:r>
        <w:rPr>
          <w:rFonts w:ascii="Arial" w:cs="Arial" w:eastAsia="Arial" w:hAnsi="Arial"/>
          <w:sz w:val="17"/>
          <w:szCs w:val="17"/>
          <w:b w:val="1"/>
          <w:bCs w:val="1"/>
          <w:i w:val="1"/>
          <w:iCs w:val="1"/>
          <w:color w:val="auto"/>
        </w:rPr>
        <w:t>Acquisition Agreement Representations</w:t>
      </w:r>
      <w:r>
        <w:rPr>
          <w:rFonts w:ascii="Arial" w:cs="Arial" w:eastAsia="Arial" w:hAnsi="Arial"/>
          <w:sz w:val="17"/>
          <w:szCs w:val="17"/>
          <w:color w:val="auto"/>
        </w:rPr>
        <w:t>”) and</w:t>
      </w:r>
    </w:p>
    <w:p>
      <w:pPr>
        <w:spacing w:after="0" w:line="35" w:lineRule="exact"/>
        <w:rPr>
          <w:sz w:val="20"/>
          <w:szCs w:val="20"/>
          <w:color w:val="auto"/>
        </w:rPr>
      </w:pPr>
    </w:p>
    <w:p>
      <w:pPr>
        <w:ind w:left="4" w:right="60" w:hanging="4"/>
        <w:spacing w:after="0" w:line="267" w:lineRule="auto"/>
        <w:tabs>
          <w:tab w:leader="none" w:pos="269" w:val="left"/>
        </w:tabs>
        <w:numPr>
          <w:ilvl w:val="0"/>
          <w:numId w:val="191"/>
        </w:numPr>
        <w:rPr>
          <w:rFonts w:ascii="Arial" w:cs="Arial" w:eastAsia="Arial" w:hAnsi="Arial"/>
          <w:sz w:val="17"/>
          <w:szCs w:val="17"/>
          <w:color w:val="auto"/>
        </w:rPr>
      </w:pPr>
      <w:r>
        <w:rPr>
          <w:rFonts w:ascii="Arial" w:cs="Arial" w:eastAsia="Arial" w:hAnsi="Arial"/>
          <w:sz w:val="17"/>
          <w:szCs w:val="17"/>
          <w:color w:val="auto"/>
        </w:rPr>
        <w:t>the Specified Representations (as hereinafter defined) and (b) the terms of the Credit Documentation shall be in a form such that they do not impair the availability of the loans on the Closing Date if the Funding Conditions are satisfied. For purposes hereof, “</w:t>
      </w:r>
      <w:r>
        <w:rPr>
          <w:rFonts w:ascii="Arial" w:cs="Arial" w:eastAsia="Arial" w:hAnsi="Arial"/>
          <w:sz w:val="17"/>
          <w:szCs w:val="17"/>
          <w:b w:val="1"/>
          <w:bCs w:val="1"/>
          <w:i w:val="1"/>
          <w:iCs w:val="1"/>
          <w:color w:val="auto"/>
        </w:rPr>
        <w:t>Specified Representations</w:t>
      </w:r>
      <w:r>
        <w:rPr>
          <w:rFonts w:ascii="Arial" w:cs="Arial" w:eastAsia="Arial" w:hAnsi="Arial"/>
          <w:sz w:val="17"/>
          <w:szCs w:val="17"/>
          <w:color w:val="auto"/>
        </w:rPr>
        <w:t>” means the representations and warranties of the Borrower relating to corporate status of the Borrower and the Guarantors, corporate power and authority to enter into the Credit Documentation, due authorization, execution, delivery and enforceability of the Credit Documentation, no conflicts with or consents under charter documents of the Borrower and the Guarantors, solvency of the Borrower and its subsidiaries on a consolidated basis after giving effect to the Transactions (solvency to be defined in a manner consistent with Annex I to Exhibit B), no conflicts with or consents under the applicable credit agreements and indentures governing indebtedness for borrowed money in a principal or committed amount greater than $100,000,000 (as determined after giving pro forma effect to the Transactions to occur on the Closing Date and without such representation being subject to any material adverse effect or similar qualification), Federal Reserve margin regulations, the use of the proceeds of the Bridge Facility not violating laws against sanctioned persons, the Foreign Corrupt Practices Act or the Patriot Act and compliance with the Investment Company Act. This paragraph, and the provisions herein, shall be referred to as the “</w:t>
      </w:r>
      <w:r>
        <w:rPr>
          <w:rFonts w:ascii="Arial" w:cs="Arial" w:eastAsia="Arial" w:hAnsi="Arial"/>
          <w:sz w:val="17"/>
          <w:szCs w:val="17"/>
          <w:b w:val="1"/>
          <w:bCs w:val="1"/>
          <w:i w:val="1"/>
          <w:iCs w:val="1"/>
          <w:color w:val="auto"/>
        </w:rPr>
        <w:t>Limited Conditionality Provision</w:t>
      </w:r>
      <w:r>
        <w:rPr>
          <w:rFonts w:ascii="Arial" w:cs="Arial" w:eastAsia="Arial" w:hAnsi="Arial"/>
          <w:sz w:val="17"/>
          <w:szCs w:val="17"/>
          <w:color w:val="auto"/>
        </w:rPr>
        <w:t>”.</w:t>
      </w:r>
    </w:p>
    <w:p>
      <w:pPr>
        <w:spacing w:after="0" w:line="185" w:lineRule="exact"/>
        <w:rPr>
          <w:rFonts w:ascii="Arial" w:cs="Arial" w:eastAsia="Arial" w:hAnsi="Arial"/>
          <w:sz w:val="17"/>
          <w:szCs w:val="17"/>
          <w:color w:val="auto"/>
        </w:rPr>
      </w:pPr>
    </w:p>
    <w:p>
      <w:pPr>
        <w:ind w:left="624" w:hanging="184"/>
        <w:spacing w:after="0"/>
        <w:tabs>
          <w:tab w:leader="none" w:pos="624" w:val="left"/>
        </w:tabs>
        <w:numPr>
          <w:ilvl w:val="1"/>
          <w:numId w:val="191"/>
        </w:numPr>
        <w:rPr>
          <w:rFonts w:ascii="Arial" w:cs="Arial" w:eastAsia="Arial" w:hAnsi="Arial"/>
          <w:sz w:val="18"/>
          <w:szCs w:val="18"/>
          <w:color w:val="auto"/>
        </w:rPr>
      </w:pPr>
      <w:r>
        <w:rPr>
          <w:rFonts w:ascii="Arial" w:cs="Arial" w:eastAsia="Arial" w:hAnsi="Arial"/>
          <w:sz w:val="18"/>
          <w:szCs w:val="18"/>
          <w:u w:val="single" w:color="auto"/>
          <w:color w:val="auto"/>
        </w:rPr>
        <w:t>Limitation of Liability, Indemnity, Settlement</w:t>
      </w:r>
    </w:p>
    <w:p>
      <w:pPr>
        <w:spacing w:after="0" w:line="225" w:lineRule="exact"/>
        <w:rPr>
          <w:sz w:val="20"/>
          <w:szCs w:val="20"/>
          <w:color w:val="auto"/>
        </w:rPr>
      </w:pPr>
    </w:p>
    <w:p>
      <w:pPr>
        <w:ind w:left="904" w:hanging="243"/>
        <w:spacing w:after="0"/>
        <w:tabs>
          <w:tab w:leader="none" w:pos="904" w:val="left"/>
        </w:tabs>
        <w:numPr>
          <w:ilvl w:val="0"/>
          <w:numId w:val="192"/>
        </w:numPr>
        <w:rPr>
          <w:rFonts w:ascii="Arial" w:cs="Arial" w:eastAsia="Arial" w:hAnsi="Arial"/>
          <w:sz w:val="18"/>
          <w:szCs w:val="18"/>
          <w:color w:val="auto"/>
        </w:rPr>
      </w:pPr>
      <w:r>
        <w:rPr>
          <w:rFonts w:ascii="Arial" w:cs="Arial" w:eastAsia="Arial" w:hAnsi="Arial"/>
          <w:sz w:val="18"/>
          <w:szCs w:val="18"/>
          <w:i w:val="1"/>
          <w:iCs w:val="1"/>
          <w:u w:val="single" w:color="auto"/>
          <w:color w:val="auto"/>
        </w:rPr>
        <w:t>Limitation of Liability</w:t>
      </w:r>
      <w:r>
        <w:rPr>
          <w:rFonts w:ascii="Arial" w:cs="Arial" w:eastAsia="Arial" w:hAnsi="Arial"/>
          <w:sz w:val="18"/>
          <w:szCs w:val="18"/>
          <w:color w:val="auto"/>
        </w:rPr>
        <w:t>.</w:t>
      </w:r>
    </w:p>
    <w:p>
      <w:pPr>
        <w:spacing w:after="0" w:line="225" w:lineRule="exact"/>
        <w:rPr>
          <w:sz w:val="20"/>
          <w:szCs w:val="20"/>
          <w:color w:val="auto"/>
        </w:rPr>
      </w:pPr>
    </w:p>
    <w:p>
      <w:pPr>
        <w:ind w:left="4" w:firstLine="440"/>
        <w:spacing w:after="0" w:line="269" w:lineRule="auto"/>
        <w:rPr>
          <w:sz w:val="20"/>
          <w:szCs w:val="20"/>
          <w:color w:val="auto"/>
        </w:rPr>
      </w:pPr>
      <w:r>
        <w:rPr>
          <w:rFonts w:ascii="Arial" w:cs="Arial" w:eastAsia="Arial" w:hAnsi="Arial"/>
          <w:sz w:val="17"/>
          <w:szCs w:val="17"/>
          <w:color w:val="auto"/>
        </w:rPr>
        <w:t>You agree that (i) in no event shall any of the Commitment Party and its affiliates and its officers, directors, employees, advisors, and agents (each, and including, without limitation, JPMorgan, an “</w:t>
      </w:r>
      <w:r>
        <w:rPr>
          <w:rFonts w:ascii="Arial" w:cs="Arial" w:eastAsia="Arial" w:hAnsi="Arial"/>
          <w:sz w:val="17"/>
          <w:szCs w:val="17"/>
          <w:b w:val="1"/>
          <w:bCs w:val="1"/>
          <w:i w:val="1"/>
          <w:iCs w:val="1"/>
          <w:color w:val="auto"/>
        </w:rPr>
        <w:t>Arranger-Related Person</w:t>
      </w:r>
      <w:r>
        <w:rPr>
          <w:rFonts w:ascii="Arial" w:cs="Arial" w:eastAsia="Arial" w:hAnsi="Arial"/>
          <w:sz w:val="17"/>
          <w:szCs w:val="17"/>
          <w:color w:val="auto"/>
        </w:rPr>
        <w:t xml:space="preserve">”) have any Liabilities, on any theory of liability, for any special, indirect, consequential or punitive damages incurred by you, your affiliates or your respective equity holders arising out of, in connection with, or as a result of, this Commitment Letter, the Fee Letter or any other agreement or instrument contemplated hereby; and (ii) no Arranger-Related Person shall have any Liabilities arising from, or be responsible for, the use by others of Information or other materials (including, without limitation, any personal data) obtained through electronic, telecommunications or other information transmission systems, including an Electronic Platform or otherwise via the internet other than for direct, actual damages resulting from the gross negligence or willful misconduct of such Arranger-Related Person as determined by a final, non-appealable judgment of a court of competent jurisdiction;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nothing in this clause (a) shall relieve you of any obligation you may have to indemnify an Indemnified Person, as provided in clause (b) below, against any special, indirect, consequential or punitive damages asserted against such Indemnified Person by a third party. You agree, to the extent permitted by applicable law, to not assert any claims against any Arranger-Related Person with respect to any of the foregoing. As used herein, the term “</w:t>
      </w:r>
      <w:r>
        <w:rPr>
          <w:rFonts w:ascii="Arial" w:cs="Arial" w:eastAsia="Arial" w:hAnsi="Arial"/>
          <w:sz w:val="17"/>
          <w:szCs w:val="17"/>
          <w:b w:val="1"/>
          <w:bCs w:val="1"/>
          <w:i w:val="1"/>
          <w:iCs w:val="1"/>
          <w:color w:val="auto"/>
        </w:rPr>
        <w:t>Liabilities</w:t>
      </w:r>
      <w:r>
        <w:rPr>
          <w:rFonts w:ascii="Arial" w:cs="Arial" w:eastAsia="Arial" w:hAnsi="Arial"/>
          <w:sz w:val="17"/>
          <w:szCs w:val="17"/>
          <w:color w:val="auto"/>
        </w:rPr>
        <w:t>” shall mean any losses, claims (including intraparty claims), demands, damages or liabilities of any kind.</w:t>
      </w:r>
    </w:p>
    <w:p>
      <w:pPr>
        <w:spacing w:after="0" w:line="179" w:lineRule="exact"/>
        <w:rPr>
          <w:sz w:val="20"/>
          <w:szCs w:val="20"/>
          <w:color w:val="auto"/>
        </w:rPr>
      </w:pPr>
    </w:p>
    <w:p>
      <w:pPr>
        <w:ind w:left="924" w:hanging="263"/>
        <w:spacing w:after="0"/>
        <w:tabs>
          <w:tab w:leader="none" w:pos="924" w:val="left"/>
        </w:tabs>
        <w:numPr>
          <w:ilvl w:val="0"/>
          <w:numId w:val="193"/>
        </w:numPr>
        <w:rPr>
          <w:rFonts w:ascii="Arial" w:cs="Arial" w:eastAsia="Arial" w:hAnsi="Arial"/>
          <w:sz w:val="18"/>
          <w:szCs w:val="18"/>
          <w:color w:val="auto"/>
        </w:rPr>
      </w:pPr>
      <w:r>
        <w:rPr>
          <w:rFonts w:ascii="Arial" w:cs="Arial" w:eastAsia="Arial" w:hAnsi="Arial"/>
          <w:sz w:val="18"/>
          <w:szCs w:val="18"/>
          <w:i w:val="1"/>
          <w:iCs w:val="1"/>
          <w:u w:val="single" w:color="auto"/>
          <w:color w:val="auto"/>
        </w:rPr>
        <w:t>Indemnity</w:t>
      </w:r>
      <w:r>
        <w:rPr>
          <w:rFonts w:ascii="Arial" w:cs="Arial" w:eastAsia="Arial" w:hAnsi="Arial"/>
          <w:sz w:val="18"/>
          <w:szCs w:val="18"/>
          <w:color w:val="auto"/>
        </w:rPr>
        <w:t>.</w:t>
      </w:r>
    </w:p>
    <w:p>
      <w:pPr>
        <w:spacing w:after="0" w:line="225" w:lineRule="exact"/>
        <w:rPr>
          <w:sz w:val="20"/>
          <w:szCs w:val="20"/>
          <w:color w:val="auto"/>
        </w:rPr>
      </w:pPr>
    </w:p>
    <w:p>
      <w:pPr>
        <w:jc w:val="both"/>
        <w:ind w:left="4" w:right="100" w:firstLine="440"/>
        <w:spacing w:after="0" w:line="259" w:lineRule="auto"/>
        <w:rPr>
          <w:sz w:val="20"/>
          <w:szCs w:val="20"/>
          <w:color w:val="auto"/>
        </w:rPr>
      </w:pPr>
      <w:r>
        <w:rPr>
          <w:rFonts w:ascii="Arial" w:cs="Arial" w:eastAsia="Arial" w:hAnsi="Arial"/>
          <w:sz w:val="18"/>
          <w:szCs w:val="18"/>
          <w:color w:val="auto"/>
        </w:rPr>
        <w:t>You agree (A) to (i) indemnify and hold harmless each of the Commitment Party</w:t>
      </w:r>
      <w:r>
        <w:rPr>
          <w:rFonts w:ascii="Arial" w:cs="Arial" w:eastAsia="Arial" w:hAnsi="Arial"/>
          <w:sz w:val="18"/>
          <w:szCs w:val="18"/>
          <w:i w:val="1"/>
          <w:iCs w:val="1"/>
          <w:color w:val="auto"/>
        </w:rPr>
        <w:t>,</w:t>
      </w:r>
      <w:r>
        <w:rPr>
          <w:rFonts w:ascii="Arial" w:cs="Arial" w:eastAsia="Arial" w:hAnsi="Arial"/>
          <w:sz w:val="18"/>
          <w:szCs w:val="18"/>
          <w:color w:val="auto"/>
        </w:rPr>
        <w:t xml:space="preserve"> and its affiliates and its officers, directors, employees, advisors, and agents (each, and including, without limitation, JPMorgan, an “</w:t>
      </w:r>
      <w:r>
        <w:rPr>
          <w:rFonts w:ascii="Arial" w:cs="Arial" w:eastAsia="Arial" w:hAnsi="Arial"/>
          <w:sz w:val="18"/>
          <w:szCs w:val="18"/>
          <w:b w:val="1"/>
          <w:bCs w:val="1"/>
          <w:i w:val="1"/>
          <w:iCs w:val="1"/>
          <w:color w:val="auto"/>
        </w:rPr>
        <w:t>Indemnified Person</w:t>
      </w:r>
      <w:r>
        <w:rPr>
          <w:rFonts w:ascii="Arial" w:cs="Arial" w:eastAsia="Arial" w:hAnsi="Arial"/>
          <w:sz w:val="18"/>
          <w:szCs w:val="18"/>
          <w:color w:val="auto"/>
        </w:rPr>
        <w:t>”) from and against any and all Liabilities and related expenses to which any such Indemnified Person may become subject arising out of or in connection with this Commitment Letter, the Bridge Facility, the use of the proceeds thereof, any</w:t>
      </w:r>
    </w:p>
    <w:p>
      <w:pPr>
        <w:spacing w:after="0" w:line="11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4"/>
          </w:cols>
          <w:pgMar w:left="436" w:top="274" w:right="459" w:bottom="1440" w:gutter="0" w:footer="0" w:header="0"/>
        </w:sectPr>
      </w:pPr>
    </w:p>
    <w:bookmarkStart w:id="131" w:name="page132"/>
    <w:bookmarkEnd w:id="131"/>
    <w:p>
      <w:pPr>
        <w:ind w:left="4" w:right="1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related transaction or the activities performed or the Commitments or services furnished pursuant to this Commitment Letter or the role of the Commitment Party in connection therewith or in connection with any actual or prospective claim, litigation, investigation, arbitration or administrative, judicial or regulatory action or proceeding in any jurisdiction relating to any of the foregoing (including in relation to enforcing the terms of clause</w:t>
      </w:r>
    </w:p>
    <w:p>
      <w:pPr>
        <w:spacing w:after="0" w:line="2" w:lineRule="exact"/>
        <w:rPr>
          <w:sz w:val="20"/>
          <w:szCs w:val="20"/>
          <w:color w:val="auto"/>
        </w:rPr>
      </w:pPr>
    </w:p>
    <w:p>
      <w:pPr>
        <w:ind w:left="4" w:hanging="4"/>
        <w:spacing w:after="0" w:line="283" w:lineRule="auto"/>
        <w:tabs>
          <w:tab w:leader="none" w:pos="249" w:val="left"/>
        </w:tabs>
        <w:numPr>
          <w:ilvl w:val="0"/>
          <w:numId w:val="194"/>
        </w:numPr>
        <w:rPr>
          <w:rFonts w:ascii="Arial" w:cs="Arial" w:eastAsia="Arial" w:hAnsi="Arial"/>
          <w:sz w:val="16"/>
          <w:szCs w:val="16"/>
          <w:color w:val="auto"/>
        </w:rPr>
      </w:pPr>
      <w:r>
        <w:rPr>
          <w:rFonts w:ascii="Arial" w:cs="Arial" w:eastAsia="Arial" w:hAnsi="Arial"/>
          <w:sz w:val="16"/>
          <w:szCs w:val="16"/>
          <w:color w:val="auto"/>
        </w:rPr>
        <w:t>above and the terms of this clause (b)) (each, a “</w:t>
      </w:r>
      <w:r>
        <w:rPr>
          <w:rFonts w:ascii="Arial" w:cs="Arial" w:eastAsia="Arial" w:hAnsi="Arial"/>
          <w:sz w:val="16"/>
          <w:szCs w:val="16"/>
          <w:b w:val="1"/>
          <w:bCs w:val="1"/>
          <w:i w:val="1"/>
          <w:iCs w:val="1"/>
          <w:color w:val="auto"/>
        </w:rPr>
        <w:t>Proceeding</w:t>
      </w:r>
      <w:r>
        <w:rPr>
          <w:rFonts w:ascii="Arial" w:cs="Arial" w:eastAsia="Arial" w:hAnsi="Arial"/>
          <w:sz w:val="16"/>
          <w:szCs w:val="16"/>
          <w:color w:val="auto"/>
        </w:rPr>
        <w:t xml:space="preserve">”), regardless of whether or not any Indemnified Person is a party thereto and whether or not such Proceeding is brought by you, your equity holders, affiliates, creditors, the Target or any other person and (ii) reimburse each Indemnified Person upon demand (upon presentation of a summary statement, in reasonable detail) for any legal or other expenses (but limited, in the case of legal fees and expenses, to the reasonable and documented or invoiced out-of-pocket fees and expenses of one counsel, representing all of the Indemnified Parties, taken as a whole, and, if necessary, of a single local counsel in each appropriate jurisdiction (which may include a single special counsel acting in multiple jurisdictions) for all such Indemnified Persons, taken as whole (and, in the case of an actual or perceived conflict of interest where the Indemnified Person affected by such conflict notifies you of the existence of such conflict and thereafter retains its own counsel, of another firm of counsel for each such affected Indemnified Person)) incurred in connection with investigating or defending any of the foregoing, regardless of whether or not in connection with any pending or threatened Proceeding to which any Indemnified Person is a party, in each case as such expenses are incurred or paid;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indemnity will not, as to any Indemnified Person, apply to any Liabilities or related expenses to the extent they are found by a final, non-appealable judgment of a court of competent jurisdiction to (I) result from (x) the willful misconduct, bad faith or gross negligence of such Indemnified Person in performing its activities or in furnishing its Commitments or services under this Commitment Letter or (y) a material breach by such Indemnified Person of the Commitment Letter, the Fee Letter or any of the Credit Documentation, or (II) have not resulted from an act or omission by you or any of your affiliates and have been brought by an Indemnified Person against any other Indemnified Person (other than any claims against the Commitment Party in its capacity or in fulfilling its role as an arranger or agent or any similar role hereunder) and (B) to reimburse the Commitment Party and its affiliates on demand (upon presentation of a summary statement, in reasonable detail) for all reasonable documented or invoiced out-of-pocket expenses (including due diligence expenses, syndication expenses, travel expenses, and reasonable fees, charges and disbursements of counsel which shall be limited to the reasonable and documented or invoiced out-of-pocket fees and other charges of one counsel to the Lead Arranger and the Administrative Agent and, if necessary, of one regulatory counsel and one local counsel to the Lenders retained by the Lead Arranger in each relevant regulatory field and each relevant jurisdiction, respectively (and, in the case of an actual or perceived conflict of interest where the Commitment Party affected by such conflict notifies you of the existence of such conflict and thereafter retains its own counsel, of another firm of counsel for each such affected Commitment Party)) incurred in connection with the Bridge Facility and any related documentation (including this Commitment Letter, the Term Sheet, the Fee Letter and the Credit Documentation) or the administration, amendment, modification or waiver thereof.</w:t>
      </w:r>
    </w:p>
    <w:p>
      <w:pPr>
        <w:spacing w:after="0" w:line="180" w:lineRule="exact"/>
        <w:rPr>
          <w:sz w:val="20"/>
          <w:szCs w:val="20"/>
          <w:color w:val="auto"/>
        </w:rPr>
      </w:pPr>
    </w:p>
    <w:p>
      <w:pPr>
        <w:ind w:left="904" w:hanging="243"/>
        <w:spacing w:after="0"/>
        <w:tabs>
          <w:tab w:leader="none" w:pos="904" w:val="left"/>
        </w:tabs>
        <w:numPr>
          <w:ilvl w:val="0"/>
          <w:numId w:val="195"/>
        </w:numPr>
        <w:rPr>
          <w:rFonts w:ascii="Arial" w:cs="Arial" w:eastAsia="Arial" w:hAnsi="Arial"/>
          <w:sz w:val="18"/>
          <w:szCs w:val="18"/>
          <w:color w:val="auto"/>
        </w:rPr>
      </w:pPr>
      <w:r>
        <w:rPr>
          <w:rFonts w:ascii="Arial" w:cs="Arial" w:eastAsia="Arial" w:hAnsi="Arial"/>
          <w:sz w:val="18"/>
          <w:szCs w:val="18"/>
          <w:i w:val="1"/>
          <w:iCs w:val="1"/>
          <w:u w:val="single" w:color="auto"/>
          <w:color w:val="auto"/>
        </w:rPr>
        <w:t>Settlement</w:t>
      </w:r>
      <w:r>
        <w:rPr>
          <w:rFonts w:ascii="Arial" w:cs="Arial" w:eastAsia="Arial" w:hAnsi="Arial"/>
          <w:sz w:val="18"/>
          <w:szCs w:val="18"/>
          <w:color w:val="auto"/>
        </w:rPr>
        <w:t>.</w:t>
      </w:r>
    </w:p>
    <w:p>
      <w:pPr>
        <w:spacing w:after="0" w:line="225" w:lineRule="exact"/>
        <w:rPr>
          <w:sz w:val="20"/>
          <w:szCs w:val="20"/>
          <w:color w:val="auto"/>
        </w:rPr>
      </w:pPr>
    </w:p>
    <w:p>
      <w:pPr>
        <w:ind w:left="4" w:right="60" w:firstLine="440"/>
        <w:spacing w:after="0" w:line="257" w:lineRule="auto"/>
        <w:rPr>
          <w:sz w:val="20"/>
          <w:szCs w:val="20"/>
          <w:color w:val="auto"/>
        </w:rPr>
      </w:pPr>
      <w:r>
        <w:rPr>
          <w:rFonts w:ascii="Arial" w:cs="Arial" w:eastAsia="Arial" w:hAnsi="Arial"/>
          <w:sz w:val="18"/>
          <w:szCs w:val="18"/>
          <w:color w:val="auto"/>
        </w:rPr>
        <w:t>You shall not be liable for any settlement of any Proceeding if the amount of such settlement was effected without your prior written consent (which consent shall not be unreasonably withheld, conditioned or delayed), but if settled with your written consent or if there is a final judgment in any such Proceeding, you agree to indemnify and hold harmless each Indemnified Person from and against any and all Liabilities and related expenses by reason of such settlement or judgment in accordance with the terms of clause (b) above. You shall not, without the prior written consent of the Commitment Party and its affiliates (which consent shall</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24"/>
          </w:cols>
          <w:pgMar w:left="436" w:top="274" w:right="439" w:bottom="1440" w:gutter="0" w:footer="0" w:header="0"/>
        </w:sectPr>
      </w:pPr>
    </w:p>
    <w:bookmarkStart w:id="132" w:name="page133"/>
    <w:bookmarkEnd w:id="132"/>
    <w:p>
      <w:pPr>
        <w:ind w:left="4" w:right="8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not be unreasonably withheld, conditioned or delayed), effect any settlement of any pending or threatened Proceedings in respect of which indemnity could have been sought hereunder by the Commitment Party unless such settlement (x) includes an unconditional release of such Indemnified Person in form and substance reasonably satisfactory to the Commitment Party from all liability on claims that are the subject matter of such Proceedings and</w:t>
      </w:r>
    </w:p>
    <w:p>
      <w:pPr>
        <w:spacing w:after="0" w:line="2" w:lineRule="exact"/>
        <w:rPr>
          <w:sz w:val="20"/>
          <w:szCs w:val="20"/>
          <w:color w:val="auto"/>
        </w:rPr>
      </w:pPr>
    </w:p>
    <w:p>
      <w:pPr>
        <w:ind w:left="4" w:right="260" w:hanging="4"/>
        <w:spacing w:after="0" w:line="255" w:lineRule="auto"/>
        <w:tabs>
          <w:tab w:leader="none" w:pos="259" w:val="left"/>
        </w:tabs>
        <w:numPr>
          <w:ilvl w:val="0"/>
          <w:numId w:val="196"/>
        </w:numPr>
        <w:rPr>
          <w:rFonts w:ascii="Arial" w:cs="Arial" w:eastAsia="Arial" w:hAnsi="Arial"/>
          <w:sz w:val="18"/>
          <w:szCs w:val="18"/>
          <w:color w:val="auto"/>
        </w:rPr>
      </w:pPr>
      <w:r>
        <w:rPr>
          <w:rFonts w:ascii="Arial" w:cs="Arial" w:eastAsia="Arial" w:hAnsi="Arial"/>
          <w:sz w:val="18"/>
          <w:szCs w:val="18"/>
          <w:color w:val="auto"/>
        </w:rPr>
        <w:t>does not include any statement as to or any admission of fault, culpability or a failure to act by or on behalf of the Commitment Party or any injunctive relief or other non-monetary remedy. You acknowledge that any failure to comply with your obligations under the preceding sentence may cause irreparable harm to the Commitment Party and the other Indemnified Persons.</w:t>
      </w:r>
    </w:p>
    <w:p>
      <w:pPr>
        <w:spacing w:after="0" w:line="189" w:lineRule="exact"/>
        <w:rPr>
          <w:rFonts w:ascii="Arial" w:cs="Arial" w:eastAsia="Arial" w:hAnsi="Arial"/>
          <w:sz w:val="18"/>
          <w:szCs w:val="18"/>
          <w:color w:val="auto"/>
        </w:rPr>
      </w:pPr>
    </w:p>
    <w:p>
      <w:pPr>
        <w:ind w:left="624" w:hanging="184"/>
        <w:spacing w:after="0"/>
        <w:tabs>
          <w:tab w:leader="none" w:pos="624" w:val="left"/>
        </w:tabs>
        <w:numPr>
          <w:ilvl w:val="1"/>
          <w:numId w:val="196"/>
        </w:numPr>
        <w:rPr>
          <w:rFonts w:ascii="Arial" w:cs="Arial" w:eastAsia="Arial" w:hAnsi="Arial"/>
          <w:sz w:val="18"/>
          <w:szCs w:val="18"/>
          <w:color w:val="auto"/>
        </w:rPr>
      </w:pPr>
      <w:r>
        <w:rPr>
          <w:rFonts w:ascii="Arial" w:cs="Arial" w:eastAsia="Arial" w:hAnsi="Arial"/>
          <w:sz w:val="18"/>
          <w:szCs w:val="18"/>
          <w:u w:val="single" w:color="auto"/>
          <w:color w:val="auto"/>
        </w:rPr>
        <w:t>Affiliate Activities, Sharing of Information, Absence of Fiduciary Relationships</w:t>
      </w:r>
    </w:p>
    <w:p>
      <w:pPr>
        <w:spacing w:after="0" w:line="225" w:lineRule="exact"/>
        <w:rPr>
          <w:sz w:val="20"/>
          <w:szCs w:val="20"/>
          <w:color w:val="auto"/>
        </w:rPr>
      </w:pPr>
    </w:p>
    <w:p>
      <w:pPr>
        <w:ind w:left="4" w:right="180" w:firstLine="440"/>
        <w:spacing w:after="0" w:line="254" w:lineRule="auto"/>
        <w:rPr>
          <w:sz w:val="20"/>
          <w:szCs w:val="20"/>
          <w:color w:val="auto"/>
        </w:rPr>
      </w:pPr>
      <w:r>
        <w:rPr>
          <w:rFonts w:ascii="Arial" w:cs="Arial" w:eastAsia="Arial" w:hAnsi="Arial"/>
          <w:sz w:val="18"/>
          <w:szCs w:val="18"/>
          <w:color w:val="auto"/>
        </w:rPr>
        <w:t xml:space="preserve">The Commitment Party may employ the services of its affiliates in providing certain services hereunder and, in connection with the provision of such services, may exchange with such affiliates information concerning you and the other companies that may be the subject of the transactions contemplated by this Commitment Letter, and, to the extent so employed, such affiliates shall be entitled to the benefits, and be subject to the obligations, of the Commitment Party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with respect to the Commitment, any assignments thereof to an affiliate or branch will not relieve the Commitment Party from any of its obligations hereunder unless and until such affiliate or branch shall have funded the portion of the Commitment so assigned on the Closing Date. The Commitment Party shall be responsible for its affiliates’ failure to comply with such obligations under this Commitment Letter.</w:t>
      </w:r>
    </w:p>
    <w:p>
      <w:pPr>
        <w:spacing w:after="0" w:line="195" w:lineRule="exact"/>
        <w:rPr>
          <w:sz w:val="20"/>
          <w:szCs w:val="20"/>
          <w:color w:val="auto"/>
        </w:rPr>
      </w:pPr>
    </w:p>
    <w:p>
      <w:pPr>
        <w:ind w:left="4" w:right="140" w:firstLine="440"/>
        <w:spacing w:after="0" w:line="254" w:lineRule="auto"/>
        <w:rPr>
          <w:sz w:val="20"/>
          <w:szCs w:val="20"/>
          <w:color w:val="auto"/>
        </w:rPr>
      </w:pPr>
      <w:r>
        <w:rPr>
          <w:rFonts w:ascii="Arial" w:cs="Arial" w:eastAsia="Arial" w:hAnsi="Arial"/>
          <w:sz w:val="18"/>
          <w:szCs w:val="18"/>
          <w:color w:val="auto"/>
        </w:rPr>
        <w:t>You acknowledge that the Commitment Party and its affiliates may be providing debt financing, equity capital or other services (including financial advisory services) to other companies in respect of which you may have conflicting interests regarding the transactions described herein and otherwise. The Commitment Party will not use confidential information obtained from you by virtue of the transactions contemplated by this Commitment Letter or its other relationships with you in connection with the performance by such Commitment Party of services for other companies, and the Commitment Party will not furnish any such information to other companies. You also acknowledge that the Commitment Party has no obligation to use in connection with the transactions contemplated by this Commitment Letter, or to furnish to you, confidential information obtained from other companies.</w:t>
      </w:r>
    </w:p>
    <w:p>
      <w:pPr>
        <w:spacing w:after="0" w:line="195" w:lineRule="exact"/>
        <w:rPr>
          <w:sz w:val="20"/>
          <w:szCs w:val="20"/>
          <w:color w:val="auto"/>
        </w:rPr>
      </w:pPr>
    </w:p>
    <w:p>
      <w:pPr>
        <w:ind w:left="4" w:firstLine="440"/>
        <w:spacing w:after="0" w:line="287" w:lineRule="auto"/>
        <w:rPr>
          <w:sz w:val="20"/>
          <w:szCs w:val="20"/>
          <w:color w:val="auto"/>
        </w:rPr>
      </w:pPr>
      <w:r>
        <w:rPr>
          <w:rFonts w:ascii="Arial" w:cs="Arial" w:eastAsia="Arial" w:hAnsi="Arial"/>
          <w:sz w:val="16"/>
          <w:szCs w:val="16"/>
          <w:color w:val="auto"/>
        </w:rPr>
        <w:t>You agree that the Commitment Party will act under this Commitment Letter as an independent contractor and that nothing in this Commitment Letter will be deemed to create an advisory, fiduciary or agency relationship or fiduciary or other implied duty between the Commitment Party, on the one hand, and you and your respective equity holders or your and their respective affiliates on the other hand. You acknowledge and agree that (i) the transactions contemplated by this Commitment Letter are arm’s-length commercial transactions between the Commitment Party and, if applicable, its affiliates, on the one hand, and you, on the other hand, (ii) in connection therewith and with the process leading to such transaction the Commitment Party and, if applicable, each of its affiliates, is acting solely as a principal and has not been, is not and will not be acting as an advisor, agent or fiduciary of you, your management, equity holders, creditors, affiliates or any other person and (iii) with respect to the transactions contemplated hereby or the process leading thereto, the Commitment Party and, if applicable, its affiliates, has not assumed (x) an advisory or fiduciary responsibility in favor of you or your affiliates (irrespective of whether the Commitment Party or any of its affiliates has advised or is currently advising you or your affiliates on other matters (which, for the avoidance of doubt, includes acting as a financial advisor to the Borrower or any of its affiliates in respect of any transaction related hereto)) or (y) any other obligation except the obligations expressly set forth in</w:t>
      </w:r>
    </w:p>
    <w:p>
      <w:pPr>
        <w:spacing w:after="0" w:line="104"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4"/>
          </w:cols>
          <w:pgMar w:left="436" w:top="274" w:right="459" w:bottom="1440" w:gutter="0" w:footer="0" w:header="0"/>
        </w:sectPr>
      </w:pPr>
    </w:p>
    <w:bookmarkStart w:id="133" w:name="page134"/>
    <w:bookmarkEnd w:id="133"/>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this Commitment Letter. You further acknowledge and agree that (i) you are responsible for making your own independent judgment with respect to such transactions and the process leading thereto, (ii) you are capable of evaluating and understand and accept the terms, risks and conditions of the transactions contemplated hereby, and the Commitment Party shall have no responsibility or liability to you with respect thereto, and (iii) the Commitment Party is not advising the Borrower as to any legal, tax, investment, accounting, regulatory or any other matters in any jurisdiction, and you shall consult with your own advisors concerning such matters and you shall be responsible for making your own independent investigation and appraisal of the transactions contemplated hereby. Any review by the Commitment Party or any of its affiliates of the Borrower, the transactions contemplated hereby or other matters relating to such transactions will be performed solely for the benefit of the Commitment Party and shall not be on behalf of the Borrower. The Borrower agrees that it will not claim that the Commitment Party has rendered any advisory services or assert any claim against the Commitment Party based on an alleged breach of fiduciary duty by the Commitment Party in connection with this Commitment Letter and the transactions contemplated hereby or assert any claim based on any actual or potential conflict of interest that might be asserted to arise or result from the engagement of the Commitment Party or any of its affiliates acting as a financial advisor to the Borrower or any of its affiliates, on the one hand, and the engagement of the Commitment Party hereunder and the transactions contemplated hereby, on the other hand.</w:t>
      </w:r>
    </w:p>
    <w:p>
      <w:pPr>
        <w:spacing w:after="0" w:line="168" w:lineRule="exact"/>
        <w:rPr>
          <w:sz w:val="20"/>
          <w:szCs w:val="20"/>
          <w:color w:val="auto"/>
        </w:rPr>
      </w:pPr>
    </w:p>
    <w:p>
      <w:pPr>
        <w:ind w:right="100" w:firstLine="440"/>
        <w:spacing w:after="0" w:line="254" w:lineRule="auto"/>
        <w:rPr>
          <w:sz w:val="20"/>
          <w:szCs w:val="20"/>
          <w:color w:val="auto"/>
        </w:rPr>
      </w:pPr>
      <w:r>
        <w:rPr>
          <w:rFonts w:ascii="Arial" w:cs="Arial" w:eastAsia="Arial" w:hAnsi="Arial"/>
          <w:sz w:val="18"/>
          <w:szCs w:val="18"/>
          <w:color w:val="auto"/>
        </w:rPr>
        <w:t>You further acknowledge that the Commitment Party is a full service securities or banking firm engaged in securities trading and brokerage activities as well as providing investment banking and other financial services. In the ordinary course of business, the Commitment Party may provide investment banking and other financial services to, and/or acquire, hold or sell, for its own accounts and the accounts of customers, equity, debt and other securities and financial instruments (including bank loans and other obligations) of, you and other companies with which you may have commercial or other relationships. With respect to any securities and/or financial instruments so held by the Commitment Party or any of its customers, all rights in respect of such securities and financial instruments, including any voting rights, will be exercised by the holder of the rights, in its sole discretion.</w:t>
      </w:r>
    </w:p>
    <w:p>
      <w:pPr>
        <w:spacing w:after="0" w:line="195" w:lineRule="exact"/>
        <w:rPr>
          <w:sz w:val="20"/>
          <w:szCs w:val="20"/>
          <w:color w:val="auto"/>
        </w:rPr>
      </w:pPr>
    </w:p>
    <w:p>
      <w:pPr>
        <w:ind w:right="220" w:firstLine="440"/>
        <w:spacing w:after="0" w:line="263" w:lineRule="auto"/>
        <w:rPr>
          <w:sz w:val="20"/>
          <w:szCs w:val="20"/>
          <w:color w:val="auto"/>
        </w:rPr>
      </w:pPr>
      <w:r>
        <w:rPr>
          <w:rFonts w:ascii="Arial" w:cs="Arial" w:eastAsia="Arial" w:hAnsi="Arial"/>
          <w:sz w:val="18"/>
          <w:szCs w:val="18"/>
          <w:color w:val="auto"/>
        </w:rPr>
        <w:t>In particular, you acknowledge that JPMorgan or its affiliates may be acting as a buy-side financial advisor to you in connection with the Transactions. You agree not to assert or allege any claim based on actual or potential conflict of interest arising or resulting from, on the one hand, the engagement of JPMorgan or its affiliates in such capacity and our obligations hereunder, on the other hand.</w:t>
      </w:r>
    </w:p>
    <w:p>
      <w:pPr>
        <w:spacing w:after="0" w:line="184" w:lineRule="exact"/>
        <w:rPr>
          <w:sz w:val="20"/>
          <w:szCs w:val="20"/>
          <w:color w:val="auto"/>
        </w:rPr>
      </w:pPr>
    </w:p>
    <w:p>
      <w:pPr>
        <w:ind w:left="620" w:hanging="184"/>
        <w:spacing w:after="0"/>
        <w:tabs>
          <w:tab w:leader="none" w:pos="620" w:val="left"/>
        </w:tabs>
        <w:numPr>
          <w:ilvl w:val="0"/>
          <w:numId w:val="197"/>
        </w:numPr>
        <w:rPr>
          <w:rFonts w:ascii="Arial" w:cs="Arial" w:eastAsia="Arial" w:hAnsi="Arial"/>
          <w:sz w:val="18"/>
          <w:szCs w:val="18"/>
          <w:color w:val="auto"/>
        </w:rPr>
      </w:pPr>
      <w:r>
        <w:rPr>
          <w:rFonts w:ascii="Arial" w:cs="Arial" w:eastAsia="Arial" w:hAnsi="Arial"/>
          <w:sz w:val="18"/>
          <w:szCs w:val="18"/>
          <w:u w:val="single" w:color="auto"/>
          <w:color w:val="auto"/>
        </w:rPr>
        <w:t>Confidentiality</w:t>
      </w:r>
    </w:p>
    <w:p>
      <w:pPr>
        <w:spacing w:after="0" w:line="225"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This Commitment Letter is delivered to you on the understanding that neither this Commitment Letter, the Term Sheet or the Fee Letter nor any of their terms or substance shall be disclosed by you, directly or indirectly, to any other person without our prior written consent (such approval not to be unreasonably withheld or delayed) except (a) to your affiliates and your and your affiliates’ directors, officers, employees, agents and advisors who are directly involved in the consideration of this matter and for whom you shall be responsible for any breach by any one of them of this confidentiality undertaking, (b) as may be compelled in a judicial or administrative proceeding or as otherwise required by law or to the extent requested or required by governmental and/or regulatory authorities, in each case based on the reasonable advice of your legal counsel (in which case you agree, to the extent practicable and not prohibited by applicable law, to inform us promptly thereof), (c) following your acceptance of the provisions hereof and your return of an executed counterpart of this Commitment Letter to the Lead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134" w:name="page135"/>
    <w:bookmarkEnd w:id="134"/>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Arranger as provided below, you may disclose this Commitment Letter and the contents hereof (but not the Fee Letter or the contents thereof) in any offering memoranda relating to the Bridge Facility, in any syndication or other marketing materials in connection with the Bridge Facility or in connection with any public filing relating to the Transactions, (d) following your acceptance of the provisions hereof and your return of an executed counterpart of this Commitment Letter to the Lead Arranger as provided below, you may file a copy of any portion of this Commitment Letter (but not the Fee Letter) in any public record in which it is required by law or regulation on the advice of your counsel to be filed, (e) you may disclose, on a confidential basis, the existence and contents of this Commitment Letter, including Exhibits A through C (but not the Fee Letter) to any rating agency or any prospective Lenders to the extent necessary to satisfy your obligations or the conditions hereunder, (f) you may disclose the aggregate fee amounts contained in the Fee Letter in financial statements or as part of Projections, pro forma information or a generic disclosure of aggregate sources and uses related to fee amounts related to the Transactions to the extent customary or required in offering and marketing materials for the Bridge Facility or in any public filing relating to the Transactions (which in the case of such public filing may indicate the existence of the Fee Letter) and (g) in connection with the exercise of any remedy or enforcement of any right under this Commitment Letter and the Fee Letter;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restrictions shall cease to apply (except in respect of the Fee Letter and its terms and substance) on the date that is two years after this Commitment Letter has been accepted by you;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you may disclose this Commitment Letter and the Fee Letter (redacted in a manner reasonably satisfactory to us) to the Target, their respective subsidiaries and their officers, directors, employees, affiliates, independent auditors (but only with respect to this Commitment Letter), legal counsel and other legal advisors on a confidential basis in connection with their consideration of the Transactions.</w:t>
      </w:r>
    </w:p>
    <w:p>
      <w:pPr>
        <w:spacing w:after="0" w:line="167" w:lineRule="exact"/>
        <w:rPr>
          <w:sz w:val="20"/>
          <w:szCs w:val="20"/>
          <w:color w:val="auto"/>
        </w:rPr>
      </w:pPr>
    </w:p>
    <w:p>
      <w:pPr>
        <w:ind w:firstLine="440"/>
        <w:spacing w:after="0" w:line="267" w:lineRule="auto"/>
        <w:rPr>
          <w:sz w:val="20"/>
          <w:szCs w:val="20"/>
          <w:color w:val="auto"/>
        </w:rPr>
      </w:pPr>
      <w:r>
        <w:rPr>
          <w:rFonts w:ascii="Arial" w:cs="Arial" w:eastAsia="Arial" w:hAnsi="Arial"/>
          <w:sz w:val="17"/>
          <w:szCs w:val="17"/>
          <w:color w:val="auto"/>
        </w:rPr>
        <w:t xml:space="preserve">The Commitment Party will treat all information provided to it by or on behalf of you in connection with the transactions contemplated hereby (including information regarding the Acquired Business) confidentially and shall not publish, disclose or otherwise divulge, such information;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nothing herein shall prevent the Commitment Party and its affiliates from disclosing any such information (a) pursuant to the order of any court or administrative agency or in any pending legal, judicial or administrative proceeding, or otherwise as required by applicable law, rule or regulation, subpoena or compulsory legal process or upon the request or demand of any regulatory authority (including any self-regulatory authority) or other governmental authority purporting to have jurisdiction over the Commitment Party or any of its affiliates (in which case the Commitment Party agrees (except with respect to any audit or examination conducted by bank accountants or any self-regulatory authority or governmental or regulatory authority exercising examination or regulatory authority), to the extent practicable and not prohibited by applicable law or regulation, to inform you promptly thereof prior to disclosure), (b) to the extent that such information becomes publicly available other than by reason of improper disclosure by the Commitment Party or any of its affiliates in violation of any confidentiality obligations owing to you hereunder, (c) to the extent that such information is received by the Commitment Party from a third party that is not, to the Commitment Party’s knowledge, subject to contractual or fiduciary confidentiality obligations owing to you with respect to such information, (d) to the extent that such information is independently developed by the Commitment Party or any of its affiliates, (e) to the Commitment Party’s affiliates and their and their respective employees, directors, officers, independent auditors, rating agencies, professional advisors and other experts or agents who need to know such information in connection with the transactions contemplated hereby and who are informed of the confidential nature of such information (with the Commitment Party responsible for its affiliates’ compliance with this paragraph), (f) in connection with the exercise of any remedies hereunder or under the Fee Letter or any suit, action or proceeding relating to this Commitment Letter, the Fee Letter or</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0"/>
          </w:cols>
          <w:pgMar w:left="440" w:top="274" w:right="479" w:bottom="1440" w:gutter="0" w:footer="0" w:header="0"/>
        </w:sectPr>
      </w:pPr>
    </w:p>
    <w:bookmarkStart w:id="135" w:name="page136"/>
    <w:bookmarkEnd w:id="135"/>
    <w:p>
      <w:pPr>
        <w:ind w:right="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Bridge Facility, and/or (g) to prospective Lenders, hedge providers, participants or assignees (collectively, “</w:t>
      </w:r>
      <w:r>
        <w:rPr>
          <w:rFonts w:ascii="Arial" w:cs="Arial" w:eastAsia="Arial" w:hAnsi="Arial"/>
          <w:sz w:val="17"/>
          <w:szCs w:val="17"/>
          <w:b w:val="1"/>
          <w:bCs w:val="1"/>
          <w:i w:val="1"/>
          <w:iCs w:val="1"/>
          <w:color w:val="auto"/>
        </w:rPr>
        <w:t>Prospective Parties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purposes of clause (g) above, the disclosure of any such information to any Prospective Party shall be made subject to such Prospective Party written agreement to treat such information confidentially on substantially the terms set forth in this paragraph. If the Bridge Facility closes, the Commitment Party’s obligations under this paragraph shall terminate and be superseded by the confidentiality provisions in the Credit Documentation. Otherwise, the provisions of this paragraph shall expire two years after the date hereof.</w:t>
      </w:r>
    </w:p>
    <w:p>
      <w:pPr>
        <w:spacing w:after="0" w:line="176" w:lineRule="exact"/>
        <w:rPr>
          <w:sz w:val="20"/>
          <w:szCs w:val="20"/>
          <w:color w:val="auto"/>
        </w:rPr>
      </w:pPr>
    </w:p>
    <w:p>
      <w:pPr>
        <w:ind w:left="700" w:hanging="264"/>
        <w:spacing w:after="0"/>
        <w:tabs>
          <w:tab w:leader="none" w:pos="700" w:val="left"/>
        </w:tabs>
        <w:numPr>
          <w:ilvl w:val="0"/>
          <w:numId w:val="198"/>
        </w:numPr>
        <w:rPr>
          <w:rFonts w:ascii="Arial" w:cs="Arial" w:eastAsia="Arial" w:hAnsi="Arial"/>
          <w:sz w:val="18"/>
          <w:szCs w:val="18"/>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This Commitment Letter shall not be assignable by you without the prior written consent of the Commitment Party (and any purported assignment without such consent shall be null and void), is intended to be solely for the benefit of the parties hereto and is not intended to confer any benefits upon, or create any rights in favor of, any person other than the parties hereto. JPMorgan may assign all or a portion of its Commitment only to one or more prospective Lenders that are (i) approved by you in writing (such approval not to be unreasonably withheld or delayed) or (ii) agreed upon in writing by you and us on or prior to the date hereof (including, for the avoidance of doubt, those lenders identified in the “syndication plan” for the Bridge Facility agreed to by the Lead Arranger and you prior to the date hereof) (such Lenders described in clauses (i) and (ii), each, a “</w:t>
      </w:r>
      <w:r>
        <w:rPr>
          <w:rFonts w:ascii="Arial" w:cs="Arial" w:eastAsia="Arial" w:hAnsi="Arial"/>
          <w:sz w:val="16"/>
          <w:szCs w:val="16"/>
          <w:b w:val="1"/>
          <w:bCs w:val="1"/>
          <w:i w:val="1"/>
          <w:iCs w:val="1"/>
          <w:color w:val="auto"/>
        </w:rPr>
        <w:t>Permitted Assignee</w:t>
      </w:r>
      <w:r>
        <w:rPr>
          <w:rFonts w:ascii="Arial" w:cs="Arial" w:eastAsia="Arial" w:hAnsi="Arial"/>
          <w:sz w:val="16"/>
          <w:szCs w:val="16"/>
          <w:color w:val="auto"/>
        </w:rPr>
        <w:t>”), whereupon JPMorgan shall be released from its Commitment hereunder so assigned to the extent such assignment is evidenced by either an executed credit agreement or a customary joinder agreement (a “</w:t>
      </w:r>
      <w:r>
        <w:rPr>
          <w:rFonts w:ascii="Arial" w:cs="Arial" w:eastAsia="Arial" w:hAnsi="Arial"/>
          <w:sz w:val="16"/>
          <w:szCs w:val="16"/>
          <w:b w:val="1"/>
          <w:bCs w:val="1"/>
          <w:i w:val="1"/>
          <w:iCs w:val="1"/>
          <w:color w:val="auto"/>
        </w:rPr>
        <w:t>Joinder Agreement</w:t>
      </w:r>
      <w:r>
        <w:rPr>
          <w:rFonts w:ascii="Arial" w:cs="Arial" w:eastAsia="Arial" w:hAnsi="Arial"/>
          <w:sz w:val="16"/>
          <w:szCs w:val="16"/>
          <w:color w:val="auto"/>
        </w:rPr>
        <w:t>”) pursuant to which such Permitted Assignee agrees to become party to this Commitment Letter and agrees to extend commitments directly to the Borrower on the terms set forth herein (it being understood that such Joinder Agreement shall not add any conditions to the availability of the Bridge Facility or change the terms of the Bridge Facility or change compensation in connection therewith except as set forth in the Commitment Letter and the Fee Letter and shall otherwise be reasonably satisfactory to you and us).</w:t>
      </w:r>
    </w:p>
    <w:p>
      <w:pPr>
        <w:spacing w:after="0" w:line="172" w:lineRule="exact"/>
        <w:rPr>
          <w:sz w:val="20"/>
          <w:szCs w:val="20"/>
          <w:color w:val="auto"/>
        </w:rPr>
      </w:pPr>
    </w:p>
    <w:p>
      <w:pPr>
        <w:ind w:right="40" w:firstLine="440"/>
        <w:spacing w:after="0" w:line="272" w:lineRule="auto"/>
        <w:rPr>
          <w:sz w:val="20"/>
          <w:szCs w:val="20"/>
          <w:color w:val="auto"/>
        </w:rPr>
      </w:pPr>
      <w:r>
        <w:rPr>
          <w:rFonts w:ascii="Arial" w:cs="Arial" w:eastAsia="Arial" w:hAnsi="Arial"/>
          <w:sz w:val="17"/>
          <w:szCs w:val="17"/>
          <w:color w:val="auto"/>
        </w:rPr>
        <w:t>This Commitment Letter may not be amended or waived except by an instrument in writing signed by you and JPMorgan. This Commitment Letter and the Fee Letter are the only agreements that have been entered into among us with respect to the Bridge Facility and set forth the entire understanding of the parties with respect thereto. Each of the parties hereto agrees that each of this Commitment Letter and the Fee Letter is a binding and enforceable agreement (subject to the effects of bankruptcy, insolvency, fraudulent transfer, fraudulent conveyance, reorganization and other similar laws relating to or affecting creditors’ rights generally) with respect to the subject matter contained herein, including the good faith negotiation of the Credit Documentation by the parties hereto in a manner consistent with this Commitment Letter; it being acknowledged and agreed that the funding of the Bridge Facility is subject only to the Funding Conditions.</w:t>
      </w:r>
    </w:p>
    <w:p>
      <w:pPr>
        <w:spacing w:after="0" w:line="177" w:lineRule="exact"/>
        <w:rPr>
          <w:sz w:val="20"/>
          <w:szCs w:val="20"/>
          <w:color w:val="auto"/>
        </w:rPr>
      </w:pPr>
    </w:p>
    <w:p>
      <w:pPr>
        <w:ind w:right="80" w:firstLine="440"/>
        <w:spacing w:after="0" w:line="272" w:lineRule="auto"/>
        <w:rPr>
          <w:sz w:val="20"/>
          <w:szCs w:val="20"/>
          <w:color w:val="auto"/>
        </w:rPr>
      </w:pPr>
      <w:r>
        <w:rPr>
          <w:rFonts w:ascii="Arial" w:cs="Arial" w:eastAsia="Arial" w:hAnsi="Arial"/>
          <w:sz w:val="17"/>
          <w:szCs w:val="17"/>
          <w:color w:val="auto"/>
        </w:rPr>
        <w:t>This Commitment Letter may be executed in any number of counterparts, each of which shall be an original, and all of which, when taken together, shall constitute one agreement. The words “execution,” “signed,” “signature,” “delivery,” and words of like import in or relating to this Commitment Letter, the Fee Letter and/or any document to be signed in connection with this letter agreement and the transactions contemplated hereby shall be deemed to include Electronic Signatures (as defined below), deliveries or the keeping of records in electronic form, each of which shall be of the same legal effect, validity or enforceability as a manually executed signature, physical delivery thereof or the use of a paper-based recordkeeping system, as the case may be. “</w:t>
      </w:r>
      <w:r>
        <w:rPr>
          <w:rFonts w:ascii="Arial" w:cs="Arial" w:eastAsia="Arial" w:hAnsi="Arial"/>
          <w:sz w:val="17"/>
          <w:szCs w:val="17"/>
          <w:b w:val="1"/>
          <w:bCs w:val="1"/>
          <w:i w:val="1"/>
          <w:iCs w:val="1"/>
          <w:color w:val="auto"/>
        </w:rPr>
        <w:t>Electronic Signatures</w:t>
      </w:r>
      <w:r>
        <w:rPr>
          <w:rFonts w:ascii="Arial" w:cs="Arial" w:eastAsia="Arial" w:hAnsi="Arial"/>
          <w:sz w:val="17"/>
          <w:szCs w:val="17"/>
          <w:color w:val="auto"/>
        </w:rPr>
        <w:t>” means any electronic symbol or process attached to, or associated with, any contract or other record and adopted by a person with the intent to sign, authenticate or accept such contract or record.</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80"/>
          </w:cols>
          <w:pgMar w:left="440" w:top="274" w:right="479" w:bottom="1440" w:gutter="0" w:footer="0" w:header="0"/>
        </w:sectPr>
      </w:pPr>
    </w:p>
    <w:bookmarkStart w:id="136" w:name="page137"/>
    <w:bookmarkEnd w:id="136"/>
    <w:p>
      <w:pPr>
        <w:jc w:val="center"/>
        <w:ind w:right="36"/>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This Commitment Letter shall be governed by, and construed in accordance with, the law of the State of New York;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w:t>
      </w:r>
    </w:p>
    <w:p>
      <w:pPr>
        <w:spacing w:after="0" w:line="35" w:lineRule="exact"/>
        <w:rPr>
          <w:sz w:val="20"/>
          <w:szCs w:val="20"/>
          <w:color w:val="auto"/>
        </w:rPr>
      </w:pPr>
    </w:p>
    <w:p>
      <w:pPr>
        <w:ind w:left="4" w:hanging="4"/>
        <w:spacing w:after="0" w:line="281" w:lineRule="auto"/>
        <w:tabs>
          <w:tab w:leader="none" w:pos="249" w:val="left"/>
        </w:tabs>
        <w:numPr>
          <w:ilvl w:val="0"/>
          <w:numId w:val="199"/>
        </w:numPr>
        <w:rPr>
          <w:rFonts w:ascii="Arial" w:cs="Arial" w:eastAsia="Arial" w:hAnsi="Arial"/>
          <w:sz w:val="16"/>
          <w:szCs w:val="16"/>
          <w:color w:val="auto"/>
        </w:rPr>
      </w:pPr>
      <w:r>
        <w:rPr>
          <w:rFonts w:ascii="Arial" w:cs="Arial" w:eastAsia="Arial" w:hAnsi="Arial"/>
          <w:sz w:val="16"/>
          <w:szCs w:val="16"/>
          <w:color w:val="auto"/>
        </w:rPr>
        <w:t>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your (or your affiliates’) obligation to consummate the Acquisition or such failure gives you the right to terminate your (or your affiliates’) obligations under the Acquisition Agreement and</w:t>
      </w:r>
    </w:p>
    <w:p>
      <w:pPr>
        <w:spacing w:after="0" w:line="2" w:lineRule="exact"/>
        <w:rPr>
          <w:rFonts w:ascii="Arial" w:cs="Arial" w:eastAsia="Arial" w:hAnsi="Arial"/>
          <w:sz w:val="16"/>
          <w:szCs w:val="16"/>
          <w:color w:val="auto"/>
        </w:rPr>
      </w:pPr>
    </w:p>
    <w:p>
      <w:pPr>
        <w:ind w:left="4" w:right="80" w:hanging="4"/>
        <w:spacing w:after="0" w:line="268" w:lineRule="auto"/>
        <w:tabs>
          <w:tab w:leader="none" w:pos="249" w:val="left"/>
        </w:tabs>
        <w:numPr>
          <w:ilvl w:val="0"/>
          <w:numId w:val="200"/>
        </w:numPr>
        <w:rPr>
          <w:rFonts w:ascii="Arial" w:cs="Arial" w:eastAsia="Arial" w:hAnsi="Arial"/>
          <w:sz w:val="17"/>
          <w:szCs w:val="17"/>
          <w:color w:val="auto"/>
        </w:rPr>
      </w:pPr>
      <w:r>
        <w:rPr>
          <w:rFonts w:ascii="Arial" w:cs="Arial" w:eastAsia="Arial" w:hAnsi="Arial"/>
          <w:sz w:val="17"/>
          <w:szCs w:val="17"/>
          <w:color w:val="auto"/>
        </w:rPr>
        <w:t>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 The Borrower consents to the exclusive jurisdiction and venue of the United States District Court for the Southern District of New York sitting in the Borough of Manhattan (or if such court lacks subject matter jurisdiction, the Supreme Court of the State of New York sitting in the Borough of Manhattan). Each party hereto irrevocably waives, to the fullest extent permitted by applicable law, (a) any right it may have to a trial by jury in any legal proceeding arising out of or relating to this Commitment Letter, the Term Sheet, the Fee Letter or the transactions contemplated hereby or thereby (whether based on contract, tort or any other theory) and (b) any objection that it may now or hereafter have to the laying of venue of any such legal proceeding in the federal or state courts located in the City of New York, Borough of Manhattan.</w:t>
      </w:r>
    </w:p>
    <w:p>
      <w:pPr>
        <w:spacing w:after="0" w:line="179"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You confirm that you have validly appointed Holdco, or if otherwise, its principal place of business in The City of New York from time to time, as your agent for service of process, and agree that service of any process, summons, notice or document by hand delivery or registered mail upon such agent shall be effective service of process for any suit, action or proceeding brought in any such court.</w:t>
      </w:r>
    </w:p>
    <w:p>
      <w:pPr>
        <w:spacing w:after="0" w:line="184" w:lineRule="exact"/>
        <w:rPr>
          <w:sz w:val="20"/>
          <w:szCs w:val="20"/>
          <w:color w:val="auto"/>
        </w:rPr>
      </w:pPr>
    </w:p>
    <w:p>
      <w:pPr>
        <w:ind w:left="4" w:firstLine="440"/>
        <w:spacing w:after="0" w:line="269" w:lineRule="auto"/>
        <w:rPr>
          <w:sz w:val="20"/>
          <w:szCs w:val="20"/>
          <w:color w:val="auto"/>
        </w:rPr>
      </w:pPr>
      <w:r>
        <w:rPr>
          <w:rFonts w:ascii="Arial" w:cs="Arial" w:eastAsia="Arial" w:hAnsi="Arial"/>
          <w:sz w:val="17"/>
          <w:szCs w:val="17"/>
          <w:color w:val="auto"/>
        </w:rPr>
        <w:t>The Commitment Party hereby notifies the Borrower that pursuant to the requirements of the USA Patriot Act, Title III of Pub. L. 107-56 (signed into law October 26, 2001) (the “</w:t>
      </w:r>
      <w:r>
        <w:rPr>
          <w:rFonts w:ascii="Arial" w:cs="Arial" w:eastAsia="Arial" w:hAnsi="Arial"/>
          <w:sz w:val="17"/>
          <w:szCs w:val="17"/>
          <w:b w:val="1"/>
          <w:bCs w:val="1"/>
          <w:i w:val="1"/>
          <w:iCs w:val="1"/>
          <w:color w:val="auto"/>
        </w:rPr>
        <w:t>Patriot Act</w:t>
      </w:r>
      <w:r>
        <w:rPr>
          <w:rFonts w:ascii="Arial" w:cs="Arial" w:eastAsia="Arial" w:hAnsi="Arial"/>
          <w:sz w:val="17"/>
          <w:szCs w:val="17"/>
          <w:color w:val="auto"/>
        </w:rPr>
        <w:t>”) and 31 C.F.R. § 1010.230 (the “</w:t>
      </w:r>
      <w:r>
        <w:rPr>
          <w:rFonts w:ascii="Arial" w:cs="Arial" w:eastAsia="Arial" w:hAnsi="Arial"/>
          <w:sz w:val="17"/>
          <w:szCs w:val="17"/>
          <w:b w:val="1"/>
          <w:bCs w:val="1"/>
          <w:i w:val="1"/>
          <w:iCs w:val="1"/>
          <w:color w:val="auto"/>
        </w:rPr>
        <w:t>Beneficial Ownership Regulation</w:t>
      </w:r>
      <w:r>
        <w:rPr>
          <w:rFonts w:ascii="Arial" w:cs="Arial" w:eastAsia="Arial" w:hAnsi="Arial"/>
          <w:sz w:val="17"/>
          <w:szCs w:val="17"/>
          <w:color w:val="auto"/>
        </w:rPr>
        <w:t xml:space="preserve">”), it and its affiliates are required to obtain, verify and record information that identifies the Borrower, which information includes the name, address, tax identification number and other information regarding the Borrower that will allow the Commitment Party to identify the Borrower in accordance with the Patriot Act and the Beneficial Ownership Regulation. This notice is given in accordance with the requirements of the Patriot Act and Beneficial Ownership Regulation and is effective for the Commitment Party and each of its affiliates. The provisions of this Commitment Letter and/or in the Fee Letter relating to compensation, limitation of liability, indemnification, settlement, affiliate activities, sharing of information, absence of fiduciary relationships, confidentiality (other than as provided in the last sentence of Section 9 above), electronic signatures, governing law, waiver of jury trial and waiver of objection to the laying of venue shall remain in full force and effect regardless of whether the Credit Documentation shall be executed and delivered and notwithstanding the termination of this Commitment Letter and/or JPMorgan’s commitment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provisions of Sections 3 and 4 shall not survive if the commitments and undertakings of the Commitment Party is terminated prior to the effectiveness of the Bridge Facility;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xml:space="preserve"> that (i) if the Bridge Facility closes and the Credit Documentation with</w:t>
      </w:r>
    </w:p>
    <w:p>
      <w:pPr>
        <w:spacing w:after="0" w:line="11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84"/>
          </w:cols>
          <w:pgMar w:left="436" w:top="274" w:right="479" w:bottom="1440" w:gutter="0" w:footer="0" w:header="0"/>
        </w:sectPr>
      </w:pPr>
    </w:p>
    <w:bookmarkStart w:id="137" w:name="page138"/>
    <w:bookmarkEnd w:id="137"/>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respect to the Bridge Facility shall be executed and delivered, the provisions of Section 3 shall survive only until the Syndication Date and the provisions of Section 4 shall survive only until the later of the Closing Date and the Syndication Date, and (ii) if the Bridge Facility closes and the Credit Documentation shall be executed and delivered, the provisions under Section 7(b), to the extent covered in such definitive documentation, and the second paragraph of Section 9 shall be superseded and deemed replaced with respect to the Bridge Facility by the terms of such Credit Documentation governing such matters. You may ratably terminate each Lender’s commitments hereunder at any time subject to the provisions of the preceding sentence.</w:t>
      </w:r>
    </w:p>
    <w:p>
      <w:pPr>
        <w:spacing w:after="0" w:line="192"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Section headings used herein are for convenience of reference only and are not to affect the construction of, or to be taken into consideration in interpreting, this Commitment Letter.</w:t>
      </w:r>
    </w:p>
    <w:p>
      <w:pPr>
        <w:spacing w:after="0" w:line="170" w:lineRule="exact"/>
        <w:rPr>
          <w:sz w:val="20"/>
          <w:szCs w:val="20"/>
          <w:color w:val="auto"/>
        </w:rPr>
      </w:pPr>
    </w:p>
    <w:p>
      <w:pPr>
        <w:ind w:firstLine="440"/>
        <w:spacing w:after="0" w:line="267" w:lineRule="auto"/>
        <w:rPr>
          <w:sz w:val="20"/>
          <w:szCs w:val="20"/>
          <w:color w:val="auto"/>
        </w:rPr>
      </w:pPr>
      <w:r>
        <w:rPr>
          <w:rFonts w:ascii="Arial" w:cs="Arial" w:eastAsia="Arial" w:hAnsi="Arial"/>
          <w:sz w:val="17"/>
          <w:szCs w:val="17"/>
          <w:color w:val="auto"/>
        </w:rPr>
        <w:t>If the foregoing correctly sets forth our agreement, please indicate your acceptance of the terms of this Commitment Letter, the Term Sheet and the Fee Letter by returning to us executed counterparts of this Commitment Letter and of the Fee Letter not later than 5:00 p.m., New York City time, on October 29, 2020 (the “</w:t>
      </w:r>
      <w:r>
        <w:rPr>
          <w:rFonts w:ascii="Arial" w:cs="Arial" w:eastAsia="Arial" w:hAnsi="Arial"/>
          <w:sz w:val="17"/>
          <w:szCs w:val="17"/>
          <w:b w:val="1"/>
          <w:bCs w:val="1"/>
          <w:i w:val="1"/>
          <w:iCs w:val="1"/>
          <w:color w:val="auto"/>
        </w:rPr>
        <w:t>Expiration Time</w:t>
      </w:r>
      <w:r>
        <w:rPr>
          <w:rFonts w:ascii="Arial" w:cs="Arial" w:eastAsia="Arial" w:hAnsi="Arial"/>
          <w:sz w:val="17"/>
          <w:szCs w:val="17"/>
          <w:color w:val="auto"/>
        </w:rPr>
        <w:t>”). JPMorgan’s commitments and agreements herein will expire at the Expiration Time in the event JPMorgan has not received, in readable form, a complete copy of each of this Commitment Letter and the Fee Letter countersigned and dated by you, which executed counterparts are delivered in accordance with the immediately preceding sentence. The parties hereto agree that your acceptance of JPMorgan’s offer shall only be effective if each such document has been received in such form by each of the contacts specified below prior to the Expiration Time. If you do so execute and deliver to us this Commitment Letter and the Fee Letter at or prior to the Expiration Time, this Commitment Letter shall terminate at the earliest of (i) after execution of the Acquisition Agreement and prior to the consummation of the Transactions, the termination of the Acquisition Agreement by you in a signed writing in accordance with its terms (or your written confirmation thereof) (and you hereby agree to notify us promptly thereof), (ii) the consummation of the Acquisition without the funding of the Bridge Facility, (iii) the execution and delivery of the Credit Documentation, (iv) 11:59 p.m., New York City time, on the date that is five business days after the End Date (as defined in the Acquisition Agreement as of the date hereof);</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(iv), upon written notice of each such extension to the Lead Arranger from the Borrower, automatically extend to five business days after each such extended date, and (v) receipt by the Commitment Party of written notice from the Borrower of its election to terminate all commitments under the Bridge Facility in full (such earliest time,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 Upon the occurrence of any of the events referred to in the preceding sentence, this Commitment Letter and the commitments of the Commitment Party hereunder and the agreement of the Commitment Party to provide the services described herein shall automatically terminate unless all of the Commitment Parties shall, in their sole discretion, agree to an extension in writing.</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JPMorgan is pleased to have been given the opportunity to assist you in connection with this important financing.</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138" w:name="page139"/>
    <w:bookmarkEnd w:id="138"/>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Very truly yours,</w:t>
      </w:r>
    </w:p>
    <w:p>
      <w:pPr>
        <w:spacing w:after="0" w:line="266" w:lineRule="exact"/>
        <w:rPr>
          <w:sz w:val="20"/>
          <w:szCs w:val="20"/>
          <w:color w:val="auto"/>
        </w:rPr>
      </w:pPr>
    </w:p>
    <w:p>
      <w:pPr>
        <w:ind w:left="5620"/>
        <w:spacing w:after="0"/>
        <w:rPr>
          <w:sz w:val="20"/>
          <w:szCs w:val="20"/>
          <w:color w:val="auto"/>
        </w:rPr>
      </w:pPr>
      <w:r>
        <w:rPr>
          <w:rFonts w:ascii="Arial" w:cs="Arial" w:eastAsia="Arial" w:hAnsi="Arial"/>
          <w:sz w:val="17"/>
          <w:szCs w:val="17"/>
          <w:color w:val="auto"/>
        </w:rPr>
        <w:t>JPMORGAN CHASE BANK, N.A.</w:t>
      </w:r>
    </w:p>
    <w:p>
      <w:pPr>
        <w:spacing w:after="0" w:line="250"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3759835</wp:posOffset>
            </wp:positionH>
            <wp:positionV relativeFrom="paragraph">
              <wp:posOffset>14605</wp:posOffset>
            </wp:positionV>
            <wp:extent cx="259715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Ryan Zimmerman</w:t>
      </w:r>
    </w:p>
    <w:p>
      <w:pPr>
        <w:spacing w:after="0" w:line="23" w:lineRule="exact"/>
        <w:rPr>
          <w:sz w:val="20"/>
          <w:szCs w:val="20"/>
          <w:color w:val="auto"/>
        </w:rPr>
      </w:pPr>
    </w:p>
    <w:p>
      <w:pPr>
        <w:ind w:left="5980"/>
        <w:spacing w:after="0"/>
        <w:tabs>
          <w:tab w:leader="none" w:pos="652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6"/>
          <w:szCs w:val="16"/>
          <w:color w:val="auto"/>
        </w:rPr>
        <w:t>Vice President</w:t>
      </w:r>
    </w:p>
    <w:p>
      <w:pPr>
        <w:spacing w:after="0" w:line="143" w:lineRule="exact"/>
        <w:rPr>
          <w:sz w:val="20"/>
          <w:szCs w:val="20"/>
          <w:color w:val="auto"/>
        </w:rPr>
      </w:pPr>
    </w:p>
    <w:p>
      <w:pPr>
        <w:ind w:left="2800"/>
        <w:spacing w:after="0"/>
        <w:rPr>
          <w:sz w:val="20"/>
          <w:szCs w:val="20"/>
          <w:color w:val="auto"/>
        </w:rPr>
      </w:pPr>
      <w:r>
        <w:rPr>
          <w:rFonts w:ascii="Arial" w:cs="Arial" w:eastAsia="Arial" w:hAnsi="Arial"/>
          <w:sz w:val="18"/>
          <w:szCs w:val="18"/>
          <w:color w:val="auto"/>
        </w:rPr>
        <w:t>[Signature Page to Bridge Commitment Letter]</w:t>
      </w:r>
    </w:p>
    <w:p>
      <w:pPr>
        <w:sectPr>
          <w:pgSz w:w="11900" w:h="16838" w:orient="portrait"/>
          <w:cols w:equalWidth="0" w:num="1">
            <w:col w:w="9019"/>
          </w:cols>
          <w:pgMar w:left="1440" w:top="274" w:right="1440" w:bottom="1440" w:gutter="0" w:footer="0" w:header="0"/>
        </w:sectPr>
      </w:pPr>
    </w:p>
    <w:bookmarkStart w:id="139" w:name="page140"/>
    <w:bookmarkEnd w:id="13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and agreed to as of October 29, 2020, by:</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360"/>
        <w:spacing w:after="0"/>
        <w:tabs>
          <w:tab w:leader="none" w:pos="90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7"/>
          <w:szCs w:val="17"/>
          <w:color w:val="auto"/>
        </w:rPr>
        <w:t>Chief Financial Officer</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360"/>
        <w:spacing w:after="0"/>
        <w:tabs>
          <w:tab w:leader="none" w:pos="90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7"/>
          <w:szCs w:val="17"/>
          <w:color w:val="auto"/>
        </w:rPr>
        <w:t>Chief Financial Officer</w:t>
      </w:r>
    </w:p>
    <w:p>
      <w:pPr>
        <w:spacing w:after="0" w:line="143" w:lineRule="exact"/>
        <w:rPr>
          <w:sz w:val="20"/>
          <w:szCs w:val="20"/>
          <w:color w:val="auto"/>
        </w:rPr>
      </w:pPr>
    </w:p>
    <w:p>
      <w:pPr>
        <w:jc w:val="right"/>
        <w:ind w:right="28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Bridge Commitment Letter</w:t>
      </w:r>
      <w:r>
        <w:rPr>
          <w:rFonts w:ascii="Arial" w:cs="Arial" w:eastAsia="Arial" w:hAnsi="Arial"/>
          <w:sz w:val="18"/>
          <w:szCs w:val="18"/>
          <w:color w:val="auto"/>
        </w:rPr>
        <w:t>]</w:t>
      </w:r>
    </w:p>
    <w:p>
      <w:pPr>
        <w:sectPr>
          <w:pgSz w:w="11900" w:h="16838" w:orient="portrait"/>
          <w:cols w:equalWidth="0" w:num="1">
            <w:col w:w="10019"/>
          </w:cols>
          <w:pgMar w:left="440" w:top="274" w:right="1440" w:bottom="1440" w:gutter="0" w:footer="0" w:header="0"/>
        </w:sectPr>
      </w:pPr>
    </w:p>
    <w:bookmarkStart w:id="140" w:name="page141"/>
    <w:bookmarkEnd w:id="140"/>
    <w:tbl>
      <w:tblPr>
        <w:tblLayout w:type="fixed"/>
        <w:tblInd w:w="0" w:type="dxa"/>
        <w:tblCellMar>
          <w:top w:w="0" w:type="dxa"/>
          <w:left w:w="0" w:type="dxa"/>
          <w:bottom w:w="0" w:type="dxa"/>
          <w:right w:w="0" w:type="dxa"/>
        </w:tblCellMar>
      </w:tblPr>
      <w:tr>
        <w:trPr>
          <w:trHeight w:val="207"/>
        </w:trPr>
        <w:tc>
          <w:tcPr>
            <w:tcW w:w="3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640" w:type="dxa"/>
            <w:vAlign w:val="bottom"/>
          </w:tcPr>
          <w:p>
            <w:pPr>
              <w:spacing w:after="0"/>
              <w:rPr>
                <w:sz w:val="17"/>
                <w:szCs w:val="17"/>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8"/>
              </w:rPr>
              <w:t>Exhibit A</w:t>
            </w:r>
          </w:p>
        </w:tc>
        <w:tc>
          <w:tcPr>
            <w:tcW w:w="0" w:type="dxa"/>
            <w:vAlign w:val="bottom"/>
          </w:tcPr>
          <w:p>
            <w:pPr>
              <w:spacing w:after="0"/>
              <w:rPr>
                <w:sz w:val="1"/>
                <w:szCs w:val="1"/>
                <w:color w:val="auto"/>
              </w:rPr>
            </w:pPr>
          </w:p>
        </w:tc>
      </w:tr>
      <w:tr>
        <w:trPr>
          <w:trHeight w:val="453"/>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8820" w:type="dxa"/>
            <w:vAlign w:val="bottom"/>
            <w:gridSpan w:val="4"/>
          </w:tcPr>
          <w:p>
            <w:pPr>
              <w:jc w:val="center"/>
              <w:ind w:right="2130"/>
              <w:spacing w:after="0"/>
              <w:rPr>
                <w:sz w:val="20"/>
                <w:szCs w:val="20"/>
                <w:color w:val="auto"/>
              </w:rPr>
            </w:pPr>
            <w:r>
              <w:rPr>
                <w:rFonts w:ascii="Arial" w:cs="Arial" w:eastAsia="Arial" w:hAnsi="Arial"/>
                <w:sz w:val="18"/>
                <w:szCs w:val="18"/>
                <w:color w:val="auto"/>
                <w:w w:val="96"/>
              </w:rPr>
              <w:t>364-DAY SENIOR UNSECURED BRIDGE FACILITY</w:t>
            </w:r>
          </w:p>
        </w:tc>
        <w:tc>
          <w:tcPr>
            <w:tcW w:w="0" w:type="dxa"/>
            <w:vAlign w:val="bottom"/>
          </w:tcPr>
          <w:p>
            <w:pPr>
              <w:spacing w:after="0"/>
              <w:rPr>
                <w:sz w:val="1"/>
                <w:szCs w:val="1"/>
                <w:color w:val="auto"/>
              </w:rPr>
            </w:pPr>
          </w:p>
        </w:tc>
      </w:tr>
      <w:tr>
        <w:trPr>
          <w:trHeight w:val="324"/>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8820" w:type="dxa"/>
            <w:vAlign w:val="bottom"/>
            <w:gridSpan w:val="4"/>
          </w:tcPr>
          <w:p>
            <w:pPr>
              <w:jc w:val="center"/>
              <w:ind w:right="2130"/>
              <w:spacing w:after="0"/>
              <w:rPr>
                <w:sz w:val="20"/>
                <w:szCs w:val="20"/>
                <w:color w:val="auto"/>
              </w:rPr>
            </w:pPr>
            <w:r>
              <w:rPr>
                <w:rFonts w:ascii="Arial" w:cs="Arial" w:eastAsia="Arial" w:hAnsi="Arial"/>
                <w:sz w:val="18"/>
                <w:szCs w:val="18"/>
                <w:color w:val="auto"/>
                <w:w w:val="90"/>
              </w:rPr>
              <w:t>Summary of Terms and Conditions</w:t>
            </w:r>
          </w:p>
        </w:tc>
        <w:tc>
          <w:tcPr>
            <w:tcW w:w="0" w:type="dxa"/>
            <w:vAlign w:val="bottom"/>
          </w:tcPr>
          <w:p>
            <w:pPr>
              <w:spacing w:after="0"/>
              <w:rPr>
                <w:sz w:val="1"/>
                <w:szCs w:val="1"/>
                <w:color w:val="auto"/>
              </w:rPr>
            </w:pPr>
          </w:p>
        </w:tc>
      </w:tr>
      <w:tr>
        <w:trPr>
          <w:trHeight w:val="324"/>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6680" w:type="dxa"/>
            <w:vAlign w:val="bottom"/>
            <w:gridSpan w:val="3"/>
          </w:tcPr>
          <w:p>
            <w:pPr>
              <w:jc w:val="center"/>
              <w:ind w:right="4250"/>
              <w:spacing w:after="0"/>
              <w:rPr>
                <w:sz w:val="20"/>
                <w:szCs w:val="20"/>
                <w:color w:val="auto"/>
              </w:rPr>
            </w:pPr>
            <w:r>
              <w:rPr>
                <w:rFonts w:ascii="Arial" w:cs="Arial" w:eastAsia="Arial" w:hAnsi="Arial"/>
                <w:sz w:val="18"/>
                <w:szCs w:val="18"/>
                <w:color w:val="auto"/>
                <w:w w:val="90"/>
              </w:rPr>
              <w:t>October 29, 2020</w:t>
            </w:r>
          </w:p>
        </w:tc>
        <w:tc>
          <w:tcPr>
            <w:tcW w:w="0" w:type="dxa"/>
            <w:vAlign w:val="bottom"/>
          </w:tcPr>
          <w:p>
            <w:pPr>
              <w:spacing w:after="0"/>
              <w:rPr>
                <w:sz w:val="1"/>
                <w:szCs w:val="1"/>
                <w:color w:val="auto"/>
              </w:rPr>
            </w:pPr>
          </w:p>
        </w:tc>
      </w:tr>
      <w:tr>
        <w:trPr>
          <w:trHeight w:val="351"/>
        </w:trPr>
        <w:tc>
          <w:tcPr>
            <w:tcW w:w="220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I.   Parties</w:t>
            </w:r>
          </w:p>
        </w:tc>
        <w:tc>
          <w:tcPr>
            <w:tcW w:w="214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2200" w:type="dxa"/>
            <w:vAlign w:val="bottom"/>
            <w:gridSpan w:val="3"/>
            <w:vMerge w:val="continue"/>
          </w:tcPr>
          <w:p>
            <w:pPr>
              <w:spacing w:after="0"/>
              <w:rPr>
                <w:sz w:val="24"/>
                <w:szCs w:val="24"/>
                <w:color w:val="auto"/>
              </w:rPr>
            </w:pPr>
          </w:p>
        </w:tc>
        <w:tc>
          <w:tcPr>
            <w:tcW w:w="21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3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8820" w:type="dxa"/>
            <w:vAlign w:val="bottom"/>
            <w:gridSpan w:val="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38"/>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rPr>
              <w:t>Borrower:</w:t>
            </w: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4"/>
              </w:rPr>
              <w:t>Initially, Marvell Technology Group Ltd., a Bermuda exempt company, and on and after the Closing Date, Holdco, a</w:t>
            </w:r>
          </w:p>
        </w:tc>
        <w:tc>
          <w:tcPr>
            <w:tcW w:w="0" w:type="dxa"/>
            <w:vAlign w:val="bottom"/>
          </w:tcPr>
          <w:p>
            <w:pPr>
              <w:spacing w:after="0"/>
              <w:rPr>
                <w:sz w:val="1"/>
                <w:szCs w:val="1"/>
                <w:color w:val="auto"/>
              </w:rPr>
            </w:pPr>
          </w:p>
        </w:tc>
      </w:tr>
      <w:tr>
        <w:trPr>
          <w:trHeight w:val="230"/>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rPr>
              <w:t>Delaware corporation (the “</w:t>
            </w:r>
            <w:r>
              <w:rPr>
                <w:rFonts w:ascii="Arial" w:cs="Arial" w:eastAsia="Arial" w:hAnsi="Arial"/>
                <w:sz w:val="18"/>
                <w:szCs w:val="18"/>
                <w:b w:val="1"/>
                <w:bCs w:val="1"/>
                <w:i w:val="1"/>
                <w:iCs w:val="1"/>
                <w:color w:val="auto"/>
              </w:rPr>
              <w:t>Borrower</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18"/>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rPr>
              <w:t>Guarantors:</w:t>
            </w: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3"/>
              </w:rPr>
              <w:t>From the Closing Date, all obligations of the Borrower under the Bridge Facility will be unconditionally guaranteed by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4"/>
              </w:rPr>
              <w:t>(a) Maui so long as Maui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7"/>
              </w:rPr>
              <w:t>avoidance of doubt, Maui’s existing unsecured notes) in an aggregate outstanding principal amount in excess of</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0"/>
              </w:rPr>
              <w:t>$100.0 million and (b) Target so long as Target is the issuer, borrower or guarantor of indebtedness for borrowed money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1"/>
              </w:rPr>
              <w:t>(including, for the avoidance of doubt, Target’s existing convertible notes) in an aggregate outstanding principal amount</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8"/>
              </w:rPr>
              <w:t>in excess of $100.0 million; provided that the existing convertible notes of the Target shall be deemed not to be</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2"/>
              </w:rPr>
              <w:t>outstanding for the purpose of this clause (b) until the date that is 90 days following the Closing Date. In the event that</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6"/>
              </w:rPr>
              <w:t>the conditions requiring the guarantee by Maui or Target, as applicable, are no longer satisfied, the Borrower may</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3"/>
              </w:rPr>
              <w:t>request, and the Administrative Agent (as defined below) and the Lenders (as defined below) agree to, release Maui</w:t>
            </w:r>
          </w:p>
        </w:tc>
        <w:tc>
          <w:tcPr>
            <w:tcW w:w="0" w:type="dxa"/>
            <w:vAlign w:val="bottom"/>
          </w:tcPr>
          <w:p>
            <w:pPr>
              <w:spacing w:after="0"/>
              <w:rPr>
                <w:sz w:val="1"/>
                <w:szCs w:val="1"/>
                <w:color w:val="auto"/>
              </w:rPr>
            </w:pPr>
          </w:p>
        </w:tc>
      </w:tr>
      <w:tr>
        <w:trPr>
          <w:trHeight w:val="230"/>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rPr>
              <w:t>and/or Target, as applicable, from such guarantee.</w:t>
            </w:r>
          </w:p>
        </w:tc>
        <w:tc>
          <w:tcPr>
            <w:tcW w:w="0" w:type="dxa"/>
            <w:vAlign w:val="bottom"/>
          </w:tcPr>
          <w:p>
            <w:pPr>
              <w:spacing w:after="0"/>
              <w:rPr>
                <w:sz w:val="1"/>
                <w:szCs w:val="1"/>
                <w:color w:val="auto"/>
              </w:rPr>
            </w:pPr>
          </w:p>
        </w:tc>
      </w:tr>
      <w:tr>
        <w:trPr>
          <w:trHeight w:val="418"/>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w w:val="96"/>
              </w:rPr>
              <w:t>Sole Lead Arranger and</w:t>
            </w:r>
          </w:p>
        </w:tc>
        <w:tc>
          <w:tcPr>
            <w:tcW w:w="21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340" w:type="dxa"/>
            <w:vAlign w:val="bottom"/>
          </w:tcPr>
          <w:p>
            <w:pPr>
              <w:spacing w:after="0"/>
              <w:rPr>
                <w:sz w:val="20"/>
                <w:szCs w:val="20"/>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rPr>
              <w:t>Sole Bookrunner:</w:t>
            </w: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rPr>
              <w:t>JPMorgan Chase Bank, N.A. (“</w:t>
            </w:r>
            <w:r>
              <w:rPr>
                <w:rFonts w:ascii="Arial" w:cs="Arial" w:eastAsia="Arial" w:hAnsi="Arial"/>
                <w:sz w:val="18"/>
                <w:szCs w:val="18"/>
                <w:b w:val="1"/>
                <w:bCs w:val="1"/>
                <w:i w:val="1"/>
                <w:iCs w:val="1"/>
                <w:color w:val="auto"/>
              </w:rPr>
              <w:t>JPMorgan</w:t>
            </w:r>
            <w:r>
              <w:rPr>
                <w:rFonts w:ascii="Arial" w:cs="Arial" w:eastAsia="Arial" w:hAnsi="Arial"/>
                <w:sz w:val="18"/>
                <w:szCs w:val="18"/>
                <w:color w:val="auto"/>
              </w:rPr>
              <w:t>” and in such capacity, the “</w:t>
            </w:r>
            <w:r>
              <w:rPr>
                <w:rFonts w:ascii="Arial" w:cs="Arial" w:eastAsia="Arial" w:hAnsi="Arial"/>
                <w:sz w:val="18"/>
                <w:szCs w:val="18"/>
                <w:b w:val="1"/>
                <w:bCs w:val="1"/>
                <w:i w:val="1"/>
                <w:iCs w:val="1"/>
                <w:color w:val="auto"/>
              </w:rPr>
              <w:t>Lead Arranger</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32"/>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rPr>
              <w:t>Administrative Agent:</w:t>
            </w: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rPr>
              <w:t>JPMorgan (in such capacity, the “</w:t>
            </w:r>
            <w:r>
              <w:rPr>
                <w:rFonts w:ascii="Arial" w:cs="Arial" w:eastAsia="Arial" w:hAnsi="Arial"/>
                <w:sz w:val="18"/>
                <w:szCs w:val="18"/>
                <w:b w:val="1"/>
                <w:bCs w:val="1"/>
                <w:i w:val="1"/>
                <w:iCs w:val="1"/>
                <w:color w:val="auto"/>
              </w:rPr>
              <w:t>Administrative Agent</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418"/>
        </w:trPr>
        <w:tc>
          <w:tcPr>
            <w:tcW w:w="340" w:type="dxa"/>
            <w:vAlign w:val="bottom"/>
          </w:tcPr>
          <w:p>
            <w:pPr>
              <w:spacing w:after="0"/>
              <w:rPr>
                <w:sz w:val="24"/>
                <w:szCs w:val="24"/>
                <w:color w:val="auto"/>
              </w:rPr>
            </w:pPr>
          </w:p>
        </w:tc>
        <w:tc>
          <w:tcPr>
            <w:tcW w:w="1860" w:type="dxa"/>
            <w:vAlign w:val="bottom"/>
            <w:gridSpan w:val="2"/>
          </w:tcPr>
          <w:p>
            <w:pPr>
              <w:spacing w:after="0"/>
              <w:rPr>
                <w:sz w:val="20"/>
                <w:szCs w:val="20"/>
                <w:color w:val="auto"/>
              </w:rPr>
            </w:pPr>
            <w:r>
              <w:rPr>
                <w:rFonts w:ascii="Arial" w:cs="Arial" w:eastAsia="Arial" w:hAnsi="Arial"/>
                <w:sz w:val="18"/>
                <w:szCs w:val="18"/>
                <w:color w:val="auto"/>
              </w:rPr>
              <w:t>Lenders:</w:t>
            </w: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w w:val="94"/>
              </w:rPr>
              <w:t>A syndicate of banks, financial institutions and other entities, including JPMorgan, arranged by the Lead Arranger in</w:t>
            </w:r>
          </w:p>
        </w:tc>
        <w:tc>
          <w:tcPr>
            <w:tcW w:w="0" w:type="dxa"/>
            <w:vAlign w:val="bottom"/>
          </w:tcPr>
          <w:p>
            <w:pPr>
              <w:spacing w:after="0"/>
              <w:rPr>
                <w:sz w:val="1"/>
                <w:szCs w:val="1"/>
                <w:color w:val="auto"/>
              </w:rPr>
            </w:pPr>
          </w:p>
        </w:tc>
      </w:tr>
      <w:tr>
        <w:trPr>
          <w:trHeight w:val="230"/>
        </w:trPr>
        <w:tc>
          <w:tcPr>
            <w:tcW w:w="3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8820" w:type="dxa"/>
            <w:vAlign w:val="bottom"/>
            <w:gridSpan w:val="4"/>
          </w:tcPr>
          <w:p>
            <w:pPr>
              <w:ind w:left="120"/>
              <w:spacing w:after="0"/>
              <w:rPr>
                <w:sz w:val="20"/>
                <w:szCs w:val="20"/>
                <w:color w:val="auto"/>
              </w:rPr>
            </w:pPr>
            <w:r>
              <w:rPr>
                <w:rFonts w:ascii="Arial" w:cs="Arial" w:eastAsia="Arial" w:hAnsi="Arial"/>
                <w:sz w:val="18"/>
                <w:szCs w:val="18"/>
                <w:color w:val="auto"/>
              </w:rPr>
              <w:t>accordance with the Commitment Letter (collectively, the “</w:t>
            </w:r>
            <w:r>
              <w:rPr>
                <w:rFonts w:ascii="Arial" w:cs="Arial" w:eastAsia="Arial" w:hAnsi="Arial"/>
                <w:sz w:val="18"/>
                <w:szCs w:val="18"/>
                <w:b w:val="1"/>
                <w:bCs w:val="1"/>
                <w:i w:val="1"/>
                <w:iCs w:val="1"/>
                <w:color w:val="auto"/>
              </w:rPr>
              <w:t>Lenders</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65"/>
        </w:trPr>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460" w:type="dxa"/>
            <w:vAlign w:val="bottom"/>
            <w:gridSpan w:val="2"/>
          </w:tcPr>
          <w:p>
            <w:pPr>
              <w:jc w:val="center"/>
              <w:ind w:left="2050"/>
              <w:spacing w:after="0"/>
              <w:rPr>
                <w:sz w:val="20"/>
                <w:szCs w:val="20"/>
                <w:color w:val="auto"/>
              </w:rPr>
            </w:pPr>
            <w:r>
              <w:rPr>
                <w:rFonts w:ascii="Arial" w:cs="Arial" w:eastAsia="Arial" w:hAnsi="Arial"/>
                <w:sz w:val="18"/>
                <w:szCs w:val="18"/>
                <w:color w:val="auto"/>
                <w:w w:val="79"/>
              </w:rPr>
              <w:t>1</w:t>
            </w: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56"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41" w:name="page142"/>
    <w:bookmarkEnd w:id="141"/>
    <w:tbl>
      <w:tblPr>
        <w:tblLayout w:type="fixed"/>
        <w:tblInd w:w="4" w:type="dxa"/>
        <w:tblCellMar>
          <w:top w:w="0" w:type="dxa"/>
          <w:left w:w="0" w:type="dxa"/>
          <w:bottom w:w="0" w:type="dxa"/>
          <w:right w:w="0" w:type="dxa"/>
        </w:tblCellMar>
      </w:tblPr>
      <w:tr>
        <w:trPr>
          <w:trHeight w:val="207"/>
        </w:trPr>
        <w:tc>
          <w:tcPr>
            <w:tcW w:w="2080" w:type="dxa"/>
            <w:vAlign w:val="bottom"/>
            <w:gridSpan w:val="3"/>
          </w:tcPr>
          <w:p>
            <w:pPr>
              <w:spacing w:after="0"/>
              <w:rPr>
                <w:sz w:val="20"/>
                <w:szCs w:val="20"/>
                <w:color w:val="auto"/>
              </w:rPr>
            </w:pPr>
            <w:r>
              <w:rPr>
                <w:rFonts w:ascii="Arial" w:cs="Arial" w:eastAsia="Arial" w:hAnsi="Arial"/>
                <w:sz w:val="18"/>
                <w:szCs w:val="18"/>
                <w:b w:val="1"/>
                <w:bCs w:val="1"/>
                <w:color w:val="auto"/>
              </w:rPr>
              <w:t>II.  Bridge Facility</w:t>
            </w:r>
          </w:p>
        </w:tc>
        <w:tc>
          <w:tcPr>
            <w:tcW w:w="8720" w:type="dxa"/>
            <w:vAlign w:val="bottom"/>
          </w:tcPr>
          <w:p>
            <w:pPr>
              <w:spacing w:after="0"/>
              <w:rPr>
                <w:sz w:val="17"/>
                <w:szCs w:val="17"/>
                <w:color w:val="auto"/>
              </w:rPr>
            </w:pPr>
          </w:p>
        </w:tc>
      </w:tr>
      <w:tr>
        <w:trPr>
          <w:trHeight w:val="20"/>
        </w:trPr>
        <w:tc>
          <w:tcPr>
            <w:tcW w:w="340" w:type="dxa"/>
            <w:vAlign w:val="bottom"/>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8720" w:type="dxa"/>
            <w:vAlign w:val="bottom"/>
          </w:tcPr>
          <w:p>
            <w:pPr>
              <w:spacing w:after="0" w:line="20" w:lineRule="exact"/>
              <w:rPr>
                <w:sz w:val="1"/>
                <w:szCs w:val="1"/>
                <w:color w:val="auto"/>
              </w:rPr>
            </w:pPr>
          </w:p>
        </w:tc>
      </w:tr>
      <w:tr>
        <w:trPr>
          <w:trHeight w:val="438"/>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Type and Amount of</w:t>
            </w:r>
          </w:p>
        </w:tc>
        <w:tc>
          <w:tcPr>
            <w:tcW w:w="8720" w:type="dxa"/>
            <w:vAlign w:val="bottom"/>
          </w:tcPr>
          <w:p>
            <w:pPr>
              <w:spacing w:after="0"/>
              <w:rPr>
                <w:sz w:val="24"/>
                <w:szCs w:val="24"/>
                <w:color w:val="auto"/>
              </w:rPr>
            </w:pPr>
          </w:p>
        </w:tc>
      </w:tr>
      <w:tr>
        <w:trPr>
          <w:trHeight w:val="216"/>
        </w:trPr>
        <w:tc>
          <w:tcPr>
            <w:tcW w:w="340" w:type="dxa"/>
            <w:vAlign w:val="bottom"/>
          </w:tcPr>
          <w:p>
            <w:pPr>
              <w:spacing w:after="0"/>
              <w:rPr>
                <w:sz w:val="18"/>
                <w:szCs w:val="18"/>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Bridge Facility:</w:t>
            </w:r>
          </w:p>
        </w:tc>
        <w:tc>
          <w:tcPr>
            <w:tcW w:w="8720" w:type="dxa"/>
            <w:vAlign w:val="bottom"/>
          </w:tcPr>
          <w:p>
            <w:pPr>
              <w:ind w:left="240"/>
              <w:spacing w:after="0"/>
              <w:rPr>
                <w:sz w:val="20"/>
                <w:szCs w:val="20"/>
                <w:color w:val="auto"/>
              </w:rPr>
            </w:pPr>
            <w:r>
              <w:rPr>
                <w:rFonts w:ascii="Arial" w:cs="Arial" w:eastAsia="Arial" w:hAnsi="Arial"/>
                <w:sz w:val="18"/>
                <w:szCs w:val="18"/>
                <w:color w:val="auto"/>
                <w:w w:val="91"/>
              </w:rPr>
              <w:t>364-day senior unsecured bridge term loan facility (the “</w:t>
            </w:r>
            <w:r>
              <w:rPr>
                <w:rFonts w:ascii="Arial" w:cs="Arial" w:eastAsia="Arial" w:hAnsi="Arial"/>
                <w:sz w:val="18"/>
                <w:szCs w:val="18"/>
                <w:b w:val="1"/>
                <w:bCs w:val="1"/>
                <w:i w:val="1"/>
                <w:iCs w:val="1"/>
                <w:color w:val="auto"/>
                <w:w w:val="91"/>
              </w:rPr>
              <w:t>Bridge Facility</w:t>
            </w:r>
            <w:r>
              <w:rPr>
                <w:rFonts w:ascii="Arial" w:cs="Arial" w:eastAsia="Arial" w:hAnsi="Arial"/>
                <w:sz w:val="18"/>
                <w:szCs w:val="18"/>
                <w:color w:val="auto"/>
                <w:w w:val="91"/>
              </w:rPr>
              <w:t>”) in the amount of up to $2,500,000,000 (the</w:t>
            </w:r>
          </w:p>
        </w:tc>
      </w:tr>
      <w:tr>
        <w:trPr>
          <w:trHeight w:val="230"/>
        </w:trPr>
        <w:tc>
          <w:tcPr>
            <w:tcW w:w="3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720" w:type="dxa"/>
            <w:vAlign w:val="bottom"/>
          </w:tcPr>
          <w:p>
            <w:pPr>
              <w:ind w:left="240"/>
              <w:spacing w:after="0"/>
              <w:rPr>
                <w:sz w:val="20"/>
                <w:szCs w:val="20"/>
                <w:color w:val="auto"/>
              </w:rPr>
            </w:pPr>
            <w:r>
              <w:rPr>
                <w:rFonts w:ascii="Arial" w:cs="Arial" w:eastAsia="Arial" w:hAnsi="Arial"/>
                <w:sz w:val="18"/>
                <w:szCs w:val="18"/>
                <w:color w:val="auto"/>
              </w:rPr>
              <w:t>loans thereunder, the “</w:t>
            </w:r>
            <w:r>
              <w:rPr>
                <w:rFonts w:ascii="Arial" w:cs="Arial" w:eastAsia="Arial" w:hAnsi="Arial"/>
                <w:sz w:val="18"/>
                <w:szCs w:val="18"/>
                <w:b w:val="1"/>
                <w:bCs w:val="1"/>
                <w:i w:val="1"/>
                <w:iCs w:val="1"/>
                <w:color w:val="auto"/>
              </w:rPr>
              <w:t>Bridge Loans</w:t>
            </w:r>
            <w:r>
              <w:rPr>
                <w:rFonts w:ascii="Arial" w:cs="Arial" w:eastAsia="Arial" w:hAnsi="Arial"/>
                <w:sz w:val="18"/>
                <w:szCs w:val="18"/>
                <w:color w:val="auto"/>
              </w:rPr>
              <w:t>”).</w:t>
            </w:r>
          </w:p>
        </w:tc>
      </w:tr>
      <w:tr>
        <w:trPr>
          <w:trHeight w:val="445"/>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Availability:</w:t>
            </w:r>
          </w:p>
        </w:tc>
        <w:tc>
          <w:tcPr>
            <w:tcW w:w="8720" w:type="dxa"/>
            <w:vAlign w:val="bottom"/>
          </w:tcPr>
          <w:p>
            <w:pPr>
              <w:ind w:left="240"/>
              <w:spacing w:after="0"/>
              <w:rPr>
                <w:sz w:val="20"/>
                <w:szCs w:val="20"/>
                <w:color w:val="auto"/>
              </w:rPr>
            </w:pPr>
            <w:r>
              <w:rPr>
                <w:rFonts w:ascii="Arial" w:cs="Arial" w:eastAsia="Arial" w:hAnsi="Arial"/>
                <w:sz w:val="18"/>
                <w:szCs w:val="18"/>
                <w:color w:val="auto"/>
              </w:rPr>
              <w:t>The Bridge Facility shall be available in a single draw on the Closing Date.</w:t>
            </w:r>
          </w:p>
        </w:tc>
      </w:tr>
      <w:tr>
        <w:trPr>
          <w:trHeight w:val="432"/>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Maturity:</w:t>
            </w:r>
          </w:p>
        </w:tc>
        <w:tc>
          <w:tcPr>
            <w:tcW w:w="8720" w:type="dxa"/>
            <w:vAlign w:val="bottom"/>
          </w:tcPr>
          <w:p>
            <w:pPr>
              <w:ind w:left="240"/>
              <w:spacing w:after="0"/>
              <w:rPr>
                <w:sz w:val="20"/>
                <w:szCs w:val="20"/>
                <w:color w:val="auto"/>
              </w:rPr>
            </w:pPr>
            <w:r>
              <w:rPr>
                <w:rFonts w:ascii="Arial" w:cs="Arial" w:eastAsia="Arial" w:hAnsi="Arial"/>
                <w:sz w:val="18"/>
                <w:szCs w:val="18"/>
                <w:color w:val="auto"/>
              </w:rPr>
              <w:t>The Bridge Facility will mature on the date that is 364 days after the Closing Date.</w:t>
            </w:r>
          </w:p>
        </w:tc>
      </w:tr>
      <w:tr>
        <w:trPr>
          <w:trHeight w:val="418"/>
        </w:trPr>
        <w:tc>
          <w:tcPr>
            <w:tcW w:w="340" w:type="dxa"/>
            <w:vAlign w:val="bottom"/>
          </w:tcPr>
          <w:p>
            <w:pPr>
              <w:spacing w:after="0"/>
              <w:rPr>
                <w:sz w:val="24"/>
                <w:szCs w:val="24"/>
                <w:color w:val="auto"/>
              </w:rPr>
            </w:pPr>
          </w:p>
        </w:tc>
        <w:tc>
          <w:tcPr>
            <w:tcW w:w="1740" w:type="dxa"/>
            <w:vAlign w:val="bottom"/>
            <w:gridSpan w:val="2"/>
          </w:tcPr>
          <w:p>
            <w:pPr>
              <w:spacing w:after="0"/>
              <w:rPr>
                <w:sz w:val="20"/>
                <w:szCs w:val="20"/>
                <w:color w:val="auto"/>
              </w:rPr>
            </w:pPr>
            <w:r>
              <w:rPr>
                <w:rFonts w:ascii="Arial" w:cs="Arial" w:eastAsia="Arial" w:hAnsi="Arial"/>
                <w:sz w:val="18"/>
                <w:szCs w:val="18"/>
                <w:color w:val="auto"/>
              </w:rPr>
              <w:t>Purpose:</w:t>
            </w:r>
          </w:p>
        </w:tc>
        <w:tc>
          <w:tcPr>
            <w:tcW w:w="8720" w:type="dxa"/>
            <w:vAlign w:val="bottom"/>
          </w:tcPr>
          <w:p>
            <w:pPr>
              <w:ind w:left="240"/>
              <w:spacing w:after="0"/>
              <w:rPr>
                <w:sz w:val="20"/>
                <w:szCs w:val="20"/>
                <w:color w:val="auto"/>
              </w:rPr>
            </w:pPr>
            <w:r>
              <w:rPr>
                <w:rFonts w:ascii="Arial" w:cs="Arial" w:eastAsia="Arial" w:hAnsi="Arial"/>
                <w:sz w:val="18"/>
                <w:szCs w:val="18"/>
                <w:color w:val="auto"/>
                <w:w w:val="94"/>
              </w:rPr>
              <w:t>The proceeds of the Bridge Loans shall be used by the Borrower (i) to pay all or a portion of the Acquisition Cash</w:t>
            </w:r>
          </w:p>
        </w:tc>
      </w:tr>
      <w:tr>
        <w:trPr>
          <w:trHeight w:val="230"/>
        </w:trPr>
        <w:tc>
          <w:tcPr>
            <w:tcW w:w="3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720" w:type="dxa"/>
            <w:vAlign w:val="bottom"/>
          </w:tcPr>
          <w:p>
            <w:pPr>
              <w:ind w:left="240"/>
              <w:spacing w:after="0"/>
              <w:rPr>
                <w:sz w:val="20"/>
                <w:szCs w:val="20"/>
                <w:color w:val="auto"/>
              </w:rPr>
            </w:pPr>
            <w:r>
              <w:rPr>
                <w:rFonts w:ascii="Arial" w:cs="Arial" w:eastAsia="Arial" w:hAnsi="Arial"/>
                <w:sz w:val="18"/>
                <w:szCs w:val="18"/>
                <w:color w:val="auto"/>
              </w:rPr>
              <w:t>Consideration and (ii) to pay the Transaction Costs.</w:t>
            </w:r>
          </w:p>
        </w:tc>
      </w:tr>
    </w:tbl>
    <w:p>
      <w:pPr>
        <w:spacing w:after="0" w:line="30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ind w:left="344" w:hanging="344"/>
        <w:spacing w:after="0"/>
        <w:tabs>
          <w:tab w:leader="none" w:pos="344"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Certain Payment Provisions</w:t>
      </w:r>
    </w:p>
    <w:p>
      <w:pPr>
        <w:sectPr>
          <w:pgSz w:w="11900" w:h="16838" w:orient="portrait"/>
          <w:cols w:equalWidth="0" w:num="1">
            <w:col w:w="11004"/>
          </w:cols>
          <w:pgMar w:left="436" w:top="256" w:right="459" w:bottom="1440" w:gutter="0" w:footer="0" w:header="0"/>
        </w:sectPr>
      </w:pPr>
    </w:p>
    <w:p>
      <w:pPr>
        <w:spacing w:after="0" w:line="229" w:lineRule="exact"/>
        <w:rPr>
          <w:sz w:val="20"/>
          <w:szCs w:val="20"/>
          <w:color w:val="auto"/>
        </w:rPr>
      </w:pPr>
    </w:p>
    <w:p>
      <w:pPr>
        <w:ind w:left="344"/>
        <w:spacing w:after="0"/>
        <w:rPr>
          <w:sz w:val="20"/>
          <w:szCs w:val="20"/>
          <w:color w:val="auto"/>
        </w:rPr>
      </w:pPr>
      <w:r>
        <w:rPr>
          <w:rFonts w:ascii="Arial" w:cs="Arial" w:eastAsia="Arial" w:hAnsi="Arial"/>
          <w:sz w:val="16"/>
          <w:szCs w:val="16"/>
          <w:color w:val="auto"/>
        </w:rPr>
        <w:t>Fees and Interest Rates:</w:t>
      </w:r>
    </w:p>
    <w:p>
      <w:pPr>
        <w:spacing w:after="0" w:line="200" w:lineRule="exact"/>
        <w:rPr>
          <w:sz w:val="20"/>
          <w:szCs w:val="20"/>
          <w:color w:val="auto"/>
        </w:rPr>
      </w:pPr>
    </w:p>
    <w:p>
      <w:pPr>
        <w:spacing w:after="0" w:line="278" w:lineRule="exact"/>
        <w:rPr>
          <w:sz w:val="20"/>
          <w:szCs w:val="20"/>
          <w:color w:val="auto"/>
        </w:rPr>
      </w:pPr>
    </w:p>
    <w:p>
      <w:pPr>
        <w:ind w:left="344" w:right="160"/>
        <w:spacing w:after="0" w:line="311" w:lineRule="auto"/>
        <w:rPr>
          <w:sz w:val="20"/>
          <w:szCs w:val="20"/>
          <w:color w:val="auto"/>
        </w:rPr>
      </w:pPr>
      <w:r>
        <w:rPr>
          <w:rFonts w:ascii="Arial" w:cs="Arial" w:eastAsia="Arial" w:hAnsi="Arial"/>
          <w:sz w:val="16"/>
          <w:szCs w:val="16"/>
          <w:color w:val="auto"/>
        </w:rPr>
        <w:t>Optional Prepayments and Commitment Reductions:</w:t>
      </w:r>
    </w:p>
    <w:p>
      <w:pPr>
        <w:spacing w:after="0" w:line="365" w:lineRule="exact"/>
        <w:rPr>
          <w:sz w:val="20"/>
          <w:szCs w:val="20"/>
          <w:color w:val="auto"/>
        </w:rPr>
      </w:pPr>
    </w:p>
    <w:p>
      <w:pPr>
        <w:ind w:left="344"/>
        <w:spacing w:after="0" w:line="311" w:lineRule="auto"/>
        <w:rPr>
          <w:sz w:val="20"/>
          <w:szCs w:val="20"/>
          <w:color w:val="auto"/>
        </w:rPr>
      </w:pPr>
      <w:r>
        <w:rPr>
          <w:rFonts w:ascii="Arial" w:cs="Arial" w:eastAsia="Arial" w:hAnsi="Arial"/>
          <w:sz w:val="16"/>
          <w:szCs w:val="16"/>
          <w:color w:val="auto"/>
        </w:rPr>
        <w:t>Mandatory Prepayments and Commitment Reductions: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5" w:lineRule="exact"/>
        <w:rPr>
          <w:sz w:val="20"/>
          <w:szCs w:val="20"/>
          <w:color w:val="auto"/>
        </w:rPr>
      </w:pPr>
    </w:p>
    <w:p>
      <w:pPr>
        <w:ind w:left="2"/>
        <w:spacing w:after="0"/>
        <w:rPr>
          <w:sz w:val="20"/>
          <w:szCs w:val="20"/>
          <w:color w:val="auto"/>
        </w:rPr>
      </w:pPr>
      <w:r>
        <w:rPr>
          <w:rFonts w:ascii="Arial" w:cs="Arial" w:eastAsia="Arial" w:hAnsi="Arial"/>
          <w:sz w:val="18"/>
          <w:szCs w:val="18"/>
          <w:color w:val="auto"/>
        </w:rPr>
        <w:t>As set forth on Annex I.</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2" w:right="120"/>
        <w:spacing w:after="0" w:line="308" w:lineRule="auto"/>
        <w:rPr>
          <w:sz w:val="20"/>
          <w:szCs w:val="20"/>
          <w:color w:val="auto"/>
        </w:rPr>
      </w:pPr>
      <w:r>
        <w:rPr>
          <w:rFonts w:ascii="Arial" w:cs="Arial" w:eastAsia="Arial" w:hAnsi="Arial"/>
          <w:sz w:val="17"/>
          <w:szCs w:val="17"/>
          <w:color w:val="auto"/>
        </w:rPr>
        <w:t>Loans may be prepaid at any time in whole or in part and commitments may be reduced or terminated by the Borrower at any time, in each case without premium or penalty and in minimum amounts to be agreed upon.</w:t>
      </w:r>
    </w:p>
    <w:p>
      <w:pPr>
        <w:spacing w:after="0" w:line="200" w:lineRule="exact"/>
        <w:rPr>
          <w:sz w:val="20"/>
          <w:szCs w:val="20"/>
          <w:color w:val="auto"/>
        </w:rPr>
      </w:pPr>
    </w:p>
    <w:p>
      <w:pPr>
        <w:spacing w:after="0" w:line="378" w:lineRule="exact"/>
        <w:rPr>
          <w:sz w:val="20"/>
          <w:szCs w:val="20"/>
          <w:color w:val="auto"/>
        </w:rPr>
      </w:pPr>
    </w:p>
    <w:p>
      <w:pPr>
        <w:ind w:left="2" w:right="140"/>
        <w:spacing w:after="0" w:line="259" w:lineRule="auto"/>
        <w:rPr>
          <w:sz w:val="20"/>
          <w:szCs w:val="20"/>
          <w:color w:val="auto"/>
        </w:rPr>
      </w:pPr>
      <w:r>
        <w:rPr>
          <w:rFonts w:ascii="Arial" w:cs="Arial" w:eastAsia="Arial" w:hAnsi="Arial"/>
          <w:sz w:val="18"/>
          <w:szCs w:val="18"/>
          <w:color w:val="auto"/>
        </w:rPr>
        <w:t>On or prior to the Closing Date, the aggregate commitments in respect of the Bridge Facility under the Commitment Letter or under the Credit Documentation (as applicable) shall be permanently reduced, and after the Closing Date, the aggregate loans under the Bridge Facility shall be prepaid, in each case, dollar-for-dollar, by the following amounts (in each case subject to exceptions to be agreed):</w:t>
      </w:r>
    </w:p>
    <w:p>
      <w:pPr>
        <w:spacing w:after="0" w:line="200" w:lineRule="exact"/>
        <w:rPr>
          <w:sz w:val="20"/>
          <w:szCs w:val="20"/>
          <w:color w:val="auto"/>
        </w:rPr>
      </w:pPr>
    </w:p>
    <w:p>
      <w:pPr>
        <w:ind w:left="362" w:hanging="362"/>
        <w:spacing w:after="0" w:line="271" w:lineRule="auto"/>
        <w:tabs>
          <w:tab w:leader="none" w:pos="339" w:val="left"/>
        </w:tabs>
        <w:numPr>
          <w:ilvl w:val="0"/>
          <w:numId w:val="202"/>
        </w:numPr>
        <w:rPr>
          <w:rFonts w:ascii="Arial" w:cs="Arial" w:eastAsia="Arial" w:hAnsi="Arial"/>
          <w:sz w:val="17"/>
          <w:szCs w:val="17"/>
          <w:color w:val="auto"/>
        </w:rPr>
      </w:pPr>
      <w:r>
        <w:rPr>
          <w:rFonts w:ascii="Arial" w:cs="Arial" w:eastAsia="Arial" w:hAnsi="Arial"/>
          <w:sz w:val="17"/>
          <w:szCs w:val="17"/>
          <w:color w:val="auto"/>
        </w:rPr>
        <w:t>100% of the net cash proceeds (other than proceeds from (i) any casualty or condemnation event, (ii) any intercompany transfer, or (iii) other dispositions the net cash proceeds of which do not exceed $50,000,000 in the aggregate) of all non-ordinary course asset sales or other dispositions of property by Maui, the Borrower and any of their respective subsidiaries (including proceeds from the sale of stock of any subsidiary of Maui or the Borrower) other than net cash proceeds of any non-ordinary course sale or other disposition that are reinvested in assets to be used in Maui’s, the Borrower’s and/or their respective subsidiaries’ business within 180 days of receipt of such proceeds (or within 270 days of receipt of such proceeds, to the extent committed to be reinvested within 180 days of receipt of such proceeds), subject to other exceptions to be agreed upon;</w:t>
      </w:r>
    </w:p>
    <w:p>
      <w:pPr>
        <w:spacing w:after="0" w:line="111" w:lineRule="exact"/>
        <w:rPr>
          <w:sz w:val="20"/>
          <w:szCs w:val="20"/>
          <w:color w:val="auto"/>
        </w:rPr>
      </w:pPr>
    </w:p>
    <w:p>
      <w:pPr>
        <w:sectPr>
          <w:pgSz w:w="11900" w:h="16838" w:orient="portrait"/>
          <w:cols w:equalWidth="0" w:num="2">
            <w:col w:w="2124" w:space="198"/>
            <w:col w:w="8682"/>
          </w:cols>
          <w:pgMar w:left="436" w:top="256" w:right="459" w:bottom="1440" w:gutter="0" w:footer="0" w:header="0"/>
          <w:type w:val="continuous"/>
        </w:sectPr>
      </w:pPr>
    </w:p>
    <w:p>
      <w:pPr>
        <w:jc w:val="center"/>
        <w:ind w:right="-3"/>
        <w:spacing w:after="0"/>
        <w:rPr>
          <w:sz w:val="20"/>
          <w:szCs w:val="20"/>
          <w:color w:val="auto"/>
        </w:rPr>
      </w:pPr>
      <w:r>
        <w:rPr>
          <w:rFonts w:ascii="Arial" w:cs="Arial" w:eastAsia="Arial" w:hAnsi="Arial"/>
          <w:sz w:val="13"/>
          <w:szCs w:val="13"/>
          <w:color w:val="auto"/>
        </w:rPr>
        <w:t>2</w:t>
      </w:r>
    </w:p>
    <w:p>
      <w:pPr>
        <w:sectPr>
          <w:pgSz w:w="11900" w:h="16838" w:orient="portrait"/>
          <w:cols w:equalWidth="0" w:num="1">
            <w:col w:w="11004"/>
          </w:cols>
          <w:pgMar w:left="436" w:top="256" w:right="459" w:bottom="1440" w:gutter="0" w:footer="0" w:header="0"/>
          <w:type w:val="continuous"/>
        </w:sectPr>
      </w:pPr>
    </w:p>
    <w:bookmarkStart w:id="142" w:name="page143"/>
    <w:bookmarkEnd w:id="142"/>
    <w:p>
      <w:pPr>
        <w:ind w:left="1680" w:right="100" w:hanging="362"/>
        <w:spacing w:after="0" w:line="257" w:lineRule="auto"/>
        <w:tabs>
          <w:tab w:leader="none" w:pos="1667" w:val="left"/>
        </w:tabs>
        <w:numPr>
          <w:ilvl w:val="0"/>
          <w:numId w:val="20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100% of the committed amount of any term loan credit facility (excluding the Term Loan Facility) entered into for the purpose of financing the Transactions and having conditions to availability which are not more restrictive than the Bridge Facility, as reasonably determined by the Borrower upon entering into such committed financing (such reduction to occur automatically upon the effectiveness of definitive documentation for such term loan credit facility); and</w:t>
      </w:r>
    </w:p>
    <w:p>
      <w:pPr>
        <w:spacing w:after="0" w:line="187" w:lineRule="exact"/>
        <w:rPr>
          <w:rFonts w:ascii="Arial" w:cs="Arial" w:eastAsia="Arial" w:hAnsi="Arial"/>
          <w:sz w:val="18"/>
          <w:szCs w:val="18"/>
          <w:color w:val="auto"/>
        </w:rPr>
      </w:pPr>
    </w:p>
    <w:p>
      <w:pPr>
        <w:ind w:left="1680" w:hanging="362"/>
        <w:spacing w:after="0" w:line="284" w:lineRule="auto"/>
        <w:tabs>
          <w:tab w:leader="none" w:pos="1657" w:val="left"/>
        </w:tabs>
        <w:numPr>
          <w:ilvl w:val="0"/>
          <w:numId w:val="203"/>
        </w:numPr>
        <w:rPr>
          <w:rFonts w:ascii="Arial" w:cs="Arial" w:eastAsia="Arial" w:hAnsi="Arial"/>
          <w:sz w:val="16"/>
          <w:szCs w:val="16"/>
          <w:color w:val="auto"/>
        </w:rPr>
      </w:pPr>
      <w:r>
        <w:rPr>
          <w:rFonts w:ascii="Arial" w:cs="Arial" w:eastAsia="Arial" w:hAnsi="Arial"/>
          <w:sz w:val="16"/>
          <w:szCs w:val="16"/>
          <w:color w:val="auto"/>
        </w:rPr>
        <w:t>without duplication of clause (b) above, 100% of the net cash proceeds received from any incurrence of debt for borrowed money (including, without limitation, any Senior Notes and any proceeds of any term loan facility) other than (i) any intercompany debt of Maui, the Borrower or any of their respective subsidiaries, (ii) any debt of Maui, the Borrower or any of their respective subsidiaries incurred under the Existing Credit Agreement in the ordinary course (including any amendment or refinancing thereof or any increase thereto so long as the aggregate committed amount and, without duplication, outstanding amount shall not exceed $750,000,000), (iii) the Term Loan Facility,</w:t>
      </w:r>
    </w:p>
    <w:p>
      <w:pPr>
        <w:spacing w:after="0" w:line="4" w:lineRule="exact"/>
        <w:rPr>
          <w:rFonts w:ascii="Arial" w:cs="Arial" w:eastAsia="Arial" w:hAnsi="Arial"/>
          <w:sz w:val="16"/>
          <w:szCs w:val="16"/>
          <w:color w:val="auto"/>
        </w:rPr>
      </w:pPr>
    </w:p>
    <w:p>
      <w:pPr>
        <w:ind w:left="1680" w:right="120" w:hanging="2"/>
        <w:spacing w:after="0" w:line="253" w:lineRule="auto"/>
        <w:tabs>
          <w:tab w:leader="none" w:pos="1985" w:val="left"/>
        </w:tabs>
        <w:numPr>
          <w:ilvl w:val="1"/>
          <w:numId w:val="203"/>
        </w:numPr>
        <w:rPr>
          <w:rFonts w:ascii="Arial" w:cs="Arial" w:eastAsia="Arial" w:hAnsi="Arial"/>
          <w:sz w:val="18"/>
          <w:szCs w:val="18"/>
          <w:color w:val="auto"/>
        </w:rPr>
      </w:pPr>
      <w:r>
        <w:rPr>
          <w:rFonts w:ascii="Arial" w:cs="Arial" w:eastAsia="Arial" w:hAnsi="Arial"/>
          <w:sz w:val="18"/>
          <w:szCs w:val="18"/>
          <w:color w:val="auto"/>
        </w:rPr>
        <w:t>capital leases, letter of credit and purchase money and equipment financings, in each case, in the ordinary course of business, (v) working capital facilities of foreign subsidiaries, and (vi) other incurrences of debt not to exceed $50,000,000 in the aggregate at any time outstanding and (vi) other debt for borrowed money to be agreed upon;</w:t>
      </w:r>
    </w:p>
    <w:p>
      <w:pPr>
        <w:spacing w:after="0" w:line="219" w:lineRule="exact"/>
        <w:rPr>
          <w:rFonts w:ascii="Arial" w:cs="Arial" w:eastAsia="Arial" w:hAnsi="Arial"/>
          <w:sz w:val="18"/>
          <w:szCs w:val="18"/>
          <w:color w:val="auto"/>
        </w:rPr>
      </w:pPr>
    </w:p>
    <w:p>
      <w:pPr>
        <w:jc w:val="both"/>
        <w:ind w:left="1680" w:right="100" w:hanging="362"/>
        <w:spacing w:after="0" w:line="291" w:lineRule="auto"/>
        <w:tabs>
          <w:tab w:leader="none" w:pos="1667" w:val="left"/>
        </w:tabs>
        <w:numPr>
          <w:ilvl w:val="0"/>
          <w:numId w:val="203"/>
        </w:numPr>
        <w:rPr>
          <w:rFonts w:ascii="Arial" w:cs="Arial" w:eastAsia="Arial" w:hAnsi="Arial"/>
          <w:sz w:val="16"/>
          <w:szCs w:val="16"/>
          <w:color w:val="auto"/>
        </w:rPr>
      </w:pPr>
      <w:r>
        <w:rPr>
          <w:rFonts w:ascii="Arial" w:cs="Arial" w:eastAsia="Arial" w:hAnsi="Arial"/>
          <w:sz w:val="16"/>
          <w:szCs w:val="16"/>
          <w:color w:val="auto"/>
        </w:rPr>
        <w:t>100% of the net cash proceeds received from any issuance of equity (in a public offering or private placement) by Maui, the Borrower or any of their respective subsidiaries in a capital raising transaction, subject to exceptions for</w:t>
      </w:r>
    </w:p>
    <w:p>
      <w:pPr>
        <w:ind w:left="1680" w:right="120" w:hanging="2"/>
        <w:spacing w:after="0" w:line="281" w:lineRule="auto"/>
        <w:tabs>
          <w:tab w:leader="none" w:pos="1895" w:val="left"/>
        </w:tabs>
        <w:numPr>
          <w:ilvl w:val="1"/>
          <w:numId w:val="204"/>
        </w:numPr>
        <w:rPr>
          <w:rFonts w:ascii="Arial" w:cs="Arial" w:eastAsia="Arial" w:hAnsi="Arial"/>
          <w:sz w:val="16"/>
          <w:szCs w:val="16"/>
          <w:color w:val="auto"/>
        </w:rPr>
      </w:pPr>
      <w:r>
        <w:rPr>
          <w:rFonts w:ascii="Arial" w:cs="Arial" w:eastAsia="Arial" w:hAnsi="Arial"/>
          <w:sz w:val="16"/>
          <w:szCs w:val="16"/>
          <w:color w:val="auto"/>
        </w:rPr>
        <w:t>employee stock plans or other benefit or employee incentive arrangements, (ii) equity interests or such other securities issued to Maui or the Borrower or any of their respective subsidiaries, (iii) (x) the Acquisition Common Stock Consideration and (y) any such issuance by Maui (prior to the Closing Date) or the Borrower to sellers as equity consideration for any other acquisition by Maui or the Borrower or any of their respective subsidiaries, and</w:t>
      </w:r>
    </w:p>
    <w:p>
      <w:pPr>
        <w:spacing w:after="0" w:line="2" w:lineRule="exact"/>
        <w:rPr>
          <w:rFonts w:ascii="Arial" w:cs="Arial" w:eastAsia="Arial" w:hAnsi="Arial"/>
          <w:sz w:val="16"/>
          <w:szCs w:val="16"/>
          <w:color w:val="auto"/>
        </w:rPr>
      </w:pPr>
    </w:p>
    <w:p>
      <w:pPr>
        <w:ind w:left="1980" w:hanging="302"/>
        <w:spacing w:after="0"/>
        <w:tabs>
          <w:tab w:leader="none" w:pos="1980" w:val="left"/>
        </w:tabs>
        <w:numPr>
          <w:ilvl w:val="1"/>
          <w:numId w:val="205"/>
        </w:numPr>
        <w:rPr>
          <w:rFonts w:ascii="Arial" w:cs="Arial" w:eastAsia="Arial" w:hAnsi="Arial"/>
          <w:sz w:val="18"/>
          <w:szCs w:val="18"/>
          <w:color w:val="auto"/>
        </w:rPr>
      </w:pPr>
      <w:r>
        <w:rPr>
          <w:rFonts w:ascii="Arial" w:cs="Arial" w:eastAsia="Arial" w:hAnsi="Arial"/>
          <w:sz w:val="18"/>
          <w:szCs w:val="18"/>
          <w:color w:val="auto"/>
        </w:rPr>
        <w:t>any issuance of equity in connection with the Reorganization.</w:t>
      </w:r>
    </w:p>
    <w:p>
      <w:pPr>
        <w:spacing w:after="0" w:line="238" w:lineRule="exact"/>
        <w:rPr>
          <w:sz w:val="20"/>
          <w:szCs w:val="20"/>
          <w:color w:val="auto"/>
        </w:rPr>
      </w:pPr>
    </w:p>
    <w:p>
      <w:pPr>
        <w:ind w:left="1320" w:right="300"/>
        <w:spacing w:after="0" w:line="263" w:lineRule="auto"/>
        <w:rPr>
          <w:sz w:val="20"/>
          <w:szCs w:val="20"/>
          <w:color w:val="auto"/>
        </w:rPr>
      </w:pPr>
      <w:r>
        <w:rPr>
          <w:rFonts w:ascii="Arial" w:cs="Arial" w:eastAsia="Arial" w:hAnsi="Arial"/>
          <w:sz w:val="18"/>
          <w:szCs w:val="18"/>
          <w:color w:val="auto"/>
        </w:rPr>
        <w:t>The Borrower shall give prompt written notice to the Administrative Agent of any required reduction or prepayment required hereunder, including calculation in reasonable detail of the requirement amount of such reduction or prepayment.</w:t>
      </w:r>
    </w:p>
    <w:p>
      <w:pPr>
        <w:spacing w:after="0" w:line="130"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000"/>
          </w:cols>
          <w:pgMar w:left="1440" w:top="274" w:right="459" w:bottom="1440" w:gutter="0" w:footer="0" w:header="0"/>
        </w:sectPr>
      </w:pPr>
    </w:p>
    <w:bookmarkStart w:id="143" w:name="page144"/>
    <w:bookmarkEnd w:id="143"/>
    <w:p>
      <w:pPr>
        <w:ind w:left="2320" w:right="4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 addition, the commitments under the Bridge Facility shall terminate on the earliest of (i) the termination of the Acquisition Agreement by the Borrower in a signed writing in accordance with its terms (or the Borrower’s written confirmation thereof) (and the Borrower agrees to notify the Lead Arranger promptly thereof), (ii) the consummation of the Acquisition without the funding of the Bridge Facility and (iii) the date that is five business days after the End Date (as defined in the Acquisition Agreement as of the date hereof); provided that if the End Date (as defined in the Acquisition Agreement, as in effect on the date hereof) is extended one or more times pursuant to Section 8.1(b) of the Acquisition Agreement (as in effect on the date hereof), such End Date shall be for purposes of this clause (iii), upon written notice of each such extension to the Lead Arranger from the Borrower, automatically extended to five business days after each such extended date, and (iv) receipt by the Lenders of written notice from the Borrower of its election to terminate all commitments under the Bridge Facility in full.</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IV. </w:t>
      </w:r>
      <w:r>
        <w:rPr>
          <w:rFonts w:ascii="Arial" w:cs="Arial" w:eastAsia="Arial" w:hAnsi="Arial"/>
          <w:sz w:val="18"/>
          <w:szCs w:val="18"/>
          <w:b w:val="1"/>
          <w:bCs w:val="1"/>
          <w:u w:val="single" w:color="auto"/>
          <w:color w:val="auto"/>
        </w:rPr>
        <w:t>Certain Documentation Matters</w:t>
      </w:r>
    </w:p>
    <w:p>
      <w:pPr>
        <w:spacing w:after="0" w:line="229" w:lineRule="exact"/>
        <w:rPr>
          <w:sz w:val="20"/>
          <w:szCs w:val="20"/>
          <w:color w:val="auto"/>
        </w:rPr>
      </w:pPr>
    </w:p>
    <w:p>
      <w:pPr>
        <w:ind w:left="2320"/>
        <w:spacing w:after="0" w:line="269" w:lineRule="auto"/>
        <w:rPr>
          <w:sz w:val="20"/>
          <w:szCs w:val="20"/>
          <w:color w:val="auto"/>
        </w:rPr>
      </w:pPr>
      <w:r>
        <w:rPr>
          <w:rFonts w:ascii="Arial" w:cs="Arial" w:eastAsia="Arial" w:hAnsi="Arial"/>
          <w:sz w:val="17"/>
          <w:szCs w:val="17"/>
          <w:color w:val="auto"/>
        </w:rPr>
        <w:t>The Credit Documentation shall contain representations, warranties, covenants and events of default substantially similar to the Existing Credit Agreement (as in effect on the date hereof) with such modifications (i) as are necessary to reflect the terms specifically set forth herein (including the nature of the Bridge Facility as a “bridge facility”) and in the Fee Letter, including the Limited Conditionality Provision, (ii) as are mutually agreed taking into account the operational and strategic requirements of the Borrower and its subsidiaries (after giving effect to the Transactions) in light of their size, total assets, geographic locations, industry (and risks and trends associated therewith), businesses, business practices, operations, financial accounting and the Projections, (iii) to reflect any changes in law or accounting standard since the date of the Existing Credit Agreement, (iv) to reflect the operational or administrative requirements of the Administrative Agent, (v) modifications reflected on Exhibit C hereto, solely to the extent such modifications are also incorporated into any amendment, restatement, refinancing or replacement of the revolving credit facility under the Existing Credit Agreement and (vi) other modifications to be mutually agreed (collectively, the “</w:t>
      </w:r>
      <w:r>
        <w:rPr>
          <w:rFonts w:ascii="Arial" w:cs="Arial" w:eastAsia="Arial" w:hAnsi="Arial"/>
          <w:sz w:val="17"/>
          <w:szCs w:val="17"/>
          <w:b w:val="1"/>
          <w:bCs w:val="1"/>
          <w:i w:val="1"/>
          <w:iCs w:val="1"/>
          <w:color w:val="auto"/>
        </w:rPr>
        <w:t>Documentation</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Principles</w:t>
      </w:r>
      <w:r>
        <w:rPr>
          <w:rFonts w:ascii="Arial" w:cs="Arial" w:eastAsia="Arial" w:hAnsi="Arial"/>
          <w:sz w:val="17"/>
          <w:szCs w:val="17"/>
          <w:color w:val="auto"/>
        </w:rPr>
        <w:t>”).</w:t>
      </w:r>
    </w:p>
    <w:p>
      <w:pPr>
        <w:sectPr>
          <w:pgSz w:w="11900" w:h="16838" w:orient="portrait"/>
          <w:cols w:equalWidth="0" w:num="1">
            <w:col w:w="11000"/>
          </w:cols>
          <w:pgMar w:left="440" w:top="274" w:right="459" w:bottom="1440" w:gutter="0" w:footer="0" w:header="0"/>
        </w:sectPr>
      </w:pPr>
    </w:p>
    <w:p>
      <w:pPr>
        <w:spacing w:after="0" w:line="17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Representations and</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Warranties:</w:t>
      </w:r>
    </w:p>
    <w:p>
      <w:pPr>
        <w:spacing w:after="0" w:line="20" w:lineRule="exact"/>
        <w:rPr>
          <w:sz w:val="20"/>
          <w:szCs w:val="20"/>
          <w:color w:val="auto"/>
        </w:rPr>
      </w:pPr>
      <w:r>
        <w:rPr>
          <w:sz w:val="20"/>
          <w:szCs w:val="20"/>
          <w:color w:val="auto"/>
        </w:rPr>
        <w:br w:type="column"/>
      </w:r>
    </w:p>
    <w:p>
      <w:pPr>
        <w:spacing w:after="0" w:line="159" w:lineRule="exact"/>
        <w:rPr>
          <w:sz w:val="20"/>
          <w:szCs w:val="20"/>
          <w:color w:val="auto"/>
        </w:rPr>
      </w:pPr>
    </w:p>
    <w:p>
      <w:pPr>
        <w:ind w:right="80"/>
        <w:spacing w:after="0" w:line="311" w:lineRule="auto"/>
        <w:rPr>
          <w:sz w:val="20"/>
          <w:szCs w:val="20"/>
          <w:color w:val="auto"/>
        </w:rPr>
      </w:pPr>
      <w:r>
        <w:rPr>
          <w:rFonts w:ascii="Arial" w:cs="Arial" w:eastAsia="Arial" w:hAnsi="Arial"/>
          <w:sz w:val="16"/>
          <w:szCs w:val="16"/>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and limited to the following: (i) organization, powers, (ii) authorization, enforceability, (iii)</w:t>
      </w:r>
    </w:p>
    <w:p>
      <w:pPr>
        <w:spacing w:after="0" w:line="81" w:lineRule="exact"/>
        <w:rPr>
          <w:sz w:val="20"/>
          <w:szCs w:val="20"/>
          <w:color w:val="auto"/>
        </w:rPr>
      </w:pPr>
    </w:p>
    <w:p>
      <w:pPr>
        <w:sectPr>
          <w:pgSz w:w="11900" w:h="16838" w:orient="portrait"/>
          <w:cols w:equalWidth="0" w:num="2">
            <w:col w:w="1800" w:space="520"/>
            <w:col w:w="8680"/>
          </w:cols>
          <w:pgMar w:left="440" w:top="274" w:right="459" w:bottom="1440" w:gutter="0" w:footer="0" w:header="0"/>
          <w:type w:val="continuous"/>
        </w:sectPr>
      </w:pPr>
    </w:p>
    <w:p>
      <w:pPr>
        <w:jc w:val="center"/>
        <w:spacing w:after="0"/>
        <w:rPr>
          <w:sz w:val="20"/>
          <w:szCs w:val="20"/>
          <w:color w:val="auto"/>
        </w:rPr>
      </w:pPr>
      <w:r>
        <w:rPr>
          <w:rFonts w:ascii="Arial" w:cs="Arial" w:eastAsia="Arial" w:hAnsi="Arial"/>
          <w:sz w:val="13"/>
          <w:szCs w:val="13"/>
          <w:color w:val="auto"/>
        </w:rPr>
        <w:t>4</w:t>
      </w:r>
    </w:p>
    <w:p>
      <w:pPr>
        <w:sectPr>
          <w:pgSz w:w="11900" w:h="16838" w:orient="portrait"/>
          <w:cols w:equalWidth="0" w:num="1">
            <w:col w:w="11000"/>
          </w:cols>
          <w:pgMar w:left="440" w:top="274" w:right="459" w:bottom="1440" w:gutter="0" w:footer="0" w:header="0"/>
          <w:type w:val="continuous"/>
        </w:sectPr>
      </w:pPr>
    </w:p>
    <w:bookmarkStart w:id="144" w:name="page145"/>
    <w:bookmarkEnd w:id="144"/>
    <w:p>
      <w:pPr>
        <w:ind w:left="1980" w:right="6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governmental approvals, absence of conflicts, (iv) financial condition, no material adverse change, (v) properties, (vi) litigation and environmental matters, (vii) compliance with laws, and maintenance of effective compliance policies and procedures regarding anti-corruption and sanctions laws, (viii) investment company status, (ix) taxes, (x) ERISA,</w:t>
      </w:r>
    </w:p>
    <w:p>
      <w:pPr>
        <w:spacing w:after="0" w:line="2" w:lineRule="exact"/>
        <w:rPr>
          <w:sz w:val="20"/>
          <w:szCs w:val="20"/>
          <w:color w:val="auto"/>
        </w:rPr>
      </w:pPr>
    </w:p>
    <w:p>
      <w:pPr>
        <w:ind w:left="2280" w:hanging="302"/>
        <w:spacing w:after="0"/>
        <w:tabs>
          <w:tab w:leader="none" w:pos="2280" w:val="left"/>
        </w:tabs>
        <w:numPr>
          <w:ilvl w:val="0"/>
          <w:numId w:val="206"/>
        </w:numPr>
        <w:rPr>
          <w:rFonts w:ascii="Arial" w:cs="Arial" w:eastAsia="Arial" w:hAnsi="Arial"/>
          <w:sz w:val="16"/>
          <w:szCs w:val="16"/>
          <w:color w:val="auto"/>
        </w:rPr>
      </w:pPr>
      <w:r>
        <w:rPr>
          <w:rFonts w:ascii="Arial" w:cs="Arial" w:eastAsia="Arial" w:hAnsi="Arial"/>
          <w:sz w:val="16"/>
          <w:szCs w:val="16"/>
          <w:color w:val="auto"/>
        </w:rPr>
        <w:t>solvency (to be defined in a manner substantially the same as set forth on Annex I to Exhibit B attached hereto),</w:t>
      </w:r>
    </w:p>
    <w:p>
      <w:pPr>
        <w:spacing w:after="0" w:line="32" w:lineRule="exact"/>
        <w:rPr>
          <w:rFonts w:ascii="Arial" w:cs="Arial" w:eastAsia="Arial" w:hAnsi="Arial"/>
          <w:sz w:val="16"/>
          <w:szCs w:val="16"/>
          <w:color w:val="auto"/>
        </w:rPr>
      </w:pPr>
    </w:p>
    <w:p>
      <w:pPr>
        <w:ind w:left="1980" w:right="60" w:hanging="2"/>
        <w:spacing w:after="0" w:line="253" w:lineRule="auto"/>
        <w:tabs>
          <w:tab w:leader="none" w:pos="2335" w:val="left"/>
        </w:tabs>
        <w:numPr>
          <w:ilvl w:val="0"/>
          <w:numId w:val="206"/>
        </w:numPr>
        <w:rPr>
          <w:rFonts w:ascii="Arial" w:cs="Arial" w:eastAsia="Arial" w:hAnsi="Arial"/>
          <w:sz w:val="18"/>
          <w:szCs w:val="18"/>
          <w:color w:val="auto"/>
        </w:rPr>
      </w:pPr>
      <w:r>
        <w:rPr>
          <w:rFonts w:ascii="Arial" w:cs="Arial" w:eastAsia="Arial" w:hAnsi="Arial"/>
          <w:sz w:val="18"/>
          <w:szCs w:val="18"/>
          <w:color w:val="auto"/>
        </w:rPr>
        <w:t>disclosure, (xiii) federal reserve regulations, (xiv) use of proceeds as stated and in a manner not in violation of federal reserve regulations, applicable sanctions laws or anti-corruption laws (including FCPA), (xv) ranking of obligations, (xvi) choice of law provisions, (xvii) no immunity, (xviii) proper form, no recordation, (xix) EEA financial institutions and (xx) Beneficial Ownership Regulation.</w:t>
      </w:r>
    </w:p>
    <w:p>
      <w:pPr>
        <w:sectPr>
          <w:pgSz w:w="11900" w:h="16838" w:orient="portrait"/>
          <w:cols w:equalWidth="0" w:num="1">
            <w:col w:w="10620"/>
          </w:cols>
          <w:pgMar w:left="780" w:top="274" w:right="49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6"/>
          <w:szCs w:val="16"/>
          <w:color w:val="auto"/>
        </w:rPr>
        <w:t>Affirmative Covenants:</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the following: (i) financial statements and other information; (ii) notices of material events; (iii) existence; conduct of business; maintenance of properties; (iv) payment of taxes; (v) insurance; (vi) books and records, inspection rights; (vii) compliance with laws; and (viii) use of proceeds (including not in violation of applicable anti-corruption laws and sanctions).</w:t>
      </w:r>
    </w:p>
    <w:p>
      <w:pPr>
        <w:spacing w:after="0" w:line="192" w:lineRule="exact"/>
        <w:rPr>
          <w:sz w:val="20"/>
          <w:szCs w:val="20"/>
          <w:color w:val="auto"/>
        </w:rPr>
      </w:pPr>
    </w:p>
    <w:p>
      <w:pPr>
        <w:sectPr>
          <w:pgSz w:w="11900" w:h="16838" w:orient="portrait"/>
          <w:cols w:equalWidth="0" w:num="2">
            <w:col w:w="1700" w:space="280"/>
            <w:col w:w="8640"/>
          </w:cols>
          <w:pgMar w:left="780" w:top="274" w:right="499" w:bottom="1440" w:gutter="0" w:footer="0" w:header="0"/>
          <w:type w:val="continuous"/>
        </w:sectPr>
      </w:pPr>
    </w:p>
    <w:p>
      <w:pPr>
        <w:spacing w:after="0"/>
        <w:rPr>
          <w:sz w:val="20"/>
          <w:szCs w:val="20"/>
          <w:color w:val="auto"/>
        </w:rPr>
      </w:pPr>
      <w:r>
        <w:rPr>
          <w:rFonts w:ascii="Arial" w:cs="Arial" w:eastAsia="Arial" w:hAnsi="Arial"/>
          <w:sz w:val="16"/>
          <w:szCs w:val="16"/>
          <w:color w:val="auto"/>
        </w:rPr>
        <w:t>Financial Covenants:</w:t>
      </w:r>
    </w:p>
    <w:p>
      <w:pPr>
        <w:spacing w:after="0" w:line="20" w:lineRule="exact"/>
        <w:rPr>
          <w:sz w:val="20"/>
          <w:szCs w:val="20"/>
          <w:color w:val="auto"/>
        </w:rPr>
      </w:pPr>
      <w:r>
        <w:rPr>
          <w:sz w:val="20"/>
          <w:szCs w:val="20"/>
          <w:color w:val="auto"/>
        </w:rPr>
        <w:br w:type="column"/>
      </w:r>
    </w:p>
    <w:p>
      <w:pPr>
        <w:spacing w:after="0" w:line="257" w:lineRule="auto"/>
        <w:rPr>
          <w:sz w:val="20"/>
          <w:szCs w:val="20"/>
          <w:color w:val="auto"/>
        </w:rPr>
      </w:pPr>
      <w:r>
        <w:rPr>
          <w:rFonts w:ascii="Arial" w:cs="Arial" w:eastAsia="Arial" w:hAnsi="Arial"/>
          <w:sz w:val="18"/>
          <w:szCs w:val="18"/>
          <w:color w:val="auto"/>
        </w:rPr>
        <w:t>Subject to the Documentation Principles, commencing with the first fiscal quarter ended after the Closing Date, a Maximum leverage ratio of 4.75 to 1.00, with step-downs to (i) from and after the fiscal quarter ending March 31, 2022, 4.50 to 1.00 and (ii) from and after the fiscal quarter ending September 30, 2022, 4.25 to 1.00, to be calculated in a manner substantially similar to the Existing Credit Agreement as in effect on the date hereof (the “</w:t>
      </w:r>
      <w:r>
        <w:rPr>
          <w:rFonts w:ascii="Arial" w:cs="Arial" w:eastAsia="Arial" w:hAnsi="Arial"/>
          <w:sz w:val="18"/>
          <w:szCs w:val="18"/>
          <w:b w:val="1"/>
          <w:bCs w:val="1"/>
          <w:i w:val="1"/>
          <w:iCs w:val="1"/>
          <w:color w:val="auto"/>
        </w:rPr>
        <w:t>Financial</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Covenant</w:t>
      </w:r>
      <w:r>
        <w:rPr>
          <w:rFonts w:ascii="Arial" w:cs="Arial" w:eastAsia="Arial" w:hAnsi="Arial"/>
          <w:sz w:val="18"/>
          <w:szCs w:val="18"/>
          <w:color w:val="auto"/>
        </w:rPr>
        <w:t>”).</w:t>
      </w:r>
    </w:p>
    <w:p>
      <w:pPr>
        <w:spacing w:after="0" w:line="188" w:lineRule="exact"/>
        <w:rPr>
          <w:sz w:val="20"/>
          <w:szCs w:val="20"/>
          <w:color w:val="auto"/>
        </w:rPr>
      </w:pPr>
    </w:p>
    <w:p>
      <w:pPr>
        <w:sectPr>
          <w:pgSz w:w="11900" w:h="16838" w:orient="portrait"/>
          <w:cols w:equalWidth="0" w:num="2">
            <w:col w:w="1540" w:space="440"/>
            <w:col w:w="8640"/>
          </w:cols>
          <w:pgMar w:left="780" w:top="274" w:right="499" w:bottom="1440" w:gutter="0" w:footer="0" w:header="0"/>
          <w:type w:val="continuous"/>
        </w:sectPr>
      </w:pPr>
    </w:p>
    <w:p>
      <w:pPr>
        <w:spacing w:after="0"/>
        <w:rPr>
          <w:sz w:val="20"/>
          <w:szCs w:val="20"/>
          <w:color w:val="auto"/>
        </w:rPr>
      </w:pPr>
      <w:r>
        <w:rPr>
          <w:rFonts w:ascii="Arial" w:cs="Arial" w:eastAsia="Arial" w:hAnsi="Arial"/>
          <w:sz w:val="16"/>
          <w:szCs w:val="16"/>
          <w:color w:val="auto"/>
        </w:rPr>
        <w:t>Negative Covenants:</w:t>
      </w:r>
    </w:p>
    <w:p>
      <w:pPr>
        <w:spacing w:after="0" w:line="20" w:lineRule="exact"/>
        <w:rPr>
          <w:sz w:val="20"/>
          <w:szCs w:val="20"/>
          <w:color w:val="auto"/>
        </w:rPr>
      </w:pPr>
      <w:r>
        <w:rPr>
          <w:sz w:val="20"/>
          <w:szCs w:val="20"/>
          <w:color w:val="auto"/>
        </w:rPr>
        <w:br w:type="column"/>
      </w:r>
    </w:p>
    <w:p>
      <w:pPr>
        <w:ind w:right="40"/>
        <w:spacing w:after="0" w:line="254" w:lineRule="auto"/>
        <w:rPr>
          <w:sz w:val="20"/>
          <w:szCs w:val="20"/>
          <w:color w:val="auto"/>
        </w:rPr>
      </w:pPr>
      <w:r>
        <w:rPr>
          <w:rFonts w:ascii="Arial" w:cs="Arial" w:eastAsia="Arial" w:hAnsi="Arial"/>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the following (except to the extent modified or removed pursuant to clause (v) of the Documentation Principles):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(v) business of borrower and subsidiaries and (vi) restrictive agreements.</w:t>
      </w:r>
    </w:p>
    <w:p>
      <w:pPr>
        <w:spacing w:after="0" w:line="124" w:lineRule="exact"/>
        <w:rPr>
          <w:sz w:val="20"/>
          <w:szCs w:val="20"/>
          <w:color w:val="auto"/>
        </w:rPr>
      </w:pPr>
    </w:p>
    <w:p>
      <w:pPr>
        <w:sectPr>
          <w:pgSz w:w="11900" w:h="16838" w:orient="portrait"/>
          <w:cols w:equalWidth="0" w:num="2">
            <w:col w:w="1520" w:space="460"/>
            <w:col w:w="8640"/>
          </w:cols>
          <w:pgMar w:left="780" w:top="274" w:right="499" w:bottom="1440" w:gutter="0" w:footer="0" w:header="0"/>
          <w:type w:val="continuous"/>
        </w:sectPr>
      </w:pPr>
    </w:p>
    <w:p>
      <w:pPr>
        <w:jc w:val="center"/>
        <w:ind w:right="300"/>
        <w:spacing w:after="0"/>
        <w:rPr>
          <w:sz w:val="20"/>
          <w:szCs w:val="20"/>
          <w:color w:val="auto"/>
        </w:rPr>
      </w:pPr>
      <w:r>
        <w:rPr>
          <w:rFonts w:ascii="Arial" w:cs="Arial" w:eastAsia="Arial" w:hAnsi="Arial"/>
          <w:sz w:val="13"/>
          <w:szCs w:val="13"/>
          <w:color w:val="auto"/>
        </w:rPr>
        <w:t>5</w:t>
      </w:r>
    </w:p>
    <w:p>
      <w:pPr>
        <w:sectPr>
          <w:pgSz w:w="11900" w:h="16838" w:orient="portrait"/>
          <w:cols w:equalWidth="0" w:num="1">
            <w:col w:w="10620"/>
          </w:cols>
          <w:pgMar w:left="780" w:top="274" w:right="499" w:bottom="1440" w:gutter="0" w:footer="0" w:header="0"/>
          <w:type w:val="continuous"/>
        </w:sectPr>
      </w:pPr>
    </w:p>
    <w:bookmarkStart w:id="145" w:name="page146"/>
    <w:bookmarkEnd w:id="145"/>
    <w:p>
      <w:pPr>
        <w:spacing w:after="0"/>
        <w:rPr>
          <w:sz w:val="20"/>
          <w:szCs w:val="20"/>
          <w:color w:val="auto"/>
        </w:rPr>
      </w:pPr>
      <w:r>
        <w:rPr>
          <w:rFonts w:ascii="Arial" w:cs="Arial" w:eastAsia="Arial" w:hAnsi="Arial"/>
          <w:sz w:val="16"/>
          <w:szCs w:val="16"/>
          <w:color w:val="auto"/>
        </w:rPr>
        <w:t>Events of Default:</w:t>
      </w:r>
    </w:p>
    <w:p>
      <w:pPr>
        <w:spacing w:after="0" w:line="20" w:lineRule="exact"/>
        <w:rPr>
          <w:sz w:val="20"/>
          <w:szCs w:val="20"/>
          <w:color w:val="auto"/>
        </w:rPr>
      </w:pPr>
      <w:r>
        <w:rPr>
          <w:sz w:val="20"/>
          <w:szCs w:val="20"/>
          <w:color w:val="auto"/>
        </w:rPr>
        <w:br w:type="column"/>
      </w:r>
    </w:p>
    <w:p>
      <w:pPr>
        <w:ind w:right="60"/>
        <w:spacing w:after="0" w:line="254" w:lineRule="auto"/>
        <w:rPr>
          <w:sz w:val="20"/>
          <w:szCs w:val="20"/>
          <w:color w:val="auto"/>
        </w:rPr>
      </w:pPr>
      <w:r>
        <w:rPr>
          <w:rFonts w:ascii="Arial" w:cs="Arial" w:eastAsia="Arial" w:hAnsi="Arial"/>
          <w:sz w:val="18"/>
          <w:szCs w:val="18"/>
          <w:color w:val="auto"/>
        </w:rPr>
        <w:t>Subject to the Documentation Principles, substantially similar to the Existing Credit Agreement (as in effect on the date hereof) (including with respect to exceptions, baskets and materiality qualifiers) with such modifications as may be agreed among the parties including (i) nonpayment of principal, interest, fees or other amounts when due, (ii) accuracy of representations in any material respects, (iii) failure to perform or observe covenants set forth in the Credit Documentation, (iv) cross defaults to other material indebtedness, (v) bankruptcy and insolvency defaults, (vi) material monetary judgments, (vii) ERISA events, (viii) change of control and (ix) invalidity of any guarantee required by the Credit Documentation.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-1058545</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195" w:lineRule="exact"/>
        <w:rPr>
          <w:sz w:val="20"/>
          <w:szCs w:val="20"/>
          <w:color w:val="auto"/>
        </w:rPr>
      </w:pPr>
    </w:p>
    <w:p>
      <w:pPr>
        <w:sectPr>
          <w:pgSz w:w="11900" w:h="16838" w:orient="portrait"/>
          <w:cols w:equalWidth="0" w:num="2">
            <w:col w:w="1320" w:space="660"/>
            <w:col w:w="8660"/>
          </w:cols>
          <w:pgMar w:left="780" w:top="274" w:right="479" w:bottom="1440" w:gutter="0" w:footer="0" w:header="0"/>
        </w:sectPr>
      </w:pPr>
    </w:p>
    <w:p>
      <w:pPr>
        <w:spacing w:after="0"/>
        <w:rPr>
          <w:sz w:val="20"/>
          <w:szCs w:val="20"/>
          <w:color w:val="auto"/>
        </w:rPr>
      </w:pPr>
      <w:r>
        <w:rPr>
          <w:rFonts w:ascii="Arial" w:cs="Arial" w:eastAsia="Arial" w:hAnsi="Arial"/>
          <w:sz w:val="17"/>
          <w:szCs w:val="17"/>
          <w:color w:val="auto"/>
        </w:rPr>
        <w:t>Voting: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Amendments and waivers with respect to the Credit Documentation shall require the approval of Lenders holding not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less than 50% of the aggregate amount of the Bridge Loans, except that (a) the consent of each Lender affected thereby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shall be required with respect to (i) extensions of the scheduled date of final maturity of any Bridge Loan, (ii) reductions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the principal amount, rate of interest or any fee or extensions of any due date thereof, (iii) increases in the amount or</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extensions of the expiry date of any Lender’s commitment, (iv) changes to the pro rata sharing provisions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(v) releases of guarantee of Maui or Target (except as contemplated by the Credit Documentation), and (b) the consent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of 100% of the Lenders shall be required with respect to modifications to any of the voting percentages.</w:t>
      </w:r>
    </w:p>
    <w:p>
      <w:pPr>
        <w:spacing w:after="0" w:line="200" w:lineRule="exact"/>
        <w:rPr>
          <w:sz w:val="20"/>
          <w:szCs w:val="20"/>
          <w:color w:val="auto"/>
        </w:rPr>
      </w:pPr>
    </w:p>
    <w:p>
      <w:pPr>
        <w:sectPr>
          <w:pgSz w:w="11900" w:h="16838" w:orient="portrait"/>
          <w:cols w:equalWidth="0" w:num="2">
            <w:col w:w="1260" w:space="720"/>
            <w:col w:w="8660"/>
          </w:cols>
          <w:pgMar w:left="780" w:top="274" w:right="479" w:bottom="1440" w:gutter="0" w:footer="0" w:header="0"/>
          <w:type w:val="continuous"/>
        </w:sectPr>
      </w:pPr>
    </w:p>
    <w:p>
      <w:pPr>
        <w:spacing w:after="0" w:line="11" w:lineRule="exact"/>
        <w:rPr>
          <w:sz w:val="20"/>
          <w:szCs w:val="20"/>
          <w:color w:val="auto"/>
        </w:rPr>
      </w:pPr>
    </w:p>
    <w:p>
      <w:pPr>
        <w:spacing w:after="0"/>
        <w:rPr>
          <w:sz w:val="20"/>
          <w:szCs w:val="20"/>
          <w:color w:val="auto"/>
        </w:rPr>
      </w:pPr>
      <w:r>
        <w:rPr>
          <w:rFonts w:ascii="Arial" w:cs="Arial" w:eastAsia="Arial" w:hAnsi="Arial"/>
          <w:sz w:val="16"/>
          <w:szCs w:val="16"/>
          <w:color w:val="auto"/>
        </w:rPr>
        <w:t>Assignments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Participations:</w:t>
      </w:r>
    </w:p>
    <w:p>
      <w:pPr>
        <w:spacing w:after="0" w:line="20" w:lineRule="exact"/>
        <w:rPr>
          <w:sz w:val="20"/>
          <w:szCs w:val="20"/>
          <w:color w:val="auto"/>
        </w:rPr>
      </w:pPr>
      <w:r>
        <w:rPr>
          <w:sz w:val="20"/>
          <w:szCs w:val="20"/>
          <w:color w:val="auto"/>
        </w:rPr>
        <w:br w:type="column"/>
      </w:r>
    </w:p>
    <w:p>
      <w:pPr>
        <w:spacing w:after="0" w:line="269" w:lineRule="auto"/>
        <w:rPr>
          <w:sz w:val="20"/>
          <w:szCs w:val="20"/>
          <w:color w:val="auto"/>
        </w:rPr>
      </w:pPr>
      <w:r>
        <w:rPr>
          <w:rFonts w:ascii="Arial" w:cs="Arial" w:eastAsia="Arial" w:hAnsi="Arial"/>
          <w:sz w:val="17"/>
          <w:szCs w:val="17"/>
          <w:color w:val="auto"/>
        </w:rPr>
        <w:t>Prior to the Closing Date, the Lenders will be permitted to assign commitments under the Bridge Facility on terms substantially consistent with the first paragraph of Section 10 of the Commitment Letter. From and after the Closing Date, the Lenders shall be permitted to assign all or a portion of their loans and commitments with the consent, not to be unreasonably withheld, conditioned or delayed, of (a) the Borrower, unless (i) the assignee is a Lender, an affiliate of a Lender or an approved fund or (ii) a payment or bankruptcy Event of Default has occurred and is continuing, provided that, the Borrower shall be deemed to have consented to an assignment of Bridge Loans unless it shall have objected thereto by written notice to the Administrative Agent within ten (10) business days after having received notice thereof and (b) the Administrative Agent, unless Bridge Loans are being assigned to a Lender, an affiliate of a Lender or an approved fund. In the case of partial assignments (other than to another Lender, to an affiliate of a Lender or an approved fund), the minimum assignment amount shall be $1,000,000, in the case of Bridge Loans, unless a lesser amount shall be agreed by the Borrower and the Administrative Agent.</w:t>
      </w:r>
    </w:p>
    <w:p>
      <w:pPr>
        <w:spacing w:after="0" w:line="114" w:lineRule="exact"/>
        <w:rPr>
          <w:sz w:val="20"/>
          <w:szCs w:val="20"/>
          <w:color w:val="auto"/>
        </w:rPr>
      </w:pPr>
    </w:p>
    <w:p>
      <w:pPr>
        <w:sectPr>
          <w:pgSz w:w="11900" w:h="16838" w:orient="portrait"/>
          <w:cols w:equalWidth="0" w:num="2">
            <w:col w:w="1260" w:space="720"/>
            <w:col w:w="8660"/>
          </w:cols>
          <w:pgMar w:left="780" w:top="274" w:right="479" w:bottom="1440" w:gutter="0" w:footer="0" w:header="0"/>
          <w:type w:val="continuous"/>
        </w:sectPr>
      </w:pPr>
    </w:p>
    <w:p>
      <w:pPr>
        <w:jc w:val="center"/>
        <w:ind w:right="320"/>
        <w:spacing w:after="0"/>
        <w:rPr>
          <w:sz w:val="20"/>
          <w:szCs w:val="20"/>
          <w:color w:val="auto"/>
        </w:rPr>
      </w:pPr>
      <w:r>
        <w:rPr>
          <w:rFonts w:ascii="Arial" w:cs="Arial" w:eastAsia="Arial" w:hAnsi="Arial"/>
          <w:sz w:val="13"/>
          <w:szCs w:val="13"/>
          <w:color w:val="auto"/>
        </w:rPr>
        <w:t>6</w:t>
      </w:r>
    </w:p>
    <w:p>
      <w:pPr>
        <w:sectPr>
          <w:pgSz w:w="11900" w:h="16838" w:orient="portrait"/>
          <w:cols w:equalWidth="0" w:num="1">
            <w:col w:w="10640"/>
          </w:cols>
          <w:pgMar w:left="780" w:top="274" w:right="479" w:bottom="1440" w:gutter="0" w:footer="0" w:header="0"/>
          <w:type w:val="continuous"/>
        </w:sectPr>
      </w:pPr>
    </w:p>
    <w:bookmarkStart w:id="146" w:name="page147"/>
    <w:bookmarkEnd w:id="146"/>
    <w:p>
      <w:pPr>
        <w:ind w:left="1980" w:right="10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Lenders shall also be permitted to sell participations in their Loans. Participants shall have the same benefits as the Lenders with respect to yield protection and increased cost provisions. Voting rights of participants shall be limited to those matters with respect to which the affirmative vote of the Lender from which it purchased its participation would be required as described under “Voting” above. Pledges of Loans in accordance with applicable law shall be permitted without restriction.</w:t>
      </w:r>
    </w:p>
    <w:p>
      <w:pPr>
        <w:spacing w:after="0" w:line="188" w:lineRule="exact"/>
        <w:rPr>
          <w:sz w:val="20"/>
          <w:szCs w:val="20"/>
          <w:color w:val="auto"/>
        </w:rPr>
      </w:pPr>
    </w:p>
    <w:p>
      <w:pPr>
        <w:ind w:left="1980"/>
        <w:spacing w:after="0"/>
        <w:rPr>
          <w:sz w:val="20"/>
          <w:szCs w:val="20"/>
          <w:color w:val="auto"/>
        </w:rPr>
      </w:pPr>
      <w:r>
        <w:rPr>
          <w:rFonts w:ascii="Arial" w:cs="Arial" w:eastAsia="Arial" w:hAnsi="Arial"/>
          <w:sz w:val="18"/>
          <w:szCs w:val="18"/>
          <w:color w:val="auto"/>
        </w:rPr>
        <w:t>No assignments or participations shall be permitted to be made to natural persons.</w:t>
      </w:r>
    </w:p>
    <w:p>
      <w:pPr>
        <w:sectPr>
          <w:pgSz w:w="11900" w:h="16838" w:orient="portrait"/>
          <w:cols w:equalWidth="0" w:num="1">
            <w:col w:w="10660"/>
          </w:cols>
          <w:pgMar w:left="780" w:top="274" w:right="459" w:bottom="1440" w:gutter="0" w:footer="0" w:header="0"/>
        </w:sectPr>
      </w:pP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Yield Protection:</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Credit Documentation shall contain customary provisions (a) protecting the Lenders against increased costs or loss of yield resulting from changes in reserve, tax, capital adequacy and other requirements of law and from the imposition of or changes in withholding or other taxes and (b) indemnifying the Lenders for “breakage costs” incurred in connection with, among other things, any prepayment of a Eurodollar Loan (as defined in Annex I) on a day other than the last day of an interest period with respect thereto. The Dodd-Frank Wall Street Reform and Consumer Protection Act and Basel III (and all requests, rules, guidelines or directives relating to each of the foregoing or issued in connection therewith) shall be deemed to be changes in law after the Closing Date regardless of the date enacted, adopted or issued.</w:t>
      </w:r>
    </w:p>
    <w:p>
      <w:pPr>
        <w:spacing w:after="0" w:line="166" w:lineRule="exact"/>
        <w:rPr>
          <w:sz w:val="20"/>
          <w:szCs w:val="20"/>
          <w:color w:val="auto"/>
        </w:rPr>
      </w:pPr>
    </w:p>
    <w:p>
      <w:pPr>
        <w:sectPr>
          <w:pgSz w:w="11900" w:h="16838" w:orient="portrait"/>
          <w:cols w:equalWidth="0" w:num="2">
            <w:col w:w="1260" w:space="720"/>
            <w:col w:w="8680"/>
          </w:cols>
          <w:pgMar w:left="780" w:top="274" w:right="459" w:bottom="1440" w:gutter="0" w:footer="0" w:header="0"/>
          <w:type w:val="continuous"/>
        </w:sectPr>
      </w:pPr>
    </w:p>
    <w:p>
      <w:pPr>
        <w:spacing w:after="0" w:line="342" w:lineRule="auto"/>
        <w:rPr>
          <w:sz w:val="20"/>
          <w:szCs w:val="20"/>
          <w:color w:val="auto"/>
        </w:rPr>
      </w:pPr>
      <w:r>
        <w:rPr>
          <w:rFonts w:ascii="Arial" w:cs="Arial" w:eastAsia="Arial" w:hAnsi="Arial"/>
          <w:sz w:val="16"/>
          <w:szCs w:val="16"/>
          <w:color w:val="auto"/>
        </w:rPr>
        <w:t>Limitation of Liability, Expenses and Indemnity:</w:t>
      </w:r>
    </w:p>
    <w:p>
      <w:pPr>
        <w:spacing w:after="0" w:line="20" w:lineRule="exact"/>
        <w:rPr>
          <w:sz w:val="20"/>
          <w:szCs w:val="20"/>
          <w:color w:val="auto"/>
        </w:rPr>
      </w:pPr>
      <w:r>
        <w:rPr>
          <w:sz w:val="20"/>
          <w:szCs w:val="20"/>
          <w:color w:val="auto"/>
        </w:rPr>
        <w:br w:type="column"/>
      </w:r>
    </w:p>
    <w:p>
      <w:pPr>
        <w:ind w:right="100"/>
        <w:spacing w:after="0" w:line="293" w:lineRule="auto"/>
        <w:rPr>
          <w:sz w:val="20"/>
          <w:szCs w:val="20"/>
          <w:color w:val="auto"/>
        </w:rPr>
      </w:pPr>
      <w:r>
        <w:rPr>
          <w:rFonts w:ascii="Arial" w:cs="Arial" w:eastAsia="Arial" w:hAnsi="Arial"/>
          <w:sz w:val="16"/>
          <w:szCs w:val="16"/>
          <w:color w:val="auto"/>
        </w:rPr>
        <w:t>Subject to the limitations consistent with those set forth in Section 7(a) of the Commitment Letter to which this Exhibit A is attached, as applicable, the Administrative Agent, the Lead Arranger and the Lenders (and their affiliates 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Bridge Facility or the Credit Documentation. As used herein, the term “</w:t>
      </w:r>
      <w:r>
        <w:rPr>
          <w:rFonts w:ascii="Arial" w:cs="Arial" w:eastAsia="Arial" w:hAnsi="Arial"/>
          <w:sz w:val="16"/>
          <w:szCs w:val="16"/>
          <w:b w:val="1"/>
          <w:bCs w:val="1"/>
          <w:i w:val="1"/>
          <w:iCs w:val="1"/>
          <w:color w:val="auto"/>
        </w:rPr>
        <w:t>Liabilities</w:t>
      </w:r>
      <w:r>
        <w:rPr>
          <w:rFonts w:ascii="Arial" w:cs="Arial" w:eastAsia="Arial" w:hAnsi="Arial"/>
          <w:sz w:val="16"/>
          <w:szCs w:val="16"/>
          <w:color w:val="auto"/>
        </w:rPr>
        <w:t>” shall mean any losses, claims (including intraparty claims), demands, damages or liabilities of any kind.</w:t>
      </w:r>
    </w:p>
    <w:p>
      <w:pPr>
        <w:spacing w:after="0" w:line="164" w:lineRule="exact"/>
        <w:rPr>
          <w:sz w:val="20"/>
          <w:szCs w:val="20"/>
          <w:color w:val="auto"/>
        </w:rPr>
      </w:pPr>
    </w:p>
    <w:p>
      <w:pPr>
        <w:sectPr>
          <w:pgSz w:w="11900" w:h="16838" w:orient="portrait"/>
          <w:cols w:equalWidth="0" w:num="2">
            <w:col w:w="1820" w:space="160"/>
            <w:col w:w="8680"/>
          </w:cols>
          <w:pgMar w:left="780" w:top="274" w:right="459" w:bottom="1440" w:gutter="0" w:footer="0" w:header="0"/>
          <w:type w:val="continuous"/>
        </w:sectPr>
      </w:pPr>
    </w:p>
    <w:p>
      <w:pPr>
        <w:ind w:left="1980" w:right="100"/>
        <w:spacing w:after="0" w:line="259" w:lineRule="auto"/>
        <w:rPr>
          <w:sz w:val="20"/>
          <w:szCs w:val="20"/>
          <w:color w:val="auto"/>
        </w:rPr>
      </w:pPr>
      <w:r>
        <w:rPr>
          <w:rFonts w:ascii="Arial" w:cs="Arial" w:eastAsia="Arial" w:hAnsi="Arial"/>
          <w:sz w:val="18"/>
          <w:szCs w:val="18"/>
          <w:color w:val="auto"/>
        </w:rPr>
        <w:t>Subject to the limitations consistent with those set forth in Section 7(b) of the Commitment Letter to which this Exhibit A is attached, as applicable, the Borrower shall pay (a) all reasonable out-of-pocket expenses of the Administrative Agent and the Lead Arranger associated with the syndication of the Bridge Facility and the preparation, execution, delivery and</w:t>
      </w:r>
    </w:p>
    <w:p>
      <w:pPr>
        <w:spacing w:after="0" w:line="119" w:lineRule="exact"/>
        <w:rPr>
          <w:sz w:val="20"/>
          <w:szCs w:val="20"/>
          <w:color w:val="auto"/>
        </w:rPr>
      </w:pPr>
    </w:p>
    <w:p>
      <w:pPr>
        <w:jc w:val="center"/>
        <w:ind w:right="3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660"/>
          </w:cols>
          <w:pgMar w:left="780" w:top="274" w:right="459" w:bottom="1440" w:gutter="0" w:footer="0" w:header="0"/>
          <w:type w:val="continuous"/>
        </w:sectPr>
      </w:pPr>
    </w:p>
    <w:bookmarkStart w:id="147" w:name="page148"/>
    <w:bookmarkEnd w:id="147"/>
    <w:tbl>
      <w:tblPr>
        <w:tblLayout w:type="fixed"/>
        <w:tblInd w:w="0" w:type="dxa"/>
        <w:tblCellMar>
          <w:top w:w="0" w:type="dxa"/>
          <w:left w:w="0" w:type="dxa"/>
          <w:bottom w:w="0" w:type="dxa"/>
          <w:right w:w="0" w:type="dxa"/>
        </w:tblCellMar>
      </w:tblP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2"/>
              </w:rPr>
              <w:t>administration of the Credit Documentation and any amendment, modification or waiver with respect thereto (including</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the reasonable fees, disbursements and other charges of counsel) and (b) all out-of-pocket expenses of the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2"/>
              </w:rPr>
              <w:t>Administrative Agent and the Lenders (including the fees, disbursements and other charges of counsel) in connection</w:t>
            </w:r>
          </w:p>
        </w:tc>
      </w:tr>
      <w:tr>
        <w:trPr>
          <w:trHeight w:val="230"/>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with the enforcement of the Credit Documentation.</w:t>
            </w:r>
          </w:p>
        </w:tc>
      </w:tr>
      <w:tr>
        <w:trPr>
          <w:trHeight w:val="418"/>
        </w:trPr>
        <w:tc>
          <w:tcPr>
            <w:tcW w:w="1880" w:type="dxa"/>
            <w:vAlign w:val="bottom"/>
          </w:tcPr>
          <w:p>
            <w:pPr>
              <w:spacing w:after="0"/>
              <w:rPr>
                <w:sz w:val="24"/>
                <w:szCs w:val="24"/>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2"/>
              </w:rPr>
              <w:t>Subject to the limitations consistent with those set forth in Section 7(b) of the Commitment Letter to which this Exhibit</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0"/>
              </w:rPr>
              <w:t>A is attached, as applicable, the Administrative Agent, the Lead Arranger and the Lenders (and their respective affiliates</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6"/>
              </w:rPr>
              <w:t>and their respective officers, directors, employees, advisors and agents) (each an “</w:t>
            </w:r>
            <w:r>
              <w:rPr>
                <w:rFonts w:ascii="Arial" w:cs="Arial" w:eastAsia="Arial" w:hAnsi="Arial"/>
                <w:sz w:val="18"/>
                <w:szCs w:val="18"/>
                <w:b w:val="1"/>
                <w:bCs w:val="1"/>
                <w:i w:val="1"/>
                <w:iCs w:val="1"/>
                <w:color w:val="auto"/>
                <w:w w:val="96"/>
              </w:rPr>
              <w:t>Indemnified Person</w:t>
            </w:r>
            <w:r>
              <w:rPr>
                <w:rFonts w:ascii="Arial" w:cs="Arial" w:eastAsia="Arial" w:hAnsi="Arial"/>
                <w:sz w:val="18"/>
                <w:szCs w:val="18"/>
                <w:color w:val="auto"/>
                <w:w w:val="96"/>
              </w:rPr>
              <w:t>”) will be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0"/>
              </w:rPr>
              <w:t>indemnified and held harmless against, any Liabilities or expenses (including the fees, disbursements and other charges</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1"/>
              </w:rPr>
              <w:t>of counsel) incurred by such Indemnified Person in connection with or as a result of (i) the execution and delivery of the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1"/>
              </w:rPr>
              <w:t>Credit Documentation and any agreement or instrument contemplated thereby; (ii) the funding of the Bridge Facility, or</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1"/>
              </w:rPr>
              <w:t>the use or the proposed use of proceeds thereof; (iii) any act or omission of the Administrative Agent in connection with</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7"/>
              </w:rPr>
              <w:t>the administration of the Credit Documentation; and (iv) any actual or prospective claim, litigation, investigation,</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7"/>
              </w:rPr>
              <w:t>arbitration or administrative, judicial or regulatory action or proceeding (each, a “</w:t>
            </w:r>
            <w:r>
              <w:rPr>
                <w:rFonts w:ascii="Arial" w:cs="Arial" w:eastAsia="Arial" w:hAnsi="Arial"/>
                <w:sz w:val="18"/>
                <w:szCs w:val="18"/>
                <w:b w:val="1"/>
                <w:bCs w:val="1"/>
                <w:i w:val="1"/>
                <w:iCs w:val="1"/>
                <w:color w:val="auto"/>
                <w:w w:val="97"/>
              </w:rPr>
              <w:t>Proceeding</w:t>
            </w:r>
            <w:r>
              <w:rPr>
                <w:rFonts w:ascii="Arial" w:cs="Arial" w:eastAsia="Arial" w:hAnsi="Arial"/>
                <w:sz w:val="18"/>
                <w:szCs w:val="18"/>
                <w:color w:val="auto"/>
                <w:w w:val="97"/>
              </w:rPr>
              <w:t>”) in any jurisdiction</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relating to any of the foregoing (including in relation to enforcing the terms of the limitation of liability and</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1"/>
              </w:rPr>
              <w:t>indemnification referred to above), regardless of whether or not any Indemnified Person is a party thereto and whether</w:t>
            </w:r>
          </w:p>
        </w:tc>
      </w:tr>
      <w:tr>
        <w:trPr>
          <w:trHeight w:val="190"/>
        </w:trPr>
        <w:tc>
          <w:tcPr>
            <w:tcW w:w="1880" w:type="dxa"/>
            <w:vAlign w:val="bottom"/>
          </w:tcPr>
          <w:p>
            <w:pPr>
              <w:spacing w:after="0"/>
              <w:rPr>
                <w:sz w:val="16"/>
                <w:szCs w:val="16"/>
                <w:color w:val="auto"/>
              </w:rPr>
            </w:pPr>
          </w:p>
        </w:tc>
        <w:tc>
          <w:tcPr>
            <w:tcW w:w="8760" w:type="dxa"/>
            <w:vAlign w:val="bottom"/>
            <w:gridSpan w:val="3"/>
          </w:tcPr>
          <w:p>
            <w:pPr>
              <w:ind w:left="100"/>
              <w:spacing w:after="0" w:line="190" w:lineRule="exact"/>
              <w:rPr>
                <w:sz w:val="20"/>
                <w:szCs w:val="20"/>
                <w:color w:val="auto"/>
              </w:rPr>
            </w:pPr>
            <w:r>
              <w:rPr>
                <w:rFonts w:ascii="Arial" w:cs="Arial" w:eastAsia="Arial" w:hAnsi="Arial"/>
                <w:sz w:val="18"/>
                <w:szCs w:val="18"/>
                <w:color w:val="auto"/>
                <w:w w:val="91"/>
              </w:rPr>
              <w:t>or not such Proceeding is brought by the Borrower, its affiliates or equity holders or any other party; provided that such</w:t>
            </w:r>
          </w:p>
        </w:tc>
      </w:tr>
      <w:tr>
        <w:trPr>
          <w:trHeight w:val="20"/>
        </w:trPr>
        <w:tc>
          <w:tcPr>
            <w:tcW w:w="1880" w:type="dxa"/>
            <w:vAlign w:val="bottom"/>
          </w:tcPr>
          <w:p>
            <w:pPr>
              <w:spacing w:after="0" w:line="20" w:lineRule="exact"/>
              <w:rPr>
                <w:sz w:val="1"/>
                <w:szCs w:val="1"/>
                <w:color w:val="auto"/>
              </w:rPr>
            </w:pPr>
          </w:p>
        </w:tc>
        <w:tc>
          <w:tcPr>
            <w:tcW w:w="73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r>
      <w:tr>
        <w:trPr>
          <w:trHeight w:val="222"/>
        </w:trPr>
        <w:tc>
          <w:tcPr>
            <w:tcW w:w="1880" w:type="dxa"/>
            <w:vAlign w:val="bottom"/>
          </w:tcPr>
          <w:p>
            <w:pPr>
              <w:spacing w:after="0"/>
              <w:rPr>
                <w:sz w:val="19"/>
                <w:szCs w:val="19"/>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2"/>
              </w:rPr>
              <w:t>indemnification shall not, as to any Indemnified Person, be available to the extent that such Liabilities or expenses are</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3"/>
              </w:rPr>
              <w:t>determined by a court of competent jurisdiction by final and nonappealable judgment to have resulted primarily from</w:t>
            </w:r>
          </w:p>
        </w:tc>
      </w:tr>
      <w:tr>
        <w:trPr>
          <w:trHeight w:val="216"/>
        </w:trPr>
        <w:tc>
          <w:tcPr>
            <w:tcW w:w="1880" w:type="dxa"/>
            <w:vAlign w:val="bottom"/>
          </w:tcPr>
          <w:p>
            <w:pPr>
              <w:spacing w:after="0"/>
              <w:rPr>
                <w:sz w:val="18"/>
                <w:szCs w:val="18"/>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8"/>
              </w:rPr>
              <w:t>the gross negligence, bad faith or willful misconduct of such Indemnified Person in performing its activities or in</w:t>
            </w:r>
          </w:p>
        </w:tc>
      </w:tr>
      <w:tr>
        <w:trPr>
          <w:trHeight w:val="230"/>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furnishing its commitments or services under the Credit Documentation.</w:t>
            </w:r>
          </w:p>
        </w:tc>
      </w:tr>
      <w:tr>
        <w:trPr>
          <w:trHeight w:val="432"/>
        </w:trPr>
        <w:tc>
          <w:tcPr>
            <w:tcW w:w="1880" w:type="dxa"/>
            <w:vAlign w:val="bottom"/>
          </w:tcPr>
          <w:p>
            <w:pPr>
              <w:spacing w:after="0"/>
              <w:rPr>
                <w:sz w:val="20"/>
                <w:szCs w:val="20"/>
                <w:color w:val="auto"/>
              </w:rPr>
            </w:pPr>
            <w:r>
              <w:rPr>
                <w:rFonts w:ascii="Arial" w:cs="Arial" w:eastAsia="Arial" w:hAnsi="Arial"/>
                <w:sz w:val="18"/>
                <w:szCs w:val="18"/>
                <w:color w:val="auto"/>
              </w:rPr>
              <w:t>EU/UK Bail-in:</w:t>
            </w: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The Credit Documentation shall contain customary European Union/United Kingdom Bail-in provisions.</w:t>
            </w:r>
          </w:p>
        </w:tc>
      </w:tr>
      <w:tr>
        <w:trPr>
          <w:trHeight w:val="432"/>
        </w:trPr>
        <w:tc>
          <w:tcPr>
            <w:tcW w:w="1880" w:type="dxa"/>
            <w:vAlign w:val="bottom"/>
          </w:tcPr>
          <w:p>
            <w:pPr>
              <w:spacing w:after="0"/>
              <w:rPr>
                <w:sz w:val="20"/>
                <w:szCs w:val="20"/>
                <w:color w:val="auto"/>
              </w:rPr>
            </w:pPr>
            <w:r>
              <w:rPr>
                <w:rFonts w:ascii="Arial" w:cs="Arial" w:eastAsia="Arial" w:hAnsi="Arial"/>
                <w:sz w:val="18"/>
                <w:szCs w:val="18"/>
                <w:color w:val="auto"/>
                <w:w w:val="96"/>
              </w:rPr>
              <w:t>ERISA Fiduciary Status:</w:t>
            </w: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The Credit Documentation shall contain Lender representations as to fiduciary status under ERISA.</w:t>
            </w:r>
          </w:p>
        </w:tc>
      </w:tr>
      <w:tr>
        <w:trPr>
          <w:trHeight w:val="418"/>
        </w:trPr>
        <w:tc>
          <w:tcPr>
            <w:tcW w:w="1880" w:type="dxa"/>
            <w:vAlign w:val="bottom"/>
          </w:tcPr>
          <w:p>
            <w:pPr>
              <w:spacing w:after="0"/>
              <w:rPr>
                <w:sz w:val="20"/>
                <w:szCs w:val="20"/>
                <w:color w:val="auto"/>
              </w:rPr>
            </w:pPr>
            <w:r>
              <w:rPr>
                <w:rFonts w:ascii="Arial" w:cs="Arial" w:eastAsia="Arial" w:hAnsi="Arial"/>
                <w:sz w:val="18"/>
                <w:szCs w:val="18"/>
                <w:color w:val="auto"/>
              </w:rPr>
              <w:t>Delaware Divisions:</w:t>
            </w: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w w:val="91"/>
              </w:rPr>
              <w:t>The Credit Documentation shall contain customary provisions related to divisions and plans of division under Delaware</w:t>
            </w:r>
          </w:p>
        </w:tc>
      </w:tr>
      <w:tr>
        <w:trPr>
          <w:trHeight w:val="230"/>
        </w:trPr>
        <w:tc>
          <w:tcPr>
            <w:tcW w:w="1880" w:type="dxa"/>
            <w:vAlign w:val="bottom"/>
          </w:tcPr>
          <w:p>
            <w:pPr>
              <w:spacing w:after="0"/>
              <w:rPr>
                <w:sz w:val="20"/>
                <w:szCs w:val="20"/>
                <w:color w:val="auto"/>
              </w:rPr>
            </w:pPr>
          </w:p>
        </w:tc>
        <w:tc>
          <w:tcPr>
            <w:tcW w:w="8760" w:type="dxa"/>
            <w:vAlign w:val="bottom"/>
            <w:gridSpan w:val="3"/>
          </w:tcPr>
          <w:p>
            <w:pPr>
              <w:ind w:left="100"/>
              <w:spacing w:after="0"/>
              <w:rPr>
                <w:sz w:val="20"/>
                <w:szCs w:val="20"/>
                <w:color w:val="auto"/>
              </w:rPr>
            </w:pPr>
            <w:r>
              <w:rPr>
                <w:rFonts w:ascii="Arial" w:cs="Arial" w:eastAsia="Arial" w:hAnsi="Arial"/>
                <w:sz w:val="18"/>
                <w:szCs w:val="18"/>
                <w:color w:val="auto"/>
              </w:rPr>
              <w:t>law.</w:t>
            </w:r>
          </w:p>
        </w:tc>
      </w:tr>
      <w:tr>
        <w:trPr>
          <w:trHeight w:val="365"/>
        </w:trPr>
        <w:tc>
          <w:tcPr>
            <w:tcW w:w="1880" w:type="dxa"/>
            <w:vAlign w:val="bottom"/>
          </w:tcPr>
          <w:p>
            <w:pPr>
              <w:spacing w:after="0"/>
              <w:rPr>
                <w:sz w:val="24"/>
                <w:szCs w:val="24"/>
                <w:color w:val="auto"/>
              </w:rPr>
            </w:pPr>
          </w:p>
        </w:tc>
        <w:tc>
          <w:tcPr>
            <w:tcW w:w="7360" w:type="dxa"/>
            <w:vAlign w:val="bottom"/>
          </w:tcPr>
          <w:p>
            <w:pPr>
              <w:ind w:left="3240"/>
              <w:spacing w:after="0"/>
              <w:rPr>
                <w:sz w:val="20"/>
                <w:szCs w:val="20"/>
                <w:color w:val="auto"/>
              </w:rPr>
            </w:pPr>
            <w:r>
              <w:rPr>
                <w:rFonts w:ascii="Arial" w:cs="Arial" w:eastAsia="Arial" w:hAnsi="Arial"/>
                <w:sz w:val="18"/>
                <w:szCs w:val="18"/>
                <w:color w:val="auto"/>
              </w:rPr>
              <w:t>8</w:t>
            </w:r>
          </w:p>
        </w:tc>
        <w:tc>
          <w:tcPr>
            <w:tcW w:w="640" w:type="dxa"/>
            <w:vAlign w:val="bottom"/>
          </w:tcPr>
          <w:p>
            <w:pPr>
              <w:spacing w:after="0"/>
              <w:rPr>
                <w:sz w:val="24"/>
                <w:szCs w:val="24"/>
                <w:color w:val="auto"/>
              </w:rPr>
            </w:pPr>
          </w:p>
        </w:tc>
        <w:tc>
          <w:tcPr>
            <w:tcW w:w="76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640"/>
          </w:cols>
          <w:pgMar w:left="780" w:top="274" w:right="47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48" w:name="page149"/>
    <w:bookmarkEnd w:id="148"/>
    <w:p>
      <w:pPr>
        <w:spacing w:after="0"/>
        <w:rPr>
          <w:sz w:val="20"/>
          <w:szCs w:val="20"/>
          <w:color w:val="auto"/>
        </w:rPr>
      </w:pPr>
      <w:r>
        <w:rPr>
          <w:rFonts w:ascii="Arial" w:cs="Arial" w:eastAsia="Arial" w:hAnsi="Arial"/>
          <w:sz w:val="18"/>
          <w:szCs w:val="18"/>
          <w:color w:val="auto"/>
        </w:rPr>
        <w:t>Governing Law: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spacing w:after="0"/>
        <w:rPr>
          <w:sz w:val="20"/>
          <w:szCs w:val="20"/>
          <w:color w:val="auto"/>
        </w:rPr>
      </w:pPr>
      <w:r>
        <w:rPr>
          <w:rFonts w:ascii="Arial" w:cs="Arial" w:eastAsia="Arial" w:hAnsi="Arial"/>
          <w:sz w:val="18"/>
          <w:szCs w:val="18"/>
          <w:color w:val="auto"/>
        </w:rPr>
        <w:t>Forum:</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line="311" w:lineRule="auto"/>
        <w:rPr>
          <w:sz w:val="20"/>
          <w:szCs w:val="20"/>
          <w:color w:val="auto"/>
        </w:rPr>
      </w:pPr>
      <w:r>
        <w:rPr>
          <w:rFonts w:ascii="Arial" w:cs="Arial" w:eastAsia="Arial" w:hAnsi="Arial"/>
          <w:sz w:val="16"/>
          <w:szCs w:val="16"/>
          <w:color w:val="auto"/>
        </w:rPr>
        <w:t>Counsel to the Administrative Agent and the Lead Arranger:</w:t>
      </w:r>
    </w:p>
    <w:p>
      <w:pPr>
        <w:spacing w:after="0" w:line="20" w:lineRule="exact"/>
        <w:rPr>
          <w:sz w:val="20"/>
          <w:szCs w:val="20"/>
          <w:color w:val="auto"/>
        </w:rPr>
      </w:pPr>
      <w:r>
        <w:rPr>
          <w:sz w:val="20"/>
          <w:szCs w:val="20"/>
          <w:color w:val="auto"/>
        </w:rPr>
        <w:br w:type="column"/>
      </w:r>
    </w:p>
    <w:p>
      <w:pPr>
        <w:spacing w:after="0" w:line="269" w:lineRule="auto"/>
        <w:rPr>
          <w:sz w:val="20"/>
          <w:szCs w:val="20"/>
          <w:color w:val="auto"/>
        </w:rPr>
      </w:pPr>
      <w:r>
        <w:rPr>
          <w:rFonts w:ascii="Arial" w:cs="Arial" w:eastAsia="Arial" w:hAnsi="Arial"/>
          <w:sz w:val="17"/>
          <w:szCs w:val="17"/>
          <w:color w:val="auto"/>
        </w:rPr>
        <w:t>State of New York; provided, however, that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the Borrower’s (or its affiliates’) obligation to consummate the Acquisition or such failure gives the Borrower the right to terminate its (or its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-1751965</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162" w:lineRule="exact"/>
        <w:rPr>
          <w:sz w:val="20"/>
          <w:szCs w:val="20"/>
          <w:color w:val="auto"/>
        </w:rPr>
      </w:pPr>
    </w:p>
    <w:p>
      <w:pPr>
        <w:jc w:val="both"/>
        <w:ind w:right="80"/>
        <w:spacing w:after="0" w:line="263" w:lineRule="auto"/>
        <w:rPr>
          <w:sz w:val="20"/>
          <w:szCs w:val="20"/>
          <w:color w:val="auto"/>
        </w:rPr>
      </w:pPr>
      <w:r>
        <w:rPr>
          <w:rFonts w:ascii="Arial" w:cs="Arial" w:eastAsia="Arial" w:hAnsi="Arial"/>
          <w:sz w:val="18"/>
          <w:szCs w:val="18"/>
          <w:color w:val="auto"/>
        </w:rPr>
        <w:t>United States District Court for the Southern District of New York sitting in the Borough of Manhattan (or if such court lacks subject matter jurisdiction, the Supreme Court of the State of New York sitting in the Borough of Manhattan), and any appellate court from any thereof.</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Davis Polk &amp; Wardwell LLP.</w:t>
      </w:r>
    </w:p>
    <w:p>
      <w:pPr>
        <w:spacing w:after="0" w:line="171" w:lineRule="exact"/>
        <w:rPr>
          <w:sz w:val="20"/>
          <w:szCs w:val="20"/>
          <w:color w:val="auto"/>
        </w:rPr>
      </w:pPr>
    </w:p>
    <w:p>
      <w:pPr>
        <w:ind w:left="3140"/>
        <w:spacing w:after="0"/>
        <w:rPr>
          <w:sz w:val="20"/>
          <w:szCs w:val="20"/>
          <w:color w:val="auto"/>
        </w:rPr>
      </w:pPr>
      <w:r>
        <w:rPr>
          <w:rFonts w:ascii="Arial" w:cs="Arial" w:eastAsia="Arial" w:hAnsi="Arial"/>
          <w:sz w:val="18"/>
          <w:szCs w:val="18"/>
          <w:color w:val="auto"/>
        </w:rPr>
        <w:t>9</w:t>
      </w:r>
    </w:p>
    <w:p>
      <w:pPr>
        <w:sectPr>
          <w:pgSz w:w="11900" w:h="16838" w:orient="portrait"/>
          <w:cols w:equalWidth="0" w:num="2">
            <w:col w:w="1680" w:space="300"/>
            <w:col w:w="8700"/>
          </w:cols>
          <w:pgMar w:left="780" w:top="490" w:right="439" w:bottom="1440" w:gutter="0" w:footer="0" w:header="0"/>
        </w:sectPr>
      </w:pPr>
    </w:p>
    <w:bookmarkStart w:id="149" w:name="page150"/>
    <w:bookmarkEnd w:id="149"/>
    <w:tbl>
      <w:tblPr>
        <w:tblLayout w:type="fixed"/>
        <w:tblInd w:w="0" w:type="dxa"/>
        <w:tblCellMar>
          <w:top w:w="0" w:type="dxa"/>
          <w:left w:w="0" w:type="dxa"/>
          <w:bottom w:w="0" w:type="dxa"/>
          <w:right w:w="0" w:type="dxa"/>
        </w:tblCellMar>
      </w:tblPr>
      <w:tr>
        <w:trPr>
          <w:trHeight w:val="207"/>
        </w:trPr>
        <w:tc>
          <w:tcPr>
            <w:tcW w:w="2400" w:type="dxa"/>
            <w:vAlign w:val="bottom"/>
          </w:tcPr>
          <w:p>
            <w:pPr>
              <w:spacing w:after="0"/>
              <w:rPr>
                <w:sz w:val="17"/>
                <w:szCs w:val="17"/>
                <w:color w:val="auto"/>
              </w:rPr>
            </w:pPr>
          </w:p>
        </w:tc>
        <w:tc>
          <w:tcPr>
            <w:tcW w:w="220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4020" w:type="dxa"/>
            <w:vAlign w:val="bottom"/>
          </w:tcPr>
          <w:p>
            <w:pPr>
              <w:spacing w:after="0"/>
              <w:rPr>
                <w:sz w:val="17"/>
                <w:szCs w:val="17"/>
                <w:color w:val="auto"/>
              </w:rPr>
            </w:pPr>
          </w:p>
        </w:tc>
        <w:tc>
          <w:tcPr>
            <w:tcW w:w="6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4"/>
              </w:rPr>
              <w:t>Annex I</w:t>
            </w:r>
          </w:p>
        </w:tc>
      </w:tr>
      <w:tr>
        <w:trPr>
          <w:trHeight w:val="412"/>
        </w:trPr>
        <w:tc>
          <w:tcPr>
            <w:tcW w:w="240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6420" w:type="dxa"/>
            <w:vAlign w:val="bottom"/>
            <w:gridSpan w:val="3"/>
          </w:tcPr>
          <w:p>
            <w:pPr>
              <w:spacing w:after="0"/>
              <w:rPr>
                <w:sz w:val="20"/>
                <w:szCs w:val="20"/>
                <w:color w:val="auto"/>
              </w:rPr>
            </w:pPr>
            <w:r>
              <w:rPr>
                <w:rFonts w:ascii="Arial" w:cs="Arial" w:eastAsia="Arial" w:hAnsi="Arial"/>
                <w:sz w:val="18"/>
                <w:szCs w:val="18"/>
                <w:color w:val="auto"/>
              </w:rPr>
              <w:t>Interest and Certain Fees</w:t>
            </w:r>
          </w:p>
        </w:tc>
      </w:tr>
      <w:tr>
        <w:trPr>
          <w:trHeight w:val="20"/>
        </w:trPr>
        <w:tc>
          <w:tcPr>
            <w:tcW w:w="24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1800" w:type="dxa"/>
            <w:vAlign w:val="bottom"/>
            <w:shd w:val="clear" w:color="auto" w:fill="000000"/>
          </w:tcPr>
          <w:p>
            <w:pPr>
              <w:spacing w:after="0" w:line="20" w:lineRule="exact"/>
              <w:rPr>
                <w:sz w:val="1"/>
                <w:szCs w:val="1"/>
                <w:color w:val="auto"/>
              </w:rPr>
            </w:pPr>
          </w:p>
        </w:tc>
        <w:tc>
          <w:tcPr>
            <w:tcW w:w="4620" w:type="dxa"/>
            <w:vAlign w:val="bottom"/>
            <w:gridSpan w:val="2"/>
          </w:tcPr>
          <w:p>
            <w:pPr>
              <w:spacing w:after="0" w:line="20" w:lineRule="exact"/>
              <w:rPr>
                <w:sz w:val="1"/>
                <w:szCs w:val="1"/>
                <w:color w:val="auto"/>
              </w:rPr>
            </w:pPr>
          </w:p>
        </w:tc>
      </w:tr>
      <w:tr>
        <w:trPr>
          <w:trHeight w:val="465"/>
        </w:trPr>
        <w:tc>
          <w:tcPr>
            <w:tcW w:w="2400" w:type="dxa"/>
            <w:vAlign w:val="bottom"/>
          </w:tcPr>
          <w:p>
            <w:pPr>
              <w:spacing w:after="0"/>
              <w:rPr>
                <w:sz w:val="20"/>
                <w:szCs w:val="20"/>
                <w:color w:val="auto"/>
              </w:rPr>
            </w:pPr>
            <w:r>
              <w:rPr>
                <w:rFonts w:ascii="Arial" w:cs="Arial" w:eastAsia="Arial" w:hAnsi="Arial"/>
                <w:sz w:val="18"/>
                <w:szCs w:val="18"/>
                <w:color w:val="auto"/>
              </w:rPr>
              <w:t>Interest Rate Options:</w:t>
            </w: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w w:val="91"/>
              </w:rPr>
              <w:t xml:space="preserve">The Borrower may elect that the Bridge Loans comprising each borrowing bear interest at a rate </w:t>
            </w:r>
            <w:r>
              <w:rPr>
                <w:rFonts w:ascii="Arial" w:cs="Arial" w:eastAsia="Arial" w:hAnsi="Arial"/>
                <w:sz w:val="18"/>
                <w:szCs w:val="18"/>
                <w:i w:val="1"/>
                <w:iCs w:val="1"/>
                <w:color w:val="auto"/>
                <w:w w:val="91"/>
              </w:rPr>
              <w:t>per annum</w:t>
            </w:r>
          </w:p>
        </w:tc>
      </w:tr>
      <w:tr>
        <w:trPr>
          <w:trHeight w:val="230"/>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equal to:</w:t>
            </w:r>
          </w:p>
        </w:tc>
      </w:tr>
      <w:tr>
        <w:trPr>
          <w:trHeight w:val="338"/>
        </w:trPr>
        <w:tc>
          <w:tcPr>
            <w:tcW w:w="2400" w:type="dxa"/>
            <w:vAlign w:val="bottom"/>
          </w:tcPr>
          <w:p>
            <w:pPr>
              <w:spacing w:after="0"/>
              <w:rPr>
                <w:sz w:val="24"/>
                <w:szCs w:val="24"/>
                <w:color w:val="auto"/>
              </w:rPr>
            </w:pPr>
          </w:p>
        </w:tc>
        <w:tc>
          <w:tcPr>
            <w:tcW w:w="8620" w:type="dxa"/>
            <w:vAlign w:val="bottom"/>
            <w:gridSpan w:val="4"/>
          </w:tcPr>
          <w:p>
            <w:pPr>
              <w:ind w:left="1160"/>
              <w:spacing w:after="0"/>
              <w:rPr>
                <w:sz w:val="20"/>
                <w:szCs w:val="20"/>
                <w:color w:val="auto"/>
              </w:rPr>
            </w:pPr>
            <w:r>
              <w:rPr>
                <w:rFonts w:ascii="Arial" w:cs="Arial" w:eastAsia="Arial" w:hAnsi="Arial"/>
                <w:sz w:val="18"/>
                <w:szCs w:val="18"/>
                <w:color w:val="auto"/>
              </w:rPr>
              <w:t>the ABR plus the Applicable ABR Margin; or</w:t>
            </w:r>
          </w:p>
        </w:tc>
      </w:tr>
      <w:tr>
        <w:trPr>
          <w:trHeight w:val="338"/>
        </w:trPr>
        <w:tc>
          <w:tcPr>
            <w:tcW w:w="2400" w:type="dxa"/>
            <w:vAlign w:val="bottom"/>
          </w:tcPr>
          <w:p>
            <w:pPr>
              <w:spacing w:after="0"/>
              <w:rPr>
                <w:sz w:val="24"/>
                <w:szCs w:val="24"/>
                <w:color w:val="auto"/>
              </w:rPr>
            </w:pPr>
          </w:p>
        </w:tc>
        <w:tc>
          <w:tcPr>
            <w:tcW w:w="8620" w:type="dxa"/>
            <w:vAlign w:val="bottom"/>
            <w:gridSpan w:val="4"/>
          </w:tcPr>
          <w:p>
            <w:pPr>
              <w:ind w:left="1160"/>
              <w:spacing w:after="0"/>
              <w:rPr>
                <w:sz w:val="20"/>
                <w:szCs w:val="20"/>
                <w:color w:val="auto"/>
              </w:rPr>
            </w:pPr>
            <w:r>
              <w:rPr>
                <w:rFonts w:ascii="Arial" w:cs="Arial" w:eastAsia="Arial" w:hAnsi="Arial"/>
                <w:sz w:val="18"/>
                <w:szCs w:val="18"/>
                <w:color w:val="auto"/>
              </w:rPr>
              <w:t>the Adjusted LIBO Rate plus the Applicable LIBO Margin.</w:t>
            </w:r>
          </w:p>
        </w:tc>
      </w:tr>
      <w:tr>
        <w:trPr>
          <w:trHeight w:val="445"/>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As used herein:</w:t>
            </w:r>
          </w:p>
        </w:tc>
      </w:tr>
      <w:tr>
        <w:trPr>
          <w:trHeight w:val="323"/>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b w:val="1"/>
                <w:bCs w:val="1"/>
                <w:i w:val="1"/>
                <w:iCs w:val="1"/>
                <w:color w:val="auto"/>
                <w:w w:val="92"/>
              </w:rPr>
              <w:t>ABR</w:t>
            </w:r>
            <w:r>
              <w:rPr>
                <w:rFonts w:ascii="Arial" w:cs="Arial" w:eastAsia="Arial" w:hAnsi="Arial"/>
                <w:sz w:val="18"/>
                <w:szCs w:val="18"/>
                <w:color w:val="auto"/>
                <w:w w:val="92"/>
              </w:rPr>
              <w:t>” means the highest of (i) the rate of interest last quoted by The Wall Street Journal in the U.S. as the</w:t>
            </w:r>
          </w:p>
        </w:tc>
      </w:tr>
      <w:tr>
        <w:trPr>
          <w:trHeight w:val="216"/>
        </w:trPr>
        <w:tc>
          <w:tcPr>
            <w:tcW w:w="2400" w:type="dxa"/>
            <w:vAlign w:val="bottom"/>
          </w:tcPr>
          <w:p>
            <w:pPr>
              <w:spacing w:after="0"/>
              <w:rPr>
                <w:sz w:val="18"/>
                <w:szCs w:val="18"/>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w w:val="98"/>
              </w:rPr>
              <w:t>prime rate in effect (the “</w:t>
            </w:r>
            <w:r>
              <w:rPr>
                <w:rFonts w:ascii="Arial" w:cs="Arial" w:eastAsia="Arial" w:hAnsi="Arial"/>
                <w:sz w:val="18"/>
                <w:szCs w:val="18"/>
                <w:b w:val="1"/>
                <w:bCs w:val="1"/>
                <w:i w:val="1"/>
                <w:iCs w:val="1"/>
                <w:color w:val="auto"/>
                <w:w w:val="98"/>
              </w:rPr>
              <w:t>Prime Rate</w:t>
            </w:r>
            <w:r>
              <w:rPr>
                <w:rFonts w:ascii="Arial" w:cs="Arial" w:eastAsia="Arial" w:hAnsi="Arial"/>
                <w:sz w:val="18"/>
                <w:szCs w:val="18"/>
                <w:color w:val="auto"/>
                <w:w w:val="98"/>
              </w:rPr>
              <w:t>”), (ii) the NYFRB Rate from time to time plus 0.5% and (iii) the</w:t>
            </w:r>
          </w:p>
        </w:tc>
      </w:tr>
      <w:tr>
        <w:trPr>
          <w:trHeight w:val="216"/>
        </w:trPr>
        <w:tc>
          <w:tcPr>
            <w:tcW w:w="2400" w:type="dxa"/>
            <w:vAlign w:val="bottom"/>
          </w:tcPr>
          <w:p>
            <w:pPr>
              <w:spacing w:after="0"/>
              <w:rPr>
                <w:sz w:val="18"/>
                <w:szCs w:val="18"/>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w w:val="95"/>
              </w:rPr>
              <w:t>Adjusted LIBO Rate for a one-month interest period plus 1%. If the ABR as determined pursuant to the</w:t>
            </w:r>
          </w:p>
        </w:tc>
      </w:tr>
      <w:tr>
        <w:trPr>
          <w:trHeight w:val="230"/>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foregoing would be less than 1.00%, such rate shall be deemed to be 1.00%.</w:t>
            </w:r>
          </w:p>
        </w:tc>
      </w:tr>
      <w:tr>
        <w:trPr>
          <w:trHeight w:val="323"/>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Adjusted LIBO Rate</w:t>
            </w:r>
            <w:r>
              <w:rPr>
                <w:rFonts w:ascii="Arial" w:cs="Arial" w:eastAsia="Arial" w:hAnsi="Arial"/>
                <w:sz w:val="18"/>
                <w:szCs w:val="18"/>
                <w:color w:val="auto"/>
              </w:rPr>
              <w:t>” means the LIBO Rate, as adjusted for statutory reserve requirements for</w:t>
            </w:r>
          </w:p>
        </w:tc>
      </w:tr>
      <w:tr>
        <w:trPr>
          <w:trHeight w:val="230"/>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eurocurrency liabilities.</w:t>
            </w:r>
          </w:p>
        </w:tc>
      </w:tr>
      <w:tr>
        <w:trPr>
          <w:trHeight w:val="323"/>
        </w:trPr>
        <w:tc>
          <w:tcPr>
            <w:tcW w:w="2400" w:type="dxa"/>
            <w:vAlign w:val="bottom"/>
          </w:tcPr>
          <w:p>
            <w:pPr>
              <w:spacing w:after="0"/>
              <w:rPr>
                <w:sz w:val="24"/>
                <w:szCs w:val="24"/>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w w:val="94"/>
              </w:rPr>
              <w:t>“</w:t>
            </w:r>
            <w:r>
              <w:rPr>
                <w:rFonts w:ascii="Arial" w:cs="Arial" w:eastAsia="Arial" w:hAnsi="Arial"/>
                <w:sz w:val="18"/>
                <w:szCs w:val="18"/>
                <w:b w:val="1"/>
                <w:bCs w:val="1"/>
                <w:i w:val="1"/>
                <w:iCs w:val="1"/>
                <w:color w:val="auto"/>
                <w:w w:val="94"/>
              </w:rPr>
              <w:t>Applicable LIBO Margin</w:t>
            </w:r>
            <w:r>
              <w:rPr>
                <w:rFonts w:ascii="Arial" w:cs="Arial" w:eastAsia="Arial" w:hAnsi="Arial"/>
                <w:sz w:val="18"/>
                <w:szCs w:val="18"/>
                <w:color w:val="auto"/>
                <w:w w:val="94"/>
              </w:rPr>
              <w:t>” means a percentage determined in accordance with the pricing grid set forth</w:t>
            </w:r>
          </w:p>
        </w:tc>
      </w:tr>
      <w:tr>
        <w:trPr>
          <w:trHeight w:val="230"/>
        </w:trPr>
        <w:tc>
          <w:tcPr>
            <w:tcW w:w="2400" w:type="dxa"/>
            <w:vAlign w:val="bottom"/>
          </w:tcPr>
          <w:p>
            <w:pPr>
              <w:spacing w:after="0"/>
              <w:rPr>
                <w:sz w:val="20"/>
                <w:szCs w:val="20"/>
                <w:color w:val="auto"/>
              </w:rPr>
            </w:pPr>
          </w:p>
        </w:tc>
        <w:tc>
          <w:tcPr>
            <w:tcW w:w="8620" w:type="dxa"/>
            <w:vAlign w:val="bottom"/>
            <w:gridSpan w:val="4"/>
          </w:tcPr>
          <w:p>
            <w:pPr>
              <w:ind w:left="800"/>
              <w:spacing w:after="0"/>
              <w:rPr>
                <w:sz w:val="20"/>
                <w:szCs w:val="20"/>
                <w:color w:val="auto"/>
              </w:rPr>
            </w:pPr>
            <w:r>
              <w:rPr>
                <w:rFonts w:ascii="Arial" w:cs="Arial" w:eastAsia="Arial" w:hAnsi="Arial"/>
                <w:sz w:val="18"/>
                <w:szCs w:val="18"/>
                <w:color w:val="auto"/>
              </w:rPr>
              <w:t>immediately below:</w:t>
            </w:r>
          </w:p>
        </w:tc>
      </w:tr>
    </w:tbl>
    <w:p>
      <w:pPr>
        <w:spacing w:after="0" w:line="198"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tbl>
      <w:tblPr>
        <w:tblLayout w:type="fixed"/>
        <w:tblInd w:w="320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w w:val="98"/>
              </w:rPr>
              <w:t>Pricing</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w w:val="98"/>
              </w:rPr>
              <w:t>Pricing</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w w:val="98"/>
              </w:rPr>
              <w:t>Pricing</w:t>
            </w:r>
          </w:p>
        </w:tc>
        <w:tc>
          <w:tcPr>
            <w:tcW w:w="1320" w:type="dxa"/>
            <w:vAlign w:val="bottom"/>
            <w:gridSpan w:val="2"/>
          </w:tcPr>
          <w:p>
            <w:pPr>
              <w:jc w:val="center"/>
              <w:ind w:right="120"/>
              <w:spacing w:after="0"/>
              <w:rPr>
                <w:sz w:val="20"/>
                <w:szCs w:val="20"/>
                <w:color w:val="auto"/>
              </w:rPr>
            </w:pPr>
            <w:r>
              <w:rPr>
                <w:rFonts w:ascii="Arial" w:cs="Arial" w:eastAsia="Arial" w:hAnsi="Arial"/>
                <w:sz w:val="14"/>
                <w:szCs w:val="14"/>
                <w:color w:val="auto"/>
                <w:w w:val="93"/>
              </w:rPr>
              <w:t>Pricing</w:t>
            </w:r>
          </w:p>
        </w:tc>
        <w:tc>
          <w:tcPr>
            <w:tcW w:w="1220" w:type="dxa"/>
            <w:vAlign w:val="bottom"/>
            <w:gridSpan w:val="2"/>
          </w:tcPr>
          <w:p>
            <w:pPr>
              <w:jc w:val="center"/>
              <w:ind w:right="40"/>
              <w:spacing w:after="0"/>
              <w:rPr>
                <w:sz w:val="20"/>
                <w:szCs w:val="20"/>
                <w:color w:val="auto"/>
              </w:rPr>
            </w:pPr>
            <w:r>
              <w:rPr>
                <w:rFonts w:ascii="Arial" w:cs="Arial" w:eastAsia="Arial" w:hAnsi="Arial"/>
                <w:sz w:val="14"/>
                <w:szCs w:val="14"/>
                <w:color w:val="auto"/>
                <w:w w:val="98"/>
              </w:rPr>
              <w:t>Pricing</w:t>
            </w:r>
          </w:p>
        </w:tc>
        <w:tc>
          <w:tcPr>
            <w:tcW w:w="0" w:type="dxa"/>
            <w:vAlign w:val="bottom"/>
          </w:tcPr>
          <w:p>
            <w:pPr>
              <w:spacing w:after="0"/>
              <w:rPr>
                <w:sz w:val="1"/>
                <w:szCs w:val="1"/>
                <w:color w:val="auto"/>
              </w:rPr>
            </w:pPr>
          </w:p>
        </w:tc>
      </w:tr>
      <w:tr>
        <w:trPr>
          <w:trHeight w:val="181"/>
        </w:trPr>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rPr>
              <w:t>Level I</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rPr>
              <w:t>Level II</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rPr>
              <w:t>Level III</w:t>
            </w:r>
          </w:p>
        </w:tc>
        <w:tc>
          <w:tcPr>
            <w:tcW w:w="1320" w:type="dxa"/>
            <w:vAlign w:val="bottom"/>
            <w:gridSpan w:val="2"/>
          </w:tcPr>
          <w:p>
            <w:pPr>
              <w:jc w:val="center"/>
              <w:ind w:right="120"/>
              <w:spacing w:after="0"/>
              <w:rPr>
                <w:sz w:val="20"/>
                <w:szCs w:val="20"/>
                <w:color w:val="auto"/>
              </w:rPr>
            </w:pPr>
            <w:r>
              <w:rPr>
                <w:rFonts w:ascii="Arial" w:cs="Arial" w:eastAsia="Arial" w:hAnsi="Arial"/>
                <w:sz w:val="14"/>
                <w:szCs w:val="14"/>
                <w:color w:val="auto"/>
              </w:rPr>
              <w:t>Level IV</w:t>
            </w:r>
          </w:p>
        </w:tc>
        <w:tc>
          <w:tcPr>
            <w:tcW w:w="1220" w:type="dxa"/>
            <w:vAlign w:val="bottom"/>
            <w:gridSpan w:val="2"/>
          </w:tcPr>
          <w:p>
            <w:pPr>
              <w:jc w:val="center"/>
              <w:ind w:right="40"/>
              <w:spacing w:after="0"/>
              <w:rPr>
                <w:sz w:val="20"/>
                <w:szCs w:val="20"/>
                <w:color w:val="auto"/>
              </w:rPr>
            </w:pPr>
            <w:r>
              <w:rPr>
                <w:rFonts w:ascii="Arial" w:cs="Arial" w:eastAsia="Arial" w:hAnsi="Arial"/>
                <w:sz w:val="14"/>
                <w:szCs w:val="14"/>
                <w:color w:val="auto"/>
                <w:w w:val="98"/>
              </w:rPr>
              <w:t>Level V</w:t>
            </w:r>
          </w:p>
        </w:tc>
        <w:tc>
          <w:tcPr>
            <w:tcW w:w="0" w:type="dxa"/>
            <w:vAlign w:val="bottom"/>
          </w:tcPr>
          <w:p>
            <w:pPr>
              <w:spacing w:after="0"/>
              <w:rPr>
                <w:sz w:val="1"/>
                <w:szCs w:val="1"/>
                <w:color w:val="auto"/>
              </w:rPr>
            </w:pPr>
          </w:p>
        </w:tc>
      </w:tr>
      <w:tr>
        <w:trPr>
          <w:trHeight w:val="123"/>
        </w:trPr>
        <w:tc>
          <w:tcPr>
            <w:tcW w:w="1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2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³BBB+/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0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w w:val="98"/>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960" w:type="dxa"/>
            <w:vAlign w:val="bottom"/>
            <w:gridSpan w:val="5"/>
            <w:vMerge w:val="restart"/>
          </w:tcPr>
          <w:p>
            <w:pPr>
              <w:spacing w:after="0"/>
              <w:rPr>
                <w:sz w:val="20"/>
                <w:szCs w:val="20"/>
                <w:color w:val="auto"/>
              </w:rPr>
            </w:pPr>
            <w:r>
              <w:rPr>
                <w:rFonts w:ascii="Arial" w:cs="Arial" w:eastAsia="Arial" w:hAnsi="Arial"/>
                <w:sz w:val="18"/>
                <w:szCs w:val="18"/>
                <w:color w:val="auto"/>
                <w:w w:val="91"/>
              </w:rPr>
              <w:t>Closing Date</w:t>
            </w:r>
          </w:p>
        </w:tc>
        <w:tc>
          <w:tcPr>
            <w:tcW w:w="380" w:type="dxa"/>
            <w:vAlign w:val="bottom"/>
            <w:gridSpan w:val="9"/>
            <w:vMerge w:val="restart"/>
          </w:tcPr>
          <w:p>
            <w:pPr>
              <w:spacing w:after="0"/>
              <w:rPr>
                <w:sz w:val="15"/>
                <w:szCs w:val="15"/>
                <w:color w:val="auto"/>
              </w:rPr>
            </w:pP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w w:val="96"/>
              </w:rPr>
              <w:t>Baa1/BBB+</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Baa2/BBB</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w w:val="95"/>
              </w:rPr>
              <w:t>Baa3/BBB-</w:t>
            </w:r>
          </w:p>
        </w:tc>
        <w:tc>
          <w:tcPr>
            <w:tcW w:w="1320" w:type="dxa"/>
            <w:vAlign w:val="bottom"/>
            <w:gridSpan w:val="2"/>
          </w:tcPr>
          <w:p>
            <w:pPr>
              <w:jc w:val="center"/>
              <w:ind w:right="120"/>
              <w:spacing w:after="0"/>
              <w:rPr>
                <w:sz w:val="20"/>
                <w:szCs w:val="20"/>
                <w:color w:val="auto"/>
              </w:rPr>
            </w:pPr>
            <w:r>
              <w:rPr>
                <w:rFonts w:ascii="Arial" w:cs="Arial" w:eastAsia="Arial" w:hAnsi="Arial"/>
                <w:sz w:val="14"/>
                <w:szCs w:val="14"/>
                <w:color w:val="auto"/>
              </w:rPr>
              <w:t>Ba1/BB+</w:t>
            </w:r>
          </w:p>
        </w:tc>
        <w:tc>
          <w:tcPr>
            <w:tcW w:w="1220" w:type="dxa"/>
            <w:vAlign w:val="bottom"/>
            <w:gridSpan w:val="2"/>
          </w:tcPr>
          <w:p>
            <w:pPr>
              <w:jc w:val="center"/>
              <w:ind w:right="40"/>
              <w:spacing w:after="0"/>
              <w:rPr>
                <w:sz w:val="20"/>
                <w:szCs w:val="20"/>
                <w:color w:val="auto"/>
              </w:rPr>
            </w:pPr>
            <w:r>
              <w:rPr>
                <w:rFonts w:ascii="Arial" w:cs="Arial" w:eastAsia="Arial" w:hAnsi="Arial"/>
                <w:sz w:val="14"/>
                <w:szCs w:val="14"/>
                <w:color w:val="auto"/>
                <w:w w:val="96"/>
              </w:rPr>
              <w:t>Ba2/BB</w:t>
            </w:r>
          </w:p>
        </w:tc>
        <w:tc>
          <w:tcPr>
            <w:tcW w:w="0" w:type="dxa"/>
            <w:vAlign w:val="bottom"/>
          </w:tcPr>
          <w:p>
            <w:pPr>
              <w:spacing w:after="0"/>
              <w:rPr>
                <w:sz w:val="1"/>
                <w:szCs w:val="1"/>
                <w:color w:val="auto"/>
              </w:rPr>
            </w:pPr>
          </w:p>
        </w:tc>
      </w:tr>
      <w:tr>
        <w:trPr>
          <w:trHeight w:val="160"/>
        </w:trPr>
        <w:tc>
          <w:tcPr>
            <w:tcW w:w="960" w:type="dxa"/>
            <w:vAlign w:val="bottom"/>
            <w:tcBorders>
              <w:bottom w:val="single" w:sz="8" w:color="auto"/>
            </w:tcBorders>
            <w:gridSpan w:val="5"/>
            <w:vMerge w:val="continue"/>
          </w:tcPr>
          <w:p>
            <w:pPr>
              <w:spacing w:after="0"/>
              <w:rPr>
                <w:sz w:val="13"/>
                <w:szCs w:val="13"/>
                <w:color w:val="auto"/>
              </w:rPr>
            </w:pPr>
          </w:p>
        </w:tc>
        <w:tc>
          <w:tcPr>
            <w:tcW w:w="380" w:type="dxa"/>
            <w:vAlign w:val="bottom"/>
            <w:gridSpan w:val="9"/>
            <w:vMerge w:val="continue"/>
          </w:tcPr>
          <w:p>
            <w:pPr>
              <w:spacing w:after="0"/>
              <w:rPr>
                <w:sz w:val="13"/>
                <w:szCs w:val="13"/>
                <w:color w:val="auto"/>
              </w:rPr>
            </w:pPr>
          </w:p>
        </w:tc>
        <w:tc>
          <w:tcPr>
            <w:tcW w:w="122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0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200" w:type="dxa"/>
            <w:vAlign w:val="bottom"/>
            <w:tcBorders>
              <w:top w:val="single" w:sz="8" w:color="auto"/>
            </w:tcBorders>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00" w:type="dxa"/>
            <w:vAlign w:val="bottom"/>
            <w:tcBorders>
              <w:bottom w:val="single" w:sz="8" w:color="auto"/>
            </w:tcBorders>
            <w:gridSpan w:val="5"/>
          </w:tcPr>
          <w:p>
            <w:pPr>
              <w:spacing w:after="0" w:line="196" w:lineRule="exact"/>
              <w:rPr>
                <w:sz w:val="20"/>
                <w:szCs w:val="20"/>
                <w:color w:val="auto"/>
              </w:rPr>
            </w:pPr>
            <w:r>
              <w:rPr>
                <w:rFonts w:ascii="Arial" w:cs="Arial" w:eastAsia="Arial" w:hAnsi="Arial"/>
                <w:sz w:val="18"/>
                <w:szCs w:val="18"/>
                <w:color w:val="auto"/>
                <w:w w:val="90"/>
              </w:rPr>
              <w:t>through 89</w:t>
            </w:r>
          </w:p>
        </w:tc>
        <w:tc>
          <w:tcPr>
            <w:tcW w:w="360" w:type="dxa"/>
            <w:vAlign w:val="bottom"/>
            <w:gridSpan w:val="8"/>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340" w:type="dxa"/>
            <w:vAlign w:val="bottom"/>
            <w:tcBorders>
              <w:bottom w:val="single" w:sz="8" w:color="auto"/>
            </w:tcBorders>
          </w:tcPr>
          <w:p>
            <w:pPr>
              <w:spacing w:after="0" w:line="196" w:lineRule="exact"/>
              <w:rPr>
                <w:sz w:val="20"/>
                <w:szCs w:val="20"/>
                <w:color w:val="auto"/>
              </w:rPr>
            </w:pPr>
            <w:r>
              <w:rPr>
                <w:rFonts w:ascii="Arial" w:cs="Arial" w:eastAsia="Arial" w:hAnsi="Arial"/>
                <w:sz w:val="18"/>
                <w:szCs w:val="18"/>
                <w:color w:val="auto"/>
                <w:w w:val="84"/>
              </w:rPr>
              <w:t>days</w:t>
            </w:r>
          </w:p>
        </w:tc>
        <w:tc>
          <w:tcPr>
            <w:tcW w:w="820" w:type="dxa"/>
            <w:vAlign w:val="bottom"/>
            <w:gridSpan w:val="1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Arial" w:cs="Arial" w:eastAsia="Arial" w:hAnsi="Arial"/>
                <w:sz w:val="18"/>
                <w:szCs w:val="18"/>
                <w:color w:val="auto"/>
                <w:w w:val="95"/>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91"/>
              </w:rPr>
              <w:t>Closing Date</w:t>
            </w:r>
          </w:p>
        </w:tc>
        <w:tc>
          <w:tcPr>
            <w:tcW w:w="200" w:type="dxa"/>
            <w:vAlign w:val="bottom"/>
            <w:gridSpan w:val="4"/>
          </w:tcPr>
          <w:p>
            <w:pPr>
              <w:spacing w:after="0"/>
              <w:rPr>
                <w:sz w:val="17"/>
                <w:szCs w:val="17"/>
                <w:color w:val="auto"/>
              </w:rPr>
            </w:pPr>
          </w:p>
        </w:tc>
        <w:tc>
          <w:tcPr>
            <w:tcW w:w="1340" w:type="dxa"/>
            <w:vAlign w:val="bottom"/>
            <w:gridSpan w:val="2"/>
          </w:tcPr>
          <w:p>
            <w:pPr>
              <w:jc w:val="center"/>
              <w:ind w:left="458"/>
              <w:spacing w:after="0" w:line="196" w:lineRule="exact"/>
              <w:rPr>
                <w:sz w:val="20"/>
                <w:szCs w:val="20"/>
                <w:color w:val="auto"/>
              </w:rPr>
            </w:pPr>
            <w:r>
              <w:rPr>
                <w:rFonts w:ascii="Arial" w:cs="Arial" w:eastAsia="Arial" w:hAnsi="Arial"/>
                <w:sz w:val="18"/>
                <w:szCs w:val="18"/>
                <w:color w:val="auto"/>
                <w:w w:val="91"/>
              </w:rPr>
              <w:t>1.125%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1.250%</w:t>
            </w:r>
          </w:p>
        </w:tc>
        <w:tc>
          <w:tcPr>
            <w:tcW w:w="1300" w:type="dxa"/>
            <w:vAlign w:val="bottom"/>
            <w:gridSpan w:val="2"/>
          </w:tcPr>
          <w:p>
            <w:pPr>
              <w:jc w:val="right"/>
              <w:ind w:right="100"/>
              <w:spacing w:after="0" w:line="196" w:lineRule="exact"/>
              <w:rPr>
                <w:sz w:val="20"/>
                <w:szCs w:val="20"/>
                <w:color w:val="auto"/>
              </w:rPr>
            </w:pPr>
            <w:r>
              <w:rPr>
                <w:rFonts w:ascii="Arial" w:cs="Arial" w:eastAsia="Arial" w:hAnsi="Arial"/>
                <w:sz w:val="18"/>
                <w:szCs w:val="18"/>
                <w:color w:val="auto"/>
              </w:rPr>
              <w:t>1.375%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1.750%</w:t>
            </w:r>
          </w:p>
        </w:tc>
        <w:tc>
          <w:tcPr>
            <w:tcW w:w="12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2.000%</w:t>
            </w:r>
          </w:p>
        </w:tc>
        <w:tc>
          <w:tcPr>
            <w:tcW w:w="0" w:type="dxa"/>
            <w:vAlign w:val="bottom"/>
          </w:tcPr>
          <w:p>
            <w:pPr>
              <w:spacing w:after="0"/>
              <w:rPr>
                <w:sz w:val="1"/>
                <w:szCs w:val="1"/>
                <w:color w:val="auto"/>
              </w:rPr>
            </w:pPr>
          </w:p>
        </w:tc>
      </w:tr>
      <w:tr>
        <w:trPr>
          <w:trHeight w:val="196"/>
        </w:trPr>
        <w:tc>
          <w:tcPr>
            <w:tcW w:w="640" w:type="dxa"/>
            <w:vAlign w:val="bottom"/>
            <w:tcBorders>
              <w:bottom w:val="single" w:sz="8" w:color="auto"/>
            </w:tcBorders>
            <w:gridSpan w:val="3"/>
          </w:tcPr>
          <w:p>
            <w:pPr>
              <w:spacing w:after="0" w:line="196" w:lineRule="exact"/>
              <w:rPr>
                <w:sz w:val="20"/>
                <w:szCs w:val="20"/>
                <w:color w:val="auto"/>
              </w:rPr>
            </w:pPr>
            <w:r>
              <w:rPr>
                <w:rFonts w:ascii="Arial" w:cs="Arial" w:eastAsia="Arial" w:hAnsi="Arial"/>
                <w:sz w:val="18"/>
                <w:szCs w:val="18"/>
                <w:color w:val="auto"/>
                <w:w w:val="89"/>
              </w:rPr>
              <w:t>90th day</w:t>
            </w:r>
          </w:p>
        </w:tc>
        <w:tc>
          <w:tcPr>
            <w:tcW w:w="700" w:type="dxa"/>
            <w:vAlign w:val="bottom"/>
            <w:gridSpan w:val="11"/>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Arial" w:cs="Arial" w:eastAsia="Arial" w:hAnsi="Arial"/>
                <w:sz w:val="18"/>
                <w:szCs w:val="18"/>
                <w:color w:val="auto"/>
                <w:w w:val="95"/>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91"/>
              </w:rPr>
              <w:t>Closing Date</w:t>
            </w:r>
          </w:p>
        </w:tc>
        <w:tc>
          <w:tcPr>
            <w:tcW w:w="200" w:type="dxa"/>
            <w:vAlign w:val="bottom"/>
            <w:gridSpan w:val="4"/>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40" w:type="dxa"/>
            <w:vAlign w:val="bottom"/>
            <w:tcBorders>
              <w:bottom w:val="single" w:sz="8" w:color="auto"/>
            </w:tcBorders>
            <w:gridSpan w:val="12"/>
          </w:tcPr>
          <w:p>
            <w:pPr>
              <w:spacing w:after="0" w:line="196" w:lineRule="exact"/>
              <w:rPr>
                <w:sz w:val="20"/>
                <w:szCs w:val="20"/>
                <w:color w:val="auto"/>
              </w:rPr>
            </w:pPr>
            <w:r>
              <w:rPr>
                <w:rFonts w:ascii="Arial" w:cs="Arial" w:eastAsia="Arial" w:hAnsi="Arial"/>
                <w:sz w:val="18"/>
                <w:szCs w:val="18"/>
                <w:color w:val="auto"/>
                <w:w w:val="91"/>
              </w:rPr>
              <w:t>through 179th</w:t>
            </w: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20" w:type="dxa"/>
            <w:vAlign w:val="bottom"/>
            <w:tcBorders>
              <w:bottom w:val="single" w:sz="8" w:color="auto"/>
            </w:tcBorders>
            <w:gridSpan w:val="11"/>
          </w:tcPr>
          <w:p>
            <w:pPr>
              <w:spacing w:after="0" w:line="196" w:lineRule="exact"/>
              <w:rPr>
                <w:sz w:val="20"/>
                <w:szCs w:val="20"/>
                <w:color w:val="auto"/>
              </w:rPr>
            </w:pPr>
            <w:r>
              <w:rPr>
                <w:rFonts w:ascii="Arial" w:cs="Arial" w:eastAsia="Arial" w:hAnsi="Arial"/>
                <w:sz w:val="18"/>
                <w:szCs w:val="18"/>
                <w:color w:val="auto"/>
                <w:w w:val="96"/>
              </w:rPr>
              <w:t>day following</w:t>
            </w:r>
          </w:p>
        </w:tc>
        <w:tc>
          <w:tcPr>
            <w:tcW w:w="140" w:type="dxa"/>
            <w:vAlign w:val="bottom"/>
            <w:gridSpan w:val="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60" w:type="dxa"/>
            <w:vAlign w:val="bottom"/>
            <w:tcBorders>
              <w:bottom w:val="single" w:sz="8" w:color="auto"/>
            </w:tcBorders>
            <w:gridSpan w:val="7"/>
          </w:tcPr>
          <w:p>
            <w:pPr>
              <w:spacing w:after="0" w:line="196" w:lineRule="exact"/>
              <w:rPr>
                <w:sz w:val="20"/>
                <w:szCs w:val="20"/>
                <w:color w:val="auto"/>
              </w:rPr>
            </w:pPr>
            <w:r>
              <w:rPr>
                <w:rFonts w:ascii="Arial" w:cs="Arial" w:eastAsia="Arial" w:hAnsi="Arial"/>
                <w:sz w:val="18"/>
                <w:szCs w:val="18"/>
                <w:color w:val="auto"/>
                <w:w w:val="93"/>
              </w:rPr>
              <w:t>the Closing</w:t>
            </w:r>
          </w:p>
        </w:tc>
        <w:tc>
          <w:tcPr>
            <w:tcW w:w="300" w:type="dxa"/>
            <w:vAlign w:val="bottom"/>
            <w:gridSpan w:val="6"/>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160" w:type="dxa"/>
            <w:vAlign w:val="bottom"/>
            <w:gridSpan w:val="13"/>
          </w:tcPr>
          <w:p>
            <w:pPr>
              <w:spacing w:after="0" w:line="196" w:lineRule="exact"/>
              <w:rPr>
                <w:sz w:val="20"/>
                <w:szCs w:val="20"/>
                <w:color w:val="auto"/>
              </w:rPr>
            </w:pPr>
            <w:r>
              <w:rPr>
                <w:rFonts w:ascii="Arial" w:cs="Arial" w:eastAsia="Arial" w:hAnsi="Arial"/>
                <w:sz w:val="18"/>
                <w:szCs w:val="18"/>
                <w:color w:val="auto"/>
              </w:rPr>
              <w:t>Date</w:t>
            </w:r>
          </w:p>
        </w:tc>
        <w:tc>
          <w:tcPr>
            <w:tcW w:w="1340" w:type="dxa"/>
            <w:vAlign w:val="bottom"/>
            <w:gridSpan w:val="2"/>
          </w:tcPr>
          <w:p>
            <w:pPr>
              <w:jc w:val="center"/>
              <w:ind w:left="458"/>
              <w:spacing w:after="0" w:line="196" w:lineRule="exact"/>
              <w:rPr>
                <w:sz w:val="20"/>
                <w:szCs w:val="20"/>
                <w:color w:val="auto"/>
              </w:rPr>
            </w:pPr>
            <w:r>
              <w:rPr>
                <w:rFonts w:ascii="Arial" w:cs="Arial" w:eastAsia="Arial" w:hAnsi="Arial"/>
                <w:sz w:val="18"/>
                <w:szCs w:val="18"/>
                <w:color w:val="auto"/>
                <w:w w:val="91"/>
              </w:rPr>
              <w:t>1.375%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1.500%</w:t>
            </w:r>
          </w:p>
        </w:tc>
        <w:tc>
          <w:tcPr>
            <w:tcW w:w="1300" w:type="dxa"/>
            <w:vAlign w:val="bottom"/>
            <w:gridSpan w:val="2"/>
          </w:tcPr>
          <w:p>
            <w:pPr>
              <w:jc w:val="right"/>
              <w:ind w:right="100"/>
              <w:spacing w:after="0" w:line="196" w:lineRule="exact"/>
              <w:rPr>
                <w:sz w:val="20"/>
                <w:szCs w:val="20"/>
                <w:color w:val="auto"/>
              </w:rPr>
            </w:pPr>
            <w:r>
              <w:rPr>
                <w:rFonts w:ascii="Arial" w:cs="Arial" w:eastAsia="Arial" w:hAnsi="Arial"/>
                <w:sz w:val="18"/>
                <w:szCs w:val="18"/>
                <w:color w:val="auto"/>
              </w:rPr>
              <w:t>1.625%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2.000%</w:t>
            </w:r>
          </w:p>
        </w:tc>
        <w:tc>
          <w:tcPr>
            <w:tcW w:w="12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2.250%</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340" w:type="dxa"/>
            <w:vAlign w:val="bottom"/>
            <w:gridSpan w:val="14"/>
          </w:tcPr>
          <w:p>
            <w:pPr>
              <w:spacing w:after="0" w:line="196" w:lineRule="exact"/>
              <w:rPr>
                <w:sz w:val="20"/>
                <w:szCs w:val="20"/>
                <w:color w:val="auto"/>
              </w:rPr>
            </w:pPr>
            <w:r>
              <w:rPr>
                <w:rFonts w:ascii="Arial" w:cs="Arial" w:eastAsia="Arial" w:hAnsi="Arial"/>
                <w:sz w:val="18"/>
                <w:szCs w:val="18"/>
                <w:color w:val="auto"/>
              </w:rPr>
              <w:t>180th day</w:t>
            </w: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80" w:type="dxa"/>
            <w:vAlign w:val="bottom"/>
            <w:shd w:val="clear" w:color="auto" w:fill="000000"/>
          </w:tcPr>
          <w:p>
            <w:pPr>
              <w:spacing w:after="0" w:line="20" w:lineRule="exact"/>
              <w:rPr>
                <w:sz w:val="1"/>
                <w:szCs w:val="1"/>
                <w:color w:val="auto"/>
              </w:rPr>
            </w:pPr>
          </w:p>
        </w:tc>
        <w:tc>
          <w:tcPr>
            <w:tcW w:w="540" w:type="dxa"/>
            <w:vAlign w:val="bottom"/>
            <w:gridSpan w:val="3"/>
            <w:shd w:val="clear" w:color="auto" w:fill="000000"/>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80" w:type="dxa"/>
            <w:vAlign w:val="bottom"/>
          </w:tcPr>
          <w:p>
            <w:pPr>
              <w:spacing w:after="0"/>
              <w:rPr>
                <w:sz w:val="17"/>
                <w:szCs w:val="17"/>
                <w:color w:val="auto"/>
              </w:rPr>
            </w:pPr>
          </w:p>
        </w:tc>
        <w:tc>
          <w:tcPr>
            <w:tcW w:w="980" w:type="dxa"/>
            <w:vAlign w:val="bottom"/>
            <w:tcBorders>
              <w:bottom w:val="single" w:sz="8" w:color="auto"/>
            </w:tcBorders>
            <w:gridSpan w:val="10"/>
          </w:tcPr>
          <w:p>
            <w:pPr>
              <w:spacing w:after="0" w:line="196" w:lineRule="exact"/>
              <w:rPr>
                <w:sz w:val="20"/>
                <w:szCs w:val="20"/>
                <w:color w:val="auto"/>
              </w:rPr>
            </w:pPr>
            <w:r>
              <w:rPr>
                <w:rFonts w:ascii="Arial" w:cs="Arial" w:eastAsia="Arial" w:hAnsi="Arial"/>
                <w:sz w:val="18"/>
                <w:szCs w:val="18"/>
                <w:color w:val="auto"/>
                <w:w w:val="95"/>
              </w:rPr>
              <w:t>following the</w:t>
            </w:r>
          </w:p>
        </w:tc>
        <w:tc>
          <w:tcPr>
            <w:tcW w:w="180" w:type="dxa"/>
            <w:vAlign w:val="bottom"/>
            <w:gridSpan w:val="3"/>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96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91"/>
              </w:rPr>
              <w:t>Closing Date</w:t>
            </w:r>
          </w:p>
        </w:tc>
        <w:tc>
          <w:tcPr>
            <w:tcW w:w="200" w:type="dxa"/>
            <w:vAlign w:val="bottom"/>
            <w:gridSpan w:val="4"/>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40" w:type="dxa"/>
            <w:vAlign w:val="bottom"/>
            <w:tcBorders>
              <w:bottom w:val="single" w:sz="8" w:color="auto"/>
            </w:tcBorders>
            <w:gridSpan w:val="12"/>
          </w:tcPr>
          <w:p>
            <w:pPr>
              <w:spacing w:after="0" w:line="196" w:lineRule="exact"/>
              <w:rPr>
                <w:sz w:val="20"/>
                <w:szCs w:val="20"/>
                <w:color w:val="auto"/>
              </w:rPr>
            </w:pPr>
            <w:r>
              <w:rPr>
                <w:rFonts w:ascii="Arial" w:cs="Arial" w:eastAsia="Arial" w:hAnsi="Arial"/>
                <w:sz w:val="18"/>
                <w:szCs w:val="18"/>
                <w:color w:val="auto"/>
                <w:w w:val="91"/>
              </w:rPr>
              <w:t>through 269th</w:t>
            </w: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020" w:type="dxa"/>
            <w:vAlign w:val="bottom"/>
            <w:tcBorders>
              <w:bottom w:val="single" w:sz="8" w:color="auto"/>
            </w:tcBorders>
            <w:gridSpan w:val="11"/>
          </w:tcPr>
          <w:p>
            <w:pPr>
              <w:spacing w:after="0" w:line="196" w:lineRule="exact"/>
              <w:rPr>
                <w:sz w:val="20"/>
                <w:szCs w:val="20"/>
                <w:color w:val="auto"/>
              </w:rPr>
            </w:pPr>
            <w:r>
              <w:rPr>
                <w:rFonts w:ascii="Arial" w:cs="Arial" w:eastAsia="Arial" w:hAnsi="Arial"/>
                <w:sz w:val="18"/>
                <w:szCs w:val="18"/>
                <w:color w:val="auto"/>
                <w:w w:val="96"/>
              </w:rPr>
              <w:t>day following</w:t>
            </w:r>
          </w:p>
        </w:tc>
        <w:tc>
          <w:tcPr>
            <w:tcW w:w="140" w:type="dxa"/>
            <w:vAlign w:val="bottom"/>
            <w:gridSpan w:val="2"/>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860" w:type="dxa"/>
            <w:vAlign w:val="bottom"/>
            <w:tcBorders>
              <w:bottom w:val="single" w:sz="8" w:color="auto"/>
            </w:tcBorders>
            <w:gridSpan w:val="7"/>
          </w:tcPr>
          <w:p>
            <w:pPr>
              <w:spacing w:after="0" w:line="196" w:lineRule="exact"/>
              <w:rPr>
                <w:sz w:val="20"/>
                <w:szCs w:val="20"/>
                <w:color w:val="auto"/>
              </w:rPr>
            </w:pPr>
            <w:r>
              <w:rPr>
                <w:rFonts w:ascii="Arial" w:cs="Arial" w:eastAsia="Arial" w:hAnsi="Arial"/>
                <w:sz w:val="18"/>
                <w:szCs w:val="18"/>
                <w:color w:val="auto"/>
                <w:w w:val="93"/>
              </w:rPr>
              <w:t>the Closing</w:t>
            </w:r>
          </w:p>
        </w:tc>
        <w:tc>
          <w:tcPr>
            <w:tcW w:w="300" w:type="dxa"/>
            <w:vAlign w:val="bottom"/>
            <w:gridSpan w:val="6"/>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80" w:type="dxa"/>
            <w:vAlign w:val="bottom"/>
          </w:tcPr>
          <w:p>
            <w:pPr>
              <w:spacing w:after="0"/>
              <w:rPr>
                <w:sz w:val="17"/>
                <w:szCs w:val="17"/>
                <w:color w:val="auto"/>
              </w:rPr>
            </w:pPr>
          </w:p>
        </w:tc>
        <w:tc>
          <w:tcPr>
            <w:tcW w:w="1160" w:type="dxa"/>
            <w:vAlign w:val="bottom"/>
            <w:gridSpan w:val="13"/>
          </w:tcPr>
          <w:p>
            <w:pPr>
              <w:spacing w:after="0" w:line="196" w:lineRule="exact"/>
              <w:rPr>
                <w:sz w:val="20"/>
                <w:szCs w:val="20"/>
                <w:color w:val="auto"/>
              </w:rPr>
            </w:pPr>
            <w:r>
              <w:rPr>
                <w:rFonts w:ascii="Arial" w:cs="Arial" w:eastAsia="Arial" w:hAnsi="Arial"/>
                <w:sz w:val="18"/>
                <w:szCs w:val="18"/>
                <w:color w:val="auto"/>
              </w:rPr>
              <w:t>Date</w:t>
            </w:r>
          </w:p>
        </w:tc>
        <w:tc>
          <w:tcPr>
            <w:tcW w:w="1340" w:type="dxa"/>
            <w:vAlign w:val="bottom"/>
            <w:gridSpan w:val="2"/>
          </w:tcPr>
          <w:p>
            <w:pPr>
              <w:jc w:val="center"/>
              <w:ind w:left="458"/>
              <w:spacing w:after="0" w:line="196" w:lineRule="exact"/>
              <w:rPr>
                <w:sz w:val="20"/>
                <w:szCs w:val="20"/>
                <w:color w:val="auto"/>
              </w:rPr>
            </w:pPr>
            <w:r>
              <w:rPr>
                <w:rFonts w:ascii="Arial" w:cs="Arial" w:eastAsia="Arial" w:hAnsi="Arial"/>
                <w:sz w:val="18"/>
                <w:szCs w:val="18"/>
                <w:color w:val="auto"/>
                <w:w w:val="91"/>
              </w:rPr>
              <w:t>1.625%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1.750%</w:t>
            </w:r>
          </w:p>
        </w:tc>
        <w:tc>
          <w:tcPr>
            <w:tcW w:w="1300" w:type="dxa"/>
            <w:vAlign w:val="bottom"/>
            <w:gridSpan w:val="2"/>
          </w:tcPr>
          <w:p>
            <w:pPr>
              <w:jc w:val="right"/>
              <w:ind w:right="100"/>
              <w:spacing w:after="0" w:line="196" w:lineRule="exact"/>
              <w:rPr>
                <w:sz w:val="20"/>
                <w:szCs w:val="20"/>
                <w:color w:val="auto"/>
              </w:rPr>
            </w:pPr>
            <w:r>
              <w:rPr>
                <w:rFonts w:ascii="Arial" w:cs="Arial" w:eastAsia="Arial" w:hAnsi="Arial"/>
                <w:sz w:val="18"/>
                <w:szCs w:val="18"/>
                <w:color w:val="auto"/>
              </w:rPr>
              <w:t>1.875%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2.250%</w:t>
            </w:r>
          </w:p>
        </w:tc>
        <w:tc>
          <w:tcPr>
            <w:tcW w:w="12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2.500%</w:t>
            </w:r>
          </w:p>
        </w:tc>
        <w:tc>
          <w:tcPr>
            <w:tcW w:w="0" w:type="dxa"/>
            <w:vAlign w:val="bottom"/>
          </w:tcPr>
          <w:p>
            <w:pPr>
              <w:spacing w:after="0"/>
              <w:rPr>
                <w:sz w:val="1"/>
                <w:szCs w:val="1"/>
                <w:color w:val="auto"/>
              </w:rPr>
            </w:pPr>
          </w:p>
        </w:tc>
      </w:tr>
      <w:tr>
        <w:trPr>
          <w:trHeight w:val="20"/>
        </w:trPr>
        <w:tc>
          <w:tcPr>
            <w:tcW w:w="1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500" w:type="dxa"/>
            <w:vAlign w:val="bottom"/>
            <w:gridSpan w:val="5"/>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0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90"/>
              </w:rPr>
              <w:t>From the 270th</w:t>
            </w:r>
          </w:p>
        </w:tc>
        <w:tc>
          <w:tcPr>
            <w:tcW w:w="220" w:type="dxa"/>
            <w:vAlign w:val="bottom"/>
            <w:gridSpan w:val="5"/>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020" w:type="dxa"/>
            <w:vAlign w:val="bottom"/>
            <w:tcBorders>
              <w:bottom w:val="single" w:sz="8" w:color="auto"/>
            </w:tcBorders>
            <w:gridSpan w:val="7"/>
          </w:tcPr>
          <w:p>
            <w:pPr>
              <w:spacing w:after="0" w:line="196" w:lineRule="exact"/>
              <w:rPr>
                <w:sz w:val="20"/>
                <w:szCs w:val="20"/>
                <w:color w:val="auto"/>
              </w:rPr>
            </w:pPr>
            <w:r>
              <w:rPr>
                <w:rFonts w:ascii="Arial" w:cs="Arial" w:eastAsia="Arial" w:hAnsi="Arial"/>
                <w:sz w:val="18"/>
                <w:szCs w:val="18"/>
                <w:color w:val="auto"/>
                <w:w w:val="96"/>
              </w:rPr>
              <w:t>day following</w:t>
            </w:r>
          </w:p>
        </w:tc>
        <w:tc>
          <w:tcPr>
            <w:tcW w:w="320" w:type="dxa"/>
            <w:vAlign w:val="bottom"/>
            <w:gridSpan w:val="7"/>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340" w:type="dxa"/>
            <w:vAlign w:val="bottom"/>
            <w:gridSpan w:val="14"/>
          </w:tcPr>
          <w:p>
            <w:pPr>
              <w:spacing w:after="0" w:line="196" w:lineRule="exact"/>
              <w:rPr>
                <w:sz w:val="20"/>
                <w:szCs w:val="20"/>
                <w:color w:val="auto"/>
              </w:rPr>
            </w:pPr>
            <w:r>
              <w:rPr>
                <w:rFonts w:ascii="Arial" w:cs="Arial" w:eastAsia="Arial" w:hAnsi="Arial"/>
                <w:sz w:val="18"/>
                <w:szCs w:val="18"/>
                <w:color w:val="auto"/>
                <w:w w:val="99"/>
              </w:rPr>
              <w:t>the Closing Date</w:t>
            </w:r>
          </w:p>
        </w:tc>
        <w:tc>
          <w:tcPr>
            <w:tcW w:w="1340" w:type="dxa"/>
            <w:vAlign w:val="bottom"/>
            <w:gridSpan w:val="2"/>
          </w:tcPr>
          <w:p>
            <w:pPr>
              <w:jc w:val="center"/>
              <w:ind w:left="458"/>
              <w:spacing w:after="0" w:line="196" w:lineRule="exact"/>
              <w:rPr>
                <w:sz w:val="20"/>
                <w:szCs w:val="20"/>
                <w:color w:val="auto"/>
              </w:rPr>
            </w:pPr>
            <w:r>
              <w:rPr>
                <w:rFonts w:ascii="Arial" w:cs="Arial" w:eastAsia="Arial" w:hAnsi="Arial"/>
                <w:sz w:val="18"/>
                <w:szCs w:val="18"/>
                <w:color w:val="auto"/>
                <w:w w:val="91"/>
              </w:rPr>
              <w:t>1.875%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2.000%</w:t>
            </w:r>
          </w:p>
        </w:tc>
        <w:tc>
          <w:tcPr>
            <w:tcW w:w="1300" w:type="dxa"/>
            <w:vAlign w:val="bottom"/>
            <w:gridSpan w:val="2"/>
          </w:tcPr>
          <w:p>
            <w:pPr>
              <w:jc w:val="right"/>
              <w:ind w:right="100"/>
              <w:spacing w:after="0" w:line="196" w:lineRule="exact"/>
              <w:rPr>
                <w:sz w:val="20"/>
                <w:szCs w:val="20"/>
                <w:color w:val="auto"/>
              </w:rPr>
            </w:pPr>
            <w:r>
              <w:rPr>
                <w:rFonts w:ascii="Arial" w:cs="Arial" w:eastAsia="Arial" w:hAnsi="Arial"/>
                <w:sz w:val="18"/>
                <w:szCs w:val="18"/>
                <w:color w:val="auto"/>
              </w:rPr>
              <w:t>2.125%</w:t>
            </w:r>
          </w:p>
        </w:tc>
        <w:tc>
          <w:tcPr>
            <w:tcW w:w="1320" w:type="dxa"/>
            <w:vAlign w:val="bottom"/>
            <w:gridSpan w:val="2"/>
          </w:tcPr>
          <w:p>
            <w:pPr>
              <w:jc w:val="right"/>
              <w:ind w:right="120"/>
              <w:spacing w:after="0" w:line="196" w:lineRule="exact"/>
              <w:rPr>
                <w:sz w:val="20"/>
                <w:szCs w:val="20"/>
                <w:color w:val="auto"/>
              </w:rPr>
            </w:pPr>
            <w:r>
              <w:rPr>
                <w:rFonts w:ascii="Arial" w:cs="Arial" w:eastAsia="Arial" w:hAnsi="Arial"/>
                <w:sz w:val="18"/>
                <w:szCs w:val="18"/>
                <w:color w:val="auto"/>
              </w:rPr>
              <w:t>2.500%</w:t>
            </w:r>
          </w:p>
        </w:tc>
        <w:tc>
          <w:tcPr>
            <w:tcW w:w="12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2.750%</w:t>
            </w:r>
          </w:p>
        </w:tc>
        <w:tc>
          <w:tcPr>
            <w:tcW w:w="0" w:type="dxa"/>
            <w:vAlign w:val="bottom"/>
          </w:tcPr>
          <w:p>
            <w:pPr>
              <w:spacing w:after="0"/>
              <w:rPr>
                <w:sz w:val="1"/>
                <w:szCs w:val="1"/>
                <w:color w:val="auto"/>
              </w:rPr>
            </w:pPr>
          </w:p>
        </w:tc>
      </w:tr>
      <w:tr>
        <w:trPr>
          <w:trHeight w:val="385"/>
        </w:trPr>
        <w:tc>
          <w:tcPr>
            <w:tcW w:w="18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jc w:val="center"/>
              <w:ind w:left="638"/>
              <w:spacing w:after="0"/>
              <w:rPr>
                <w:sz w:val="20"/>
                <w:szCs w:val="20"/>
                <w:color w:val="auto"/>
              </w:rPr>
            </w:pPr>
            <w:r>
              <w:rPr>
                <w:rFonts w:ascii="Arial" w:cs="Arial" w:eastAsia="Arial" w:hAnsi="Arial"/>
                <w:sz w:val="18"/>
                <w:szCs w:val="18"/>
                <w:color w:val="auto"/>
                <w:w w:val="89"/>
              </w:rPr>
              <w:t>10</w:t>
            </w: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56" w:right="439" w:bottom="1440" w:gutter="0" w:footer="0" w:header="0"/>
        </w:sectPr>
      </w:pPr>
    </w:p>
    <w:bookmarkStart w:id="150" w:name="page151"/>
    <w:bookmarkEnd w:id="150"/>
    <w:p>
      <w:pPr>
        <w:ind w:left="2200" w:right="10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foregoing pricing shall be based on the senior, unsecured non-credit enhanced long-term indebtedness for borrowed money of (x) prior to the assignment of such ratings for Holdco, Maui and (y) thereafter, Holdco, in each case, issued by Moody’s, S&amp;P and Fitch (the “</w:t>
      </w:r>
      <w:r>
        <w:rPr>
          <w:rFonts w:ascii="Arial" w:cs="Arial" w:eastAsia="Arial" w:hAnsi="Arial"/>
          <w:sz w:val="17"/>
          <w:szCs w:val="17"/>
          <w:b w:val="1"/>
          <w:bCs w:val="1"/>
          <w:i w:val="1"/>
          <w:iCs w:val="1"/>
          <w:color w:val="auto"/>
        </w:rPr>
        <w:t>Public Debt Rating</w:t>
      </w:r>
      <w:r>
        <w:rPr>
          <w:rFonts w:ascii="Arial" w:cs="Arial" w:eastAsia="Arial" w:hAnsi="Arial"/>
          <w:sz w:val="17"/>
          <w:szCs w:val="17"/>
          <w:color w:val="auto"/>
        </w:rPr>
        <w:t>”). Split ratings shall be addressed in a manner consistent with the Existing Credit Agreement.</w:t>
      </w:r>
    </w:p>
    <w:p>
      <w:pPr>
        <w:spacing w:after="0" w:line="171" w:lineRule="exact"/>
        <w:rPr>
          <w:sz w:val="20"/>
          <w:szCs w:val="20"/>
          <w:color w:val="auto"/>
        </w:rPr>
      </w:pPr>
    </w:p>
    <w:p>
      <w:pPr>
        <w:ind w:left="2200" w:right="10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Applicable ABR Margin</w:t>
      </w:r>
      <w:r>
        <w:rPr>
          <w:rFonts w:ascii="Arial" w:cs="Arial" w:eastAsia="Arial" w:hAnsi="Arial"/>
          <w:sz w:val="18"/>
          <w:szCs w:val="18"/>
          <w:color w:val="auto"/>
        </w:rPr>
        <w:t xml:space="preserve">” means a percentage equal to the greater of (i) 0% and (ii) the Applicable LIBO Margin </w:t>
      </w:r>
      <w:r>
        <w:rPr>
          <w:rFonts w:ascii="Arial" w:cs="Arial" w:eastAsia="Arial" w:hAnsi="Arial"/>
          <w:sz w:val="18"/>
          <w:szCs w:val="18"/>
          <w:i w:val="1"/>
          <w:iCs w:val="1"/>
          <w:color w:val="auto"/>
        </w:rPr>
        <w:t>minus</w:t>
      </w:r>
      <w:r>
        <w:rPr>
          <w:rFonts w:ascii="Arial" w:cs="Arial" w:eastAsia="Arial" w:hAnsi="Arial"/>
          <w:sz w:val="18"/>
          <w:szCs w:val="18"/>
          <w:color w:val="auto"/>
        </w:rPr>
        <w:t xml:space="preserve"> 1.0%.</w:t>
      </w:r>
    </w:p>
    <w:p>
      <w:pPr>
        <w:spacing w:after="0" w:line="170" w:lineRule="exact"/>
        <w:rPr>
          <w:sz w:val="20"/>
          <w:szCs w:val="20"/>
          <w:color w:val="auto"/>
        </w:rPr>
      </w:pPr>
    </w:p>
    <w:p>
      <w:pPr>
        <w:ind w:left="220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Federal Funds Effective Rate</w:t>
      </w:r>
      <w:r>
        <w:rPr>
          <w:rFonts w:ascii="Arial" w:cs="Arial" w:eastAsia="Arial" w:hAnsi="Arial"/>
          <w:sz w:val="16"/>
          <w:szCs w:val="16"/>
          <w:color w:val="auto"/>
        </w:rPr>
        <w:t>”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provided that if the Federal Funds Effective Rate shall be less than zero, such rate shall be deemed to zero for the purposes of calculating such rate.</w:t>
      </w:r>
    </w:p>
    <w:p>
      <w:pPr>
        <w:spacing w:after="0" w:line="161" w:lineRule="exact"/>
        <w:rPr>
          <w:sz w:val="20"/>
          <w:szCs w:val="20"/>
          <w:color w:val="auto"/>
        </w:rPr>
      </w:pPr>
    </w:p>
    <w:p>
      <w:pPr>
        <w:ind w:left="220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Interpolated Rate</w:t>
      </w:r>
      <w:r>
        <w:rPr>
          <w:rFonts w:ascii="Arial" w:cs="Arial" w:eastAsia="Arial" w:hAnsi="Arial"/>
          <w:sz w:val="18"/>
          <w:szCs w:val="18"/>
          <w:color w:val="auto"/>
        </w:rPr>
        <w:t xml:space="preserve">” means, at any time, for any interest period, the rate </w:t>
      </w:r>
      <w:r>
        <w:rPr>
          <w:rFonts w:ascii="Arial" w:cs="Arial" w:eastAsia="Arial" w:hAnsi="Arial"/>
          <w:sz w:val="18"/>
          <w:szCs w:val="18"/>
          <w:i w:val="1"/>
          <w:iCs w:val="1"/>
          <w:color w:val="auto"/>
        </w:rPr>
        <w:t>per annum</w:t>
      </w:r>
      <w:r>
        <w:rPr>
          <w:rFonts w:ascii="Arial" w:cs="Arial" w:eastAsia="Arial" w:hAnsi="Arial"/>
          <w:sz w:val="18"/>
          <w:szCs w:val="18"/>
          <w:color w:val="auto"/>
        </w:rPr>
        <w:t xml:space="preserve"> (rounded to the same number of decimal places as the LIBO Screen Rate) determined by the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127"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9960"/>
          </w:cols>
          <w:pgMar w:left="1440" w:top="274" w:right="499" w:bottom="1440" w:gutter="0" w:footer="0" w:header="0"/>
        </w:sectPr>
      </w:pPr>
    </w:p>
    <w:bookmarkStart w:id="151" w:name="page152"/>
    <w:bookmarkEnd w:id="151"/>
    <w:p>
      <w:pPr>
        <w:ind w:left="2200" w:right="2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6"/>
          <w:szCs w:val="16"/>
          <w:b w:val="1"/>
          <w:bCs w:val="1"/>
          <w:i w:val="1"/>
          <w:iCs w:val="1"/>
          <w:color w:val="auto"/>
        </w:rPr>
        <w:t>LIBO Rate</w:t>
      </w:r>
      <w:r>
        <w:rPr>
          <w:rFonts w:ascii="Arial" w:cs="Arial" w:eastAsia="Arial" w:hAnsi="Arial"/>
          <w:sz w:val="16"/>
          <w:szCs w:val="16"/>
          <w:color w:val="auto"/>
        </w:rPr>
        <w:t xml:space="preserve">” means, with respect to any Eurodollar Borrowing for any interest period, the LIBO Screen Rate at approximately 11:00 a.m., London time, two Business Days prior to the commencement of such interest period;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LIBO Screen Rate shall not be available at such time for such interest period (an “</w:t>
      </w:r>
      <w:r>
        <w:rPr>
          <w:rFonts w:ascii="Arial" w:cs="Arial" w:eastAsia="Arial" w:hAnsi="Arial"/>
          <w:sz w:val="16"/>
          <w:szCs w:val="16"/>
          <w:b w:val="1"/>
          <w:bCs w:val="1"/>
          <w:i w:val="1"/>
          <w:iCs w:val="1"/>
          <w:color w:val="auto"/>
        </w:rPr>
        <w:t>Impacted Interest Period</w:t>
      </w:r>
      <w:r>
        <w:rPr>
          <w:rFonts w:ascii="Arial" w:cs="Arial" w:eastAsia="Arial" w:hAnsi="Arial"/>
          <w:sz w:val="16"/>
          <w:szCs w:val="16"/>
          <w:color w:val="auto"/>
        </w:rPr>
        <w:t>”) then the LIBO Rate shall be the Interpolated Rate.</w:t>
      </w:r>
    </w:p>
    <w:p>
      <w:pPr>
        <w:spacing w:after="0" w:line="157" w:lineRule="exact"/>
        <w:rPr>
          <w:sz w:val="20"/>
          <w:szCs w:val="20"/>
          <w:color w:val="auto"/>
        </w:rPr>
      </w:pPr>
    </w:p>
    <w:p>
      <w:pPr>
        <w:ind w:left="220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LIBO Screen Rate</w:t>
      </w:r>
      <w:r>
        <w:rPr>
          <w:rFonts w:ascii="Arial" w:cs="Arial" w:eastAsia="Arial" w:hAnsi="Arial"/>
          <w:sz w:val="17"/>
          <w:szCs w:val="17"/>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Administrative Agent in its reasonable discretion);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LIBO Screen Rate as so determined would be less than zero, such rate shall be deemed to be zero for the purposes of calculating such rate.</w:t>
      </w:r>
    </w:p>
    <w:p>
      <w:pPr>
        <w:spacing w:after="0" w:line="181" w:lineRule="exact"/>
        <w:rPr>
          <w:sz w:val="20"/>
          <w:szCs w:val="20"/>
          <w:color w:val="auto"/>
        </w:rPr>
      </w:pPr>
    </w:p>
    <w:p>
      <w:pPr>
        <w:ind w:left="2200" w:right="2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NYFRB Rate</w:t>
      </w:r>
      <w:r>
        <w:rPr>
          <w:rFonts w:ascii="Arial" w:cs="Arial" w:eastAsia="Arial" w:hAnsi="Arial"/>
          <w:sz w:val="16"/>
          <w:szCs w:val="16"/>
          <w:color w:val="auto"/>
        </w:rPr>
        <w:t>” means, for any day, the greater of (a) the Federal Funds Effective Rate in effect on such day and (b) the Overnight Bank Funding Rate in effect on such day; provided that if any of the aforesaid rates shall be less than zero, such rate shall be deemed to zero for the purposes of calculating such rate.</w:t>
      </w:r>
    </w:p>
    <w:p>
      <w:pPr>
        <w:spacing w:after="0" w:line="149" w:lineRule="exact"/>
        <w:rPr>
          <w:sz w:val="20"/>
          <w:szCs w:val="20"/>
          <w:color w:val="auto"/>
        </w:rPr>
      </w:pPr>
    </w:p>
    <w:p>
      <w:pPr>
        <w:ind w:left="2200" w:right="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Overnight Bank Funding Rate</w:t>
      </w:r>
      <w:r>
        <w:rPr>
          <w:rFonts w:ascii="Arial" w:cs="Arial" w:eastAsia="Arial" w:hAnsi="Arial"/>
          <w:sz w:val="17"/>
          <w:szCs w:val="17"/>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76" w:lineRule="exact"/>
        <w:rPr>
          <w:sz w:val="20"/>
          <w:szCs w:val="20"/>
          <w:color w:val="auto"/>
        </w:rPr>
      </w:pPr>
    </w:p>
    <w:p>
      <w:pPr>
        <w:ind w:left="2200" w:right="220"/>
        <w:spacing w:after="0" w:line="277" w:lineRule="auto"/>
        <w:rPr>
          <w:sz w:val="20"/>
          <w:szCs w:val="20"/>
          <w:color w:val="auto"/>
        </w:rPr>
      </w:pPr>
      <w:r>
        <w:rPr>
          <w:rFonts w:ascii="Arial" w:cs="Arial" w:eastAsia="Arial" w:hAnsi="Arial"/>
          <w:sz w:val="18"/>
          <w:szCs w:val="18"/>
          <w:color w:val="auto"/>
        </w:rPr>
        <w:t>The Credit Documentation will contain provisions to be mutually agreed with respect to a replacement of the LIBO Rate.</w:t>
      </w:r>
    </w:p>
    <w:p>
      <w:pPr>
        <w:spacing w:after="0" w:line="170" w:lineRule="exact"/>
        <w:rPr>
          <w:sz w:val="20"/>
          <w:szCs w:val="20"/>
          <w:color w:val="auto"/>
        </w:rPr>
      </w:pPr>
    </w:p>
    <w:p>
      <w:pPr>
        <w:ind w:left="2200"/>
        <w:spacing w:after="0" w:line="277" w:lineRule="auto"/>
        <w:rPr>
          <w:sz w:val="20"/>
          <w:szCs w:val="20"/>
          <w:color w:val="auto"/>
        </w:rPr>
      </w:pPr>
      <w:r>
        <w:rPr>
          <w:rFonts w:ascii="Arial" w:cs="Arial" w:eastAsia="Arial" w:hAnsi="Arial"/>
          <w:sz w:val="18"/>
          <w:szCs w:val="18"/>
          <w:color w:val="auto"/>
        </w:rPr>
        <w:t>Interest Payment Dates:In the case of Loans bearing interest based upon the ABR (“</w:t>
      </w:r>
      <w:r>
        <w:rPr>
          <w:rFonts w:ascii="Arial" w:cs="Arial" w:eastAsia="Arial" w:hAnsi="Arial"/>
          <w:sz w:val="18"/>
          <w:szCs w:val="18"/>
          <w:b w:val="1"/>
          <w:bCs w:val="1"/>
          <w:i w:val="1"/>
          <w:iCs w:val="1"/>
          <w:color w:val="auto"/>
        </w:rPr>
        <w:t>ABR Loans</w:t>
      </w:r>
      <w:r>
        <w:rPr>
          <w:rFonts w:ascii="Arial" w:cs="Arial" w:eastAsia="Arial" w:hAnsi="Arial"/>
          <w:sz w:val="18"/>
          <w:szCs w:val="18"/>
          <w:color w:val="auto"/>
        </w:rPr>
        <w:t>”), quarterly in arrears.</w:t>
      </w:r>
    </w:p>
    <w:p>
      <w:pPr>
        <w:spacing w:after="0" w:line="170" w:lineRule="exact"/>
        <w:rPr>
          <w:sz w:val="20"/>
          <w:szCs w:val="20"/>
          <w:color w:val="auto"/>
        </w:rPr>
      </w:pPr>
    </w:p>
    <w:p>
      <w:pPr>
        <w:jc w:val="both"/>
        <w:ind w:left="2200" w:right="60"/>
        <w:spacing w:after="0" w:line="263" w:lineRule="auto"/>
        <w:rPr>
          <w:sz w:val="20"/>
          <w:szCs w:val="20"/>
          <w:color w:val="auto"/>
        </w:rPr>
      </w:pPr>
      <w:r>
        <w:rPr>
          <w:rFonts w:ascii="Arial" w:cs="Arial" w:eastAsia="Arial" w:hAnsi="Arial"/>
          <w:sz w:val="18"/>
          <w:szCs w:val="18"/>
          <w:color w:val="auto"/>
        </w:rPr>
        <w:t>In the case of Loans bearing interest based upon the Adjusted LIBO Rate (“</w:t>
      </w:r>
      <w:r>
        <w:rPr>
          <w:rFonts w:ascii="Arial" w:cs="Arial" w:eastAsia="Arial" w:hAnsi="Arial"/>
          <w:sz w:val="18"/>
          <w:szCs w:val="18"/>
          <w:b w:val="1"/>
          <w:bCs w:val="1"/>
          <w:i w:val="1"/>
          <w:iCs w:val="1"/>
          <w:color w:val="auto"/>
        </w:rPr>
        <w:t>Eurodollar Loans</w:t>
      </w:r>
      <w:r>
        <w:rPr>
          <w:rFonts w:ascii="Arial" w:cs="Arial" w:eastAsia="Arial" w:hAnsi="Arial"/>
          <w:sz w:val="18"/>
          <w:szCs w:val="18"/>
          <w:color w:val="auto"/>
        </w:rPr>
        <w:t>”), on the last day of each relevant interest period and, in the case of any interest period longer than three months, on each successive date three months after the first day of such interest period.</w:t>
      </w:r>
    </w:p>
    <w:p>
      <w:pPr>
        <w:spacing w:after="0" w:line="116"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000"/>
          </w:cols>
          <w:pgMar w:left="1440" w:top="490" w:right="459" w:bottom="1440" w:gutter="0" w:footer="0" w:header="0"/>
        </w:sectPr>
      </w:pPr>
    </w:p>
    <w:bookmarkStart w:id="152" w:name="page153"/>
    <w:bookmarkEnd w:id="152"/>
    <w:tbl>
      <w:tblPr>
        <w:tblLayout w:type="fixed"/>
        <w:tblInd w:w="0" w:type="dxa"/>
        <w:tblCellMar>
          <w:top w:w="0" w:type="dxa"/>
          <w:left w:w="0" w:type="dxa"/>
          <w:bottom w:w="0" w:type="dxa"/>
          <w:right w:w="0" w:type="dxa"/>
        </w:tblCellMar>
      </w:tblPr>
      <w:tr>
        <w:trPr>
          <w:trHeight w:val="216"/>
        </w:trPr>
        <w:tc>
          <w:tcPr>
            <w:tcW w:w="1920" w:type="dxa"/>
            <w:vAlign w:val="bottom"/>
          </w:tcPr>
          <w:p>
            <w:pPr>
              <w:spacing w:after="0"/>
              <w:rPr>
                <w:sz w:val="20"/>
                <w:szCs w:val="20"/>
                <w:color w:val="auto"/>
              </w:rPr>
            </w:pPr>
            <w:r>
              <w:rPr>
                <w:rFonts w:ascii="Arial" w:cs="Arial" w:eastAsia="Arial" w:hAnsi="Arial"/>
                <w:sz w:val="18"/>
                <w:szCs w:val="18"/>
                <w:color w:val="auto"/>
              </w:rPr>
              <w:t>Default Rate:</w:t>
            </w: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3"/>
              </w:rPr>
              <w:t>At any time when the Borrower is in default in the payment of any amount of principal due under the Bridge Facility,</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3"/>
              </w:rPr>
              <w:t>such amount shall bear interest at 2% above the rate otherwise applicable thereto. Overdue interest, fees and other</w:t>
            </w:r>
          </w:p>
        </w:tc>
      </w:tr>
      <w:tr>
        <w:trPr>
          <w:trHeight w:val="230"/>
        </w:trPr>
        <w:tc>
          <w:tcPr>
            <w:tcW w:w="1920" w:type="dxa"/>
            <w:vAlign w:val="bottom"/>
          </w:tcPr>
          <w:p>
            <w:pPr>
              <w:spacing w:after="0"/>
              <w:rPr>
                <w:sz w:val="20"/>
                <w:szCs w:val="20"/>
                <w:color w:val="auto"/>
              </w:rPr>
            </w:pPr>
          </w:p>
        </w:tc>
        <w:tc>
          <w:tcPr>
            <w:tcW w:w="6120" w:type="dxa"/>
            <w:vAlign w:val="bottom"/>
            <w:gridSpan w:val="9"/>
          </w:tcPr>
          <w:p>
            <w:pPr>
              <w:ind w:left="520"/>
              <w:spacing w:after="0"/>
              <w:rPr>
                <w:sz w:val="20"/>
                <w:szCs w:val="20"/>
                <w:color w:val="auto"/>
              </w:rPr>
            </w:pPr>
            <w:r>
              <w:rPr>
                <w:rFonts w:ascii="Arial" w:cs="Arial" w:eastAsia="Arial" w:hAnsi="Arial"/>
                <w:sz w:val="18"/>
                <w:szCs w:val="18"/>
                <w:color w:val="auto"/>
                <w:w w:val="93"/>
              </w:rPr>
              <w:t>amounts shall bear interest at 2% above the rate applicable to ABR Loans.</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8"/>
        </w:trPr>
        <w:tc>
          <w:tcPr>
            <w:tcW w:w="1920" w:type="dxa"/>
            <w:vAlign w:val="bottom"/>
          </w:tcPr>
          <w:p>
            <w:pPr>
              <w:spacing w:after="0"/>
              <w:rPr>
                <w:sz w:val="20"/>
                <w:szCs w:val="20"/>
                <w:color w:val="auto"/>
              </w:rPr>
            </w:pPr>
            <w:r>
              <w:rPr>
                <w:rFonts w:ascii="Arial" w:cs="Arial" w:eastAsia="Arial" w:hAnsi="Arial"/>
                <w:sz w:val="18"/>
                <w:szCs w:val="18"/>
                <w:color w:val="auto"/>
              </w:rPr>
              <w:t>Duration Fee:</w:t>
            </w: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6"/>
              </w:rPr>
              <w:t>The Borrower will pay a fee (the “</w:t>
            </w:r>
            <w:r>
              <w:rPr>
                <w:rFonts w:ascii="Arial" w:cs="Arial" w:eastAsia="Arial" w:hAnsi="Arial"/>
                <w:sz w:val="18"/>
                <w:szCs w:val="18"/>
                <w:b w:val="1"/>
                <w:bCs w:val="1"/>
                <w:i w:val="1"/>
                <w:iCs w:val="1"/>
                <w:color w:val="auto"/>
                <w:w w:val="96"/>
              </w:rPr>
              <w:t>Duration Fee</w:t>
            </w:r>
            <w:r>
              <w:rPr>
                <w:rFonts w:ascii="Arial" w:cs="Arial" w:eastAsia="Arial" w:hAnsi="Arial"/>
                <w:sz w:val="18"/>
                <w:szCs w:val="18"/>
                <w:color w:val="auto"/>
                <w:w w:val="96"/>
              </w:rPr>
              <w:t>”), for the ratable benefit of the Lenders, in an amount equal to (i)</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4"/>
              </w:rPr>
              <w:t>0.50% of the aggregate principal amount of the loans under the Bridge Facility outstanding on the date which is 90</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2"/>
              </w:rPr>
              <w:t>days after the Closing Date, due and payable in cash on such 90th day (or if such day is not a business day, the next</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3"/>
              </w:rPr>
              <w:t>business day); (ii) 0.75% of the aggregate principal amount of the loans under the Bridge Facility outstanding on the</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5"/>
              </w:rPr>
              <w:t>date which is 180 days after the Closing Date, due and payable in cash on such 180th day (or if such day is not a</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2"/>
              </w:rPr>
              <w:t>business day, the next business day); and (iii) 1.00% of the aggregate principal amount of the loans under the Bridge</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2"/>
              </w:rPr>
              <w:t>Facility outstanding on the date which is 270 days after the Closing Date, due and payable in cash on such 270th day</w:t>
            </w:r>
          </w:p>
        </w:tc>
      </w:tr>
      <w:tr>
        <w:trPr>
          <w:trHeight w:val="230"/>
        </w:trPr>
        <w:tc>
          <w:tcPr>
            <w:tcW w:w="1920" w:type="dxa"/>
            <w:vAlign w:val="bottom"/>
          </w:tcPr>
          <w:p>
            <w:pPr>
              <w:spacing w:after="0"/>
              <w:rPr>
                <w:sz w:val="20"/>
                <w:szCs w:val="20"/>
                <w:color w:val="auto"/>
              </w:rPr>
            </w:pPr>
          </w:p>
        </w:tc>
        <w:tc>
          <w:tcPr>
            <w:tcW w:w="6120" w:type="dxa"/>
            <w:vAlign w:val="bottom"/>
            <w:gridSpan w:val="9"/>
          </w:tcPr>
          <w:p>
            <w:pPr>
              <w:ind w:left="520"/>
              <w:spacing w:after="0"/>
              <w:rPr>
                <w:sz w:val="20"/>
                <w:szCs w:val="20"/>
                <w:color w:val="auto"/>
              </w:rPr>
            </w:pPr>
            <w:r>
              <w:rPr>
                <w:rFonts w:ascii="Arial" w:cs="Arial" w:eastAsia="Arial" w:hAnsi="Arial"/>
                <w:sz w:val="18"/>
                <w:szCs w:val="18"/>
                <w:color w:val="auto"/>
              </w:rPr>
              <w:t>(or if such day is not a business day, the next business day).</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8"/>
        </w:trPr>
        <w:tc>
          <w:tcPr>
            <w:tcW w:w="1920" w:type="dxa"/>
            <w:vAlign w:val="bottom"/>
          </w:tcPr>
          <w:p>
            <w:pPr>
              <w:spacing w:after="0"/>
              <w:rPr>
                <w:sz w:val="20"/>
                <w:szCs w:val="20"/>
                <w:color w:val="auto"/>
              </w:rPr>
            </w:pPr>
            <w:r>
              <w:rPr>
                <w:rFonts w:ascii="Arial" w:cs="Arial" w:eastAsia="Arial" w:hAnsi="Arial"/>
                <w:sz w:val="18"/>
                <w:szCs w:val="18"/>
                <w:color w:val="auto"/>
              </w:rPr>
              <w:t>Undrawn Fee:</w:t>
            </w: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6"/>
              </w:rPr>
              <w:t>The Borrower will pay a fee (the “</w:t>
            </w:r>
            <w:r>
              <w:rPr>
                <w:rFonts w:ascii="Arial" w:cs="Arial" w:eastAsia="Arial" w:hAnsi="Arial"/>
                <w:sz w:val="18"/>
                <w:szCs w:val="18"/>
                <w:b w:val="1"/>
                <w:bCs w:val="1"/>
                <w:i w:val="1"/>
                <w:iCs w:val="1"/>
                <w:color w:val="auto"/>
                <w:w w:val="96"/>
              </w:rPr>
              <w:t>Undrawn Fee</w:t>
            </w:r>
            <w:r>
              <w:rPr>
                <w:rFonts w:ascii="Arial" w:cs="Arial" w:eastAsia="Arial" w:hAnsi="Arial"/>
                <w:sz w:val="18"/>
                <w:szCs w:val="18"/>
                <w:color w:val="auto"/>
                <w:w w:val="96"/>
              </w:rPr>
              <w:t>”), for the ratable benefit of the Lenders, in an amount equal to a</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4"/>
              </w:rPr>
              <w:t>percentage determined in accordance with the pricing grid set forth immediately below (the “</w:t>
            </w:r>
            <w:r>
              <w:rPr>
                <w:rFonts w:ascii="Arial" w:cs="Arial" w:eastAsia="Arial" w:hAnsi="Arial"/>
                <w:sz w:val="18"/>
                <w:szCs w:val="18"/>
                <w:b w:val="1"/>
                <w:bCs w:val="1"/>
                <w:i w:val="1"/>
                <w:iCs w:val="1"/>
                <w:color w:val="auto"/>
                <w:w w:val="94"/>
              </w:rPr>
              <w:t>Undrawn Fee Pricing</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b w:val="1"/>
                <w:bCs w:val="1"/>
                <w:i w:val="1"/>
                <w:iCs w:val="1"/>
                <w:color w:val="auto"/>
                <w:w w:val="93"/>
              </w:rPr>
              <w:t>Grid</w:t>
            </w:r>
            <w:r>
              <w:rPr>
                <w:rFonts w:ascii="Arial" w:cs="Arial" w:eastAsia="Arial" w:hAnsi="Arial"/>
                <w:sz w:val="18"/>
                <w:szCs w:val="18"/>
                <w:color w:val="auto"/>
                <w:w w:val="93"/>
              </w:rPr>
              <w:t>”) of the undrawn portion of the commitments in respect of the Bridge Facility from and including the day that is</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1"/>
              </w:rPr>
              <w:t>90 days following the execution of the Commitment Letter and to but excluding the Fee Payment Date, which fee shall</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1"/>
              </w:rPr>
              <w:t>be payable upon the Fee Payment Date (or earlier termination of the commitments with respect to the Bridge Facility).</w:t>
            </w:r>
          </w:p>
        </w:tc>
      </w:tr>
      <w:tr>
        <w:trPr>
          <w:trHeight w:val="216"/>
        </w:trPr>
        <w:tc>
          <w:tcPr>
            <w:tcW w:w="1920" w:type="dxa"/>
            <w:vAlign w:val="bottom"/>
          </w:tcPr>
          <w:p>
            <w:pPr>
              <w:spacing w:after="0"/>
              <w:rPr>
                <w:sz w:val="18"/>
                <w:szCs w:val="18"/>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3"/>
              </w:rPr>
              <w:t>For the purposes hereof, “</w:t>
            </w:r>
            <w:r>
              <w:rPr>
                <w:rFonts w:ascii="Arial" w:cs="Arial" w:eastAsia="Arial" w:hAnsi="Arial"/>
                <w:sz w:val="18"/>
                <w:szCs w:val="18"/>
                <w:b w:val="1"/>
                <w:bCs w:val="1"/>
                <w:i w:val="1"/>
                <w:iCs w:val="1"/>
                <w:color w:val="auto"/>
                <w:w w:val="93"/>
              </w:rPr>
              <w:t>Fee Payment Date</w:t>
            </w:r>
            <w:r>
              <w:rPr>
                <w:rFonts w:ascii="Arial" w:cs="Arial" w:eastAsia="Arial" w:hAnsi="Arial"/>
                <w:sz w:val="18"/>
                <w:szCs w:val="18"/>
                <w:color w:val="auto"/>
                <w:w w:val="93"/>
              </w:rPr>
              <w:t>” means the earlier of (i) termination or expiration of the commitments</w:t>
            </w:r>
          </w:p>
        </w:tc>
      </w:tr>
      <w:tr>
        <w:trPr>
          <w:trHeight w:val="230"/>
        </w:trPr>
        <w:tc>
          <w:tcPr>
            <w:tcW w:w="1920" w:type="dxa"/>
            <w:vAlign w:val="bottom"/>
          </w:tcPr>
          <w:p>
            <w:pPr>
              <w:spacing w:after="0"/>
              <w:rPr>
                <w:sz w:val="20"/>
                <w:szCs w:val="20"/>
                <w:color w:val="auto"/>
              </w:rPr>
            </w:pPr>
          </w:p>
        </w:tc>
        <w:tc>
          <w:tcPr>
            <w:tcW w:w="4360" w:type="dxa"/>
            <w:vAlign w:val="bottom"/>
            <w:gridSpan w:val="6"/>
          </w:tcPr>
          <w:p>
            <w:pPr>
              <w:ind w:left="520"/>
              <w:spacing w:after="0"/>
              <w:rPr>
                <w:sz w:val="20"/>
                <w:szCs w:val="20"/>
                <w:color w:val="auto"/>
              </w:rPr>
            </w:pPr>
            <w:r>
              <w:rPr>
                <w:rFonts w:ascii="Arial" w:cs="Arial" w:eastAsia="Arial" w:hAnsi="Arial"/>
                <w:sz w:val="18"/>
                <w:szCs w:val="18"/>
                <w:color w:val="auto"/>
                <w:w w:val="96"/>
              </w:rPr>
              <w:t>under the Bridge Facility and (ii) the Closing Date.</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46"/>
        </w:trPr>
        <w:tc>
          <w:tcPr>
            <w:tcW w:w="19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760" w:type="dxa"/>
            <w:vAlign w:val="bottom"/>
            <w:gridSpan w:val="2"/>
          </w:tcPr>
          <w:p>
            <w:pPr>
              <w:jc w:val="center"/>
              <w:ind w:right="100"/>
              <w:spacing w:after="0"/>
              <w:rPr>
                <w:sz w:val="20"/>
                <w:szCs w:val="20"/>
                <w:color w:val="auto"/>
              </w:rPr>
            </w:pPr>
            <w:r>
              <w:rPr>
                <w:rFonts w:ascii="Arial" w:cs="Arial" w:eastAsia="Arial" w:hAnsi="Arial"/>
                <w:sz w:val="14"/>
                <w:szCs w:val="14"/>
                <w:color w:val="auto"/>
                <w:w w:val="98"/>
              </w:rPr>
              <w:t>Pricing</w:t>
            </w:r>
          </w:p>
        </w:tc>
        <w:tc>
          <w:tcPr>
            <w:tcW w:w="2080" w:type="dxa"/>
            <w:vAlign w:val="bottom"/>
            <w:gridSpan w:val="3"/>
          </w:tcPr>
          <w:p>
            <w:pPr>
              <w:jc w:val="center"/>
              <w:ind w:right="420"/>
              <w:spacing w:after="0"/>
              <w:rPr>
                <w:sz w:val="20"/>
                <w:szCs w:val="20"/>
                <w:color w:val="auto"/>
              </w:rPr>
            </w:pPr>
            <w:r>
              <w:rPr>
                <w:rFonts w:ascii="Arial" w:cs="Arial" w:eastAsia="Arial" w:hAnsi="Arial"/>
                <w:sz w:val="14"/>
                <w:szCs w:val="14"/>
                <w:color w:val="auto"/>
                <w:w w:val="98"/>
              </w:rPr>
              <w:t>Pricing</w:t>
            </w:r>
          </w:p>
        </w:tc>
        <w:tc>
          <w:tcPr>
            <w:tcW w:w="1760" w:type="dxa"/>
            <w:vAlign w:val="bottom"/>
            <w:gridSpan w:val="3"/>
          </w:tcPr>
          <w:p>
            <w:pPr>
              <w:jc w:val="center"/>
              <w:ind w:right="740"/>
              <w:spacing w:after="0"/>
              <w:rPr>
                <w:sz w:val="20"/>
                <w:szCs w:val="20"/>
                <w:color w:val="auto"/>
              </w:rPr>
            </w:pPr>
            <w:r>
              <w:rPr>
                <w:rFonts w:ascii="Arial" w:cs="Arial" w:eastAsia="Arial" w:hAnsi="Arial"/>
                <w:sz w:val="14"/>
                <w:szCs w:val="14"/>
                <w:color w:val="auto"/>
                <w:w w:val="98"/>
              </w:rPr>
              <w:t>Pricing</w:t>
            </w:r>
          </w:p>
        </w:tc>
        <w:tc>
          <w:tcPr>
            <w:tcW w:w="1440" w:type="dxa"/>
            <w:vAlign w:val="bottom"/>
            <w:gridSpan w:val="2"/>
          </w:tcPr>
          <w:p>
            <w:pPr>
              <w:jc w:val="center"/>
              <w:ind w:right="440"/>
              <w:spacing w:after="0"/>
              <w:rPr>
                <w:sz w:val="20"/>
                <w:szCs w:val="20"/>
                <w:color w:val="auto"/>
              </w:rPr>
            </w:pPr>
            <w:r>
              <w:rPr>
                <w:rFonts w:ascii="Arial" w:cs="Arial" w:eastAsia="Arial" w:hAnsi="Arial"/>
                <w:sz w:val="14"/>
                <w:szCs w:val="14"/>
                <w:color w:val="auto"/>
                <w:w w:val="93"/>
              </w:rPr>
              <w:t>Pricing</w:t>
            </w:r>
          </w:p>
        </w:tc>
        <w:tc>
          <w:tcPr>
            <w:tcW w:w="1560" w:type="dxa"/>
            <w:vAlign w:val="bottom"/>
            <w:gridSpan w:val="2"/>
          </w:tcPr>
          <w:p>
            <w:pPr>
              <w:jc w:val="center"/>
              <w:ind w:right="20"/>
              <w:spacing w:after="0"/>
              <w:rPr>
                <w:sz w:val="20"/>
                <w:szCs w:val="20"/>
                <w:color w:val="auto"/>
              </w:rPr>
            </w:pPr>
            <w:r>
              <w:rPr>
                <w:rFonts w:ascii="Arial" w:cs="Arial" w:eastAsia="Arial" w:hAnsi="Arial"/>
                <w:sz w:val="14"/>
                <w:szCs w:val="14"/>
                <w:color w:val="auto"/>
                <w:w w:val="98"/>
              </w:rPr>
              <w:t>Pricing</w:t>
            </w:r>
          </w:p>
        </w:tc>
      </w:tr>
      <w:tr>
        <w:trPr>
          <w:trHeight w:val="181"/>
        </w:trPr>
        <w:tc>
          <w:tcPr>
            <w:tcW w:w="19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760" w:type="dxa"/>
            <w:vAlign w:val="bottom"/>
            <w:gridSpan w:val="2"/>
          </w:tcPr>
          <w:p>
            <w:pPr>
              <w:jc w:val="center"/>
              <w:ind w:right="100"/>
              <w:spacing w:after="0"/>
              <w:rPr>
                <w:sz w:val="20"/>
                <w:szCs w:val="20"/>
                <w:color w:val="auto"/>
              </w:rPr>
            </w:pPr>
            <w:r>
              <w:rPr>
                <w:rFonts w:ascii="Arial" w:cs="Arial" w:eastAsia="Arial" w:hAnsi="Arial"/>
                <w:sz w:val="14"/>
                <w:szCs w:val="14"/>
                <w:color w:val="auto"/>
              </w:rPr>
              <w:t>Level I</w:t>
            </w:r>
          </w:p>
        </w:tc>
        <w:tc>
          <w:tcPr>
            <w:tcW w:w="2080" w:type="dxa"/>
            <w:vAlign w:val="bottom"/>
            <w:gridSpan w:val="3"/>
          </w:tcPr>
          <w:p>
            <w:pPr>
              <w:jc w:val="center"/>
              <w:ind w:right="420"/>
              <w:spacing w:after="0"/>
              <w:rPr>
                <w:sz w:val="20"/>
                <w:szCs w:val="20"/>
                <w:color w:val="auto"/>
              </w:rPr>
            </w:pPr>
            <w:r>
              <w:rPr>
                <w:rFonts w:ascii="Arial" w:cs="Arial" w:eastAsia="Arial" w:hAnsi="Arial"/>
                <w:sz w:val="14"/>
                <w:szCs w:val="14"/>
                <w:color w:val="auto"/>
              </w:rPr>
              <w:t>Level II</w:t>
            </w:r>
          </w:p>
        </w:tc>
        <w:tc>
          <w:tcPr>
            <w:tcW w:w="1760" w:type="dxa"/>
            <w:vAlign w:val="bottom"/>
            <w:gridSpan w:val="3"/>
          </w:tcPr>
          <w:p>
            <w:pPr>
              <w:jc w:val="center"/>
              <w:ind w:right="740"/>
              <w:spacing w:after="0"/>
              <w:rPr>
                <w:sz w:val="20"/>
                <w:szCs w:val="20"/>
                <w:color w:val="auto"/>
              </w:rPr>
            </w:pPr>
            <w:r>
              <w:rPr>
                <w:rFonts w:ascii="Arial" w:cs="Arial" w:eastAsia="Arial" w:hAnsi="Arial"/>
                <w:sz w:val="14"/>
                <w:szCs w:val="14"/>
                <w:color w:val="auto"/>
              </w:rPr>
              <w:t>Level III</w:t>
            </w:r>
          </w:p>
        </w:tc>
        <w:tc>
          <w:tcPr>
            <w:tcW w:w="1440" w:type="dxa"/>
            <w:vAlign w:val="bottom"/>
            <w:gridSpan w:val="2"/>
          </w:tcPr>
          <w:p>
            <w:pPr>
              <w:jc w:val="center"/>
              <w:ind w:right="440"/>
              <w:spacing w:after="0"/>
              <w:rPr>
                <w:sz w:val="20"/>
                <w:szCs w:val="20"/>
                <w:color w:val="auto"/>
              </w:rPr>
            </w:pPr>
            <w:r>
              <w:rPr>
                <w:rFonts w:ascii="Arial" w:cs="Arial" w:eastAsia="Arial" w:hAnsi="Arial"/>
                <w:sz w:val="14"/>
                <w:szCs w:val="14"/>
                <w:color w:val="auto"/>
              </w:rPr>
              <w:t>Level IV</w:t>
            </w:r>
          </w:p>
        </w:tc>
        <w:tc>
          <w:tcPr>
            <w:tcW w:w="1560" w:type="dxa"/>
            <w:vAlign w:val="bottom"/>
            <w:gridSpan w:val="2"/>
          </w:tcPr>
          <w:p>
            <w:pPr>
              <w:jc w:val="center"/>
              <w:ind w:right="40"/>
              <w:spacing w:after="0"/>
              <w:rPr>
                <w:sz w:val="20"/>
                <w:szCs w:val="20"/>
                <w:color w:val="auto"/>
              </w:rPr>
            </w:pPr>
            <w:r>
              <w:rPr>
                <w:rFonts w:ascii="Arial" w:cs="Arial" w:eastAsia="Arial" w:hAnsi="Arial"/>
                <w:sz w:val="14"/>
                <w:szCs w:val="14"/>
                <w:color w:val="auto"/>
              </w:rPr>
              <w:t>Level V</w:t>
            </w:r>
          </w:p>
        </w:tc>
      </w:tr>
      <w:tr>
        <w:trPr>
          <w:trHeight w:val="123"/>
        </w:trPr>
        <w:tc>
          <w:tcPr>
            <w:tcW w:w="19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66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³BBB+/</w:t>
            </w:r>
          </w:p>
        </w:tc>
        <w:tc>
          <w:tcPr>
            <w:tcW w:w="100" w:type="dxa"/>
            <w:vAlign w:val="bottom"/>
          </w:tcPr>
          <w:p>
            <w:pPr>
              <w:spacing w:after="0"/>
              <w:rPr>
                <w:sz w:val="10"/>
                <w:szCs w:val="10"/>
                <w:color w:val="auto"/>
              </w:rPr>
            </w:pPr>
          </w:p>
        </w:tc>
        <w:tc>
          <w:tcPr>
            <w:tcW w:w="166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0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center"/>
              <w:ind w:right="224"/>
              <w:spacing w:after="0" w:line="123" w:lineRule="exact"/>
              <w:rPr>
                <w:sz w:val="20"/>
                <w:szCs w:val="20"/>
                <w:color w:val="auto"/>
              </w:rPr>
            </w:pPr>
            <w:r>
              <w:rPr>
                <w:rFonts w:ascii="Arial" w:cs="Arial" w:eastAsia="Arial" w:hAnsi="Arial"/>
                <w:sz w:val="14"/>
                <w:szCs w:val="14"/>
                <w:color w:val="auto"/>
              </w:rPr>
              <w:t>BBB-/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center"/>
              <w:ind w:right="244"/>
              <w:spacing w:after="0" w:line="123" w:lineRule="exact"/>
              <w:rPr>
                <w:sz w:val="20"/>
                <w:szCs w:val="20"/>
                <w:color w:val="auto"/>
              </w:rPr>
            </w:pPr>
            <w:r>
              <w:rPr>
                <w:rFonts w:ascii="Arial" w:cs="Arial" w:eastAsia="Arial" w:hAnsi="Arial"/>
                <w:sz w:val="14"/>
                <w:szCs w:val="14"/>
                <w:color w:val="auto"/>
              </w:rPr>
              <w:t>BB+/</w:t>
            </w:r>
          </w:p>
        </w:tc>
        <w:tc>
          <w:tcPr>
            <w:tcW w:w="120" w:type="dxa"/>
            <w:vAlign w:val="bottom"/>
          </w:tcPr>
          <w:p>
            <w:pPr>
              <w:spacing w:after="0"/>
              <w:rPr>
                <w:sz w:val="10"/>
                <w:szCs w:val="10"/>
                <w:color w:val="auto"/>
              </w:rPr>
            </w:pPr>
          </w:p>
        </w:tc>
        <w:tc>
          <w:tcPr>
            <w:tcW w:w="154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w w:val="98"/>
              </w:rPr>
              <w:t>£BB/</w:t>
            </w:r>
          </w:p>
        </w:tc>
        <w:tc>
          <w:tcPr>
            <w:tcW w:w="20" w:type="dxa"/>
            <w:vAlign w:val="bottom"/>
          </w:tcPr>
          <w:p>
            <w:pPr>
              <w:spacing w:after="0"/>
              <w:rPr>
                <w:sz w:val="10"/>
                <w:szCs w:val="10"/>
                <w:color w:val="auto"/>
              </w:rPr>
            </w:pPr>
          </w:p>
        </w:tc>
      </w:tr>
      <w:tr>
        <w:trPr>
          <w:trHeight w:val="181"/>
        </w:trPr>
        <w:tc>
          <w:tcPr>
            <w:tcW w:w="19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760" w:type="dxa"/>
            <w:vAlign w:val="bottom"/>
            <w:gridSpan w:val="2"/>
          </w:tcPr>
          <w:p>
            <w:pPr>
              <w:jc w:val="center"/>
              <w:ind w:right="100"/>
              <w:spacing w:after="0"/>
              <w:rPr>
                <w:sz w:val="20"/>
                <w:szCs w:val="20"/>
                <w:color w:val="auto"/>
              </w:rPr>
            </w:pPr>
            <w:r>
              <w:rPr>
                <w:rFonts w:ascii="Arial" w:cs="Arial" w:eastAsia="Arial" w:hAnsi="Arial"/>
                <w:sz w:val="14"/>
                <w:szCs w:val="14"/>
                <w:color w:val="auto"/>
                <w:w w:val="96"/>
              </w:rPr>
              <w:t>Baa1/BBB+</w:t>
            </w:r>
          </w:p>
        </w:tc>
        <w:tc>
          <w:tcPr>
            <w:tcW w:w="2080" w:type="dxa"/>
            <w:vAlign w:val="bottom"/>
            <w:gridSpan w:val="3"/>
          </w:tcPr>
          <w:p>
            <w:pPr>
              <w:jc w:val="center"/>
              <w:ind w:right="420"/>
              <w:spacing w:after="0"/>
              <w:rPr>
                <w:sz w:val="20"/>
                <w:szCs w:val="20"/>
                <w:color w:val="auto"/>
              </w:rPr>
            </w:pPr>
            <w:r>
              <w:rPr>
                <w:rFonts w:ascii="Arial" w:cs="Arial" w:eastAsia="Arial" w:hAnsi="Arial"/>
                <w:sz w:val="14"/>
                <w:szCs w:val="14"/>
                <w:color w:val="auto"/>
                <w:w w:val="95"/>
              </w:rPr>
              <w:t>Baa2/BBB</w:t>
            </w:r>
          </w:p>
        </w:tc>
        <w:tc>
          <w:tcPr>
            <w:tcW w:w="1760" w:type="dxa"/>
            <w:vAlign w:val="bottom"/>
            <w:gridSpan w:val="3"/>
          </w:tcPr>
          <w:p>
            <w:pPr>
              <w:jc w:val="center"/>
              <w:ind w:right="740"/>
              <w:spacing w:after="0"/>
              <w:rPr>
                <w:sz w:val="20"/>
                <w:szCs w:val="20"/>
                <w:color w:val="auto"/>
              </w:rPr>
            </w:pPr>
            <w:r>
              <w:rPr>
                <w:rFonts w:ascii="Arial" w:cs="Arial" w:eastAsia="Arial" w:hAnsi="Arial"/>
                <w:sz w:val="14"/>
                <w:szCs w:val="14"/>
                <w:color w:val="auto"/>
                <w:w w:val="95"/>
              </w:rPr>
              <w:t>Baa3/BBB-</w:t>
            </w:r>
          </w:p>
        </w:tc>
        <w:tc>
          <w:tcPr>
            <w:tcW w:w="1440" w:type="dxa"/>
            <w:vAlign w:val="bottom"/>
            <w:gridSpan w:val="2"/>
          </w:tcPr>
          <w:p>
            <w:pPr>
              <w:jc w:val="center"/>
              <w:ind w:right="440"/>
              <w:spacing w:after="0"/>
              <w:rPr>
                <w:sz w:val="20"/>
                <w:szCs w:val="20"/>
                <w:color w:val="auto"/>
              </w:rPr>
            </w:pPr>
            <w:r>
              <w:rPr>
                <w:rFonts w:ascii="Arial" w:cs="Arial" w:eastAsia="Arial" w:hAnsi="Arial"/>
                <w:sz w:val="14"/>
                <w:szCs w:val="14"/>
                <w:color w:val="auto"/>
              </w:rPr>
              <w:t>Ba1/BB+</w:t>
            </w:r>
          </w:p>
        </w:tc>
        <w:tc>
          <w:tcPr>
            <w:tcW w:w="1560" w:type="dxa"/>
            <w:vAlign w:val="bottom"/>
            <w:gridSpan w:val="2"/>
          </w:tcPr>
          <w:p>
            <w:pPr>
              <w:jc w:val="center"/>
              <w:ind w:right="20"/>
              <w:spacing w:after="0"/>
              <w:rPr>
                <w:sz w:val="20"/>
                <w:szCs w:val="20"/>
                <w:color w:val="auto"/>
              </w:rPr>
            </w:pPr>
            <w:r>
              <w:rPr>
                <w:rFonts w:ascii="Arial" w:cs="Arial" w:eastAsia="Arial" w:hAnsi="Arial"/>
                <w:sz w:val="14"/>
                <w:szCs w:val="14"/>
                <w:color w:val="auto"/>
                <w:w w:val="96"/>
              </w:rPr>
              <w:t>Ba2/BB</w:t>
            </w:r>
          </w:p>
        </w:tc>
      </w:tr>
      <w:tr>
        <w:trPr>
          <w:trHeight w:val="224"/>
        </w:trPr>
        <w:tc>
          <w:tcPr>
            <w:tcW w:w="19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0.125%</w:t>
            </w:r>
          </w:p>
        </w:tc>
        <w:tc>
          <w:tcPr>
            <w:tcW w:w="100" w:type="dxa"/>
            <w:vAlign w:val="bottom"/>
          </w:tcPr>
          <w:p>
            <w:pPr>
              <w:spacing w:after="0"/>
              <w:rPr>
                <w:sz w:val="19"/>
                <w:szCs w:val="19"/>
                <w:color w:val="auto"/>
              </w:rPr>
            </w:pPr>
          </w:p>
        </w:tc>
        <w:tc>
          <w:tcPr>
            <w:tcW w:w="1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0.150%</w:t>
            </w:r>
          </w:p>
        </w:tc>
        <w:tc>
          <w:tcPr>
            <w:tcW w:w="10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3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0.175%</w:t>
            </w:r>
          </w:p>
        </w:tc>
        <w:tc>
          <w:tcPr>
            <w:tcW w:w="12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3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0.250%</w:t>
            </w:r>
          </w:p>
        </w:tc>
        <w:tc>
          <w:tcPr>
            <w:tcW w:w="120" w:type="dxa"/>
            <w:vAlign w:val="bottom"/>
          </w:tcPr>
          <w:p>
            <w:pPr>
              <w:spacing w:after="0"/>
              <w:rPr>
                <w:sz w:val="19"/>
                <w:szCs w:val="19"/>
                <w:color w:val="auto"/>
              </w:rPr>
            </w:pPr>
          </w:p>
        </w:tc>
        <w:tc>
          <w:tcPr>
            <w:tcW w:w="15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0.350%</w:t>
            </w:r>
          </w:p>
        </w:tc>
        <w:tc>
          <w:tcPr>
            <w:tcW w:w="20" w:type="dxa"/>
            <w:vAlign w:val="bottom"/>
          </w:tcPr>
          <w:p>
            <w:pPr>
              <w:spacing w:after="0"/>
              <w:rPr>
                <w:sz w:val="19"/>
                <w:szCs w:val="19"/>
                <w:color w:val="auto"/>
              </w:rPr>
            </w:pPr>
          </w:p>
        </w:tc>
      </w:tr>
      <w:tr>
        <w:trPr>
          <w:trHeight w:val="403"/>
        </w:trPr>
        <w:tc>
          <w:tcPr>
            <w:tcW w:w="1920" w:type="dxa"/>
            <w:vAlign w:val="bottom"/>
          </w:tcPr>
          <w:p>
            <w:pPr>
              <w:spacing w:after="0"/>
              <w:rPr>
                <w:sz w:val="24"/>
                <w:szCs w:val="24"/>
                <w:color w:val="auto"/>
              </w:rPr>
            </w:pP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9"/>
              </w:rPr>
              <w:t>The foregoing pricing shall be based on the Public Debt Rating. Split ratings shall be addressed in a manner</w:t>
            </w:r>
          </w:p>
        </w:tc>
      </w:tr>
      <w:tr>
        <w:trPr>
          <w:trHeight w:val="230"/>
        </w:trPr>
        <w:tc>
          <w:tcPr>
            <w:tcW w:w="1920" w:type="dxa"/>
            <w:vAlign w:val="bottom"/>
          </w:tcPr>
          <w:p>
            <w:pPr>
              <w:spacing w:after="0"/>
              <w:rPr>
                <w:sz w:val="20"/>
                <w:szCs w:val="20"/>
                <w:color w:val="auto"/>
              </w:rPr>
            </w:pPr>
          </w:p>
        </w:tc>
        <w:tc>
          <w:tcPr>
            <w:tcW w:w="4360" w:type="dxa"/>
            <w:vAlign w:val="bottom"/>
            <w:gridSpan w:val="6"/>
          </w:tcPr>
          <w:p>
            <w:pPr>
              <w:ind w:left="520"/>
              <w:spacing w:after="0"/>
              <w:rPr>
                <w:sz w:val="20"/>
                <w:szCs w:val="20"/>
                <w:color w:val="auto"/>
              </w:rPr>
            </w:pPr>
            <w:r>
              <w:rPr>
                <w:rFonts w:ascii="Arial" w:cs="Arial" w:eastAsia="Arial" w:hAnsi="Arial"/>
                <w:sz w:val="18"/>
                <w:szCs w:val="18"/>
                <w:color w:val="auto"/>
              </w:rPr>
              <w:t>consistent with the Existing Credit Agreement.</w:t>
            </w: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418"/>
        </w:trPr>
        <w:tc>
          <w:tcPr>
            <w:tcW w:w="1920" w:type="dxa"/>
            <w:vAlign w:val="bottom"/>
          </w:tcPr>
          <w:p>
            <w:pPr>
              <w:spacing w:after="0"/>
              <w:rPr>
                <w:sz w:val="20"/>
                <w:szCs w:val="20"/>
                <w:color w:val="auto"/>
              </w:rPr>
            </w:pPr>
            <w:r>
              <w:rPr>
                <w:rFonts w:ascii="Arial" w:cs="Arial" w:eastAsia="Arial" w:hAnsi="Arial"/>
                <w:sz w:val="18"/>
                <w:szCs w:val="18"/>
                <w:color w:val="auto"/>
              </w:rPr>
              <w:t>Rate and Fee Basis:</w:t>
            </w:r>
          </w:p>
        </w:tc>
        <w:tc>
          <w:tcPr>
            <w:tcW w:w="9120" w:type="dxa"/>
            <w:vAlign w:val="bottom"/>
            <w:gridSpan w:val="13"/>
          </w:tcPr>
          <w:p>
            <w:pPr>
              <w:ind w:left="520"/>
              <w:spacing w:after="0"/>
              <w:rPr>
                <w:sz w:val="20"/>
                <w:szCs w:val="20"/>
                <w:color w:val="auto"/>
              </w:rPr>
            </w:pPr>
            <w:r>
              <w:rPr>
                <w:rFonts w:ascii="Arial" w:cs="Arial" w:eastAsia="Arial" w:hAnsi="Arial"/>
                <w:sz w:val="18"/>
                <w:szCs w:val="18"/>
                <w:color w:val="auto"/>
                <w:w w:val="91"/>
              </w:rPr>
              <w:t xml:space="preserve">All </w:t>
            </w:r>
            <w:r>
              <w:rPr>
                <w:rFonts w:ascii="Arial" w:cs="Arial" w:eastAsia="Arial" w:hAnsi="Arial"/>
                <w:sz w:val="18"/>
                <w:szCs w:val="18"/>
                <w:i w:val="1"/>
                <w:iCs w:val="1"/>
                <w:color w:val="auto"/>
                <w:w w:val="91"/>
              </w:rPr>
              <w:t>per annum</w:t>
            </w:r>
            <w:r>
              <w:rPr>
                <w:rFonts w:ascii="Arial" w:cs="Arial" w:eastAsia="Arial" w:hAnsi="Arial"/>
                <w:sz w:val="18"/>
                <w:szCs w:val="18"/>
                <w:color w:val="auto"/>
                <w:w w:val="91"/>
              </w:rPr>
              <w:t xml:space="preserve"> rates shall be calculated on the basis of a year of 360 days (or 365/366 days, in the case of ABR Loans</w:t>
            </w:r>
          </w:p>
        </w:tc>
      </w:tr>
      <w:tr>
        <w:trPr>
          <w:trHeight w:val="230"/>
        </w:trPr>
        <w:tc>
          <w:tcPr>
            <w:tcW w:w="1920" w:type="dxa"/>
            <w:vAlign w:val="bottom"/>
          </w:tcPr>
          <w:p>
            <w:pPr>
              <w:spacing w:after="0"/>
              <w:rPr>
                <w:sz w:val="20"/>
                <w:szCs w:val="20"/>
                <w:color w:val="auto"/>
              </w:rPr>
            </w:pPr>
          </w:p>
        </w:tc>
        <w:tc>
          <w:tcPr>
            <w:tcW w:w="7560" w:type="dxa"/>
            <w:vAlign w:val="bottom"/>
            <w:gridSpan w:val="11"/>
          </w:tcPr>
          <w:p>
            <w:pPr>
              <w:ind w:left="520"/>
              <w:spacing w:after="0"/>
              <w:rPr>
                <w:sz w:val="20"/>
                <w:szCs w:val="20"/>
                <w:color w:val="auto"/>
              </w:rPr>
            </w:pPr>
            <w:r>
              <w:rPr>
                <w:rFonts w:ascii="Arial" w:cs="Arial" w:eastAsia="Arial" w:hAnsi="Arial"/>
                <w:sz w:val="18"/>
                <w:szCs w:val="18"/>
                <w:color w:val="auto"/>
                <w:w w:val="95"/>
              </w:rPr>
              <w:t>the interest rate payable on which is then based on the Prime Rate) for actual days elapsed.</w:t>
            </w: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r>
      <w:tr>
        <w:trPr>
          <w:trHeight w:val="365"/>
        </w:trPr>
        <w:tc>
          <w:tcPr>
            <w:tcW w:w="19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60" w:type="dxa"/>
            <w:vAlign w:val="bottom"/>
          </w:tcPr>
          <w:p>
            <w:pPr>
              <w:jc w:val="right"/>
              <w:ind w:right="182"/>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1020"/>
          </w:cols>
          <w:pgMar w:left="440" w:top="490"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3" w:name="page154"/>
    <w:bookmarkEnd w:id="15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B</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CONDITIONS PRECEDENT TO THE BRIDGE FACILITY</w:t>
      </w:r>
    </w:p>
    <w:p>
      <w:pPr>
        <w:spacing w:after="0" w:line="229" w:lineRule="exact"/>
        <w:rPr>
          <w:sz w:val="20"/>
          <w:szCs w:val="20"/>
          <w:color w:val="auto"/>
        </w:rPr>
      </w:pPr>
    </w:p>
    <w:p>
      <w:pPr>
        <w:ind w:left="4" w:right="560"/>
        <w:spacing w:after="0" w:line="277" w:lineRule="auto"/>
        <w:rPr>
          <w:sz w:val="20"/>
          <w:szCs w:val="20"/>
          <w:color w:val="auto"/>
        </w:rPr>
      </w:pPr>
      <w:r>
        <w:rPr>
          <w:rFonts w:ascii="Arial" w:cs="Arial" w:eastAsia="Arial" w:hAnsi="Arial"/>
          <w:sz w:val="18"/>
          <w:szCs w:val="18"/>
          <w:color w:val="auto"/>
        </w:rPr>
        <w:t>Capitalized terms not otherwise defined herein have the same meanings as specified therefor in the Commitment Letter to which this Exhibit B is attached.</w:t>
      </w:r>
    </w:p>
    <w:p>
      <w:pPr>
        <w:spacing w:after="0" w:line="170" w:lineRule="exact"/>
        <w:rPr>
          <w:sz w:val="20"/>
          <w:szCs w:val="20"/>
          <w:color w:val="auto"/>
        </w:rPr>
      </w:pPr>
    </w:p>
    <w:p>
      <w:pPr>
        <w:ind w:left="4" w:right="340"/>
        <w:spacing w:after="0" w:line="277" w:lineRule="auto"/>
        <w:rPr>
          <w:sz w:val="20"/>
          <w:szCs w:val="20"/>
          <w:color w:val="auto"/>
        </w:rPr>
      </w:pPr>
      <w:r>
        <w:rPr>
          <w:rFonts w:ascii="Arial" w:cs="Arial" w:eastAsia="Arial" w:hAnsi="Arial"/>
          <w:sz w:val="18"/>
          <w:szCs w:val="18"/>
          <w:color w:val="auto"/>
        </w:rPr>
        <w:t>The Effective Date and the initial borrowing under the Bridge Facility, as applicable, will be subject to the following additional conditions precedent (subject to the Limited Conditionality Provision):</w:t>
      </w:r>
    </w:p>
    <w:p>
      <w:pPr>
        <w:spacing w:after="0" w:line="62" w:lineRule="exact"/>
        <w:rPr>
          <w:sz w:val="20"/>
          <w:szCs w:val="20"/>
          <w:color w:val="auto"/>
        </w:rPr>
      </w:pPr>
    </w:p>
    <w:p>
      <w:pPr>
        <w:ind w:left="4" w:right="220" w:firstLine="436"/>
        <w:spacing w:after="0" w:line="287" w:lineRule="auto"/>
        <w:tabs>
          <w:tab w:leader="none" w:pos="659" w:val="left"/>
        </w:tabs>
        <w:numPr>
          <w:ilvl w:val="1"/>
          <w:numId w:val="207"/>
        </w:numPr>
        <w:rPr>
          <w:rFonts w:ascii="Arial" w:cs="Arial" w:eastAsia="Arial" w:hAnsi="Arial"/>
          <w:sz w:val="16"/>
          <w:szCs w:val="16"/>
          <w:color w:val="auto"/>
        </w:rPr>
      </w:pPr>
      <w:r>
        <w:rPr>
          <w:rFonts w:ascii="Arial" w:cs="Arial" w:eastAsia="Arial" w:hAnsi="Arial"/>
          <w:sz w:val="16"/>
          <w:szCs w:val="16"/>
          <w:color w:val="auto"/>
        </w:rPr>
        <w:t xml:space="preserve">The Acquisition shall be consummated substantially concurrently with the initial funding under the Bridge Facility in accordance with the Acquisition Agreement and the Acquisition Agreement shall not have been amended or modified, and no condition shall have been waived or consent granted, in any respect that is materially adverse to the Lenders or the Lead Arranger without the Lead Arranger’s prior written consent;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w:t>
      </w:r>
    </w:p>
    <w:p>
      <w:pPr>
        <w:spacing w:after="0" w:line="2" w:lineRule="exact"/>
        <w:rPr>
          <w:rFonts w:ascii="Arial" w:cs="Arial" w:eastAsia="Arial" w:hAnsi="Arial"/>
          <w:sz w:val="16"/>
          <w:szCs w:val="16"/>
          <w:color w:val="auto"/>
        </w:rPr>
      </w:pPr>
    </w:p>
    <w:p>
      <w:pPr>
        <w:ind w:left="4" w:right="280" w:hanging="4"/>
        <w:spacing w:after="0" w:line="281" w:lineRule="auto"/>
        <w:tabs>
          <w:tab w:leader="none" w:pos="219" w:val="left"/>
        </w:tabs>
        <w:numPr>
          <w:ilvl w:val="0"/>
          <w:numId w:val="208"/>
        </w:numPr>
        <w:rPr>
          <w:rFonts w:ascii="Arial" w:cs="Arial" w:eastAsia="Arial" w:hAnsi="Arial"/>
          <w:sz w:val="16"/>
          <w:szCs w:val="16"/>
          <w:color w:val="auto"/>
        </w:rPr>
      </w:pPr>
      <w:r>
        <w:rPr>
          <w:rFonts w:ascii="Arial" w:cs="Arial" w:eastAsia="Arial" w:hAnsi="Arial"/>
          <w:sz w:val="16"/>
          <w:szCs w:val="16"/>
          <w:color w:val="auto"/>
        </w:rPr>
        <w:t>increases in the Acquisition Common Stock Consideration and, if funded with equity, increases in the Acquisition Cash Consideration shall not be deemed to be materially adverse to the interests of the Lenders and the Lead Arranger and shall not require the consent of the Lead Arranger,</w:t>
      </w:r>
    </w:p>
    <w:p>
      <w:pPr>
        <w:spacing w:after="0" w:line="1" w:lineRule="exact"/>
        <w:rPr>
          <w:rFonts w:ascii="Arial" w:cs="Arial" w:eastAsia="Arial" w:hAnsi="Arial"/>
          <w:sz w:val="16"/>
          <w:szCs w:val="16"/>
          <w:color w:val="auto"/>
        </w:rPr>
      </w:pPr>
    </w:p>
    <w:p>
      <w:pPr>
        <w:ind w:left="4" w:right="40" w:hanging="4"/>
        <w:spacing w:after="0" w:line="286" w:lineRule="auto"/>
        <w:tabs>
          <w:tab w:leader="none" w:pos="269" w:val="left"/>
        </w:tabs>
        <w:numPr>
          <w:ilvl w:val="0"/>
          <w:numId w:val="208"/>
        </w:numPr>
        <w:rPr>
          <w:rFonts w:ascii="Arial" w:cs="Arial" w:eastAsia="Arial" w:hAnsi="Arial"/>
          <w:sz w:val="16"/>
          <w:szCs w:val="16"/>
          <w:color w:val="auto"/>
        </w:rPr>
      </w:pPr>
      <w:r>
        <w:rPr>
          <w:rFonts w:ascii="Arial" w:cs="Arial" w:eastAsia="Arial" w:hAnsi="Arial"/>
          <w:sz w:val="16"/>
          <w:szCs w:val="16"/>
          <w:color w:val="auto"/>
        </w:rPr>
        <w:t xml:space="preserve">decreases of less than 10% in the Acquisition Consideration shall not be deemed to be materially adverse to the interests of the Lenders or the Lead Arranger and shall not require the consent of the Lead Arranger so long as any such reduction in Acquisition Cash Consideration reduction shall reduce dollar-for-dollar the commitments in respect of the Bridge Facility, (iii) decreases of more than 10% in the Acquisition Consideration shall be deemed to be materially adverse to the interests of the Lenders or the Lead Arranger and shall require the consent of the Lead Arranger; and (iv) any amendment to the definition of “Material Adverse Effect on the Company” as defined in the Acquisition Agreement (as in effect on the date hereof) shall be deemed to be materially adverse to the interests of the Lenders and the Lead Arranger; </w:t>
      </w:r>
      <w:r>
        <w:rPr>
          <w:rFonts w:ascii="Arial" w:cs="Arial" w:eastAsia="Arial" w:hAnsi="Arial"/>
          <w:sz w:val="16"/>
          <w:szCs w:val="16"/>
          <w:u w:val="single" w:color="auto"/>
          <w:color w:val="auto"/>
        </w:rPr>
        <w:t>provided</w:t>
      </w:r>
      <w:r>
        <w:rPr>
          <w:rFonts w:ascii="Arial" w:cs="Arial" w:eastAsia="Arial" w:hAnsi="Arial"/>
          <w:sz w:val="16"/>
          <w:szCs w:val="16"/>
          <w:color w:val="auto"/>
        </w:rPr>
        <w:t>, further that, for the avoidance of doubt, any increases or decreases in the amount of newly issued shares of common stock of the Borrower received by the existing equity holders of the Target as the Acquisition Common Stock Consideration that result in accordance with the application of the Exchange Ratio (as in effect and defined in the Acquisition Agreement on the date hereof and without any amendment, modification or waiver thereof), shall not be materially adverse to the interest of the Lenders and the Lead Arranger and shall not require the consent of the Lead Arranger.</w:t>
      </w:r>
    </w:p>
    <w:p>
      <w:pPr>
        <w:spacing w:after="0" w:line="169" w:lineRule="exact"/>
        <w:rPr>
          <w:rFonts w:ascii="Arial" w:cs="Arial" w:eastAsia="Arial" w:hAnsi="Arial"/>
          <w:sz w:val="16"/>
          <w:szCs w:val="16"/>
          <w:color w:val="auto"/>
        </w:rPr>
      </w:pPr>
    </w:p>
    <w:p>
      <w:pPr>
        <w:ind w:left="4" w:right="60" w:firstLine="436"/>
        <w:spacing w:after="0" w:line="283" w:lineRule="auto"/>
        <w:tabs>
          <w:tab w:leader="none" w:pos="709" w:val="left"/>
        </w:tabs>
        <w:numPr>
          <w:ilvl w:val="1"/>
          <w:numId w:val="208"/>
        </w:numPr>
        <w:rPr>
          <w:rFonts w:ascii="Arial" w:cs="Arial" w:eastAsia="Arial" w:hAnsi="Arial"/>
          <w:sz w:val="16"/>
          <w:szCs w:val="16"/>
          <w:color w:val="auto"/>
        </w:rPr>
      </w:pPr>
      <w:r>
        <w:rPr>
          <w:rFonts w:ascii="Arial" w:cs="Arial" w:eastAsia="Arial" w:hAnsi="Arial"/>
          <w:sz w:val="16"/>
          <w:szCs w:val="16"/>
          <w:color w:val="auto"/>
        </w:rPr>
        <w:t xml:space="preserve">The Lead Arranger shall have received for each of the Borrower (which such statements may be of Maui) and the Target (a) U.S. GAAP audited consolidated balance sheets and related statements of income (and/or operations), stockholders’(or shareholders’) equity and cash flows for the three most recent fiscal years ended at least 60 days prior to the Closing Date and (b) U.S. GAAP unaudited consolidated balance sheets and related statements of income (and/or operation), stockholders’ (or shareholders’) equity and cash flows for each subsequent fiscal quarter ended at least 40 days before the Closing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Borrower’s (or Maui’s) and the Target’s public filing of any required financial statements with the SEC shall constitute delivery of such financial statements to the Lead Arranger. The Lead Arranger acknowledges receipt of (i) the audited financing statements of Maui for the fiscal years ended February 3, 2018, February 2, 2019 and February 1, 2020, (ii) the audited financing statements of Target or the fiscal years ended December 31, 2017, December 31, 2018 and December 31, 2019, (iii) the unaudited consolidated balance sheets and related statements of income (and/or operation), stockholders’ (or shareholders’) equity and cash flows of (x) Maui for each fiscal quarter through August 1, 2020 and</w:t>
      </w:r>
    </w:p>
    <w:p>
      <w:pPr>
        <w:spacing w:after="0" w:line="3" w:lineRule="exact"/>
        <w:rPr>
          <w:rFonts w:ascii="Arial" w:cs="Arial" w:eastAsia="Arial" w:hAnsi="Arial"/>
          <w:sz w:val="16"/>
          <w:szCs w:val="16"/>
          <w:color w:val="auto"/>
        </w:rPr>
      </w:pPr>
    </w:p>
    <w:p>
      <w:pPr>
        <w:ind w:left="4"/>
        <w:spacing w:after="0"/>
        <w:rPr>
          <w:rFonts w:ascii="Arial" w:cs="Arial" w:eastAsia="Arial" w:hAnsi="Arial"/>
          <w:sz w:val="16"/>
          <w:szCs w:val="16"/>
          <w:color w:val="auto"/>
        </w:rPr>
      </w:pPr>
      <w:r>
        <w:rPr>
          <w:rFonts w:ascii="Arial" w:cs="Arial" w:eastAsia="Arial" w:hAnsi="Arial"/>
          <w:sz w:val="18"/>
          <w:szCs w:val="18"/>
          <w:color w:val="auto"/>
        </w:rPr>
        <w:t>(y) Target for each fiscal quarter through June 30, 2020.</w:t>
      </w:r>
    </w:p>
    <w:p>
      <w:pPr>
        <w:spacing w:after="0" w:line="14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Exhibit B-1</w:t>
      </w:r>
    </w:p>
    <w:p>
      <w:pPr>
        <w:sectPr>
          <w:pgSz w:w="11900" w:h="16838" w:orient="portrait"/>
          <w:cols w:equalWidth="0" w:num="1">
            <w:col w:w="11024"/>
          </w:cols>
          <w:pgMar w:left="436" w:top="270" w:right="439" w:bottom="1440" w:gutter="0" w:footer="0" w:header="0"/>
        </w:sectPr>
      </w:pPr>
    </w:p>
    <w:bookmarkStart w:id="154" w:name="page155"/>
    <w:bookmarkEnd w:id="154"/>
    <w:p>
      <w:pPr>
        <w:ind w:left="4" w:right="120" w:firstLine="436"/>
        <w:spacing w:after="0" w:line="289" w:lineRule="auto"/>
        <w:tabs>
          <w:tab w:leader="none" w:pos="759" w:val="left"/>
        </w:tabs>
        <w:numPr>
          <w:ilvl w:val="1"/>
          <w:numId w:val="20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The Lead Arranger shall have received a pro forma consolidated balance sheet of the Borrower and the Target as of the last day of the most recently completed fiscal quarter period of Maui for which financial statements have been delivered pursuant to paragraph (ii) above and pro forma consolidated income (and/or operations) statements for the most recent fiscal year and most recent interim period, in each case, of Maui, delivered pursuant to paragraph (ii)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Borrower’s (or Maui’s) and the Target’s public filing of any required pro forma financial statements with the SEC shall constitute delivery of such financial statements to the Lead Arranger.</w:t>
      </w:r>
    </w:p>
    <w:p>
      <w:pPr>
        <w:spacing w:after="0" w:line="166" w:lineRule="exact"/>
        <w:rPr>
          <w:rFonts w:ascii="Arial" w:cs="Arial" w:eastAsia="Arial" w:hAnsi="Arial"/>
          <w:sz w:val="16"/>
          <w:szCs w:val="16"/>
          <w:color w:val="auto"/>
        </w:rPr>
      </w:pPr>
    </w:p>
    <w:p>
      <w:pPr>
        <w:ind w:left="4" w:firstLine="436"/>
        <w:spacing w:after="0" w:line="296" w:lineRule="auto"/>
        <w:tabs>
          <w:tab w:leader="none" w:pos="749" w:val="left"/>
        </w:tabs>
        <w:numPr>
          <w:ilvl w:val="1"/>
          <w:numId w:val="209"/>
        </w:numPr>
        <w:rPr>
          <w:rFonts w:ascii="Arial" w:cs="Arial" w:eastAsia="Arial" w:hAnsi="Arial"/>
          <w:sz w:val="16"/>
          <w:szCs w:val="16"/>
          <w:color w:val="auto"/>
        </w:rPr>
      </w:pPr>
      <w:r>
        <w:rPr>
          <w:rFonts w:ascii="Arial" w:cs="Arial" w:eastAsia="Arial" w:hAnsi="Arial"/>
          <w:sz w:val="16"/>
          <w:szCs w:val="16"/>
          <w:color w:val="auto"/>
        </w:rPr>
        <w:t>(A) The Administrative Agent shall have received (x) on or prior to the Effective Date, customary legal opinions, corporate organizational documents, good standing certificates, resolutions and other customary closing certificates, and (y) prior to the Closing Date, a borrowing notice, (B) the Acquisition Agreement Representations shall be true and correct as of the Closing Date and the Specified Representations shall be true and correct in all material respects as of the Closing Date and (C) as of the Closing Date, there shall not be any continuing event of default (limited to violation of negative covenant with respect to fundamental changes, payment defaults and bankruptcy defaults) under the Credit Documentation.</w:t>
      </w:r>
    </w:p>
    <w:p>
      <w:pPr>
        <w:spacing w:after="0" w:line="161" w:lineRule="exact"/>
        <w:rPr>
          <w:rFonts w:ascii="Arial" w:cs="Arial" w:eastAsia="Arial" w:hAnsi="Arial"/>
          <w:sz w:val="16"/>
          <w:szCs w:val="16"/>
          <w:color w:val="auto"/>
        </w:rPr>
      </w:pPr>
    </w:p>
    <w:p>
      <w:pPr>
        <w:ind w:left="4" w:right="260" w:firstLine="436"/>
        <w:spacing w:after="0" w:line="277" w:lineRule="auto"/>
        <w:tabs>
          <w:tab w:leader="none" w:pos="699" w:val="left"/>
        </w:tabs>
        <w:numPr>
          <w:ilvl w:val="1"/>
          <w:numId w:val="209"/>
        </w:numPr>
        <w:rPr>
          <w:rFonts w:ascii="Arial" w:cs="Arial" w:eastAsia="Arial" w:hAnsi="Arial"/>
          <w:sz w:val="18"/>
          <w:szCs w:val="18"/>
          <w:color w:val="auto"/>
        </w:rPr>
      </w:pPr>
      <w:r>
        <w:rPr>
          <w:rFonts w:ascii="Arial" w:cs="Arial" w:eastAsia="Arial" w:hAnsi="Arial"/>
          <w:sz w:val="18"/>
          <w:szCs w:val="18"/>
          <w:color w:val="auto"/>
        </w:rPr>
        <w:t xml:space="preserve">The Administrative Agent shall have received a solvency certificate from the chief financial officer of the Borrower in the form attached as </w:t>
      </w:r>
      <w:r>
        <w:rPr>
          <w:rFonts w:ascii="Arial" w:cs="Arial" w:eastAsia="Arial" w:hAnsi="Arial"/>
          <w:sz w:val="18"/>
          <w:szCs w:val="18"/>
          <w:u w:val="single" w:color="auto"/>
          <w:color w:val="auto"/>
        </w:rPr>
        <w:t>Annex I</w:t>
      </w:r>
      <w:r>
        <w:rPr>
          <w:rFonts w:ascii="Arial" w:cs="Arial" w:eastAsia="Arial" w:hAnsi="Arial"/>
          <w:sz w:val="18"/>
          <w:szCs w:val="18"/>
          <w:color w:val="auto"/>
        </w:rPr>
        <w:t xml:space="preserve"> hereto dated as of the Closing Date.</w:t>
      </w:r>
    </w:p>
    <w:p>
      <w:pPr>
        <w:spacing w:after="0" w:line="170" w:lineRule="exact"/>
        <w:rPr>
          <w:rFonts w:ascii="Arial" w:cs="Arial" w:eastAsia="Arial" w:hAnsi="Arial"/>
          <w:sz w:val="18"/>
          <w:szCs w:val="18"/>
          <w:color w:val="auto"/>
        </w:rPr>
      </w:pPr>
    </w:p>
    <w:p>
      <w:pPr>
        <w:ind w:left="4" w:right="280" w:firstLine="436"/>
        <w:spacing w:after="0" w:line="291" w:lineRule="auto"/>
        <w:tabs>
          <w:tab w:leader="none" w:pos="749" w:val="left"/>
        </w:tabs>
        <w:numPr>
          <w:ilvl w:val="1"/>
          <w:numId w:val="209"/>
        </w:numPr>
        <w:rPr>
          <w:rFonts w:ascii="Arial" w:cs="Arial" w:eastAsia="Arial" w:hAnsi="Arial"/>
          <w:sz w:val="16"/>
          <w:szCs w:val="16"/>
          <w:color w:val="auto"/>
        </w:rPr>
      </w:pPr>
      <w:r>
        <w:rPr>
          <w:rFonts w:ascii="Arial" w:cs="Arial" w:eastAsia="Arial" w:hAnsi="Arial"/>
          <w:sz w:val="16"/>
          <w:szCs w:val="16"/>
          <w:color w:val="auto"/>
        </w:rPr>
        <w:t>The Lead Arranger, the Administrative Agent and the Lenders shall have received all fees and invoiced expenses required to be paid on or prior to the Closing Date pursuant to the Fee Letter or Commitment Letter and solely with respect to expenses, to the extent invoiced at least three</w:t>
      </w:r>
    </w:p>
    <w:p>
      <w:pPr>
        <w:ind w:left="264" w:hanging="264"/>
        <w:spacing w:after="0"/>
        <w:tabs>
          <w:tab w:leader="none" w:pos="264" w:val="left"/>
        </w:tabs>
        <w:numPr>
          <w:ilvl w:val="0"/>
          <w:numId w:val="210"/>
        </w:numPr>
        <w:rPr>
          <w:rFonts w:ascii="Arial" w:cs="Arial" w:eastAsia="Arial" w:hAnsi="Arial"/>
          <w:sz w:val="18"/>
          <w:szCs w:val="18"/>
          <w:color w:val="auto"/>
        </w:rPr>
      </w:pPr>
      <w:r>
        <w:rPr>
          <w:rFonts w:ascii="Arial" w:cs="Arial" w:eastAsia="Arial" w:hAnsi="Arial"/>
          <w:sz w:val="18"/>
          <w:szCs w:val="18"/>
          <w:color w:val="auto"/>
        </w:rPr>
        <w:t>days prior to the Closing Date.</w:t>
      </w:r>
    </w:p>
    <w:p>
      <w:pPr>
        <w:spacing w:after="0" w:line="210" w:lineRule="exact"/>
        <w:rPr>
          <w:rFonts w:ascii="Arial" w:cs="Arial" w:eastAsia="Arial" w:hAnsi="Arial"/>
          <w:sz w:val="18"/>
          <w:szCs w:val="18"/>
          <w:color w:val="auto"/>
        </w:rPr>
      </w:pPr>
    </w:p>
    <w:p>
      <w:pPr>
        <w:ind w:left="4" w:right="120" w:firstLine="436"/>
        <w:spacing w:after="0" w:line="311" w:lineRule="auto"/>
        <w:tabs>
          <w:tab w:leader="none" w:pos="799" w:val="left"/>
        </w:tabs>
        <w:numPr>
          <w:ilvl w:val="1"/>
          <w:numId w:val="210"/>
        </w:numPr>
        <w:rPr>
          <w:rFonts w:ascii="Arial" w:cs="Arial" w:eastAsia="Arial" w:hAnsi="Arial"/>
          <w:sz w:val="16"/>
          <w:szCs w:val="16"/>
          <w:color w:val="auto"/>
        </w:rPr>
      </w:pPr>
      <w:r>
        <w:rPr>
          <w:rFonts w:ascii="Arial" w:cs="Arial" w:eastAsia="Arial" w:hAnsi="Arial"/>
          <w:sz w:val="16"/>
          <w:szCs w:val="16"/>
          <w:color w:val="auto"/>
        </w:rPr>
        <w:t>The Lead Arranger shall have received at least three business days prior to the Effective Date, to the extent reasonably requested at least ten business days prior to the Effective Date, all documentation and other information required by regulatory authorities under applicable “know your customer” and anti-money laundering rules and regulations, including, without limitation, the PATRIOT Act and the Beneficial Ownership Regulation.</w:t>
      </w:r>
    </w:p>
    <w:p>
      <w:pPr>
        <w:spacing w:after="0" w:line="81"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Exhibit B-2</w:t>
      </w:r>
    </w:p>
    <w:p>
      <w:pPr>
        <w:sectPr>
          <w:pgSz w:w="11900" w:h="16838" w:orient="portrait"/>
          <w:cols w:equalWidth="0" w:num="1">
            <w:col w:w="10984"/>
          </w:cols>
          <w:pgMar w:left="436" w:top="274" w:right="479" w:bottom="1440" w:gutter="0" w:footer="0" w:header="0"/>
        </w:sectPr>
      </w:pPr>
    </w:p>
    <w:bookmarkStart w:id="155" w:name="page156"/>
    <w:bookmarkEnd w:id="15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Annex I</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EXHIBIT B</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SOLVENCY CERTIFICATE</w:t>
      </w:r>
    </w:p>
    <w:p>
      <w:pPr>
        <w:spacing w:after="0" w:line="99" w:lineRule="exact"/>
        <w:rPr>
          <w:sz w:val="20"/>
          <w:szCs w:val="20"/>
          <w:color w:val="auto"/>
        </w:rPr>
      </w:pPr>
    </w:p>
    <w:p>
      <w:pPr>
        <w:ind w:left="5540" w:hanging="696"/>
        <w:spacing w:after="0"/>
        <w:tabs>
          <w:tab w:leader="none" w:pos="5540" w:val="left"/>
        </w:tabs>
        <w:numPr>
          <w:ilvl w:val="0"/>
          <w:numId w:val="211"/>
        </w:numPr>
        <w:rPr>
          <w:rFonts w:ascii="Arial" w:cs="Arial" w:eastAsia="Arial" w:hAnsi="Arial"/>
          <w:sz w:val="18"/>
          <w:szCs w:val="18"/>
          <w:b w:val="1"/>
          <w:bCs w:val="1"/>
          <w:color w:val="auto"/>
        </w:rPr>
      </w:pPr>
      <w:r>
        <w:rPr>
          <w:rFonts w:ascii="Arial" w:cs="Arial" w:eastAsia="Arial" w:hAnsi="Arial"/>
          <w:sz w:val="18"/>
          <w:szCs w:val="18"/>
          <w:b w:val="1"/>
          <w:bCs w:val="1"/>
          <w:color w:val="auto"/>
        </w:rPr>
        <w:t>], 202[_]</w:t>
      </w:r>
    </w:p>
    <w:p>
      <w:pPr>
        <w:spacing w:after="0" w:line="229" w:lineRule="exact"/>
        <w:rPr>
          <w:sz w:val="20"/>
          <w:szCs w:val="20"/>
          <w:color w:val="auto"/>
        </w:rPr>
      </w:pPr>
    </w:p>
    <w:p>
      <w:pPr>
        <w:ind w:right="360" w:firstLine="440"/>
        <w:spacing w:after="0" w:line="263" w:lineRule="auto"/>
        <w:rPr>
          <w:sz w:val="20"/>
          <w:szCs w:val="20"/>
          <w:color w:val="auto"/>
        </w:rPr>
      </w:pPr>
      <w:r>
        <w:rPr>
          <w:rFonts w:ascii="Arial" w:cs="Arial" w:eastAsia="Arial" w:hAnsi="Arial"/>
          <w:sz w:val="18"/>
          <w:szCs w:val="18"/>
          <w:color w:val="auto"/>
        </w:rPr>
        <w:t>This Solvency Certificate is delivered pursuant to Section [ ] of the Credit Agreement dated as of [ ], 202[_], among [ ] (the “</w:t>
      </w:r>
      <w:r>
        <w:rPr>
          <w:rFonts w:ascii="Arial" w:cs="Arial" w:eastAsia="Arial" w:hAnsi="Arial"/>
          <w:sz w:val="18"/>
          <w:szCs w:val="18"/>
          <w:b w:val="1"/>
          <w:bCs w:val="1"/>
          <w:i w:val="1"/>
          <w:iCs w:val="1"/>
          <w:color w:val="auto"/>
        </w:rPr>
        <w:t>Credit Agreement</w:t>
      </w:r>
      <w:r>
        <w:rPr>
          <w:rFonts w:ascii="Arial" w:cs="Arial" w:eastAsia="Arial" w:hAnsi="Arial"/>
          <w:sz w:val="18"/>
          <w:szCs w:val="18"/>
          <w:b w:val="1"/>
          <w:bCs w:val="1"/>
          <w:color w:val="auto"/>
        </w:rPr>
        <w:t>”</w:t>
      </w:r>
      <w:r>
        <w:rPr>
          <w:rFonts w:ascii="Arial" w:cs="Arial" w:eastAsia="Arial" w:hAnsi="Arial"/>
          <w:sz w:val="18"/>
          <w:szCs w:val="18"/>
          <w:color w:val="auto"/>
        </w:rPr>
        <w:t>)</w:t>
      </w:r>
      <w:r>
        <w:rPr>
          <w:rFonts w:ascii="Arial" w:cs="Arial" w:eastAsia="Arial" w:hAnsi="Arial"/>
          <w:sz w:val="18"/>
          <w:szCs w:val="18"/>
          <w:i w:val="1"/>
          <w:iCs w:val="1"/>
          <w:color w:val="auto"/>
        </w:rPr>
        <w:t>.</w:t>
      </w:r>
      <w:r>
        <w:rPr>
          <w:rFonts w:ascii="Arial" w:cs="Arial" w:eastAsia="Arial" w:hAnsi="Arial"/>
          <w:sz w:val="18"/>
          <w:szCs w:val="18"/>
          <w:color w:val="auto"/>
        </w:rPr>
        <w:t xml:space="preserve"> Capitalized terms used herein and not otherwise defined herein shall have the meanings assigned to such terms in the Credit Agreement.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undersigned hereby certifies, solely in his capacity as an officer of the Borrower and not in his individual capacity, as follows:</w:t>
      </w:r>
    </w:p>
    <w:p>
      <w:pPr>
        <w:spacing w:after="0" w:line="117" w:lineRule="exact"/>
        <w:rPr>
          <w:sz w:val="20"/>
          <w:szCs w:val="20"/>
          <w:color w:val="auto"/>
        </w:rPr>
      </w:pPr>
    </w:p>
    <w:p>
      <w:pPr>
        <w:ind w:right="40" w:firstLine="436"/>
        <w:spacing w:after="0" w:line="263" w:lineRule="auto"/>
        <w:tabs>
          <w:tab w:leader="none" w:pos="62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I am the [Chief Financial Officer] of the Borrower. I am familiar with the Transactions and have reviewed the Credit Agreement, financial statements referred to in Section [__] of the Credit Agreement and such documents and made such investigation as I deemed relevant for the purposes of this Solvency Certificate.</w:t>
      </w:r>
    </w:p>
    <w:p>
      <w:pPr>
        <w:spacing w:after="0" w:line="183" w:lineRule="exact"/>
        <w:rPr>
          <w:rFonts w:ascii="Arial" w:cs="Arial" w:eastAsia="Arial" w:hAnsi="Arial"/>
          <w:sz w:val="18"/>
          <w:szCs w:val="18"/>
          <w:color w:val="auto"/>
        </w:rPr>
      </w:pPr>
    </w:p>
    <w:p>
      <w:pPr>
        <w:ind w:right="60" w:firstLine="436"/>
        <w:spacing w:after="0" w:line="269" w:lineRule="auto"/>
        <w:tabs>
          <w:tab w:leader="none" w:pos="62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As of the date hereof, immediately after giving effect to the consummation of the Transactions, on and as of such date (i) the fair value of the assets of the Borrower and its subsidiaries on a consolidated basis, at a fair valuation on a going concern basis, will exceed the debts and liabilities, direct, subordinated, contingent or otherwise, of the Borrower and its subsidiaries on a consolidated basis; (ii) the present fair saleable value of the property of the Borrower and its subsidiaries on a consolidated and going concern basis will be greater than the amount that will be required to pay the probable liability of the Borrower and its subsidiaries on a consolidated basis on their debts and other liabilities, direct, subordinated, contingent or otherwise, as such debts and other liabilities become absolute and matured in the ordinary course of business; (iii) the Borrower and its subsidiaries on a consolidated basis will be able to pay their debts and liabilities, direct, subordinated, contingent or otherwise, as such debts and liabilities become absolute and matured in the ordinary course of business; and (iv) the Borrower and its subsidiaries on a consolidated basis will not have unreasonably small capital with which to conduct the businesses in which they are engaged as such businesses are now conducted and are proposed to be conducted following the Closing Date.</w:t>
      </w:r>
    </w:p>
    <w:p>
      <w:pPr>
        <w:spacing w:after="0" w:line="185" w:lineRule="exact"/>
        <w:rPr>
          <w:sz w:val="20"/>
          <w:szCs w:val="20"/>
          <w:color w:val="auto"/>
        </w:rPr>
      </w:pPr>
    </w:p>
    <w:p>
      <w:pPr>
        <w:ind w:right="220" w:firstLine="440"/>
        <w:spacing w:after="0" w:line="308" w:lineRule="auto"/>
        <w:rPr>
          <w:sz w:val="20"/>
          <w:szCs w:val="20"/>
          <w:color w:val="auto"/>
        </w:rPr>
      </w:pPr>
      <w:r>
        <w:rPr>
          <w:rFonts w:ascii="Arial" w:cs="Arial" w:eastAsia="Arial" w:hAnsi="Arial"/>
          <w:sz w:val="17"/>
          <w:szCs w:val="17"/>
          <w:color w:val="auto"/>
        </w:rPr>
        <w:t>This Solvency Certificate is being delivered by the undersigned officer only in his capacity as [Chief Financial Officer] of the Borrower and not individually and the undersigned shall have no personal liability to the Administrative Agent or the Lenders with respect thereto.</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Annex I-1</w:t>
      </w:r>
    </w:p>
    <w:p>
      <w:pPr>
        <w:sectPr>
          <w:pgSz w:w="11900" w:h="16838" w:orient="portrait"/>
          <w:cols w:equalWidth="0" w:num="1">
            <w:col w:w="11020"/>
          </w:cols>
          <w:pgMar w:left="440" w:top="270" w:right="439" w:bottom="1440" w:gutter="0" w:footer="0" w:header="0"/>
        </w:sectPr>
      </w:pPr>
    </w:p>
    <w:bookmarkStart w:id="156" w:name="page157"/>
    <w:bookmarkEnd w:id="156"/>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WITNESS WHEREOF, the undersigned has executed this Solvency Certificate on the date first written above.</w:t>
      </w:r>
    </w:p>
    <w:p>
      <w:pPr>
        <w:spacing w:after="0" w:line="26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MAUI HOLDING, INC.</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jc w:val="both"/>
        <w:ind w:left="6180"/>
        <w:spacing w:after="0"/>
        <w:tabs>
          <w:tab w:leader="none" w:pos="6740" w:val="left"/>
        </w:tabs>
        <w:rPr>
          <w:sz w:val="20"/>
          <w:szCs w:val="20"/>
          <w:color w:val="auto"/>
        </w:rPr>
      </w:pPr>
      <w:r>
        <w:rPr>
          <w:rFonts w:ascii="Arial" w:cs="Arial" w:eastAsia="Arial" w:hAnsi="Arial"/>
          <w:sz w:val="18"/>
          <w:szCs w:val="18"/>
          <w:color w:val="auto"/>
        </w:rPr>
        <w:t>Title:</w:t>
        <w:tab/>
        <w:t>[Chief Financial Officer]</w:t>
      </w:r>
    </w:p>
    <w:p>
      <w:pPr>
        <w:spacing w:after="0" w:line="143" w:lineRule="exact"/>
        <w:rPr>
          <w:sz w:val="20"/>
          <w:szCs w:val="20"/>
          <w:color w:val="auto"/>
        </w:rPr>
      </w:pPr>
    </w:p>
    <w:p>
      <w:pPr>
        <w:ind w:left="4700"/>
        <w:spacing w:after="0"/>
        <w:rPr>
          <w:sz w:val="20"/>
          <w:szCs w:val="20"/>
          <w:color w:val="auto"/>
        </w:rPr>
      </w:pPr>
      <w:r>
        <w:rPr>
          <w:rFonts w:ascii="Arial" w:cs="Arial" w:eastAsia="Arial" w:hAnsi="Arial"/>
          <w:sz w:val="18"/>
          <w:szCs w:val="18"/>
          <w:color w:val="auto"/>
        </w:rPr>
        <w:t>Annex I-2</w:t>
      </w:r>
    </w:p>
    <w:p>
      <w:pPr>
        <w:sectPr>
          <w:pgSz w:w="11900" w:h="16838" w:orient="portrait"/>
          <w:cols w:equalWidth="0" w:num="1">
            <w:col w:w="9579"/>
          </w:cols>
          <w:pgMar w:left="880" w:top="274" w:right="1440" w:bottom="1440" w:gutter="0" w:footer="0" w:header="0"/>
        </w:sectPr>
      </w:pPr>
    </w:p>
    <w:bookmarkStart w:id="157" w:name="page158"/>
    <w:bookmarkEnd w:id="157"/>
    <w:tbl>
      <w:tblPr>
        <w:tblLayout w:type="fixed"/>
        <w:tblInd w:w="0" w:type="dxa"/>
        <w:tblCellMar>
          <w:top w:w="0" w:type="dxa"/>
          <w:left w:w="0" w:type="dxa"/>
          <w:bottom w:w="0" w:type="dxa"/>
          <w:right w:w="0" w:type="dxa"/>
        </w:tblCellMar>
      </w:tblPr>
      <w:tr>
        <w:trPr>
          <w:trHeight w:val="234"/>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4520"/>
              <w:spacing w:after="0"/>
              <w:rPr>
                <w:sz w:val="20"/>
                <w:szCs w:val="20"/>
                <w:color w:val="auto"/>
              </w:rPr>
            </w:pPr>
            <w:r>
              <w:rPr>
                <w:rFonts w:ascii="Arial" w:cs="Arial" w:eastAsia="Arial" w:hAnsi="Arial"/>
                <w:sz w:val="18"/>
                <w:szCs w:val="18"/>
                <w:b w:val="1"/>
                <w:bCs w:val="1"/>
                <w:color w:val="auto"/>
                <w:w w:val="97"/>
              </w:rPr>
              <w:t>Exhibit C</w:t>
            </w:r>
          </w:p>
        </w:tc>
      </w:tr>
      <w:tr>
        <w:trPr>
          <w:trHeight w:val="432"/>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420" w:type="dxa"/>
            <w:vAlign w:val="bottom"/>
            <w:gridSpan w:val="3"/>
          </w:tcPr>
          <w:p>
            <w:pPr>
              <w:ind w:left="120"/>
              <w:spacing w:after="0"/>
              <w:rPr>
                <w:sz w:val="20"/>
                <w:szCs w:val="20"/>
                <w:color w:val="auto"/>
              </w:rPr>
            </w:pPr>
            <w:r>
              <w:rPr>
                <w:rFonts w:ascii="Arial" w:cs="Arial" w:eastAsia="Arial" w:hAnsi="Arial"/>
                <w:sz w:val="18"/>
                <w:szCs w:val="18"/>
                <w:b w:val="1"/>
                <w:bCs w:val="1"/>
                <w:color w:val="auto"/>
              </w:rPr>
              <w:t>CERTAIN MODIFICATIONS TO EXISTING CREDIT AGREEMENT</w:t>
            </w:r>
          </w:p>
        </w:tc>
      </w:tr>
      <w:tr>
        <w:trPr>
          <w:trHeight w:val="412"/>
        </w:trPr>
        <w:tc>
          <w:tcPr>
            <w:tcW w:w="2620" w:type="dxa"/>
            <w:vAlign w:val="bottom"/>
            <w:gridSpan w:val="2"/>
          </w:tcPr>
          <w:p>
            <w:pPr>
              <w:spacing w:after="0"/>
              <w:rPr>
                <w:sz w:val="20"/>
                <w:szCs w:val="20"/>
                <w:color w:val="auto"/>
              </w:rPr>
            </w:pPr>
            <w:r>
              <w:rPr>
                <w:rFonts w:ascii="Arial" w:cs="Arial" w:eastAsia="Arial" w:hAnsi="Arial"/>
                <w:sz w:val="14"/>
                <w:szCs w:val="14"/>
                <w:b w:val="1"/>
                <w:bCs w:val="1"/>
                <w:color w:val="auto"/>
              </w:rPr>
              <w:t>Existing Credit Agreement Provision</w:t>
            </w:r>
          </w:p>
        </w:tc>
        <w:tc>
          <w:tcPr>
            <w:tcW w:w="3120" w:type="dxa"/>
            <w:vAlign w:val="bottom"/>
          </w:tcPr>
          <w:p>
            <w:pPr>
              <w:spacing w:after="0"/>
              <w:rPr>
                <w:sz w:val="24"/>
                <w:szCs w:val="24"/>
                <w:color w:val="auto"/>
              </w:rPr>
            </w:pPr>
          </w:p>
        </w:tc>
        <w:tc>
          <w:tcPr>
            <w:tcW w:w="5300" w:type="dxa"/>
            <w:vAlign w:val="bottom"/>
            <w:gridSpan w:val="2"/>
          </w:tcPr>
          <w:p>
            <w:pPr>
              <w:ind w:left="2240"/>
              <w:spacing w:after="0"/>
              <w:rPr>
                <w:sz w:val="20"/>
                <w:szCs w:val="20"/>
                <w:color w:val="auto"/>
              </w:rPr>
            </w:pPr>
            <w:r>
              <w:rPr>
                <w:rFonts w:ascii="Arial" w:cs="Arial" w:eastAsia="Arial" w:hAnsi="Arial"/>
                <w:sz w:val="14"/>
                <w:szCs w:val="14"/>
                <w:b w:val="1"/>
                <w:bCs w:val="1"/>
                <w:color w:val="auto"/>
              </w:rPr>
              <w:t>Modification</w:t>
            </w:r>
          </w:p>
        </w:tc>
      </w:tr>
      <w:tr>
        <w:trPr>
          <w:trHeight w:val="189"/>
        </w:trPr>
        <w:tc>
          <w:tcPr>
            <w:tcW w:w="226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88"/>
              </w:rPr>
              <w:t>Consolidated EBITDA definition</w:t>
            </w:r>
          </w:p>
        </w:tc>
        <w:tc>
          <w:tcPr>
            <w:tcW w:w="360" w:type="dxa"/>
            <w:vAlign w:val="bottom"/>
          </w:tcPr>
          <w:p>
            <w:pPr>
              <w:spacing w:after="0"/>
              <w:rPr>
                <w:sz w:val="16"/>
                <w:szCs w:val="16"/>
                <w:color w:val="auto"/>
              </w:rPr>
            </w:pPr>
          </w:p>
        </w:tc>
        <w:tc>
          <w:tcPr>
            <w:tcW w:w="3120" w:type="dxa"/>
            <w:vAlign w:val="bottom"/>
          </w:tcPr>
          <w:p>
            <w:pPr>
              <w:spacing w:after="0"/>
              <w:rPr>
                <w:sz w:val="16"/>
                <w:szCs w:val="16"/>
                <w:color w:val="auto"/>
              </w:rPr>
            </w:pPr>
          </w:p>
        </w:tc>
        <w:tc>
          <w:tcPr>
            <w:tcW w:w="52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rPr>
              <w:t>Replace reference in clause (iii)(A) to “Cavium Acquisition” with a</w:t>
            </w:r>
          </w:p>
        </w:tc>
        <w:tc>
          <w:tcPr>
            <w:tcW w:w="20" w:type="dxa"/>
            <w:vAlign w:val="bottom"/>
          </w:tcPr>
          <w:p>
            <w:pPr>
              <w:spacing w:after="0"/>
              <w:rPr>
                <w:sz w:val="16"/>
                <w:szCs w:val="16"/>
                <w:color w:val="auto"/>
              </w:rPr>
            </w:pP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reference to the Acquisition</w:t>
            </w:r>
          </w:p>
        </w:tc>
      </w:tr>
      <w:tr>
        <w:trPr>
          <w:trHeight w:val="310"/>
        </w:trPr>
        <w:tc>
          <w:tcPr>
            <w:tcW w:w="2620" w:type="dxa"/>
            <w:vAlign w:val="bottom"/>
            <w:gridSpan w:val="2"/>
          </w:tcPr>
          <w:p>
            <w:pPr>
              <w:spacing w:after="0"/>
              <w:rPr>
                <w:sz w:val="20"/>
                <w:szCs w:val="20"/>
                <w:color w:val="auto"/>
              </w:rPr>
            </w:pPr>
            <w:r>
              <w:rPr>
                <w:rFonts w:ascii="Arial" w:cs="Arial" w:eastAsia="Arial" w:hAnsi="Arial"/>
                <w:sz w:val="18"/>
                <w:szCs w:val="18"/>
                <w:color w:val="auto"/>
              </w:rPr>
              <w:t>Material Subsidiary definition</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Revise to limit to subsidiaries that would constitute “significant</w:t>
            </w: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subsidiaries” under Reg S-X</w:t>
            </w:r>
          </w:p>
        </w:tc>
      </w:tr>
      <w:tr>
        <w:trPr>
          <w:trHeight w:val="310"/>
        </w:trPr>
        <w:tc>
          <w:tcPr>
            <w:tcW w:w="2620" w:type="dxa"/>
            <w:vAlign w:val="bottom"/>
            <w:gridSpan w:val="2"/>
          </w:tcPr>
          <w:p>
            <w:pPr>
              <w:spacing w:after="0"/>
              <w:rPr>
                <w:sz w:val="20"/>
                <w:szCs w:val="20"/>
                <w:color w:val="auto"/>
              </w:rPr>
            </w:pPr>
            <w:r>
              <w:rPr>
                <w:rFonts w:ascii="Arial" w:cs="Arial" w:eastAsia="Arial" w:hAnsi="Arial"/>
                <w:sz w:val="18"/>
                <w:szCs w:val="18"/>
                <w:color w:val="auto"/>
                <w:w w:val="93"/>
              </w:rPr>
              <w:t>Permitted Subsidiary Indebtedness</w:t>
            </w: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Arial" w:cs="Arial" w:eastAsia="Arial" w:hAnsi="Arial"/>
                <w:sz w:val="18"/>
                <w:szCs w:val="18"/>
                <w:color w:val="auto"/>
              </w:rPr>
              <w:t>•  Revise to permit all debt at closing up to $25M (without need to</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120" w:type="dxa"/>
            <w:vAlign w:val="bottom"/>
          </w:tcPr>
          <w:p>
            <w:pPr>
              <w:spacing w:after="0"/>
              <w:rPr>
                <w:sz w:val="18"/>
                <w:szCs w:val="18"/>
                <w:color w:val="auto"/>
              </w:rPr>
            </w:pPr>
          </w:p>
        </w:tc>
        <w:tc>
          <w:tcPr>
            <w:tcW w:w="5300" w:type="dxa"/>
            <w:vAlign w:val="bottom"/>
            <w:gridSpan w:val="2"/>
          </w:tcPr>
          <w:p>
            <w:pPr>
              <w:ind w:left="360"/>
              <w:spacing w:after="0"/>
              <w:rPr>
                <w:sz w:val="20"/>
                <w:szCs w:val="20"/>
                <w:color w:val="auto"/>
              </w:rPr>
            </w:pPr>
            <w:r>
              <w:rPr>
                <w:rFonts w:ascii="Arial" w:cs="Arial" w:eastAsia="Arial" w:hAnsi="Arial"/>
                <w:sz w:val="18"/>
                <w:szCs w:val="18"/>
                <w:color w:val="auto"/>
                <w:w w:val="95"/>
              </w:rPr>
              <w:t>schedule) subject to an aggregate amount for all such debt to be</w:t>
            </w: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Arial" w:cs="Arial" w:eastAsia="Arial" w:hAnsi="Arial"/>
                <w:sz w:val="18"/>
                <w:szCs w:val="18"/>
                <w:color w:val="auto"/>
              </w:rPr>
              <w:t>agreed</w:t>
            </w:r>
          </w:p>
        </w:tc>
      </w:tr>
      <w:tr>
        <w:trPr>
          <w:trHeight w:val="323"/>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Arial" w:cs="Arial" w:eastAsia="Arial" w:hAnsi="Arial"/>
                <w:sz w:val="18"/>
                <w:szCs w:val="18"/>
                <w:color w:val="auto"/>
              </w:rPr>
              <w:t>•  Include dollar floor on general basket equal to (i) prior to the</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120" w:type="dxa"/>
            <w:vAlign w:val="bottom"/>
          </w:tcPr>
          <w:p>
            <w:pPr>
              <w:spacing w:after="0"/>
              <w:rPr>
                <w:sz w:val="18"/>
                <w:szCs w:val="18"/>
                <w:color w:val="auto"/>
              </w:rPr>
            </w:pPr>
          </w:p>
        </w:tc>
        <w:tc>
          <w:tcPr>
            <w:tcW w:w="5300" w:type="dxa"/>
            <w:vAlign w:val="bottom"/>
            <w:gridSpan w:val="2"/>
          </w:tcPr>
          <w:p>
            <w:pPr>
              <w:ind w:left="360"/>
              <w:spacing w:after="0"/>
              <w:rPr>
                <w:sz w:val="20"/>
                <w:szCs w:val="20"/>
                <w:color w:val="auto"/>
              </w:rPr>
            </w:pPr>
            <w:r>
              <w:rPr>
                <w:rFonts w:ascii="Arial" w:cs="Arial" w:eastAsia="Arial" w:hAnsi="Arial"/>
                <w:sz w:val="18"/>
                <w:szCs w:val="18"/>
                <w:color w:val="auto"/>
                <w:w w:val="93"/>
              </w:rPr>
              <w:t>Closing Date, $300.0 million and (ii) on and after the Closing Date,</w:t>
            </w: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Arial" w:cs="Arial" w:eastAsia="Arial" w:hAnsi="Arial"/>
                <w:sz w:val="18"/>
                <w:szCs w:val="18"/>
                <w:color w:val="auto"/>
              </w:rPr>
              <w:t>$400.0 million</w:t>
            </w:r>
          </w:p>
        </w:tc>
      </w:tr>
      <w:tr>
        <w:trPr>
          <w:trHeight w:val="338"/>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Arial" w:cs="Arial" w:eastAsia="Arial" w:hAnsi="Arial"/>
                <w:sz w:val="18"/>
                <w:szCs w:val="18"/>
                <w:color w:val="auto"/>
                <w:w w:val="98"/>
              </w:rPr>
              <w:t>•  Existing Maui bonds and Palau notes to be specifically permitted</w:t>
            </w:r>
          </w:p>
        </w:tc>
      </w:tr>
      <w:tr>
        <w:trPr>
          <w:trHeight w:val="323"/>
        </w:trPr>
        <w:tc>
          <w:tcPr>
            <w:tcW w:w="2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120" w:type="dxa"/>
            <w:vAlign w:val="bottom"/>
          </w:tcPr>
          <w:p>
            <w:pPr>
              <w:spacing w:after="0"/>
              <w:rPr>
                <w:sz w:val="24"/>
                <w:szCs w:val="24"/>
                <w:color w:val="auto"/>
              </w:rPr>
            </w:pPr>
          </w:p>
        </w:tc>
        <w:tc>
          <w:tcPr>
            <w:tcW w:w="5300" w:type="dxa"/>
            <w:vAlign w:val="bottom"/>
            <w:gridSpan w:val="2"/>
          </w:tcPr>
          <w:p>
            <w:pPr>
              <w:ind w:left="80"/>
              <w:spacing w:after="0"/>
              <w:rPr>
                <w:sz w:val="20"/>
                <w:szCs w:val="20"/>
                <w:color w:val="auto"/>
              </w:rPr>
            </w:pPr>
            <w:r>
              <w:rPr>
                <w:rFonts w:ascii="Arial" w:cs="Arial" w:eastAsia="Arial" w:hAnsi="Arial"/>
                <w:sz w:val="18"/>
                <w:szCs w:val="18"/>
                <w:color w:val="auto"/>
                <w:w w:val="95"/>
              </w:rPr>
              <w:t>•  Additionally permit any guarantees by guarantors under the Bridge</w:t>
            </w: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3120" w:type="dxa"/>
            <w:vAlign w:val="bottom"/>
          </w:tcPr>
          <w:p>
            <w:pPr>
              <w:spacing w:after="0"/>
              <w:rPr>
                <w:sz w:val="20"/>
                <w:szCs w:val="20"/>
                <w:color w:val="auto"/>
              </w:rPr>
            </w:pPr>
          </w:p>
        </w:tc>
        <w:tc>
          <w:tcPr>
            <w:tcW w:w="5300" w:type="dxa"/>
            <w:vAlign w:val="bottom"/>
            <w:gridSpan w:val="2"/>
          </w:tcPr>
          <w:p>
            <w:pPr>
              <w:ind w:left="360"/>
              <w:spacing w:after="0"/>
              <w:rPr>
                <w:sz w:val="20"/>
                <w:szCs w:val="20"/>
                <w:color w:val="auto"/>
              </w:rPr>
            </w:pPr>
            <w:r>
              <w:rPr>
                <w:rFonts w:ascii="Arial" w:cs="Arial" w:eastAsia="Arial" w:hAnsi="Arial"/>
                <w:sz w:val="18"/>
                <w:szCs w:val="18"/>
                <w:color w:val="auto"/>
              </w:rPr>
              <w:t>Facility provided in respect of pari passu indebtedness</w:t>
            </w:r>
          </w:p>
        </w:tc>
      </w:tr>
      <w:tr>
        <w:trPr>
          <w:trHeight w:val="323"/>
        </w:trPr>
        <w:tc>
          <w:tcPr>
            <w:tcW w:w="2620" w:type="dxa"/>
            <w:vAlign w:val="bottom"/>
            <w:gridSpan w:val="2"/>
          </w:tcPr>
          <w:p>
            <w:pPr>
              <w:spacing w:after="0"/>
              <w:rPr>
                <w:sz w:val="20"/>
                <w:szCs w:val="20"/>
                <w:color w:val="auto"/>
              </w:rPr>
            </w:pPr>
            <w:r>
              <w:rPr>
                <w:rFonts w:ascii="Arial" w:cs="Arial" w:eastAsia="Arial" w:hAnsi="Arial"/>
                <w:sz w:val="18"/>
                <w:szCs w:val="18"/>
                <w:color w:val="auto"/>
              </w:rPr>
              <w:t>General Lien Basket</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w w:val="97"/>
              </w:rPr>
              <w:t>Include dollar floor on general basket equal to (i) prior to the Closing</w:t>
            </w:r>
          </w:p>
        </w:tc>
      </w:tr>
      <w:tr>
        <w:trPr>
          <w:trHeight w:val="216"/>
        </w:trPr>
        <w:tc>
          <w:tcPr>
            <w:tcW w:w="2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Date, $300.0 million and (ii) on and after the Closing Date,</w:t>
            </w:r>
          </w:p>
        </w:tc>
      </w:tr>
      <w:tr>
        <w:trPr>
          <w:trHeight w:val="230"/>
        </w:trPr>
        <w:tc>
          <w:tcPr>
            <w:tcW w:w="2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$400.0 million</w:t>
            </w:r>
          </w:p>
        </w:tc>
      </w:tr>
      <w:tr>
        <w:trPr>
          <w:trHeight w:val="324"/>
        </w:trPr>
        <w:tc>
          <w:tcPr>
            <w:tcW w:w="2620" w:type="dxa"/>
            <w:vAlign w:val="bottom"/>
            <w:gridSpan w:val="2"/>
          </w:tcPr>
          <w:p>
            <w:pPr>
              <w:spacing w:after="0"/>
              <w:rPr>
                <w:sz w:val="20"/>
                <w:szCs w:val="20"/>
                <w:color w:val="auto"/>
              </w:rPr>
            </w:pPr>
            <w:r>
              <w:rPr>
                <w:rFonts w:ascii="Arial" w:cs="Arial" w:eastAsia="Arial" w:hAnsi="Arial"/>
                <w:sz w:val="18"/>
                <w:szCs w:val="18"/>
                <w:color w:val="auto"/>
                <w:w w:val="98"/>
              </w:rPr>
              <w:t>Fundamental Changes / Mergers</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Specifically permit the Acquisition</w:t>
            </w:r>
          </w:p>
        </w:tc>
      </w:tr>
      <w:tr>
        <w:trPr>
          <w:trHeight w:val="324"/>
        </w:trPr>
        <w:tc>
          <w:tcPr>
            <w:tcW w:w="2620" w:type="dxa"/>
            <w:vAlign w:val="bottom"/>
            <w:gridSpan w:val="2"/>
          </w:tcPr>
          <w:p>
            <w:pPr>
              <w:spacing w:after="0"/>
              <w:rPr>
                <w:sz w:val="20"/>
                <w:szCs w:val="20"/>
                <w:color w:val="auto"/>
              </w:rPr>
            </w:pPr>
            <w:r>
              <w:rPr>
                <w:rFonts w:ascii="Arial" w:cs="Arial" w:eastAsia="Arial" w:hAnsi="Arial"/>
                <w:sz w:val="18"/>
                <w:szCs w:val="18"/>
                <w:color w:val="auto"/>
                <w:w w:val="96"/>
              </w:rPr>
              <w:t>Restrictive Agreements Covenant</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Remove</w:t>
            </w:r>
          </w:p>
        </w:tc>
      </w:tr>
      <w:tr>
        <w:trPr>
          <w:trHeight w:val="324"/>
        </w:trPr>
        <w:tc>
          <w:tcPr>
            <w:tcW w:w="2620" w:type="dxa"/>
            <w:vAlign w:val="bottom"/>
            <w:gridSpan w:val="2"/>
          </w:tcPr>
          <w:p>
            <w:pPr>
              <w:spacing w:after="0"/>
              <w:rPr>
                <w:sz w:val="20"/>
                <w:szCs w:val="20"/>
                <w:color w:val="auto"/>
              </w:rPr>
            </w:pPr>
            <w:r>
              <w:rPr>
                <w:rFonts w:ascii="Arial" w:cs="Arial" w:eastAsia="Arial" w:hAnsi="Arial"/>
                <w:sz w:val="18"/>
                <w:szCs w:val="18"/>
                <w:color w:val="auto"/>
              </w:rPr>
              <w:t>Leverage Ratio</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Covenant level to be revised as set forth in Exhibit A.</w:t>
            </w:r>
          </w:p>
        </w:tc>
      </w:tr>
      <w:tr>
        <w:trPr>
          <w:trHeight w:val="324"/>
        </w:trPr>
        <w:tc>
          <w:tcPr>
            <w:tcW w:w="2620" w:type="dxa"/>
            <w:vAlign w:val="bottom"/>
            <w:gridSpan w:val="2"/>
          </w:tcPr>
          <w:p>
            <w:pPr>
              <w:spacing w:after="0"/>
              <w:rPr>
                <w:sz w:val="20"/>
                <w:szCs w:val="20"/>
                <w:color w:val="auto"/>
              </w:rPr>
            </w:pPr>
            <w:r>
              <w:rPr>
                <w:rFonts w:ascii="Arial" w:cs="Arial" w:eastAsia="Arial" w:hAnsi="Arial"/>
                <w:sz w:val="18"/>
                <w:szCs w:val="18"/>
                <w:color w:val="auto"/>
              </w:rPr>
              <w:t>Permitted Reorganization</w:t>
            </w:r>
          </w:p>
        </w:tc>
        <w:tc>
          <w:tcPr>
            <w:tcW w:w="8420" w:type="dxa"/>
            <w:vAlign w:val="bottom"/>
            <w:gridSpan w:val="3"/>
          </w:tcPr>
          <w:p>
            <w:pPr>
              <w:ind w:left="3120"/>
              <w:spacing w:after="0"/>
              <w:rPr>
                <w:sz w:val="20"/>
                <w:szCs w:val="20"/>
                <w:color w:val="auto"/>
              </w:rPr>
            </w:pPr>
            <w:r>
              <w:rPr>
                <w:rFonts w:ascii="Arial" w:cs="Arial" w:eastAsia="Arial" w:hAnsi="Arial"/>
                <w:sz w:val="18"/>
                <w:szCs w:val="18"/>
                <w:color w:val="auto"/>
              </w:rPr>
              <w:t>To be revised to reflect the Transactions.</w:t>
            </w:r>
          </w:p>
        </w:tc>
      </w:tr>
    </w:tbl>
    <w:p>
      <w:pPr>
        <w:ind w:left="3120"/>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58" w:name="page159"/>
    <w:bookmarkEnd w:id="158"/>
    <w:p>
      <w:pPr>
        <w:jc w:val="right"/>
        <w:spacing w:after="0"/>
        <w:rPr>
          <w:sz w:val="20"/>
          <w:szCs w:val="20"/>
          <w:color w:val="auto"/>
        </w:rPr>
      </w:pPr>
      <w:r>
        <w:rPr>
          <w:rFonts w:ascii="Arial" w:cs="Arial" w:eastAsia="Arial" w:hAnsi="Arial"/>
          <w:sz w:val="18"/>
          <w:szCs w:val="18"/>
          <w:b w:val="1"/>
          <w:bCs w:val="1"/>
          <w:color w:val="auto"/>
        </w:rPr>
        <w:t>Exhibit 10.2</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u w:val="single" w:color="auto"/>
          <w:color w:val="auto"/>
        </w:rPr>
        <w:t>Execution Version</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JPMORGAN CHASE BANK, N.A.</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383 Madison Avenue</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New York, NY 10179</w:t>
      </w:r>
    </w:p>
    <w:p>
      <w:pPr>
        <w:spacing w:after="0" w:line="211" w:lineRule="exact"/>
        <w:rPr>
          <w:sz w:val="20"/>
          <w:szCs w:val="20"/>
          <w:color w:val="auto"/>
        </w:rPr>
      </w:pPr>
    </w:p>
    <w:p>
      <w:pPr>
        <w:ind w:left="9760"/>
        <w:spacing w:after="0"/>
        <w:rPr>
          <w:sz w:val="20"/>
          <w:szCs w:val="20"/>
          <w:color w:val="auto"/>
        </w:rPr>
      </w:pPr>
      <w:r>
        <w:rPr>
          <w:rFonts w:ascii="Arial" w:cs="Arial" w:eastAsia="Arial" w:hAnsi="Arial"/>
          <w:sz w:val="16"/>
          <w:szCs w:val="16"/>
          <w:color w:val="auto"/>
        </w:rPr>
        <w:t>October 29, 2020</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Project Palau</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Facilities Commitment Letter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Maui Holdco,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Attention: Jean Hu, Chief Financial Officer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6"/>
          <w:szCs w:val="16"/>
          <w:color w:val="auto"/>
        </w:rPr>
        <w:t>Marvell Technology Group Ltd., a Bermuda exempted company (“</w:t>
      </w:r>
      <w:r>
        <w:rPr>
          <w:rFonts w:ascii="Arial" w:cs="Arial" w:eastAsia="Arial" w:hAnsi="Arial"/>
          <w:sz w:val="16"/>
          <w:szCs w:val="16"/>
          <w:b w:val="1"/>
          <w:bCs w:val="1"/>
          <w:i w:val="1"/>
          <w:iCs w:val="1"/>
          <w:color w:val="auto"/>
        </w:rPr>
        <w:t>you</w:t>
      </w:r>
      <w:r>
        <w:rPr>
          <w:rFonts w:ascii="Arial" w:cs="Arial" w:eastAsia="Arial" w:hAnsi="Arial"/>
          <w:sz w:val="16"/>
          <w:szCs w:val="16"/>
          <w:color w:val="auto"/>
        </w:rPr>
        <w:t>” or “</w:t>
      </w:r>
      <w:r>
        <w:rPr>
          <w:rFonts w:ascii="Arial" w:cs="Arial" w:eastAsia="Arial" w:hAnsi="Arial"/>
          <w:sz w:val="16"/>
          <w:szCs w:val="16"/>
          <w:b w:val="1"/>
          <w:bCs w:val="1"/>
          <w:i w:val="1"/>
          <w:iCs w:val="1"/>
          <w:color w:val="auto"/>
        </w:rPr>
        <w:t>Maui</w:t>
      </w:r>
      <w:r>
        <w:rPr>
          <w:rFonts w:ascii="Arial" w:cs="Arial" w:eastAsia="Arial" w:hAnsi="Arial"/>
          <w:sz w:val="16"/>
          <w:szCs w:val="16"/>
          <w:color w:val="auto"/>
        </w:rPr>
        <w:t>”), has advised JPMorgan Chase Bank N.A. (“</w:t>
      </w:r>
      <w:r>
        <w:rPr>
          <w:rFonts w:ascii="Arial" w:cs="Arial" w:eastAsia="Arial" w:hAnsi="Arial"/>
          <w:sz w:val="16"/>
          <w:szCs w:val="16"/>
          <w:b w:val="1"/>
          <w:bCs w:val="1"/>
          <w:i w:val="1"/>
          <w:iCs w:val="1"/>
          <w:color w:val="auto"/>
        </w:rPr>
        <w:t>JPMorgan</w:t>
      </w:r>
      <w:r>
        <w:rPr>
          <w:rFonts w:ascii="Arial" w:cs="Arial" w:eastAsia="Arial" w:hAnsi="Arial"/>
          <w:sz w:val="16"/>
          <w:szCs w:val="16"/>
          <w:color w:val="auto"/>
        </w:rPr>
        <w:t>”, the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Commitment Party</w:t>
      </w:r>
      <w:r>
        <w:rPr>
          <w:rFonts w:ascii="Arial" w:cs="Arial" w:eastAsia="Arial" w:hAnsi="Arial"/>
          <w:sz w:val="16"/>
          <w:szCs w:val="16"/>
          <w:color w:val="auto"/>
        </w:rPr>
        <w:t>”, “</w:t>
      </w:r>
      <w:r>
        <w:rPr>
          <w:rFonts w:ascii="Arial" w:cs="Arial" w:eastAsia="Arial" w:hAnsi="Arial"/>
          <w:sz w:val="16"/>
          <w:szCs w:val="16"/>
          <w:b w:val="1"/>
          <w:bCs w:val="1"/>
          <w:i w:val="1"/>
          <w:iCs w:val="1"/>
          <w:color w:val="auto"/>
        </w:rPr>
        <w:t>we</w:t>
      </w:r>
      <w:r>
        <w:rPr>
          <w:rFonts w:ascii="Arial" w:cs="Arial" w:eastAsia="Arial" w:hAnsi="Arial"/>
          <w:sz w:val="16"/>
          <w:szCs w:val="16"/>
          <w:color w:val="auto"/>
        </w:rPr>
        <w:t>” or “</w:t>
      </w:r>
      <w:r>
        <w:rPr>
          <w:rFonts w:ascii="Arial" w:cs="Arial" w:eastAsia="Arial" w:hAnsi="Arial"/>
          <w:sz w:val="16"/>
          <w:szCs w:val="16"/>
          <w:b w:val="1"/>
          <w:bCs w:val="1"/>
          <w:i w:val="1"/>
          <w:iCs w:val="1"/>
          <w:color w:val="auto"/>
        </w:rPr>
        <w:t>us</w:t>
      </w:r>
      <w:r>
        <w:rPr>
          <w:rFonts w:ascii="Arial" w:cs="Arial" w:eastAsia="Arial" w:hAnsi="Arial"/>
          <w:sz w:val="16"/>
          <w:szCs w:val="16"/>
          <w:color w:val="auto"/>
        </w:rPr>
        <w:t>”) that it intends to acquire (the “</w:t>
      </w:r>
      <w:r>
        <w:rPr>
          <w:rFonts w:ascii="Arial" w:cs="Arial" w:eastAsia="Arial" w:hAnsi="Arial"/>
          <w:sz w:val="16"/>
          <w:szCs w:val="16"/>
          <w:b w:val="1"/>
          <w:bCs w:val="1"/>
          <w:i w:val="1"/>
          <w:iCs w:val="1"/>
          <w:color w:val="auto"/>
        </w:rPr>
        <w:t>Acquisition</w:t>
      </w:r>
      <w:r>
        <w:rPr>
          <w:rFonts w:ascii="Arial" w:cs="Arial" w:eastAsia="Arial" w:hAnsi="Arial"/>
          <w:sz w:val="16"/>
          <w:szCs w:val="16"/>
          <w:color w:val="auto"/>
        </w:rPr>
        <w:t>”) a Delaware corporation previously identified to us and codenamed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“Indigo” (the “</w:t>
      </w:r>
      <w:r>
        <w:rPr>
          <w:rFonts w:ascii="Arial" w:cs="Arial" w:eastAsia="Arial" w:hAnsi="Arial"/>
          <w:sz w:val="16"/>
          <w:szCs w:val="16"/>
          <w:b w:val="1"/>
          <w:bCs w:val="1"/>
          <w:i w:val="1"/>
          <w:iCs w:val="1"/>
          <w:color w:val="auto"/>
        </w:rPr>
        <w:t>Target</w:t>
      </w:r>
      <w:r>
        <w:rPr>
          <w:rFonts w:ascii="Arial" w:cs="Arial" w:eastAsia="Arial" w:hAnsi="Arial"/>
          <w:sz w:val="16"/>
          <w:szCs w:val="16"/>
          <w:color w:val="auto"/>
        </w:rPr>
        <w:t>”, and together with its subsidiaries, the “</w:t>
      </w:r>
      <w:r>
        <w:rPr>
          <w:rFonts w:ascii="Arial" w:cs="Arial" w:eastAsia="Arial" w:hAnsi="Arial"/>
          <w:sz w:val="16"/>
          <w:szCs w:val="16"/>
          <w:b w:val="1"/>
          <w:bCs w:val="1"/>
          <w:i w:val="1"/>
          <w:iCs w:val="1"/>
          <w:color w:val="auto"/>
        </w:rPr>
        <w:t>Acquired Business</w:t>
      </w:r>
      <w:r>
        <w:rPr>
          <w:rFonts w:ascii="Arial" w:cs="Arial" w:eastAsia="Arial" w:hAnsi="Arial"/>
          <w:sz w:val="16"/>
          <w:szCs w:val="16"/>
          <w:color w:val="auto"/>
        </w:rPr>
        <w:t>”) pursuant to an agreement and plan of merger and reorganization,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 dated as of the date hereof (including the exhibits and schedules thereto, collectively, the “</w:t>
      </w:r>
      <w:r>
        <w:rPr>
          <w:rFonts w:ascii="Arial" w:cs="Arial" w:eastAsia="Arial" w:hAnsi="Arial"/>
          <w:sz w:val="16"/>
          <w:szCs w:val="16"/>
          <w:b w:val="1"/>
          <w:bCs w:val="1"/>
          <w:i w:val="1"/>
          <w:iCs w:val="1"/>
          <w:color w:val="auto"/>
        </w:rPr>
        <w:t>Acquisition Agreement</w:t>
      </w:r>
      <w:r>
        <w:rPr>
          <w:rFonts w:ascii="Arial" w:cs="Arial" w:eastAsia="Arial" w:hAnsi="Arial"/>
          <w:sz w:val="16"/>
          <w:szCs w:val="16"/>
          <w:color w:val="auto"/>
        </w:rPr>
        <w:t>”), by and among Maui, Target,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Maui Holdco, Inc., a Delaware corporation and a wholly-owned subsidiary of Maui (“</w:t>
      </w:r>
      <w:r>
        <w:rPr>
          <w:rFonts w:ascii="Arial" w:cs="Arial" w:eastAsia="Arial" w:hAnsi="Arial"/>
          <w:sz w:val="17"/>
          <w:szCs w:val="17"/>
          <w:b w:val="1"/>
          <w:bCs w:val="1"/>
          <w:i w:val="1"/>
          <w:iCs w:val="1"/>
          <w:color w:val="auto"/>
        </w:rPr>
        <w:t>Holdco</w:t>
      </w:r>
      <w:r>
        <w:rPr>
          <w:rFonts w:ascii="Arial" w:cs="Arial" w:eastAsia="Arial" w:hAnsi="Arial"/>
          <w:sz w:val="17"/>
          <w:szCs w:val="17"/>
          <w:color w:val="auto"/>
        </w:rPr>
        <w:t>” or the “</w:t>
      </w:r>
      <w:r>
        <w:rPr>
          <w:rFonts w:ascii="Arial" w:cs="Arial" w:eastAsia="Arial" w:hAnsi="Arial"/>
          <w:sz w:val="17"/>
          <w:szCs w:val="17"/>
          <w:b w:val="1"/>
          <w:bCs w:val="1"/>
          <w:i w:val="1"/>
          <w:iCs w:val="1"/>
          <w:color w:val="auto"/>
        </w:rPr>
        <w:t>Borrower</w:t>
      </w:r>
      <w:r>
        <w:rPr>
          <w:rFonts w:ascii="Arial" w:cs="Arial" w:eastAsia="Arial" w:hAnsi="Arial"/>
          <w:sz w:val="17"/>
          <w:szCs w:val="17"/>
          <w:color w:val="auto"/>
        </w:rPr>
        <w:t>”), Maui Acquisition Company Ltd, a</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Bermuda exempted company and a wholly-owned subsidiary of Holdco (“</w:t>
      </w:r>
      <w:r>
        <w:rPr>
          <w:rFonts w:ascii="Arial" w:cs="Arial" w:eastAsia="Arial" w:hAnsi="Arial"/>
          <w:sz w:val="17"/>
          <w:szCs w:val="17"/>
          <w:b w:val="1"/>
          <w:bCs w:val="1"/>
          <w:i w:val="1"/>
          <w:iCs w:val="1"/>
          <w:color w:val="auto"/>
        </w:rPr>
        <w:t>Bermuda Merger Sub</w:t>
      </w:r>
      <w:r>
        <w:rPr>
          <w:rFonts w:ascii="Arial" w:cs="Arial" w:eastAsia="Arial" w:hAnsi="Arial"/>
          <w:sz w:val="17"/>
          <w:szCs w:val="17"/>
          <w:color w:val="auto"/>
        </w:rPr>
        <w:t>”), and Indigo Acquisition Corp., a Delaware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corporation and a wholly-owned subsidiary of Holdco (“</w:t>
      </w:r>
      <w:r>
        <w:rPr>
          <w:rFonts w:ascii="Arial" w:cs="Arial" w:eastAsia="Arial" w:hAnsi="Arial"/>
          <w:sz w:val="16"/>
          <w:szCs w:val="16"/>
          <w:b w:val="1"/>
          <w:bCs w:val="1"/>
          <w:i w:val="1"/>
          <w:iCs w:val="1"/>
          <w:color w:val="auto"/>
        </w:rPr>
        <w:t>Delaware Merger Sub</w:t>
      </w:r>
      <w:r>
        <w:rPr>
          <w:rFonts w:ascii="Arial" w:cs="Arial" w:eastAsia="Arial" w:hAnsi="Arial"/>
          <w:sz w:val="16"/>
          <w:szCs w:val="16"/>
          <w:color w:val="auto"/>
        </w:rPr>
        <w:t>”), in accordance with which: (i) Bermuda Merger Sub will merge with</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and into you, with you surviving as a wholly-owned subsidiary of Holdco (the “</w:t>
      </w:r>
      <w:r>
        <w:rPr>
          <w:rFonts w:ascii="Arial" w:cs="Arial" w:eastAsia="Arial" w:hAnsi="Arial"/>
          <w:sz w:val="17"/>
          <w:szCs w:val="17"/>
          <w:b w:val="1"/>
          <w:bCs w:val="1"/>
          <w:i w:val="1"/>
          <w:iCs w:val="1"/>
          <w:color w:val="auto"/>
        </w:rPr>
        <w:t>Reorganization</w:t>
      </w:r>
      <w:r>
        <w:rPr>
          <w:rFonts w:ascii="Arial" w:cs="Arial" w:eastAsia="Arial" w:hAnsi="Arial"/>
          <w:sz w:val="17"/>
          <w:szCs w:val="17"/>
          <w:color w:val="auto"/>
        </w:rPr>
        <w:t>”); and (ii) Delaware Merger Sub will merge with and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into the Target, with the Target surviving as a wholly-owned subsidiary of Holdco and with the existing equity holders of the Target being entitled to</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receive the aggregate cash consideration (the “</w:t>
      </w:r>
      <w:r>
        <w:rPr>
          <w:rFonts w:ascii="Arial" w:cs="Arial" w:eastAsia="Arial" w:hAnsi="Arial"/>
          <w:sz w:val="16"/>
          <w:szCs w:val="16"/>
          <w:b w:val="1"/>
          <w:bCs w:val="1"/>
          <w:i w:val="1"/>
          <w:iCs w:val="1"/>
          <w:color w:val="auto"/>
        </w:rPr>
        <w:t>Acquisition Cash Consideration</w:t>
      </w:r>
      <w:r>
        <w:rPr>
          <w:rFonts w:ascii="Arial" w:cs="Arial" w:eastAsia="Arial" w:hAnsi="Arial"/>
          <w:sz w:val="16"/>
          <w:szCs w:val="16"/>
          <w:color w:val="auto"/>
        </w:rPr>
        <w:t>”) and newly issued shares of common stock of the Borrower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Acquisition Common Stock Consideration</w:t>
      </w:r>
      <w:r>
        <w:rPr>
          <w:rFonts w:ascii="Arial" w:cs="Arial" w:eastAsia="Arial" w:hAnsi="Arial"/>
          <w:sz w:val="16"/>
          <w:szCs w:val="16"/>
          <w:color w:val="auto"/>
        </w:rPr>
        <w:t>” and together with the Acquisition Cash Consideration, the “</w:t>
      </w:r>
      <w:r>
        <w:rPr>
          <w:rFonts w:ascii="Arial" w:cs="Arial" w:eastAsia="Arial" w:hAnsi="Arial"/>
          <w:sz w:val="16"/>
          <w:szCs w:val="16"/>
          <w:b w:val="1"/>
          <w:bCs w:val="1"/>
          <w:i w:val="1"/>
          <w:iCs w:val="1"/>
          <w:color w:val="auto"/>
        </w:rPr>
        <w:t>Acquisition Consideration</w:t>
      </w:r>
      <w:r>
        <w:rPr>
          <w:rFonts w:ascii="Arial" w:cs="Arial" w:eastAsia="Arial" w:hAnsi="Arial"/>
          <w:sz w:val="16"/>
          <w:szCs w:val="16"/>
          <w:color w:val="auto"/>
        </w:rPr>
        <w:t>”), in each case, as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set forth in the Acquisition Agreement as in effect on the date hereof, and, in connection therewith, to repay certain existing indebtedness of the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Acquired Business. The date of the consummation of the Acquisition is referred to herein as the “</w:t>
      </w:r>
      <w:r>
        <w:rPr>
          <w:rFonts w:ascii="Arial" w:cs="Arial" w:eastAsia="Arial" w:hAnsi="Arial"/>
          <w:sz w:val="17"/>
          <w:szCs w:val="17"/>
          <w:b w:val="1"/>
          <w:bCs w:val="1"/>
          <w:i w:val="1"/>
          <w:iCs w:val="1"/>
          <w:color w:val="auto"/>
        </w:rPr>
        <w:t>Closing Date</w:t>
      </w:r>
      <w:r>
        <w:rPr>
          <w:rFonts w:ascii="Arial" w:cs="Arial" w:eastAsia="Arial" w:hAnsi="Arial"/>
          <w:sz w:val="17"/>
          <w:szCs w:val="17"/>
          <w:color w:val="auto"/>
        </w:rPr>
        <w:t>”. In connection therewith, you,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Borrower and we have entered into a commitment letter (the “</w:t>
      </w:r>
      <w:r>
        <w:rPr>
          <w:rFonts w:ascii="Arial" w:cs="Arial" w:eastAsia="Arial" w:hAnsi="Arial"/>
          <w:sz w:val="16"/>
          <w:szCs w:val="16"/>
          <w:b w:val="1"/>
          <w:bCs w:val="1"/>
          <w:i w:val="1"/>
          <w:iCs w:val="1"/>
          <w:color w:val="auto"/>
        </w:rPr>
        <w:t>Bridge Commitment Letter</w:t>
      </w:r>
      <w:r>
        <w:rPr>
          <w:rFonts w:ascii="Arial" w:cs="Arial" w:eastAsia="Arial" w:hAnsi="Arial"/>
          <w:sz w:val="16"/>
          <w:szCs w:val="16"/>
          <w:color w:val="auto"/>
        </w:rPr>
        <w:t>”) dated as of the date hereof providing for a 364-day senior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unsecured bridge term loan facility in an aggregate principal amount of $2,500,000,000 (the “</w:t>
      </w:r>
      <w:r>
        <w:rPr>
          <w:rFonts w:ascii="Arial" w:cs="Arial" w:eastAsia="Arial" w:hAnsi="Arial"/>
          <w:sz w:val="18"/>
          <w:szCs w:val="18"/>
          <w:b w:val="1"/>
          <w:bCs w:val="1"/>
          <w:i w:val="1"/>
          <w:iCs w:val="1"/>
          <w:color w:val="auto"/>
        </w:rPr>
        <w:t>Bridge Facility</w:t>
      </w: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In connection therewith, you have advised us that the Borrower intends to obtain (i) a new unsecured term loan credit facility in an aggregate principal amount of $1,500,000,000 on the terms set forth in Exhibit A (the “</w:t>
      </w:r>
      <w:r>
        <w:rPr>
          <w:rFonts w:ascii="Arial" w:cs="Arial" w:eastAsia="Arial" w:hAnsi="Arial"/>
          <w:sz w:val="17"/>
          <w:szCs w:val="17"/>
          <w:b w:val="1"/>
          <w:bCs w:val="1"/>
          <w:i w:val="1"/>
          <w:iCs w:val="1"/>
          <w:color w:val="auto"/>
        </w:rPr>
        <w:t>Term Facility</w:t>
      </w:r>
      <w:r>
        <w:rPr>
          <w:rFonts w:ascii="Arial" w:cs="Arial" w:eastAsia="Arial" w:hAnsi="Arial"/>
          <w:sz w:val="17"/>
          <w:szCs w:val="17"/>
          <w:color w:val="auto"/>
        </w:rPr>
        <w:t>”, and loans thereunder, the “</w:t>
      </w:r>
      <w:r>
        <w:rPr>
          <w:rFonts w:ascii="Arial" w:cs="Arial" w:eastAsia="Arial" w:hAnsi="Arial"/>
          <w:sz w:val="17"/>
          <w:szCs w:val="17"/>
          <w:b w:val="1"/>
          <w:bCs w:val="1"/>
          <w:i w:val="1"/>
          <w:iCs w:val="1"/>
          <w:color w:val="auto"/>
        </w:rPr>
        <w:t>Term Loans</w:t>
      </w:r>
      <w:r>
        <w:rPr>
          <w:rFonts w:ascii="Arial" w:cs="Arial" w:eastAsia="Arial" w:hAnsi="Arial"/>
          <w:sz w:val="17"/>
          <w:szCs w:val="17"/>
          <w:color w:val="auto"/>
        </w:rPr>
        <w:t>”) and (ii) a new senior unsecured revolving credit facility in an aggregate principal amount of $750,000,000 on the terms set forth in Exhibit C (the “</w:t>
      </w:r>
      <w:r>
        <w:rPr>
          <w:rFonts w:ascii="Arial" w:cs="Arial" w:eastAsia="Arial" w:hAnsi="Arial"/>
          <w:sz w:val="17"/>
          <w:szCs w:val="17"/>
          <w:b w:val="1"/>
          <w:bCs w:val="1"/>
          <w:i w:val="1"/>
          <w:iCs w:val="1"/>
          <w:color w:val="auto"/>
        </w:rPr>
        <w:t>Revolving Facility</w:t>
      </w:r>
      <w:r>
        <w:rPr>
          <w:rFonts w:ascii="Arial" w:cs="Arial" w:eastAsia="Arial" w:hAnsi="Arial"/>
          <w:sz w:val="17"/>
          <w:szCs w:val="17"/>
          <w:color w:val="auto"/>
        </w:rPr>
        <w:t>” and, together with the Term Facility, the “</w:t>
      </w:r>
      <w:r>
        <w:rPr>
          <w:rFonts w:ascii="Arial" w:cs="Arial" w:eastAsia="Arial" w:hAnsi="Arial"/>
          <w:sz w:val="17"/>
          <w:szCs w:val="17"/>
          <w:b w:val="1"/>
          <w:bCs w:val="1"/>
          <w:i w:val="1"/>
          <w:iCs w:val="1"/>
          <w:color w:val="auto"/>
        </w:rPr>
        <w:t>Facilities</w:t>
      </w:r>
      <w:r>
        <w:rPr>
          <w:rFonts w:ascii="Arial" w:cs="Arial" w:eastAsia="Arial" w:hAnsi="Arial"/>
          <w:sz w:val="17"/>
          <w:szCs w:val="17"/>
          <w:color w:val="auto"/>
        </w:rPr>
        <w:t>”), which Revolving Facility will be implemented either as a new</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121" w:right="439" w:bottom="1440" w:gutter="0" w:footer="0" w:header="0"/>
        </w:sectPr>
      </w:pPr>
    </w:p>
    <w:bookmarkStart w:id="159" w:name="page160"/>
    <w:bookmarkEnd w:id="159"/>
    <w:p>
      <w:pPr>
        <w:ind w:right="4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credit facility or as an amendment to, or amendment and restatement of, the Credit Agreement dated as of June 13, 2018 among Goldman Sachs Bank USA, as general administrative agent and term facility agent, Bank of America, N.A., as revolving facility agent, Maui, as borrower, and the lenders party thereto (the “</w:t>
      </w:r>
      <w:r>
        <w:rPr>
          <w:rFonts w:ascii="Arial" w:cs="Arial" w:eastAsia="Arial" w:hAnsi="Arial"/>
          <w:sz w:val="17"/>
          <w:szCs w:val="17"/>
          <w:b w:val="1"/>
          <w:bCs w:val="1"/>
          <w:i w:val="1"/>
          <w:iCs w:val="1"/>
          <w:color w:val="auto"/>
        </w:rPr>
        <w:t>Existing Credit Agreement</w:t>
      </w:r>
      <w:r>
        <w:rPr>
          <w:rFonts w:ascii="Arial" w:cs="Arial" w:eastAsia="Arial" w:hAnsi="Arial"/>
          <w:sz w:val="17"/>
          <w:szCs w:val="17"/>
          <w:color w:val="auto"/>
        </w:rPr>
        <w:t>”). You have further advised us that the total amount required to effect the Acquisition (excluding common stock of the Borrower to be issued as direct consideration for the Acquisition), to repay certain existing indebtedness of the Acquired Business, and to pay the fees and expenses incurred in connection therewith (the “</w:t>
      </w:r>
      <w:r>
        <w:rPr>
          <w:rFonts w:ascii="Arial" w:cs="Arial" w:eastAsia="Arial" w:hAnsi="Arial"/>
          <w:sz w:val="17"/>
          <w:szCs w:val="17"/>
          <w:b w:val="1"/>
          <w:bCs w:val="1"/>
          <w:i w:val="1"/>
          <w:iCs w:val="1"/>
          <w:color w:val="auto"/>
        </w:rPr>
        <w:t>Transaction Costs</w:t>
      </w:r>
      <w:r>
        <w:rPr>
          <w:rFonts w:ascii="Arial" w:cs="Arial" w:eastAsia="Arial" w:hAnsi="Arial"/>
          <w:sz w:val="17"/>
          <w:szCs w:val="17"/>
          <w:color w:val="auto"/>
        </w:rPr>
        <w:t>”) is expected to be provided by a combination of (a) the issuance by you or the Borrower of unsecured debt securities, in public or private offerings the proceeds of which are to be used to finance the Transactions (the “</w:t>
      </w:r>
      <w:r>
        <w:rPr>
          <w:rFonts w:ascii="Arial" w:cs="Arial" w:eastAsia="Arial" w:hAnsi="Arial"/>
          <w:sz w:val="17"/>
          <w:szCs w:val="17"/>
          <w:b w:val="1"/>
          <w:bCs w:val="1"/>
          <w:i w:val="1"/>
          <w:iCs w:val="1"/>
          <w:color w:val="auto"/>
        </w:rPr>
        <w:t>Debt Securities</w:t>
      </w:r>
      <w:r>
        <w:rPr>
          <w:rFonts w:ascii="Arial" w:cs="Arial" w:eastAsia="Arial" w:hAnsi="Arial"/>
          <w:sz w:val="17"/>
          <w:szCs w:val="17"/>
          <w:color w:val="auto"/>
        </w:rPr>
        <w:t>”), (b) the incurrence by you or the Borrower of the Term Facility and/or (c) to the extent that Debt Securities are not issued on or prior to the Closing Date in an aggregate amount of at least $2,500,000,000, the borrowing by the Borrower of loans under the Bridge Facility. You have further advised us that in connection therewith, it is expected that either (i) the term loan facility under the Existing Credit Agreement shall be amended prior to the Closing Date to permit the Transactions (as defined below) or (ii) all outstanding term loans thereunder shall be repaid in full. The Acquisition, the entering into and funding of the Term Facility and the Bridge Facility, the entering into of the Revolving Facility, the issuance of Securities, the repayment of certain existing indebtedness of the Acquired Business and the transactions contemplated by or related to the foregoing are collectively referred to as the “</w:t>
      </w:r>
      <w:r>
        <w:rPr>
          <w:rFonts w:ascii="Arial" w:cs="Arial" w:eastAsia="Arial" w:hAnsi="Arial"/>
          <w:sz w:val="17"/>
          <w:szCs w:val="17"/>
          <w:b w:val="1"/>
          <w:bCs w:val="1"/>
          <w:i w:val="1"/>
          <w:iCs w:val="1"/>
          <w:color w:val="auto"/>
        </w:rPr>
        <w:t>Transactions</w:t>
      </w:r>
      <w:r>
        <w:rPr>
          <w:rFonts w:ascii="Arial" w:cs="Arial" w:eastAsia="Arial" w:hAnsi="Arial"/>
          <w:sz w:val="17"/>
          <w:szCs w:val="17"/>
          <w:color w:val="auto"/>
        </w:rPr>
        <w:t>”.</w:t>
      </w:r>
    </w:p>
    <w:p>
      <w:pPr>
        <w:spacing w:after="0" w:line="186" w:lineRule="exact"/>
        <w:rPr>
          <w:sz w:val="20"/>
          <w:szCs w:val="20"/>
          <w:color w:val="auto"/>
        </w:rPr>
      </w:pPr>
    </w:p>
    <w:p>
      <w:pPr>
        <w:ind w:left="620" w:hanging="184"/>
        <w:spacing w:after="0"/>
        <w:tabs>
          <w:tab w:leader="none" w:pos="620" w:val="left"/>
        </w:tabs>
        <w:numPr>
          <w:ilvl w:val="0"/>
          <w:numId w:val="213"/>
        </w:numPr>
        <w:rPr>
          <w:rFonts w:ascii="Arial" w:cs="Arial" w:eastAsia="Arial" w:hAnsi="Arial"/>
          <w:sz w:val="18"/>
          <w:szCs w:val="18"/>
          <w:color w:val="auto"/>
        </w:rPr>
      </w:pPr>
      <w:r>
        <w:rPr>
          <w:rFonts w:ascii="Arial" w:cs="Arial" w:eastAsia="Arial" w:hAnsi="Arial"/>
          <w:sz w:val="18"/>
          <w:szCs w:val="18"/>
          <w:u w:val="single" w:color="auto"/>
          <w:color w:val="auto"/>
        </w:rPr>
        <w:t>Commitment</w:t>
      </w:r>
    </w:p>
    <w:p>
      <w:pPr>
        <w:spacing w:after="0" w:line="225"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The Commitment Party is pleased to advise you of its commitment to provide (i) the entire amount of the Term Facility (the “</w:t>
      </w:r>
      <w:r>
        <w:rPr>
          <w:rFonts w:ascii="Arial" w:cs="Arial" w:eastAsia="Arial" w:hAnsi="Arial"/>
          <w:sz w:val="16"/>
          <w:szCs w:val="16"/>
          <w:b w:val="1"/>
          <w:bCs w:val="1"/>
          <w:i w:val="1"/>
          <w:iCs w:val="1"/>
          <w:color w:val="auto"/>
        </w:rPr>
        <w:t>Term Commitment</w:t>
      </w:r>
      <w:r>
        <w:rPr>
          <w:rFonts w:ascii="Arial" w:cs="Arial" w:eastAsia="Arial" w:hAnsi="Arial"/>
          <w:sz w:val="16"/>
          <w:szCs w:val="16"/>
          <w:color w:val="auto"/>
        </w:rPr>
        <w:t>”) upon the terms set forth or referred to in this facilities commitment letter (the “</w:t>
      </w:r>
      <w:r>
        <w:rPr>
          <w:rFonts w:ascii="Arial" w:cs="Arial" w:eastAsia="Arial" w:hAnsi="Arial"/>
          <w:sz w:val="16"/>
          <w:szCs w:val="16"/>
          <w:b w:val="1"/>
          <w:bCs w:val="1"/>
          <w:i w:val="1"/>
          <w:iCs w:val="1"/>
          <w:color w:val="auto"/>
        </w:rPr>
        <w:t>Commitment Letter</w:t>
      </w:r>
      <w:r>
        <w:rPr>
          <w:rFonts w:ascii="Arial" w:cs="Arial" w:eastAsia="Arial" w:hAnsi="Arial"/>
          <w:sz w:val="16"/>
          <w:szCs w:val="16"/>
          <w:color w:val="auto"/>
        </w:rPr>
        <w:t>”) and in the Summary of Terms and Conditions attached hereto as Exhibit A (together with Exhibit D hereto, the “</w:t>
      </w:r>
      <w:r>
        <w:rPr>
          <w:rFonts w:ascii="Arial" w:cs="Arial" w:eastAsia="Arial" w:hAnsi="Arial"/>
          <w:sz w:val="16"/>
          <w:szCs w:val="16"/>
          <w:b w:val="1"/>
          <w:bCs w:val="1"/>
          <w:i w:val="1"/>
          <w:iCs w:val="1"/>
          <w:color w:val="auto"/>
        </w:rPr>
        <w:t>Term Facility Term Sheet</w:t>
      </w:r>
      <w:r>
        <w:rPr>
          <w:rFonts w:ascii="Arial" w:cs="Arial" w:eastAsia="Arial" w:hAnsi="Arial"/>
          <w:sz w:val="16"/>
          <w:szCs w:val="16"/>
          <w:color w:val="auto"/>
        </w:rPr>
        <w:t>”) and subject solely to the Term Funding Conditions (as defined below) and (ii) $100,000,000 of the Revolving Facility (the “</w:t>
      </w:r>
      <w:r>
        <w:rPr>
          <w:rFonts w:ascii="Arial" w:cs="Arial" w:eastAsia="Arial" w:hAnsi="Arial"/>
          <w:sz w:val="16"/>
          <w:szCs w:val="16"/>
          <w:b w:val="1"/>
          <w:bCs w:val="1"/>
          <w:i w:val="1"/>
          <w:iCs w:val="1"/>
          <w:color w:val="auto"/>
        </w:rPr>
        <w:t>Revolving Commitment</w:t>
      </w:r>
      <w:r>
        <w:rPr>
          <w:rFonts w:ascii="Arial" w:cs="Arial" w:eastAsia="Arial" w:hAnsi="Arial"/>
          <w:sz w:val="16"/>
          <w:szCs w:val="16"/>
          <w:color w:val="auto"/>
        </w:rPr>
        <w:t>”) upon the terms and conditions set forth or referred to in this Commitment Letter and in the Summary of Terms and Conditions attached hereto as Exhibit C (together with Exhibit D hereto, the “</w:t>
      </w:r>
      <w:r>
        <w:rPr>
          <w:rFonts w:ascii="Arial" w:cs="Arial" w:eastAsia="Arial" w:hAnsi="Arial"/>
          <w:sz w:val="16"/>
          <w:szCs w:val="16"/>
          <w:b w:val="1"/>
          <w:bCs w:val="1"/>
          <w:i w:val="1"/>
          <w:iCs w:val="1"/>
          <w:color w:val="auto"/>
        </w:rPr>
        <w:t>Revolving</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Facility Term Sheet</w:t>
      </w:r>
      <w:r>
        <w:rPr>
          <w:rFonts w:ascii="Arial" w:cs="Arial" w:eastAsia="Arial" w:hAnsi="Arial"/>
          <w:sz w:val="16"/>
          <w:szCs w:val="16"/>
          <w:color w:val="auto"/>
        </w:rPr>
        <w:t>” and together with the Term Facility Term Sheet and Exhibit B hereto, the “</w:t>
      </w:r>
      <w:r>
        <w:rPr>
          <w:rFonts w:ascii="Arial" w:cs="Arial" w:eastAsia="Arial" w:hAnsi="Arial"/>
          <w:sz w:val="16"/>
          <w:szCs w:val="16"/>
          <w:b w:val="1"/>
          <w:bCs w:val="1"/>
          <w:i w:val="1"/>
          <w:iCs w:val="1"/>
          <w:color w:val="auto"/>
        </w:rPr>
        <w:t>Term Sheets</w:t>
      </w:r>
      <w:r>
        <w:rPr>
          <w:rFonts w:ascii="Arial" w:cs="Arial" w:eastAsia="Arial" w:hAnsi="Arial"/>
          <w:sz w:val="16"/>
          <w:szCs w:val="16"/>
          <w:color w:val="auto"/>
        </w:rPr>
        <w:t>”).</w:t>
      </w:r>
    </w:p>
    <w:p>
      <w:pPr>
        <w:spacing w:after="0" w:line="164" w:lineRule="exact"/>
        <w:rPr>
          <w:sz w:val="20"/>
          <w:szCs w:val="20"/>
          <w:color w:val="auto"/>
        </w:rPr>
      </w:pPr>
    </w:p>
    <w:p>
      <w:pPr>
        <w:ind w:left="620" w:hanging="184"/>
        <w:spacing w:after="0"/>
        <w:tabs>
          <w:tab w:leader="none" w:pos="620" w:val="left"/>
        </w:tabs>
        <w:numPr>
          <w:ilvl w:val="0"/>
          <w:numId w:val="214"/>
        </w:numPr>
        <w:rPr>
          <w:rFonts w:ascii="Arial" w:cs="Arial" w:eastAsia="Arial" w:hAnsi="Arial"/>
          <w:sz w:val="18"/>
          <w:szCs w:val="18"/>
          <w:color w:val="auto"/>
        </w:rPr>
      </w:pPr>
      <w:r>
        <w:rPr>
          <w:rFonts w:ascii="Arial" w:cs="Arial" w:eastAsia="Arial" w:hAnsi="Arial"/>
          <w:sz w:val="18"/>
          <w:szCs w:val="18"/>
          <w:u w:val="single" w:color="auto"/>
          <w:color w:val="auto"/>
        </w:rPr>
        <w:t>Titles and Roles</w:t>
      </w:r>
    </w:p>
    <w:p>
      <w:pPr>
        <w:spacing w:after="0" w:line="225" w:lineRule="exact"/>
        <w:rPr>
          <w:sz w:val="20"/>
          <w:szCs w:val="20"/>
          <w:color w:val="auto"/>
        </w:rPr>
      </w:pPr>
    </w:p>
    <w:p>
      <w:pPr>
        <w:ind w:right="160" w:firstLine="440"/>
        <w:spacing w:after="0" w:line="288" w:lineRule="auto"/>
        <w:rPr>
          <w:sz w:val="20"/>
          <w:szCs w:val="20"/>
          <w:color w:val="auto"/>
        </w:rPr>
      </w:pPr>
      <w:r>
        <w:rPr>
          <w:rFonts w:ascii="Arial" w:cs="Arial" w:eastAsia="Arial" w:hAnsi="Arial"/>
          <w:sz w:val="16"/>
          <w:szCs w:val="16"/>
          <w:color w:val="auto"/>
        </w:rPr>
        <w:t>It is agreed that (i) with respect to the Term Facility and/or any other term loan facility or revolving credit facility entered into by you in connection with the Acquisition, the initial financing of the Acquisition and the refinancing of any interim debt for the Acquisition (the “</w:t>
      </w:r>
      <w:r>
        <w:rPr>
          <w:rFonts w:ascii="Arial" w:cs="Arial" w:eastAsia="Arial" w:hAnsi="Arial"/>
          <w:sz w:val="16"/>
          <w:szCs w:val="16"/>
          <w:b w:val="1"/>
          <w:bCs w:val="1"/>
          <w:i w:val="1"/>
          <w:iCs w:val="1"/>
          <w:color w:val="auto"/>
        </w:rPr>
        <w:t>Other Bank</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Financing</w:t>
      </w:r>
      <w:r>
        <w:rPr>
          <w:rFonts w:ascii="Arial" w:cs="Arial" w:eastAsia="Arial" w:hAnsi="Arial"/>
          <w:sz w:val="16"/>
          <w:szCs w:val="16"/>
          <w:color w:val="auto"/>
        </w:rPr>
        <w:t>”), JPMorgan will act as the sole and exclusive administrative agent (in such capacity, the “</w:t>
      </w:r>
      <w:r>
        <w:rPr>
          <w:rFonts w:ascii="Arial" w:cs="Arial" w:eastAsia="Arial" w:hAnsi="Arial"/>
          <w:sz w:val="16"/>
          <w:szCs w:val="16"/>
          <w:b w:val="1"/>
          <w:bCs w:val="1"/>
          <w:i w:val="1"/>
          <w:iCs w:val="1"/>
          <w:color w:val="auto"/>
        </w:rPr>
        <w:t>Administrative Agent</w:t>
      </w:r>
      <w:r>
        <w:rPr>
          <w:rFonts w:ascii="Arial" w:cs="Arial" w:eastAsia="Arial" w:hAnsi="Arial"/>
          <w:sz w:val="16"/>
          <w:szCs w:val="16"/>
          <w:color w:val="auto"/>
        </w:rPr>
        <w:t>”), and that JPMorgan will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act as the sole and exclusive lead arranger and bookrunner (in such capacities, the “</w:t>
      </w:r>
      <w:r>
        <w:rPr>
          <w:rFonts w:ascii="Arial" w:cs="Arial" w:eastAsia="Arial" w:hAnsi="Arial"/>
          <w:sz w:val="16"/>
          <w:szCs w:val="16"/>
          <w:b w:val="1"/>
          <w:bCs w:val="1"/>
          <w:i w:val="1"/>
          <w:iCs w:val="1"/>
          <w:color w:val="auto"/>
        </w:rPr>
        <w:t>Term Lead Arranger</w:t>
      </w:r>
      <w:r>
        <w:rPr>
          <w:rFonts w:ascii="Arial" w:cs="Arial" w:eastAsia="Arial" w:hAnsi="Arial"/>
          <w:sz w:val="16"/>
          <w:szCs w:val="16"/>
          <w:color w:val="auto"/>
        </w:rPr>
        <w:t>”) and (ii) with respect to the Revolving Facility, JPMorgan will act as lead “left” arranger and bookrunner (it being understood that JPMorgan will have “left lead” placement in all documentation used in connection with the Revolving Facility, and JPMorgan shall have all roles and responsibilities customarily associated with such placement) (in such capacities, the “</w:t>
      </w:r>
      <w:r>
        <w:rPr>
          <w:rFonts w:ascii="Arial" w:cs="Arial" w:eastAsia="Arial" w:hAnsi="Arial"/>
          <w:sz w:val="16"/>
          <w:szCs w:val="16"/>
          <w:b w:val="1"/>
          <w:bCs w:val="1"/>
          <w:i w:val="1"/>
          <w:iCs w:val="1"/>
          <w:color w:val="auto"/>
        </w:rPr>
        <w:t>Revolving Lead Arranger</w:t>
      </w:r>
      <w:r>
        <w:rPr>
          <w:rFonts w:ascii="Arial" w:cs="Arial" w:eastAsia="Arial" w:hAnsi="Arial"/>
          <w:sz w:val="16"/>
          <w:szCs w:val="16"/>
          <w:color w:val="auto"/>
        </w:rPr>
        <w:t>” and together in its capacity as Term Lead Arranger, the “</w:t>
      </w:r>
      <w:r>
        <w:rPr>
          <w:rFonts w:ascii="Arial" w:cs="Arial" w:eastAsia="Arial" w:hAnsi="Arial"/>
          <w:sz w:val="16"/>
          <w:szCs w:val="16"/>
          <w:b w:val="1"/>
          <w:bCs w:val="1"/>
          <w:i w:val="1"/>
          <w:iCs w:val="1"/>
          <w:color w:val="auto"/>
        </w:rPr>
        <w:t>Lead Arranger</w:t>
      </w:r>
      <w:r>
        <w:rPr>
          <w:rFonts w:ascii="Arial" w:cs="Arial" w:eastAsia="Arial" w:hAnsi="Arial"/>
          <w:sz w:val="16"/>
          <w:szCs w:val="16"/>
          <w:color w:val="auto"/>
        </w:rPr>
        <w:t xml:space="preserve">”) and a financial institution providing a commitment in respect of the Revolving Facility of at least $100,000,000 shall be appointed by you to act as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Borrower agrees that JPMorgan may perform its responsibilities hereunder through its affiliate J.P. Morgan Securities LLC. You agree that with respect to the Term Facility and any Other Bank Financing, no other</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160" w:name="page161"/>
    <w:bookmarkEnd w:id="160"/>
    <w:p>
      <w:pPr>
        <w:ind w:left="4" w:right="6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agents, co-agents, bookrunners or arrangers will be appointed, no other titles will be awarded and no compensation (other than as expressly contemplated by this Commitment Letter and the Fee Letter referred to below) will be paid; </w:t>
      </w:r>
      <w:r>
        <w:rPr>
          <w:rFonts w:ascii="Arial" w:cs="Arial" w:eastAsia="Arial" w:hAnsi="Arial"/>
          <w:sz w:val="18"/>
          <w:szCs w:val="18"/>
          <w:u w:val="single" w:color="auto"/>
          <w:color w:val="auto"/>
        </w:rPr>
        <w:t>provided</w:t>
      </w:r>
      <w:r>
        <w:rPr>
          <w:rFonts w:ascii="Arial" w:cs="Arial" w:eastAsia="Arial" w:hAnsi="Arial"/>
          <w:sz w:val="18"/>
          <w:szCs w:val="18"/>
          <w:color w:val="auto"/>
        </w:rPr>
        <w:t>, you may assign agent or co-agent titles as reasonably agreed by us.</w:t>
      </w:r>
    </w:p>
    <w:p>
      <w:pPr>
        <w:spacing w:after="0" w:line="184" w:lineRule="exact"/>
        <w:rPr>
          <w:sz w:val="20"/>
          <w:szCs w:val="20"/>
          <w:color w:val="auto"/>
        </w:rPr>
      </w:pPr>
    </w:p>
    <w:p>
      <w:pPr>
        <w:ind w:left="4" w:right="260" w:firstLine="440"/>
        <w:spacing w:after="0" w:line="311" w:lineRule="auto"/>
        <w:rPr>
          <w:sz w:val="20"/>
          <w:szCs w:val="20"/>
          <w:color w:val="auto"/>
        </w:rPr>
      </w:pPr>
      <w:r>
        <w:rPr>
          <w:rFonts w:ascii="Arial" w:cs="Arial" w:eastAsia="Arial" w:hAnsi="Arial"/>
          <w:sz w:val="16"/>
          <w:szCs w:val="16"/>
          <w:color w:val="auto"/>
        </w:rPr>
        <w:t>It is understood and agreed that this Commitment Letter shall not constitute a commitment to provide, arrange or syndicate any portion of the Revolving Facility or any Other Bank Financing in excess of the Commitment Party’s express commitments hereunder. You and the Borrower further acknowledge and agree that this Commitment Letter is not a guarantee with respect to the successful outcome of the syndication of any Facility.</w:t>
      </w:r>
    </w:p>
    <w:p>
      <w:pPr>
        <w:spacing w:after="0" w:line="149" w:lineRule="exact"/>
        <w:rPr>
          <w:sz w:val="20"/>
          <w:szCs w:val="20"/>
          <w:color w:val="auto"/>
        </w:rPr>
      </w:pPr>
    </w:p>
    <w:p>
      <w:pPr>
        <w:ind w:left="624" w:hanging="184"/>
        <w:spacing w:after="0"/>
        <w:tabs>
          <w:tab w:leader="none" w:pos="624" w:val="left"/>
        </w:tabs>
        <w:numPr>
          <w:ilvl w:val="0"/>
          <w:numId w:val="215"/>
        </w:numPr>
        <w:rPr>
          <w:rFonts w:ascii="Arial" w:cs="Arial" w:eastAsia="Arial" w:hAnsi="Arial"/>
          <w:sz w:val="18"/>
          <w:szCs w:val="18"/>
          <w:color w:val="auto"/>
        </w:rPr>
      </w:pPr>
      <w:r>
        <w:rPr>
          <w:rFonts w:ascii="Arial" w:cs="Arial" w:eastAsia="Arial" w:hAnsi="Arial"/>
          <w:sz w:val="18"/>
          <w:szCs w:val="18"/>
          <w:u w:val="single" w:color="auto"/>
          <w:color w:val="auto"/>
        </w:rPr>
        <w:t>Syndication</w:t>
      </w:r>
    </w:p>
    <w:p>
      <w:pPr>
        <w:spacing w:after="0" w:line="225" w:lineRule="exact"/>
        <w:rPr>
          <w:sz w:val="20"/>
          <w:szCs w:val="20"/>
          <w:color w:val="auto"/>
        </w:rPr>
      </w:pPr>
    </w:p>
    <w:p>
      <w:pPr>
        <w:ind w:left="4" w:right="20" w:firstLine="440"/>
        <w:spacing w:after="0" w:line="284" w:lineRule="auto"/>
        <w:rPr>
          <w:sz w:val="20"/>
          <w:szCs w:val="20"/>
          <w:color w:val="auto"/>
        </w:rPr>
      </w:pPr>
      <w:r>
        <w:rPr>
          <w:rFonts w:ascii="Arial" w:cs="Arial" w:eastAsia="Arial" w:hAnsi="Arial"/>
          <w:sz w:val="16"/>
          <w:szCs w:val="16"/>
          <w:color w:val="auto"/>
        </w:rPr>
        <w:t>We intend to syndicate the Facilities to a group of financial institutions (together with JPMorgan, the “</w:t>
      </w:r>
      <w:r>
        <w:rPr>
          <w:rFonts w:ascii="Arial" w:cs="Arial" w:eastAsia="Arial" w:hAnsi="Arial"/>
          <w:sz w:val="16"/>
          <w:szCs w:val="16"/>
          <w:b w:val="1"/>
          <w:bCs w:val="1"/>
          <w:i w:val="1"/>
          <w:iCs w:val="1"/>
          <w:color w:val="auto"/>
        </w:rPr>
        <w:t>Lenders</w:t>
      </w:r>
      <w:r>
        <w:rPr>
          <w:rFonts w:ascii="Arial" w:cs="Arial" w:eastAsia="Arial" w:hAnsi="Arial"/>
          <w:sz w:val="16"/>
          <w:szCs w:val="16"/>
          <w:color w:val="auto"/>
        </w:rPr>
        <w:t>”) identified by us in consultation with you. JPMorgan intends to commence syndication efforts promptly upon the execution of this Commitment Letter and the execution of the Acquisition Agreement (which syndication shall not reduce the commitments of the Commitment Party hereunder with respect to the Term Facility, except as provided for in the first paragraph of Section 10 hereof). Until the earlier of 60 days following the Closing Date and the later of (x) completion of a Successful Term Syndication (as defined in the Fee Letter (as defined below)) and (y) completion of a Successful Revolving Syndication (as defined below) (such earlier date, the “</w:t>
      </w:r>
      <w:r>
        <w:rPr>
          <w:rFonts w:ascii="Arial" w:cs="Arial" w:eastAsia="Arial" w:hAnsi="Arial"/>
          <w:sz w:val="16"/>
          <w:szCs w:val="16"/>
          <w:b w:val="1"/>
          <w:bCs w:val="1"/>
          <w:i w:val="1"/>
          <w:iCs w:val="1"/>
          <w:color w:val="auto"/>
        </w:rPr>
        <w:t>Syndication Date</w:t>
      </w:r>
      <w:r>
        <w:rPr>
          <w:rFonts w:ascii="Arial" w:cs="Arial" w:eastAsia="Arial" w:hAnsi="Arial"/>
          <w:sz w:val="16"/>
          <w:szCs w:val="16"/>
          <w:color w:val="auto"/>
        </w:rPr>
        <w:t>”), you agree actively to assist (and to use your commercially reasonable efforts to cause the Acquired Business to actively assist) JPMorgan in completing a Successful Term Syndication and a Successful Revolving Syndication. Such assistance shall include (a) your using commercially reasonable efforts to ensure that the syndication efforts benefit materially from your existing lending relationships,</w:t>
      </w:r>
    </w:p>
    <w:p>
      <w:pPr>
        <w:spacing w:after="0" w:line="1" w:lineRule="exact"/>
        <w:rPr>
          <w:sz w:val="20"/>
          <w:szCs w:val="20"/>
          <w:color w:val="auto"/>
        </w:rPr>
      </w:pPr>
    </w:p>
    <w:p>
      <w:pPr>
        <w:ind w:left="4" w:hanging="4"/>
        <w:spacing w:after="0" w:line="284" w:lineRule="auto"/>
        <w:tabs>
          <w:tab w:leader="none" w:pos="259" w:val="left"/>
        </w:tabs>
        <w:numPr>
          <w:ilvl w:val="0"/>
          <w:numId w:val="216"/>
        </w:numPr>
        <w:rPr>
          <w:rFonts w:ascii="Arial" w:cs="Arial" w:eastAsia="Arial" w:hAnsi="Arial"/>
          <w:sz w:val="16"/>
          <w:szCs w:val="16"/>
          <w:color w:val="auto"/>
        </w:rPr>
      </w:pPr>
      <w:r>
        <w:rPr>
          <w:rFonts w:ascii="Arial" w:cs="Arial" w:eastAsia="Arial" w:hAnsi="Arial"/>
          <w:sz w:val="16"/>
          <w:szCs w:val="16"/>
          <w:color w:val="auto"/>
        </w:rPr>
        <w:t>direct contact between your senior management and advisors and the proposed Lenders (and using your commercially reasonable efforts to ensure such contact between senior management of the Target and the proposed Lenders) on reasonable prior notice and at reasonable times and places, (c) your assistance in the preparation of a confidential information memorandum with respect to the Facilities in form and substance customary for transactions of this type and otherwise reasonably satisfactory to JPMorgan (each a “</w:t>
      </w:r>
      <w:r>
        <w:rPr>
          <w:rFonts w:ascii="Arial" w:cs="Arial" w:eastAsia="Arial" w:hAnsi="Arial"/>
          <w:sz w:val="16"/>
          <w:szCs w:val="16"/>
          <w:b w:val="1"/>
          <w:bCs w:val="1"/>
          <w:i w:val="1"/>
          <w:iCs w:val="1"/>
          <w:color w:val="auto"/>
        </w:rPr>
        <w:t>Confidential Information Memorandum</w:t>
      </w:r>
      <w:r>
        <w:rPr>
          <w:rFonts w:ascii="Arial" w:cs="Arial" w:eastAsia="Arial" w:hAnsi="Arial"/>
          <w:sz w:val="16"/>
          <w:szCs w:val="16"/>
          <w:color w:val="auto"/>
        </w:rPr>
        <w:t>”) and other customary marketing materials to be used in connection with the syndication of the Facilities (collectively with the Term Sheets and any additional summary of terms prepared for distributions to the Public-Siders (as hereafter defined), the “</w:t>
      </w:r>
      <w:r>
        <w:rPr>
          <w:rFonts w:ascii="Arial" w:cs="Arial" w:eastAsia="Arial" w:hAnsi="Arial"/>
          <w:sz w:val="16"/>
          <w:szCs w:val="16"/>
          <w:b w:val="1"/>
          <w:bCs w:val="1"/>
          <w:i w:val="1"/>
          <w:iCs w:val="1"/>
          <w:color w:val="auto"/>
        </w:rPr>
        <w:t>Information Materials</w:t>
      </w:r>
      <w:r>
        <w:rPr>
          <w:rFonts w:ascii="Arial" w:cs="Arial" w:eastAsia="Arial" w:hAnsi="Arial"/>
          <w:sz w:val="16"/>
          <w:szCs w:val="16"/>
          <w:color w:val="auto"/>
        </w:rPr>
        <w:t>”), (d) prior to the completion of a Successful Term Syndication, your using commercially reasonable efforts to cause the Borrower to have monitored Public Debt Ratings (as defined below) (but no specific rating) that give effect to the Transactions from Moody’s Investor Services (“</w:t>
      </w:r>
      <w:r>
        <w:rPr>
          <w:rFonts w:ascii="Arial" w:cs="Arial" w:eastAsia="Arial" w:hAnsi="Arial"/>
          <w:sz w:val="16"/>
          <w:szCs w:val="16"/>
          <w:b w:val="1"/>
          <w:bCs w:val="1"/>
          <w:i w:val="1"/>
          <w:iCs w:val="1"/>
          <w:color w:val="auto"/>
        </w:rPr>
        <w:t>Moody’s</w:t>
      </w:r>
      <w:r>
        <w:rPr>
          <w:rFonts w:ascii="Arial" w:cs="Arial" w:eastAsia="Arial" w:hAnsi="Arial"/>
          <w:sz w:val="16"/>
          <w:szCs w:val="16"/>
          <w:color w:val="auto"/>
        </w:rPr>
        <w:t>”), Standard &amp; Poor’s Financial Services LLC (“</w:t>
      </w:r>
      <w:r>
        <w:rPr>
          <w:rFonts w:ascii="Arial" w:cs="Arial" w:eastAsia="Arial" w:hAnsi="Arial"/>
          <w:sz w:val="16"/>
          <w:szCs w:val="16"/>
          <w:b w:val="1"/>
          <w:bCs w:val="1"/>
          <w:i w:val="1"/>
          <w:iCs w:val="1"/>
          <w:color w:val="auto"/>
        </w:rPr>
        <w:t>S&amp;P</w:t>
      </w:r>
      <w:r>
        <w:rPr>
          <w:rFonts w:ascii="Arial" w:cs="Arial" w:eastAsia="Arial" w:hAnsi="Arial"/>
          <w:sz w:val="16"/>
          <w:szCs w:val="16"/>
          <w:color w:val="auto"/>
        </w:rPr>
        <w:t>”) and Fitch Ratings, Inc. (“</w:t>
      </w:r>
      <w:r>
        <w:rPr>
          <w:rFonts w:ascii="Arial" w:cs="Arial" w:eastAsia="Arial" w:hAnsi="Arial"/>
          <w:sz w:val="16"/>
          <w:szCs w:val="16"/>
          <w:b w:val="1"/>
          <w:bCs w:val="1"/>
          <w:i w:val="1"/>
          <w:iCs w:val="1"/>
          <w:color w:val="auto"/>
        </w:rPr>
        <w:t>Fitch</w:t>
      </w:r>
      <w:r>
        <w:rPr>
          <w:rFonts w:ascii="Arial" w:cs="Arial" w:eastAsia="Arial" w:hAnsi="Arial"/>
          <w:sz w:val="16"/>
          <w:szCs w:val="16"/>
          <w:color w:val="auto"/>
        </w:rPr>
        <w:t>”) and (e) the hosting, with JPMorgan, of one or more meetings of prospective Lenders at times and places to be mutually agreed (which meetings may be held virtually). You hereby authorize the Lead Arranger to download copies of your trademark logos from its website and post copies thereof and any Information Materials to a deal site on IntraLinks</w:t>
      </w:r>
      <w:r>
        <w:rPr>
          <w:rFonts w:ascii="Arial" w:cs="Arial" w:eastAsia="Arial" w:hAnsi="Arial"/>
          <w:sz w:val="13"/>
          <w:szCs w:val="13"/>
          <w:color w:val="auto"/>
        </w:rPr>
        <w:t>™</w:t>
      </w:r>
      <w:r>
        <w:rPr>
          <w:rFonts w:ascii="Arial" w:cs="Arial" w:eastAsia="Arial" w:hAnsi="Arial"/>
          <w:sz w:val="16"/>
          <w:szCs w:val="16"/>
          <w:color w:val="auto"/>
        </w:rPr>
        <w:t>, DebtDomain, SyndTrak, ClearPar or any other electronic platform chosen by the Lead Arranger to be its electronic transmission system (an “</w:t>
      </w:r>
      <w:r>
        <w:rPr>
          <w:rFonts w:ascii="Arial" w:cs="Arial" w:eastAsia="Arial" w:hAnsi="Arial"/>
          <w:sz w:val="16"/>
          <w:szCs w:val="16"/>
          <w:b w:val="1"/>
          <w:bCs w:val="1"/>
          <w:i w:val="1"/>
          <w:iCs w:val="1"/>
          <w:color w:val="auto"/>
        </w:rPr>
        <w:t>Electronic Platform</w:t>
      </w:r>
      <w:r>
        <w:rPr>
          <w:rFonts w:ascii="Arial" w:cs="Arial" w:eastAsia="Arial" w:hAnsi="Arial"/>
          <w:sz w:val="16"/>
          <w:szCs w:val="16"/>
          <w:color w:val="auto"/>
        </w:rPr>
        <w:t>”) established by the Lead Arranger to syndicate the Facilities, and to use the Borrower’s trademark logos on any confidential information memoranda, presentations and other marketing materials prepared in connection with the syndication of the Facilities or, with your consent, in any advertisements that we may place after the closing of the Facilities in financial and other newspapers, journals, the World Wide Web, home page or otherwise, at JPMorgan’s own expense describing its services to the Borrower hereunder. Upon the request of JPMorgan, you will use commercially reasonable efforts to cause the Target to</w:t>
      </w:r>
    </w:p>
    <w:p>
      <w:pPr>
        <w:spacing w:after="0" w:line="107"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4"/>
          </w:cols>
          <w:pgMar w:left="436" w:top="274" w:right="439" w:bottom="1440" w:gutter="0" w:footer="0" w:header="0"/>
        </w:sectPr>
      </w:pPr>
    </w:p>
    <w:bookmarkStart w:id="161" w:name="page162"/>
    <w:bookmarkEnd w:id="161"/>
    <w:p>
      <w:pPr>
        <w:ind w:left="4"/>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furnish for no fee, to JPMorgan, an electronic version of the Target’s trademark logos for use in marketing materials for the purpose of facilitating the syndication of the Facilities. You also understand and acknowledge that we may provide to market data collectors, such as league tables, or other service providers to the lending industry, information regarding the closing date, size, type, purpose of, and parties to, the Facilities.</w:t>
      </w:r>
    </w:p>
    <w:p>
      <w:pPr>
        <w:spacing w:after="0" w:line="165" w:lineRule="exact"/>
        <w:rPr>
          <w:sz w:val="20"/>
          <w:szCs w:val="20"/>
          <w:color w:val="auto"/>
        </w:rPr>
      </w:pPr>
    </w:p>
    <w:p>
      <w:pPr>
        <w:ind w:left="4" w:firstLine="440"/>
        <w:spacing w:after="0" w:line="287" w:lineRule="auto"/>
        <w:rPr>
          <w:sz w:val="20"/>
          <w:szCs w:val="20"/>
          <w:color w:val="auto"/>
        </w:rPr>
      </w:pPr>
      <w:r>
        <w:rPr>
          <w:rFonts w:ascii="Arial" w:cs="Arial" w:eastAsia="Arial" w:hAnsi="Arial"/>
          <w:sz w:val="16"/>
          <w:szCs w:val="16"/>
          <w:color w:val="auto"/>
        </w:rPr>
        <w:t>In order to facilitate an orderly and successful syndication of the Facilities, you agree that until the Syndication Date, the Borrower will not (and will use commercially reasonable efforts to cause the Acquired Business to not) issue, announce, offer, place or arrange debt securities or any syndicated credit facilities of the Borrower or its subsidiaries (or the Acquired Business) (other than (i) the Debt Securities, (ii) the Bridge Facility,</w:t>
      </w:r>
    </w:p>
    <w:p>
      <w:pPr>
        <w:spacing w:after="0" w:line="2" w:lineRule="exact"/>
        <w:rPr>
          <w:sz w:val="20"/>
          <w:szCs w:val="20"/>
          <w:color w:val="auto"/>
        </w:rPr>
      </w:pPr>
    </w:p>
    <w:p>
      <w:pPr>
        <w:ind w:left="4" w:right="100" w:hanging="4"/>
        <w:spacing w:after="0" w:line="281" w:lineRule="auto"/>
        <w:tabs>
          <w:tab w:leader="none" w:pos="319" w:val="left"/>
        </w:tabs>
        <w:numPr>
          <w:ilvl w:val="0"/>
          <w:numId w:val="217"/>
        </w:numPr>
        <w:rPr>
          <w:rFonts w:ascii="Arial" w:cs="Arial" w:eastAsia="Arial" w:hAnsi="Arial"/>
          <w:sz w:val="16"/>
          <w:szCs w:val="16"/>
          <w:color w:val="auto"/>
        </w:rPr>
      </w:pPr>
      <w:r>
        <w:rPr>
          <w:rFonts w:ascii="Arial" w:cs="Arial" w:eastAsia="Arial" w:hAnsi="Arial"/>
          <w:sz w:val="16"/>
          <w:szCs w:val="16"/>
          <w:color w:val="auto"/>
        </w:rPr>
        <w:t>indebtedness permitted to be incurred by the Acquired Business pursuant to the Acquisition Agreement, (iv) other indebtedness in an aggregate principal amount not to exceed $100,000,000, (v) capital leases, letters of credit and purchase money and equipment financings of the Borrower and its subsidiaries and of the Acquired Business, in each case, in the ordinary course of business, (vi) working capital facilities of foreign subsidiaries and</w:t>
      </w:r>
    </w:p>
    <w:p>
      <w:pPr>
        <w:spacing w:after="0" w:line="1" w:lineRule="exact"/>
        <w:rPr>
          <w:rFonts w:ascii="Arial" w:cs="Arial" w:eastAsia="Arial" w:hAnsi="Arial"/>
          <w:sz w:val="16"/>
          <w:szCs w:val="16"/>
          <w:color w:val="auto"/>
        </w:rPr>
      </w:pPr>
    </w:p>
    <w:p>
      <w:pPr>
        <w:ind w:left="4" w:right="700" w:hanging="4"/>
        <w:spacing w:after="0" w:line="260" w:lineRule="auto"/>
        <w:tabs>
          <w:tab w:leader="none" w:pos="359" w:val="left"/>
        </w:tabs>
        <w:numPr>
          <w:ilvl w:val="0"/>
          <w:numId w:val="218"/>
        </w:numPr>
        <w:rPr>
          <w:rFonts w:ascii="Arial" w:cs="Arial" w:eastAsia="Arial" w:hAnsi="Arial"/>
          <w:sz w:val="18"/>
          <w:szCs w:val="18"/>
          <w:color w:val="auto"/>
        </w:rPr>
      </w:pPr>
      <w:r>
        <w:rPr>
          <w:rFonts w:ascii="Arial" w:cs="Arial" w:eastAsia="Arial" w:hAnsi="Arial"/>
          <w:sz w:val="18"/>
          <w:szCs w:val="18"/>
          <w:color w:val="auto"/>
        </w:rPr>
        <w:t>any other financing agreed by the Lead Arranger), in each case if such issuance, announcement, offering, placement or arrangement could reasonably be expected to materially impair the primary syndication of the Facilities.</w:t>
      </w:r>
    </w:p>
    <w:p>
      <w:pPr>
        <w:spacing w:after="0" w:line="185" w:lineRule="exact"/>
        <w:rPr>
          <w:sz w:val="20"/>
          <w:szCs w:val="20"/>
          <w:color w:val="auto"/>
        </w:rPr>
      </w:pPr>
    </w:p>
    <w:p>
      <w:pPr>
        <w:ind w:left="4" w:firstLine="440"/>
        <w:spacing w:after="0" w:line="284" w:lineRule="auto"/>
        <w:rPr>
          <w:sz w:val="20"/>
          <w:szCs w:val="20"/>
          <w:color w:val="auto"/>
        </w:rPr>
      </w:pPr>
      <w:r>
        <w:rPr>
          <w:rFonts w:ascii="Arial" w:cs="Arial" w:eastAsia="Arial" w:hAnsi="Arial"/>
          <w:sz w:val="16"/>
          <w:szCs w:val="16"/>
          <w:color w:val="auto"/>
        </w:rPr>
        <w:t>You will assist us in preparing Information Materials, including but not limited to a Confidential Information Memorandum or lender slides, for distribution to prospective Lenders. If requested, you also will assist us in preparing an additional version of the Information Materials (the “</w:t>
      </w:r>
      <w:r>
        <w:rPr>
          <w:rFonts w:ascii="Arial" w:cs="Arial" w:eastAsia="Arial" w:hAnsi="Arial"/>
          <w:sz w:val="16"/>
          <w:szCs w:val="16"/>
          <w:b w:val="1"/>
          <w:bCs w:val="1"/>
          <w:i w:val="1"/>
          <w:iCs w:val="1"/>
          <w:color w:val="auto"/>
        </w:rPr>
        <w:t>Public-Side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Version</w:t>
      </w:r>
      <w:r>
        <w:rPr>
          <w:rFonts w:ascii="Arial" w:cs="Arial" w:eastAsia="Arial" w:hAnsi="Arial"/>
          <w:sz w:val="16"/>
          <w:szCs w:val="16"/>
          <w:color w:val="auto"/>
        </w:rPr>
        <w:t>”) to be used by prospective Lenders’ public-side employees and representatives (“</w:t>
      </w:r>
      <w:r>
        <w:rPr>
          <w:rFonts w:ascii="Arial" w:cs="Arial" w:eastAsia="Arial" w:hAnsi="Arial"/>
          <w:sz w:val="16"/>
          <w:szCs w:val="16"/>
          <w:b w:val="1"/>
          <w:bCs w:val="1"/>
          <w:i w:val="1"/>
          <w:iCs w:val="1"/>
          <w:color w:val="auto"/>
        </w:rPr>
        <w:t>Public-Siders</w:t>
      </w:r>
      <w:r>
        <w:rPr>
          <w:rFonts w:ascii="Arial" w:cs="Arial" w:eastAsia="Arial" w:hAnsi="Arial"/>
          <w:sz w:val="16"/>
          <w:szCs w:val="16"/>
          <w:color w:val="auto"/>
        </w:rPr>
        <w:t>”) who do not wish to receive material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non-public information (within the meaning of United States federal securities laws) with respect to you, the Target, the Borrower, their respective affiliates and any of their respective securities (“</w:t>
      </w:r>
      <w:r>
        <w:rPr>
          <w:rFonts w:ascii="Arial" w:cs="Arial" w:eastAsia="Arial" w:hAnsi="Arial"/>
          <w:sz w:val="16"/>
          <w:szCs w:val="16"/>
          <w:b w:val="1"/>
          <w:bCs w:val="1"/>
          <w:i w:val="1"/>
          <w:iCs w:val="1"/>
          <w:color w:val="auto"/>
        </w:rPr>
        <w:t>MNPI</w:t>
      </w:r>
      <w:r>
        <w:rPr>
          <w:rFonts w:ascii="Arial" w:cs="Arial" w:eastAsia="Arial" w:hAnsi="Arial"/>
          <w:sz w:val="16"/>
          <w:szCs w:val="16"/>
          <w:color w:val="auto"/>
        </w:rPr>
        <w:t>”) and who may be engaged in investment and other market-related activities with respect to you, the Target, the Borrower’s or their affiliates’ securities or loans. Before distribution of any Information Materials, you agree to execute and deliver to us (i) a customary letter in which you authorize distribution of the Information Materials to a prospective Lender’s employees willing to receive MNPI</w:t>
      </w:r>
    </w:p>
    <w:p>
      <w:pPr>
        <w:spacing w:after="0" w:line="2" w:lineRule="exact"/>
        <w:rPr>
          <w:sz w:val="20"/>
          <w:szCs w:val="20"/>
          <w:color w:val="auto"/>
        </w:rPr>
      </w:pPr>
    </w:p>
    <w:p>
      <w:pPr>
        <w:ind w:left="4" w:right="20"/>
        <w:spacing w:after="0" w:line="25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Private-Siders</w:t>
      </w:r>
      <w:r>
        <w:rPr>
          <w:rFonts w:ascii="Arial" w:cs="Arial" w:eastAsia="Arial" w:hAnsi="Arial"/>
          <w:sz w:val="18"/>
          <w:szCs w:val="18"/>
          <w:color w:val="auto"/>
        </w:rPr>
        <w:t xml:space="preserve">”) and (ii) a separate customary letter in which you authorize distribution of the Public-Side Version to Public-Siders not containing any MNPI. You also acknowledge that publishing debt analysts employed by JPMorgan and its affiliates who are Public-Siders may participate in any meetings or telephone conference calls held pursuant to clause (e) of the first paragraph of Section 3 of this Commitment Letter;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analysts shall not publish any information obtained from such meetings or calls (i) until the syndication of the Facilities has been completed upon the making of allocations by JPMorgan and JPMorgan freeing the Facilities to trade or (ii) in violation of any confidentiality agreement between you and JPMorgan.</w:t>
      </w:r>
    </w:p>
    <w:p>
      <w:pPr>
        <w:spacing w:after="0" w:line="194" w:lineRule="exact"/>
        <w:rPr>
          <w:sz w:val="20"/>
          <w:szCs w:val="20"/>
          <w:color w:val="auto"/>
        </w:rPr>
      </w:pPr>
    </w:p>
    <w:p>
      <w:pPr>
        <w:ind w:left="4" w:right="60" w:firstLine="440"/>
        <w:spacing w:after="0" w:line="293" w:lineRule="auto"/>
        <w:rPr>
          <w:sz w:val="20"/>
          <w:szCs w:val="20"/>
          <w:color w:val="auto"/>
        </w:rPr>
      </w:pPr>
      <w:r>
        <w:rPr>
          <w:rFonts w:ascii="Arial" w:cs="Arial" w:eastAsia="Arial" w:hAnsi="Arial"/>
          <w:sz w:val="16"/>
          <w:szCs w:val="16"/>
          <w:color w:val="auto"/>
        </w:rPr>
        <w:t>The Borrower agrees that the following documents may be distributed to both Private-Siders and Public-Siders, unless the Borrower advises JPMorgan in writing (including by email) within a reasonable time prior to their intended distribution that such materials should only be distributed to Private-Siders: (a) administrative materials prepared by JPMorgan for prospective Lenders (such as a lender meeting invitation, bank allocation, if any, and funding and closing memoranda), (b) term sheets summarizing the Facilities’ terms and notification of changes in the Facilities’ terms and (c) other materials intended for prospective Lenders after the initial distribution of Information Materials. If you advise us that any of the foregoing should be distributed only to Private-Siders, then Public-Siders will not receive such materials without further discussions with you.</w:t>
      </w:r>
    </w:p>
    <w:p>
      <w:pPr>
        <w:spacing w:after="0" w:line="9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4"/>
          </w:cols>
          <w:pgMar w:left="436" w:top="274" w:right="479" w:bottom="1440" w:gutter="0" w:footer="0" w:header="0"/>
        </w:sectPr>
      </w:pPr>
    </w:p>
    <w:bookmarkStart w:id="162" w:name="page163"/>
    <w:bookmarkEnd w:id="162"/>
    <w:p>
      <w:pPr>
        <w:ind w:right="48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The Borrower hereby authorizes JPMorgan to distribute draft and execution versions of definitive documentation relating to the Facilities to Private-Siders and Public-Siders.</w:t>
      </w:r>
    </w:p>
    <w:p>
      <w:pPr>
        <w:spacing w:after="0" w:line="170" w:lineRule="exact"/>
        <w:rPr>
          <w:sz w:val="20"/>
          <w:szCs w:val="20"/>
          <w:color w:val="auto"/>
        </w:rPr>
      </w:pPr>
    </w:p>
    <w:p>
      <w:pPr>
        <w:ind w:firstLine="440"/>
        <w:spacing w:after="0" w:line="288" w:lineRule="auto"/>
        <w:rPr>
          <w:sz w:val="20"/>
          <w:szCs w:val="20"/>
          <w:color w:val="auto"/>
        </w:rPr>
      </w:pPr>
      <w:r>
        <w:rPr>
          <w:rFonts w:ascii="Arial" w:cs="Arial" w:eastAsia="Arial" w:hAnsi="Arial"/>
          <w:sz w:val="16"/>
          <w:szCs w:val="16"/>
          <w:color w:val="auto"/>
        </w:rPr>
        <w:t xml:space="preserve">As the Lead Arranger, JPMorgan will manage all aspects of the syndication in consultation with you, including decisions as to the selection of institutions to be approached and when they will be approached, when their commitments will be accepted, which institutions will participate, the allocations of the commitments among the Lenders and the amount and distribution of fees among the Lenders;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Lead Arranger will not syndicate to any person (other than those financial institutions (and their affiliates) identified by the Lead Arranger to you in writing on or prior to the date hereof (including, for the avoidance of doubt, those lenders identified in the “syndication plan” for the Facilities agreed to by the Lead Arranger and you prior to the date hereof), any Permitted Assignee and to lenders under the Existing Credit Agreement (other than a “defaulting lender” under and as defined therein, as of the date of such syndication)) without your consent (such consent not to be unreasonably withheld or delayed). In acting as the Lead Arranger, JPMorgan will have no responsibility other than to arrange the syndication as set forth herein and is acting solely in the capacity of an arm’s-length contractual counterparty to the Borrower with respect to the arrangement of the Facilities (including in connection with determining the terms of the Facilities) and not as a financial advisor or a fiduciary to, or an agent of, the Borrower or any other person.</w:t>
      </w:r>
    </w:p>
    <w:p>
      <w:pPr>
        <w:spacing w:after="0" w:line="168" w:lineRule="exact"/>
        <w:rPr>
          <w:sz w:val="20"/>
          <w:szCs w:val="20"/>
          <w:color w:val="auto"/>
        </w:rPr>
      </w:pPr>
    </w:p>
    <w:p>
      <w:pPr>
        <w:ind w:right="160" w:firstLine="440"/>
        <w:spacing w:after="0" w:line="301" w:lineRule="auto"/>
        <w:rPr>
          <w:sz w:val="20"/>
          <w:szCs w:val="20"/>
          <w:color w:val="auto"/>
        </w:rPr>
      </w:pPr>
      <w:r>
        <w:rPr>
          <w:rFonts w:ascii="Arial" w:cs="Arial" w:eastAsia="Arial" w:hAnsi="Arial"/>
          <w:sz w:val="16"/>
          <w:szCs w:val="16"/>
          <w:color w:val="auto"/>
        </w:rPr>
        <w:t>Notwithstanding anything to the contrary contained in this Commitment Letter or any other agreement or undertaking concerning the Term Facility, but without limiting the conditions precedent in Section 6 hereof or Exhibit B, and without limiting your obligations to assist with syndication in this Section 3, none of the foregoing obligations under the provisions of this Section 3 nor the commencement, conduct or completion of the syndication contemplated by this Section 3 is a condition to the Term Commitment or the funding of the Term Facility on the Closing Date.</w:t>
      </w:r>
    </w:p>
    <w:p>
      <w:pPr>
        <w:spacing w:after="0" w:line="157" w:lineRule="exact"/>
        <w:rPr>
          <w:sz w:val="20"/>
          <w:szCs w:val="20"/>
          <w:color w:val="auto"/>
        </w:rPr>
      </w:pPr>
    </w:p>
    <w:p>
      <w:pPr>
        <w:ind w:right="20" w:firstLine="440"/>
        <w:spacing w:after="0" w:line="293" w:lineRule="auto"/>
        <w:rPr>
          <w:sz w:val="20"/>
          <w:szCs w:val="20"/>
          <w:color w:val="auto"/>
        </w:rPr>
      </w:pPr>
      <w:r>
        <w:rPr>
          <w:rFonts w:ascii="Arial" w:cs="Arial" w:eastAsia="Arial" w:hAnsi="Arial"/>
          <w:sz w:val="16"/>
          <w:szCs w:val="16"/>
          <w:color w:val="auto"/>
        </w:rPr>
        <w:t xml:space="preserve">For the avoidance of doubt, without limiting your representation and covenant set forth in Section 4 below, nothing contained in this Commitment Letter shall require you to provide any information to the extent that the provision thereof would violate any attorney-client privilege, law, rule or regulation, or any obligation of confidentiality binding on you, the Acquired Business or your or its respective affiliates;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you shall (x) use commercially reasonable efforts to communicate, to the extent permitted, the applicable information in a way that would not violate the applicable law, rule, regulation or obligation and (y) to the extent you are unable to disclose any such information, notify us if any such information is being withheld as a result of any such obligation of confidentiality (but solely if providing such notice would not violate such confidentiality obligation).</w:t>
      </w:r>
    </w:p>
    <w:p>
      <w:pPr>
        <w:spacing w:after="0" w:line="164" w:lineRule="exact"/>
        <w:rPr>
          <w:sz w:val="20"/>
          <w:szCs w:val="20"/>
          <w:color w:val="auto"/>
        </w:rPr>
      </w:pPr>
    </w:p>
    <w:p>
      <w:pPr>
        <w:ind w:left="620" w:hanging="184"/>
        <w:spacing w:after="0"/>
        <w:tabs>
          <w:tab w:leader="none" w:pos="620" w:val="left"/>
        </w:tabs>
        <w:numPr>
          <w:ilvl w:val="0"/>
          <w:numId w:val="219"/>
        </w:numPr>
        <w:rPr>
          <w:rFonts w:ascii="Arial" w:cs="Arial" w:eastAsia="Arial" w:hAnsi="Arial"/>
          <w:sz w:val="18"/>
          <w:szCs w:val="18"/>
          <w:color w:val="auto"/>
        </w:rPr>
      </w:pPr>
      <w:r>
        <w:rPr>
          <w:rFonts w:ascii="Arial" w:cs="Arial" w:eastAsia="Arial" w:hAnsi="Arial"/>
          <w:sz w:val="18"/>
          <w:szCs w:val="18"/>
          <w:u w:val="single" w:color="auto"/>
          <w:color w:val="auto"/>
        </w:rPr>
        <w:t>Information</w:t>
      </w:r>
    </w:p>
    <w:p>
      <w:pPr>
        <w:spacing w:after="0" w:line="225" w:lineRule="exact"/>
        <w:rPr>
          <w:sz w:val="20"/>
          <w:szCs w:val="20"/>
          <w:color w:val="auto"/>
        </w:rPr>
      </w:pPr>
    </w:p>
    <w:p>
      <w:pPr>
        <w:ind w:right="120" w:firstLine="440"/>
        <w:spacing w:after="0" w:line="272" w:lineRule="auto"/>
        <w:rPr>
          <w:sz w:val="20"/>
          <w:szCs w:val="20"/>
          <w:color w:val="auto"/>
        </w:rPr>
      </w:pPr>
      <w:r>
        <w:rPr>
          <w:rFonts w:ascii="Arial" w:cs="Arial" w:eastAsia="Arial" w:hAnsi="Arial"/>
          <w:sz w:val="17"/>
          <w:szCs w:val="17"/>
          <w:color w:val="auto"/>
        </w:rPr>
        <w:t>To assist JPMorgan in its syndication efforts, you agree promptly to prepare and provide to the Lead Arranger all customary information with respect to the Borrower and the transactions contemplated hereby, including all financial information and projections concerning the Borrower and the Acquired Business (the “</w:t>
      </w:r>
      <w:r>
        <w:rPr>
          <w:rFonts w:ascii="Arial" w:cs="Arial" w:eastAsia="Arial" w:hAnsi="Arial"/>
          <w:sz w:val="17"/>
          <w:szCs w:val="17"/>
          <w:b w:val="1"/>
          <w:bCs w:val="1"/>
          <w:i w:val="1"/>
          <w:iCs w:val="1"/>
          <w:color w:val="auto"/>
        </w:rPr>
        <w:t>Projections</w:t>
      </w:r>
      <w:r>
        <w:rPr>
          <w:rFonts w:ascii="Arial" w:cs="Arial" w:eastAsia="Arial" w:hAnsi="Arial"/>
          <w:sz w:val="17"/>
          <w:szCs w:val="17"/>
          <w:color w:val="auto"/>
        </w:rPr>
        <w:t>”), as we may reasonably request in connection with the arrangement and syndication of the Facilities. You hereby represent and covenant (to the best of your knowledge to the extent relating to the Acquired Business) that (a) all written information other than the Projections, forward-looking information and other information of a general economic or industry nature (the “</w:t>
      </w:r>
      <w:r>
        <w:rPr>
          <w:rFonts w:ascii="Arial" w:cs="Arial" w:eastAsia="Arial" w:hAnsi="Arial"/>
          <w:sz w:val="17"/>
          <w:szCs w:val="17"/>
          <w:b w:val="1"/>
          <w:bCs w:val="1"/>
          <w:i w:val="1"/>
          <w:iCs w:val="1"/>
          <w:color w:val="auto"/>
        </w:rPr>
        <w:t>Information</w:t>
      </w:r>
      <w:r>
        <w:rPr>
          <w:rFonts w:ascii="Arial" w:cs="Arial" w:eastAsia="Arial" w:hAnsi="Arial"/>
          <w:sz w:val="17"/>
          <w:szCs w:val="17"/>
          <w:color w:val="auto"/>
        </w:rPr>
        <w:t>”) that has been or will be made available to the Lead Arranger by you or any of your representatives in connection with the Transactions, when taken as a whole, is or will be, when furnished, complete and correct in all material respects and</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63" w:name="page164"/>
    <w:bookmarkEnd w:id="163"/>
    <w:p>
      <w:pPr>
        <w:ind w:right="2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does not or will not, when furnished, contain any untrue statement of a material fact or omit to state a material fact necessary in order to make the statements contained therein not materially misleading in light of the circumstances under which such statements are made when taken as a whole and giving effect to all supplements and updates thereto and (b) the Projections concerning you, the Borrower and the Acquired Business that have been or will be made available to the Lead Arranger by you or any of your representatives have been or will be prepared in good faith based upon assumptions that were believed by the Borrower to be reasonable as of the date such Projections are prepared and as of the date such Projections are made available to the Lead Arranger (it being understood that the Projections are as to future events and are not to be viewed as facts, the Projections are subject to significant uncertainties and contingencies, many of which are beyond your control, that no assurance can be given that any particular Projections will be realized and that actual results during the period or periods covered by any such Projections may differ significantly from the projected results and such differences may be material). If, at any time prior to the later of the Closing Date and the Syndication Date, you become aware that any of the representations and warranties in the preceding sentence would not be accurate and complete in any material respect (to your knowledge with respect to Information and Projections relating to the Acquired Business) if the Information or Projections were being furnished, and such representations and warranties were being made, at such time, then you agree to promptly supplement the Information and/or Projections so that the representations and warranties contained in this paragraph (to your knowledge with respect to Information and Projections relating to the Acquired Business) remain accurate and complete in all material respects under those circumstances. The accuracy of the foregoing representations and warranties shall not be a condition to the obligations of the Commitment Party hereunder unless the inaccuracy results in an express condition hereunder otherwise not being satisfied on the Closing Date. You understand that in arranging and syndicating the Facilities, we may use and rely on the Information and Projections without independent verification thereof.</w:t>
      </w:r>
    </w:p>
    <w:p>
      <w:pPr>
        <w:spacing w:after="0" w:line="174" w:lineRule="exact"/>
        <w:rPr>
          <w:sz w:val="20"/>
          <w:szCs w:val="20"/>
          <w:color w:val="auto"/>
        </w:rPr>
      </w:pPr>
    </w:p>
    <w:p>
      <w:pPr>
        <w:ind w:left="620" w:hanging="184"/>
        <w:spacing w:after="0"/>
        <w:tabs>
          <w:tab w:leader="none" w:pos="620" w:val="left"/>
        </w:tabs>
        <w:numPr>
          <w:ilvl w:val="0"/>
          <w:numId w:val="220"/>
        </w:numPr>
        <w:rPr>
          <w:rFonts w:ascii="Arial" w:cs="Arial" w:eastAsia="Arial" w:hAnsi="Arial"/>
          <w:sz w:val="18"/>
          <w:szCs w:val="18"/>
          <w:color w:val="auto"/>
        </w:rPr>
      </w:pPr>
      <w:r>
        <w:rPr>
          <w:rFonts w:ascii="Arial" w:cs="Arial" w:eastAsia="Arial" w:hAnsi="Arial"/>
          <w:sz w:val="18"/>
          <w:szCs w:val="18"/>
          <w:u w:val="single" w:color="auto"/>
          <w:color w:val="auto"/>
        </w:rPr>
        <w:t>Fees</w:t>
      </w:r>
    </w:p>
    <w:p>
      <w:pPr>
        <w:spacing w:after="0" w:line="225"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As consideration for JPMorgan’s commitments hereunder and its agreement to perform the services described herein, you agree to pay to JPMorgan the nonrefundable fees set forth in Annex I to each Term Sheet and in the Facilities Fee Letter dated the date hereof and delivered herewith (the “</w:t>
      </w:r>
      <w:r>
        <w:rPr>
          <w:rFonts w:ascii="Arial" w:cs="Arial" w:eastAsia="Arial" w:hAnsi="Arial"/>
          <w:sz w:val="18"/>
          <w:szCs w:val="18"/>
          <w:b w:val="1"/>
          <w:bCs w:val="1"/>
          <w:i w:val="1"/>
          <w:iCs w:val="1"/>
          <w:color w:val="auto"/>
        </w:rPr>
        <w:t>Fee Letter</w:t>
      </w:r>
      <w:r>
        <w:rPr>
          <w:rFonts w:ascii="Arial" w:cs="Arial" w:eastAsia="Arial" w:hAnsi="Arial"/>
          <w:sz w:val="18"/>
          <w:szCs w:val="18"/>
          <w:color w:val="auto"/>
        </w:rPr>
        <w:t>”).</w:t>
      </w:r>
    </w:p>
    <w:p>
      <w:pPr>
        <w:spacing w:after="0" w:line="184"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You agree that, once paid, the fees or any part thereof payable hereunder or under the Fee Letter shall not be refundable under any circumstances, regardless of whether the transactions or borrowings contemplated by this Commitment Letter are consummated, except as otherwise agreed in writing by you and JPMorgan. All fees payable hereunder and under the Fee Letter shall be paid in immediately available funds in U.S. Dollars and shall not be subject to reduction by way of withholding, setoff or counterclaim or be otherwise affected by any claim or dispute related to any other matter. In addition, all fees payable hereunder shall be paid without deduction for any taxes, levies, imposts, duties, deductions, charges or withholdings imposed by any national, state or local taxing authority, or will be grossed up by you for such amounts.</w:t>
      </w:r>
    </w:p>
    <w:p>
      <w:pPr>
        <w:spacing w:after="0" w:line="178" w:lineRule="exact"/>
        <w:rPr>
          <w:sz w:val="20"/>
          <w:szCs w:val="20"/>
          <w:color w:val="auto"/>
        </w:rPr>
      </w:pPr>
    </w:p>
    <w:p>
      <w:pPr>
        <w:ind w:left="620" w:hanging="184"/>
        <w:spacing w:after="0"/>
        <w:tabs>
          <w:tab w:leader="none" w:pos="620" w:val="left"/>
        </w:tabs>
        <w:numPr>
          <w:ilvl w:val="0"/>
          <w:numId w:val="221"/>
        </w:numPr>
        <w:rPr>
          <w:rFonts w:ascii="Arial" w:cs="Arial" w:eastAsia="Arial" w:hAnsi="Arial"/>
          <w:sz w:val="18"/>
          <w:szCs w:val="18"/>
          <w:color w:val="auto"/>
        </w:rPr>
      </w:pPr>
      <w:r>
        <w:rPr>
          <w:rFonts w:ascii="Arial" w:cs="Arial" w:eastAsia="Arial" w:hAnsi="Arial"/>
          <w:sz w:val="18"/>
          <w:szCs w:val="18"/>
          <w:u w:val="single" w:color="auto"/>
          <w:color w:val="auto"/>
        </w:rPr>
        <w:t>Conditions</w:t>
      </w:r>
    </w:p>
    <w:p>
      <w:pPr>
        <w:spacing w:after="0" w:line="225" w:lineRule="exact"/>
        <w:rPr>
          <w:sz w:val="20"/>
          <w:szCs w:val="20"/>
          <w:color w:val="auto"/>
        </w:rPr>
      </w:pPr>
    </w:p>
    <w:p>
      <w:pPr>
        <w:ind w:right="380" w:firstLine="440"/>
        <w:spacing w:after="0" w:line="259" w:lineRule="auto"/>
        <w:rPr>
          <w:sz w:val="20"/>
          <w:szCs w:val="20"/>
          <w:color w:val="auto"/>
        </w:rPr>
      </w:pPr>
      <w:r>
        <w:rPr>
          <w:rFonts w:ascii="Arial" w:cs="Arial" w:eastAsia="Arial" w:hAnsi="Arial"/>
          <w:sz w:val="18"/>
          <w:szCs w:val="18"/>
          <w:color w:val="auto"/>
        </w:rPr>
        <w:t>The Commitment Party’s commitments hereunder, and the Commitment Party’s agreement to perform the services described herein, (I) with respect to the Term Facility, are subject solely to satisfaction or waiver of each of the following conditions precedent: (a) since the date of the Acquisition Agreement, there shall not have occurred any Target Material Adverse Effect (as defined below), (b) the execution and delivery by the parties thereto of definitive</w:t>
      </w:r>
    </w:p>
    <w:p>
      <w:pPr>
        <w:spacing w:after="0" w:line="11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440" w:top="274" w:right="519" w:bottom="1440" w:gutter="0" w:footer="0" w:header="0"/>
        </w:sectPr>
      </w:pPr>
    </w:p>
    <w:bookmarkStart w:id="164" w:name="page165"/>
    <w:bookmarkEnd w:id="164"/>
    <w:p>
      <w:pPr>
        <w:ind w:left="4" w:right="6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documentation with respect to the Term Facility consistent with this Commitment Letter and the Fee Letter (the “</w:t>
      </w:r>
      <w:r>
        <w:rPr>
          <w:rFonts w:ascii="Arial" w:cs="Arial" w:eastAsia="Arial" w:hAnsi="Arial"/>
          <w:sz w:val="16"/>
          <w:szCs w:val="16"/>
          <w:b w:val="1"/>
          <w:bCs w:val="1"/>
          <w:i w:val="1"/>
          <w:iCs w:val="1"/>
          <w:color w:val="auto"/>
        </w:rPr>
        <w:t>Term Credit Documentation</w:t>
      </w:r>
      <w:r>
        <w:rPr>
          <w:rFonts w:ascii="Arial" w:cs="Arial" w:eastAsia="Arial" w:hAnsi="Arial"/>
          <w:sz w:val="16"/>
          <w:szCs w:val="16"/>
          <w:color w:val="auto"/>
        </w:rPr>
        <w:t>” and the date of effectiveness thereof, the “</w:t>
      </w:r>
      <w:r>
        <w:rPr>
          <w:rFonts w:ascii="Arial" w:cs="Arial" w:eastAsia="Arial" w:hAnsi="Arial"/>
          <w:sz w:val="16"/>
          <w:szCs w:val="16"/>
          <w:b w:val="1"/>
          <w:bCs w:val="1"/>
          <w:i w:val="1"/>
          <w:iCs w:val="1"/>
          <w:color w:val="auto"/>
        </w:rPr>
        <w:t>Term Facility Effective Date</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subject to the Limited Conditionality Provision (as defined below), documentation substantially similar to the documentation (with adjustments to reflect that the Term Facility is a “term” facility) in connection with the Existing Credit Agreement, with such modifications as are set forth in the Term Facility Term Sheet (including, for the avoidance of doubt, the modifications referred to in Exhibit D solely to the extent such modifications are made to the Existing Credit Agreement (or any amendment, restatement, refinancing or replacement thereof or incorporated into the Revolving Credit Facility)) or are mutually agreed upon, is satisfactory for this purpose and (c) the satisfaction of conditions set forth on Exhibit B (clauses (I)(a) through (c) above, collectively, the “</w:t>
      </w:r>
      <w:r>
        <w:rPr>
          <w:rFonts w:ascii="Arial" w:cs="Arial" w:eastAsia="Arial" w:hAnsi="Arial"/>
          <w:sz w:val="16"/>
          <w:szCs w:val="16"/>
          <w:b w:val="1"/>
          <w:bCs w:val="1"/>
          <w:i w:val="1"/>
          <w:iCs w:val="1"/>
          <w:color w:val="auto"/>
        </w:rPr>
        <w:t>Term Funding Conditions</w:t>
      </w:r>
      <w:r>
        <w:rPr>
          <w:rFonts w:ascii="Arial" w:cs="Arial" w:eastAsia="Arial" w:hAnsi="Arial"/>
          <w:sz w:val="16"/>
          <w:szCs w:val="16"/>
          <w:color w:val="auto"/>
        </w:rPr>
        <w:t>”) and</w:t>
      </w:r>
    </w:p>
    <w:p>
      <w:pPr>
        <w:spacing w:after="0" w:line="2" w:lineRule="exact"/>
        <w:rPr>
          <w:sz w:val="20"/>
          <w:szCs w:val="20"/>
          <w:color w:val="auto"/>
        </w:rPr>
      </w:pPr>
    </w:p>
    <w:p>
      <w:pPr>
        <w:ind w:left="4" w:right="120" w:hanging="4"/>
        <w:spacing w:after="0" w:line="292" w:lineRule="auto"/>
        <w:tabs>
          <w:tab w:leader="none" w:pos="289" w:val="left"/>
        </w:tabs>
        <w:numPr>
          <w:ilvl w:val="0"/>
          <w:numId w:val="222"/>
        </w:numPr>
        <w:rPr>
          <w:rFonts w:ascii="Arial" w:cs="Arial" w:eastAsia="Arial" w:hAnsi="Arial"/>
          <w:sz w:val="16"/>
          <w:szCs w:val="16"/>
          <w:color w:val="auto"/>
        </w:rPr>
      </w:pPr>
      <w:r>
        <w:rPr>
          <w:rFonts w:ascii="Arial" w:cs="Arial" w:eastAsia="Arial" w:hAnsi="Arial"/>
          <w:sz w:val="16"/>
          <w:szCs w:val="16"/>
          <w:color w:val="auto"/>
        </w:rPr>
        <w:t>with respect to the Revolving Facility, are subject to satisfaction or waiver of each of the following conditions precedent: (a) the execution and delivery by the parties thereto of definitive documentation with respect to the Revolving Facility consistent with this Commitment Letter and the Fee Letter (the “</w:t>
      </w:r>
      <w:r>
        <w:rPr>
          <w:rFonts w:ascii="Arial" w:cs="Arial" w:eastAsia="Arial" w:hAnsi="Arial"/>
          <w:sz w:val="16"/>
          <w:szCs w:val="16"/>
          <w:b w:val="1"/>
          <w:bCs w:val="1"/>
          <w:i w:val="1"/>
          <w:iCs w:val="1"/>
          <w:color w:val="auto"/>
        </w:rPr>
        <w:t>Revolving Credit Documentation</w:t>
      </w:r>
      <w:r>
        <w:rPr>
          <w:rFonts w:ascii="Arial" w:cs="Arial" w:eastAsia="Arial" w:hAnsi="Arial"/>
          <w:sz w:val="16"/>
          <w:szCs w:val="16"/>
          <w:color w:val="auto"/>
        </w:rPr>
        <w:t>”), (b) the receipt of commitments from other Lenders in respect of the Revolving Facility of no less than $650,000,000 (a “</w:t>
      </w:r>
      <w:r>
        <w:rPr>
          <w:rFonts w:ascii="Arial" w:cs="Arial" w:eastAsia="Arial" w:hAnsi="Arial"/>
          <w:sz w:val="16"/>
          <w:szCs w:val="16"/>
          <w:b w:val="1"/>
          <w:bCs w:val="1"/>
          <w:i w:val="1"/>
          <w:iCs w:val="1"/>
          <w:color w:val="auto"/>
        </w:rPr>
        <w:t>Successful Revolving Syndication</w:t>
      </w:r>
      <w:r>
        <w:rPr>
          <w:rFonts w:ascii="Arial" w:cs="Arial" w:eastAsia="Arial" w:hAnsi="Arial"/>
          <w:sz w:val="16"/>
          <w:szCs w:val="16"/>
          <w:color w:val="auto"/>
        </w:rPr>
        <w:t>”) and (c) the satisfaction of the conditions set forth in Exhibit C (including termination in full of the “Revolving Commitments” under the Existing Credit Agreement and receipt by the Lead Arranger of customary documentary evidence thereof).</w:t>
      </w:r>
    </w:p>
    <w:p>
      <w:pPr>
        <w:spacing w:after="0" w:line="162" w:lineRule="exact"/>
        <w:rPr>
          <w:sz w:val="20"/>
          <w:szCs w:val="20"/>
          <w:color w:val="auto"/>
        </w:rPr>
      </w:pPr>
    </w:p>
    <w:p>
      <w:pPr>
        <w:ind w:left="4" w:right="340" w:firstLine="440"/>
        <w:spacing w:after="0" w:line="277" w:lineRule="auto"/>
        <w:rPr>
          <w:sz w:val="20"/>
          <w:szCs w:val="20"/>
          <w:color w:val="auto"/>
        </w:rPr>
      </w:pPr>
      <w:r>
        <w:rPr>
          <w:rFonts w:ascii="Arial" w:cs="Arial" w:eastAsia="Arial" w:hAnsi="Arial"/>
          <w:sz w:val="18"/>
          <w:szCs w:val="18"/>
          <w:color w:val="auto"/>
        </w:rPr>
        <w:t>For the purposes hereof, “</w:t>
      </w:r>
      <w:r>
        <w:rPr>
          <w:rFonts w:ascii="Arial" w:cs="Arial" w:eastAsia="Arial" w:hAnsi="Arial"/>
          <w:sz w:val="18"/>
          <w:szCs w:val="18"/>
          <w:b w:val="1"/>
          <w:bCs w:val="1"/>
          <w:i w:val="1"/>
          <w:iCs w:val="1"/>
          <w:color w:val="auto"/>
        </w:rPr>
        <w:t>Target Material Adverse Effect</w:t>
      </w:r>
      <w:r>
        <w:rPr>
          <w:rFonts w:ascii="Arial" w:cs="Arial" w:eastAsia="Arial" w:hAnsi="Arial"/>
          <w:sz w:val="18"/>
          <w:szCs w:val="18"/>
          <w:color w:val="auto"/>
        </w:rPr>
        <w:t>” means a “Material Adverse Effect on the Company” (as defined in the Acquisition Agreement as in effect on the date hereof).</w:t>
      </w:r>
    </w:p>
    <w:p>
      <w:pPr>
        <w:spacing w:after="0" w:line="170" w:lineRule="exact"/>
        <w:rPr>
          <w:sz w:val="20"/>
          <w:szCs w:val="20"/>
          <w:color w:val="auto"/>
        </w:rPr>
      </w:pPr>
    </w:p>
    <w:p>
      <w:pPr>
        <w:ind w:left="4" w:firstLine="440"/>
        <w:spacing w:after="0" w:line="285" w:lineRule="auto"/>
        <w:rPr>
          <w:sz w:val="20"/>
          <w:szCs w:val="20"/>
          <w:color w:val="auto"/>
        </w:rPr>
      </w:pPr>
      <w:r>
        <w:rPr>
          <w:rFonts w:ascii="Arial" w:cs="Arial" w:eastAsia="Arial" w:hAnsi="Arial"/>
          <w:sz w:val="16"/>
          <w:szCs w:val="16"/>
          <w:color w:val="auto"/>
        </w:rPr>
        <w:t>Notwithstanding anything in this Commitment Letter, the Fee Letter, the Term Credit Documentation, the Revolving Credit Documentation or any other letter agreement or other undertaking concerning the financing of the Transactions to the contrary, (a) the only representations the accuracy of which shall be a condition to the availability of the Term Facility on the Closing Date shall be (i) such of the representations made by the Target in the Acquisition Agreement (as hereinafter defined) as are material to the interests of the Lenders, but only to the extent that you have (or an affiliate of yours has) the right to terminate your (or your affiliates’) obligations under the Acquisition Agreement as a result of the breach of such representations in the Acquisition Agreement, or the accuracy of such representations in the Acquisition Agreement is a condition to your (or your affiliates’) obligations to consummate the Acquisition pursuant to the Acquisition Agreement (the “</w:t>
      </w:r>
      <w:r>
        <w:rPr>
          <w:rFonts w:ascii="Arial" w:cs="Arial" w:eastAsia="Arial" w:hAnsi="Arial"/>
          <w:sz w:val="16"/>
          <w:szCs w:val="16"/>
          <w:b w:val="1"/>
          <w:bCs w:val="1"/>
          <w:i w:val="1"/>
          <w:iCs w:val="1"/>
          <w:color w:val="auto"/>
        </w:rPr>
        <w:t>Acquisition Agreement Representations</w:t>
      </w:r>
      <w:r>
        <w:rPr>
          <w:rFonts w:ascii="Arial" w:cs="Arial" w:eastAsia="Arial" w:hAnsi="Arial"/>
          <w:sz w:val="16"/>
          <w:szCs w:val="16"/>
          <w:color w:val="auto"/>
        </w:rPr>
        <w:t>”) and (ii) the Specified Representations (as hereinafter defined) and (b) the terms of the Term Credit Documentation shall be in a form such that they do not impair the availability of the loans under the Term Facility on the Closing Date if the Term Funding Conditions are satisfied. For purposes hereof, “</w:t>
      </w:r>
      <w:r>
        <w:rPr>
          <w:rFonts w:ascii="Arial" w:cs="Arial" w:eastAsia="Arial" w:hAnsi="Arial"/>
          <w:sz w:val="16"/>
          <w:szCs w:val="16"/>
          <w:b w:val="1"/>
          <w:bCs w:val="1"/>
          <w:i w:val="1"/>
          <w:iCs w:val="1"/>
          <w:color w:val="auto"/>
        </w:rPr>
        <w:t>Specified</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Representations</w:t>
      </w:r>
      <w:r>
        <w:rPr>
          <w:rFonts w:ascii="Arial" w:cs="Arial" w:eastAsia="Arial" w:hAnsi="Arial"/>
          <w:sz w:val="16"/>
          <w:szCs w:val="16"/>
          <w:color w:val="auto"/>
        </w:rPr>
        <w:t>” means the representations and warranties of the Borrower relating to corporate status of the Borrower and the Guarantors, corporate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power and authority to enter into the Term Credit Documentation, due authorization, execution, delivery and enforceability of the Term Credit Documentation, no conflicts with or consents under charter documents of the Borrower and the Guarantors, solvency of the Borrower and its subsidiaries on a consolidated basis after giving effect to the Transactions (solvency to be defined in a manner consistent with Annex I to Exhibit B), no conflicts with or consents under the applicable credit agreements and indentures governing indebtedness for borrowed money in a principal or committed amount greater than $100,000,000 (as determined after giving pro forma effect to the Transactions to occur on the Closing Date and without such representation being subject to any material adverse effect or similar qualifications), Federal Reserve margin regulations, the use of the proceeds of the Term Facility not violating laws against sanctioned persons, the Foreign Corrupt Practices Act or the Patriot Act and compliance with the Investment Company Act. This paragraph, and the provisions herein, shall be referred to as the “</w:t>
      </w:r>
      <w:r>
        <w:rPr>
          <w:rFonts w:ascii="Arial" w:cs="Arial" w:eastAsia="Arial" w:hAnsi="Arial"/>
          <w:sz w:val="16"/>
          <w:szCs w:val="16"/>
          <w:b w:val="1"/>
          <w:bCs w:val="1"/>
          <w:i w:val="1"/>
          <w:iCs w:val="1"/>
          <w:color w:val="auto"/>
        </w:rPr>
        <w:t>Limited Conditionality Provision</w:t>
      </w:r>
      <w:r>
        <w:rPr>
          <w:rFonts w:ascii="Arial" w:cs="Arial" w:eastAsia="Arial" w:hAnsi="Arial"/>
          <w:sz w:val="16"/>
          <w:szCs w:val="16"/>
          <w:color w:val="auto"/>
        </w:rPr>
        <w:t>”.</w:t>
      </w:r>
    </w:p>
    <w:p>
      <w:pPr>
        <w:spacing w:after="0" w:line="104"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4"/>
          </w:cols>
          <w:pgMar w:left="436" w:top="274" w:right="459" w:bottom="1440" w:gutter="0" w:footer="0" w:header="0"/>
        </w:sectPr>
      </w:pPr>
    </w:p>
    <w:bookmarkStart w:id="165" w:name="page166"/>
    <w:bookmarkEnd w:id="165"/>
    <w:p>
      <w:pPr>
        <w:ind w:left="620" w:hanging="184"/>
        <w:spacing w:after="0"/>
        <w:tabs>
          <w:tab w:leader="none" w:pos="620" w:val="left"/>
        </w:tabs>
        <w:numPr>
          <w:ilvl w:val="0"/>
          <w:numId w:val="22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Limitation of Liability, Indemnity, Settlement</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23"/>
        </w:numPr>
        <w:rPr>
          <w:rFonts w:ascii="Arial" w:cs="Arial" w:eastAsia="Arial" w:hAnsi="Arial"/>
          <w:sz w:val="18"/>
          <w:szCs w:val="18"/>
          <w:color w:val="auto"/>
        </w:rPr>
      </w:pPr>
      <w:r>
        <w:rPr>
          <w:rFonts w:ascii="Arial" w:cs="Arial" w:eastAsia="Arial" w:hAnsi="Arial"/>
          <w:sz w:val="18"/>
          <w:szCs w:val="18"/>
          <w:i w:val="1"/>
          <w:iCs w:val="1"/>
          <w:u w:val="single" w:color="auto"/>
          <w:color w:val="auto"/>
        </w:rPr>
        <w:t>Limitation of Liability</w:t>
      </w:r>
      <w:r>
        <w:rPr>
          <w:rFonts w:ascii="Arial" w:cs="Arial" w:eastAsia="Arial" w:hAnsi="Arial"/>
          <w:sz w:val="18"/>
          <w:szCs w:val="18"/>
          <w:color w:val="auto"/>
        </w:rPr>
        <w:t>.</w:t>
      </w:r>
    </w:p>
    <w:p>
      <w:pPr>
        <w:spacing w:after="0" w:line="225"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You agree that (i) in no event shall any of the Commitment Party and its affiliates and its officers, directors, employees, advisors, and agents (each, and including, without limitation, JPMorgan, an “</w:t>
      </w:r>
      <w:r>
        <w:rPr>
          <w:rFonts w:ascii="Arial" w:cs="Arial" w:eastAsia="Arial" w:hAnsi="Arial"/>
          <w:sz w:val="17"/>
          <w:szCs w:val="17"/>
          <w:b w:val="1"/>
          <w:bCs w:val="1"/>
          <w:i w:val="1"/>
          <w:iCs w:val="1"/>
          <w:color w:val="auto"/>
        </w:rPr>
        <w:t>Arranger-Related Person</w:t>
      </w:r>
      <w:r>
        <w:rPr>
          <w:rFonts w:ascii="Arial" w:cs="Arial" w:eastAsia="Arial" w:hAnsi="Arial"/>
          <w:sz w:val="17"/>
          <w:szCs w:val="17"/>
          <w:color w:val="auto"/>
        </w:rPr>
        <w:t xml:space="preserve">”) have any Liabilities, on any theory of liability, for any special, indirect, consequential or punitive damages incurred by you, your affiliates or your respective equity holders arising out of, in connection with, or as a result of, this Commitment Letter, the Fee Letter or any other agreement or instrument contemplated hereby; and (ii) no Arranger-Related Person shall have any Liabilities arising from, or be responsible for, the use by others of Information or other materials (including, without limitation, any personal data) obtained through electronic, telecommunications or other information transmission systems, including an Electronic Platform or otherwise via the internet other than for direct, actual damages resulting from the gross negligence or willful misconduct of such Arranger-Related Person as determined by a final, non-appealable judgment of a court of competent jurisdiction;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nothing in this clause (a) shall relieve you of any obligation you may have to indemnify an Indemnified Person, as provided in clause (b) below, against any special, indirect, consequential or punitive damages asserted against such Indemnified Person by a third party. You agree, to the extent permitted by applicable law, to not assert any claims against any Arranger-Related Person with respect to any of the foregoing. As used herein, the term “</w:t>
      </w:r>
      <w:r>
        <w:rPr>
          <w:rFonts w:ascii="Arial" w:cs="Arial" w:eastAsia="Arial" w:hAnsi="Arial"/>
          <w:sz w:val="17"/>
          <w:szCs w:val="17"/>
          <w:b w:val="1"/>
          <w:bCs w:val="1"/>
          <w:i w:val="1"/>
          <w:iCs w:val="1"/>
          <w:color w:val="auto"/>
        </w:rPr>
        <w:t>Liabilities</w:t>
      </w:r>
      <w:r>
        <w:rPr>
          <w:rFonts w:ascii="Arial" w:cs="Arial" w:eastAsia="Arial" w:hAnsi="Arial"/>
          <w:sz w:val="17"/>
          <w:szCs w:val="17"/>
          <w:color w:val="auto"/>
        </w:rPr>
        <w:t>” shall mean any losses, claims (including intraparty claims), demands, damages or liabilities of any kind.</w:t>
      </w:r>
    </w:p>
    <w:p>
      <w:pPr>
        <w:spacing w:after="0" w:line="84" w:lineRule="exact"/>
        <w:rPr>
          <w:sz w:val="20"/>
          <w:szCs w:val="20"/>
          <w:color w:val="auto"/>
        </w:rPr>
      </w:pPr>
    </w:p>
    <w:p>
      <w:pPr>
        <w:ind w:left="1420" w:hanging="439"/>
        <w:spacing w:after="0"/>
        <w:tabs>
          <w:tab w:leader="none" w:pos="1420" w:val="left"/>
        </w:tabs>
        <w:numPr>
          <w:ilvl w:val="0"/>
          <w:numId w:val="224"/>
        </w:numPr>
        <w:rPr>
          <w:rFonts w:ascii="Arial" w:cs="Arial" w:eastAsia="Arial" w:hAnsi="Arial"/>
          <w:sz w:val="18"/>
          <w:szCs w:val="18"/>
          <w:color w:val="auto"/>
        </w:rPr>
      </w:pPr>
      <w:r>
        <w:rPr>
          <w:rFonts w:ascii="Arial" w:cs="Arial" w:eastAsia="Arial" w:hAnsi="Arial"/>
          <w:sz w:val="18"/>
          <w:szCs w:val="18"/>
          <w:i w:val="1"/>
          <w:iCs w:val="1"/>
          <w:u w:val="single" w:color="auto"/>
          <w:color w:val="auto"/>
        </w:rPr>
        <w:t>Indemnity</w:t>
      </w:r>
      <w:r>
        <w:rPr>
          <w:rFonts w:ascii="Arial" w:cs="Arial" w:eastAsia="Arial" w:hAnsi="Arial"/>
          <w:sz w:val="18"/>
          <w:szCs w:val="18"/>
          <w:color w:val="auto"/>
        </w:rPr>
        <w:t>.</w:t>
      </w:r>
    </w:p>
    <w:p>
      <w:pPr>
        <w:spacing w:after="0" w:line="225"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You agree (A) to (i) indemnify and hold harmless each of the Commitment Party</w:t>
      </w:r>
      <w:r>
        <w:rPr>
          <w:rFonts w:ascii="Arial" w:cs="Arial" w:eastAsia="Arial" w:hAnsi="Arial"/>
          <w:sz w:val="16"/>
          <w:szCs w:val="16"/>
          <w:i w:val="1"/>
          <w:iCs w:val="1"/>
          <w:color w:val="auto"/>
        </w:rPr>
        <w:t>,</w:t>
      </w:r>
      <w:r>
        <w:rPr>
          <w:rFonts w:ascii="Arial" w:cs="Arial" w:eastAsia="Arial" w:hAnsi="Arial"/>
          <w:sz w:val="16"/>
          <w:szCs w:val="16"/>
          <w:color w:val="auto"/>
        </w:rPr>
        <w:t xml:space="preserve"> and its affiliates and its officers, directors, employees, advisors, and agents (each, and including, without limitation, JPMorgan, an “</w:t>
      </w:r>
      <w:r>
        <w:rPr>
          <w:rFonts w:ascii="Arial" w:cs="Arial" w:eastAsia="Arial" w:hAnsi="Arial"/>
          <w:sz w:val="16"/>
          <w:szCs w:val="16"/>
          <w:b w:val="1"/>
          <w:bCs w:val="1"/>
          <w:i w:val="1"/>
          <w:iCs w:val="1"/>
          <w:color w:val="auto"/>
        </w:rPr>
        <w:t>Indemnified Person</w:t>
      </w:r>
      <w:r>
        <w:rPr>
          <w:rFonts w:ascii="Arial" w:cs="Arial" w:eastAsia="Arial" w:hAnsi="Arial"/>
          <w:sz w:val="16"/>
          <w:szCs w:val="16"/>
          <w:color w:val="auto"/>
        </w:rPr>
        <w:t>”) from and against any and all Liabilities and related expenses to which any such Indemnified Person may become subject arising out of or in connection with this Commitment Letter, the Facilities, the use of the proceeds thereof, any related transaction or the activities performed or the Commitments or services furnished pursuant to this Commitment Letter or the role of the Commitment Party in connection therewith or in connection with any actual or prospective claim, litigation, investigation, arbitration or administrative, judicial or regulatory action or proceeding in any jurisdiction relating to any of the foregoing (including in relation to enforcing the terms of clause (a) above and the terms of this clause (b)) (each, a “</w:t>
      </w:r>
      <w:r>
        <w:rPr>
          <w:rFonts w:ascii="Arial" w:cs="Arial" w:eastAsia="Arial" w:hAnsi="Arial"/>
          <w:sz w:val="16"/>
          <w:szCs w:val="16"/>
          <w:b w:val="1"/>
          <w:bCs w:val="1"/>
          <w:i w:val="1"/>
          <w:iCs w:val="1"/>
          <w:color w:val="auto"/>
        </w:rPr>
        <w:t>Proceeding</w:t>
      </w:r>
      <w:r>
        <w:rPr>
          <w:rFonts w:ascii="Arial" w:cs="Arial" w:eastAsia="Arial" w:hAnsi="Arial"/>
          <w:sz w:val="16"/>
          <w:szCs w:val="16"/>
          <w:color w:val="auto"/>
        </w:rPr>
        <w:t>”), regardless of whether or not any Indemnified Person is a party thereto and whether or not such Proceeding is brought by you, your equity holders, affiliates, creditors, the Target or any other person and (ii) reimburse each Indemnified Person upon demand (upon presentation of a summary statement, in reasonable detail) for any legal or other expenses (but limited, in the case of legal fees and expenses, to the reasonable and documented or invoiced out-of-pocket fees and expenses of one counsel, representing all of the Indemnified Parties, taken as a whole, and, if necessary, of a single local counsel in each appropriate jurisdiction (which may include a single special counsel acting in multiple jurisdictions) for all such Indemnified Persons, taken as whole (and, in the case of an actual or perceived conflict of interest where the Indemnified Person affected by such conflict notifies you of the existence of such conflict and thereafter retains its own counsel, of another firm of counsel for each such affected Indemnified Person)) incurred in connection with investigating or defending any of the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166" w:name="page167"/>
    <w:bookmarkEnd w:id="166"/>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foregoing, regardless of whether or not in connection with any pending or threatened Proceeding to which any Indemnified Person is a party, in each case as such expenses are incurred or paid;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indemnity will not, as to any Indemnified Person, apply to any Liabilities or related expenses to the extent they are found by a final, non-appealable judgment of a court of competent jurisdiction to (I) result from (x) the willful misconduct, bad faith or gross negligence of such Indemnified Person in performing its activities or in furnishing its Commitments or services under this Commitment Letter or (y) a material breach by such Indemnified Person of the Commitment Letter, the Fee Letter or any of the Term Credit Documentation or the Revolving Credit Documentation, or (II) have not resulted from an act or omission by you or any of your affiliates and have been brought by an Indemnified Person against any other Indemnified Person (other than any claims against the Commitment Party in its capacity or in fulfilling its role as an arranger or agent or any similar role hereunder) and (B) to reimburse the Commitment Party and its affiliates on demand (upon presentation of a summary statement, in reasonable detail) for all reasonable documented or invoiced out-of-pocket expenses (including due diligence expenses, syndication expenses, travel expenses, and reasonable fees, charges and disbursements of counsel which shall be limited to the reasonable and documented or invoiced out-of-pocket fees and other charges of one counsel to the Lead Arranger and the Administrative Agent and, if necessary, of one regulatory counsel and one local counsel to the Lenders retained by the Lead Arranger in each relevant regulatory field and each relevant jurisdiction, respectively (and, in the case of an actual or perceived conflict of interest where the Commitment Party affected by such conflict notifies you of the existence of such conflict and thereafter retains its own counsel, of another firm of counsel for each such affected Commitment Party)) incurred in connection with the Facilities and any related documentation (including this Commitment Letter, the Term Sheets, the Fee Letter, the Term Credit Documentation and the Revolving Credit Documentation) or the administration, amendment, modification or waiver thereof.</w:t>
      </w:r>
    </w:p>
    <w:p>
      <w:pPr>
        <w:spacing w:after="0" w:line="82" w:lineRule="exact"/>
        <w:rPr>
          <w:sz w:val="20"/>
          <w:szCs w:val="20"/>
          <w:color w:val="auto"/>
        </w:rPr>
      </w:pPr>
    </w:p>
    <w:p>
      <w:pPr>
        <w:ind w:left="1420" w:hanging="439"/>
        <w:spacing w:after="0"/>
        <w:tabs>
          <w:tab w:leader="none" w:pos="1420" w:val="left"/>
        </w:tabs>
        <w:numPr>
          <w:ilvl w:val="0"/>
          <w:numId w:val="225"/>
        </w:numPr>
        <w:rPr>
          <w:rFonts w:ascii="Arial" w:cs="Arial" w:eastAsia="Arial" w:hAnsi="Arial"/>
          <w:sz w:val="18"/>
          <w:szCs w:val="18"/>
          <w:color w:val="auto"/>
        </w:rPr>
      </w:pPr>
      <w:r>
        <w:rPr>
          <w:rFonts w:ascii="Arial" w:cs="Arial" w:eastAsia="Arial" w:hAnsi="Arial"/>
          <w:sz w:val="18"/>
          <w:szCs w:val="18"/>
          <w:i w:val="1"/>
          <w:iCs w:val="1"/>
          <w:u w:val="single" w:color="auto"/>
          <w:color w:val="auto"/>
        </w:rPr>
        <w:t>Settlement</w:t>
      </w:r>
      <w:r>
        <w:rPr>
          <w:rFonts w:ascii="Arial" w:cs="Arial" w:eastAsia="Arial" w:hAnsi="Arial"/>
          <w:sz w:val="18"/>
          <w:szCs w:val="18"/>
          <w:color w:val="auto"/>
        </w:rPr>
        <w:t>.</w:t>
      </w:r>
    </w:p>
    <w:p>
      <w:pPr>
        <w:spacing w:after="0" w:line="225" w:lineRule="exact"/>
        <w:rPr>
          <w:sz w:val="20"/>
          <w:szCs w:val="20"/>
          <w:color w:val="auto"/>
        </w:rPr>
      </w:pPr>
    </w:p>
    <w:p>
      <w:pPr>
        <w:ind w:right="40" w:firstLine="440"/>
        <w:spacing w:after="0" w:line="288" w:lineRule="auto"/>
        <w:rPr>
          <w:sz w:val="20"/>
          <w:szCs w:val="20"/>
          <w:color w:val="auto"/>
        </w:rPr>
      </w:pPr>
      <w:r>
        <w:rPr>
          <w:rFonts w:ascii="Arial" w:cs="Arial" w:eastAsia="Arial" w:hAnsi="Arial"/>
          <w:sz w:val="16"/>
          <w:szCs w:val="16"/>
          <w:color w:val="auto"/>
        </w:rPr>
        <w:t>You shall not be liable for any settlement of any Proceeding if the amount of such settlement was effected without your prior written consent (which consent shall not be unreasonably withheld, conditioned or delayed), but if settled with your written consent or if there is a final judgment in any such Proceeding, you agree to indemnify and hold harmless each Indemnified Person from and against any and all Liabilities and related expenses by reason of such settlement or judgment in accordance with the terms of clause (b) above. You shall not, without the prior written consent of the Commitment Party and its affiliates (which consent shall not be unreasonably withheld, conditioned or delayed), effect any settlement of any pending or threatened Proceedings in respect of which indemnity could have been sought hereunder by the Commitment Party unless such settlement (x) includes an unconditional release of such Indemnified Person in form and substance reasonably satisfactory to the Commitment Party from all liability on claims that are the subject matter of such Proceedings and (y) does not include any statement as to or any admission of fault, culpability or a failure to act by or on behalf of the Commitment Party or any injunctive relief or other non-monetary remedy. You acknowledge that any failure to comply with your obligations under the preceding sentence may cause irreparable harm to the Commitment Party and the other Indemnified Persons.</w:t>
      </w:r>
    </w:p>
    <w:p>
      <w:pPr>
        <w:spacing w:after="0" w:line="168" w:lineRule="exact"/>
        <w:rPr>
          <w:sz w:val="20"/>
          <w:szCs w:val="20"/>
          <w:color w:val="auto"/>
        </w:rPr>
      </w:pPr>
    </w:p>
    <w:p>
      <w:pPr>
        <w:ind w:left="620" w:hanging="184"/>
        <w:spacing w:after="0"/>
        <w:tabs>
          <w:tab w:leader="none" w:pos="620" w:val="left"/>
        </w:tabs>
        <w:numPr>
          <w:ilvl w:val="0"/>
          <w:numId w:val="226"/>
        </w:numPr>
        <w:rPr>
          <w:rFonts w:ascii="Arial" w:cs="Arial" w:eastAsia="Arial" w:hAnsi="Arial"/>
          <w:sz w:val="18"/>
          <w:szCs w:val="18"/>
          <w:color w:val="auto"/>
        </w:rPr>
      </w:pPr>
      <w:r>
        <w:rPr>
          <w:rFonts w:ascii="Arial" w:cs="Arial" w:eastAsia="Arial" w:hAnsi="Arial"/>
          <w:sz w:val="18"/>
          <w:szCs w:val="18"/>
          <w:u w:val="single" w:color="auto"/>
          <w:color w:val="auto"/>
        </w:rPr>
        <w:t>Affiliate Activities, Sharing of Information, Absence of Fiduciary Relationships</w:t>
      </w:r>
    </w:p>
    <w:p>
      <w:pPr>
        <w:spacing w:after="0" w:line="225"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The Commitment Party may employ the services of its affiliates in providing certain services hereunder and, in connection with the provision of such services, may exchange with such affiliates information concerning you and the other companies that may be the subject of the transactions contemplated by this Commitment Letter, and, to the extent so employed, such</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67" w:name="page168"/>
    <w:bookmarkEnd w:id="167"/>
    <w:p>
      <w:pPr>
        <w:ind w:left="4" w:right="1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 xml:space="preserve">affiliates shall be entitled to the benefits, and be subject to the obligations, of the Commitment Party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with respect to the Commitment, any assignments thereof to an affiliate or branch will not relieve the Commitment Party from any of its obligations hereunder unless and until such affiliate or branch shall have funded the portion of the Commitment so assigned on the Closing Date. The Commitment Party shall be responsible for its affiliates’ failure to comply with such obligations under this Commitment Letter.</w:t>
      </w:r>
    </w:p>
    <w:p>
      <w:pPr>
        <w:spacing w:after="0" w:line="171" w:lineRule="exact"/>
        <w:rPr>
          <w:sz w:val="20"/>
          <w:szCs w:val="20"/>
          <w:color w:val="auto"/>
        </w:rPr>
      </w:pPr>
    </w:p>
    <w:p>
      <w:pPr>
        <w:ind w:left="4" w:right="140" w:firstLine="440"/>
        <w:spacing w:after="0" w:line="254" w:lineRule="auto"/>
        <w:rPr>
          <w:sz w:val="20"/>
          <w:szCs w:val="20"/>
          <w:color w:val="auto"/>
        </w:rPr>
      </w:pPr>
      <w:r>
        <w:rPr>
          <w:rFonts w:ascii="Arial" w:cs="Arial" w:eastAsia="Arial" w:hAnsi="Arial"/>
          <w:sz w:val="18"/>
          <w:szCs w:val="18"/>
          <w:color w:val="auto"/>
        </w:rPr>
        <w:t>You acknowledge that the Commitment Party and its affiliates may be providing debt financing, equity capital or other services (including financial advisory services) to other companies in respect of which you may have conflicting interests regarding the transactions described herein and otherwise. The Commitment Party will not use confidential information obtained from you by virtue of the transactions contemplated by this Commitment Letter or its other relationships with you in connection with the performance by such Commitment Party of services for other companies, and the Commitment Party will not furnish any such information to other companies. You also acknowledge that the Commitment Party has no obligation to use in connection with the transactions contemplated by this Commitment Letter, or to furnish to you, confidential information obtained from other companies.</w:t>
      </w:r>
    </w:p>
    <w:p>
      <w:pPr>
        <w:spacing w:after="0" w:line="195" w:lineRule="exact"/>
        <w:rPr>
          <w:sz w:val="20"/>
          <w:szCs w:val="20"/>
          <w:color w:val="auto"/>
        </w:rPr>
      </w:pPr>
    </w:p>
    <w:p>
      <w:pPr>
        <w:ind w:left="4" w:firstLine="440"/>
        <w:spacing w:after="0" w:line="283" w:lineRule="auto"/>
        <w:rPr>
          <w:sz w:val="20"/>
          <w:szCs w:val="20"/>
          <w:color w:val="auto"/>
        </w:rPr>
      </w:pPr>
      <w:r>
        <w:rPr>
          <w:rFonts w:ascii="Arial" w:cs="Arial" w:eastAsia="Arial" w:hAnsi="Arial"/>
          <w:sz w:val="16"/>
          <w:szCs w:val="16"/>
          <w:color w:val="auto"/>
        </w:rPr>
        <w:t>You agree that the Commitment Party will act under this Commitment Letter as an independent contractor and that nothing in this Commitment Letter will be deemed to create an advisory, fiduciary or agency relationship or fiduciary or other implied duty between the Commitment Party, on the one hand, and you and your respective equity holders or your and their respective affiliates on the other hand. You acknowledge and agree that (i) the transactions contemplated by this Commitment Letter are arm’s-length commercial transactions between the Commitment Party and, if applicable, its affiliates, on the one hand, and you, on the other hand, (ii) in connection therewith and with the process leading to such transaction the Commitment Party and, if applicable, each of its affiliates, is acting solely as a principal and has not been, is not and will not be acting as an advisor, agent or fiduciary of you, your management, equity holders, creditors, affiliates or any other person and (iii) with respect to the transactions contemplated hereby or the process leading thereto, the Commitment Party and, if applicable, its affiliates, has not assumed (x) an advisory or fiduciary responsibility in favor of you or your affiliates (irrespective of whether the Commitment Party or any of its affiliates has advised or is currently advising you or your affiliates on other matters (which, for the avoidance of doubt, includes acting as a financial advisor to the Borrower or any of its affiliates in respect of any transaction related hereto)) or (y) any other obligation except the obligations expressly set forth in this Commitment Letter. You further acknowledge and agree that (i) you are responsible for making your own independent judgment with respect to such transactions and the process leading thereto,</w:t>
      </w:r>
    </w:p>
    <w:p>
      <w:pPr>
        <w:spacing w:after="0" w:line="3" w:lineRule="exact"/>
        <w:rPr>
          <w:sz w:val="20"/>
          <w:szCs w:val="20"/>
          <w:color w:val="auto"/>
        </w:rPr>
      </w:pPr>
    </w:p>
    <w:p>
      <w:pPr>
        <w:ind w:left="4" w:hanging="4"/>
        <w:spacing w:after="0" w:line="267" w:lineRule="auto"/>
        <w:tabs>
          <w:tab w:leader="none" w:pos="269" w:val="left"/>
        </w:tabs>
        <w:numPr>
          <w:ilvl w:val="0"/>
          <w:numId w:val="227"/>
        </w:numPr>
        <w:rPr>
          <w:rFonts w:ascii="Arial" w:cs="Arial" w:eastAsia="Arial" w:hAnsi="Arial"/>
          <w:sz w:val="17"/>
          <w:szCs w:val="17"/>
          <w:color w:val="auto"/>
        </w:rPr>
      </w:pPr>
      <w:r>
        <w:rPr>
          <w:rFonts w:ascii="Arial" w:cs="Arial" w:eastAsia="Arial" w:hAnsi="Arial"/>
          <w:sz w:val="17"/>
          <w:szCs w:val="17"/>
          <w:color w:val="auto"/>
        </w:rPr>
        <w:t>you are capable of evaluating and understand and accept the terms, risks and conditions of the transactions contemplated hereby, and the Commitment Party shall have no responsibility or liability to you with respect thereto, and (iii) the Commitment Party is not advising the Borrower as to any legal, tax, investment, accounting, regulatory or any other matters in any jurisdiction, and you shall consult with your own advisors concerning such matters and you shall be responsible for making your own independent investigation and appraisal of the transactions contemplated hereby. Any review by the Commitment Party or any of its affiliates of the Borrower, the transactions contemplated hereby or other matters relating to such transactions will be performed solely for the benefit of the Commitment Party and shall not be on behalf of the Borrower. The Borrower agrees that it will not claim that the Commitment Party has rendered any advisory services or assert any claim against the Commitment Party based on an alleged breach of fiduciary duty by the Commitment Party in connection with this Commitment Letter and the transactions contemplated hereby or assert any claim based on any actual or potential conflict of interest that might be asserted to arise or result from the engagement of the Commitment Party or any of its affiliates acting as a financial advisor to the Borrower or any of its affiliates, on the one hand, and the engagement of the Commitment Party hereunder and the transactions contemplated hereby, on the other hand.</w:t>
      </w:r>
    </w:p>
    <w:p>
      <w:pPr>
        <w:spacing w:after="0" w:line="11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4"/>
          </w:cols>
          <w:pgMar w:left="436" w:top="274" w:right="459" w:bottom="1440" w:gutter="0" w:footer="0" w:header="0"/>
        </w:sectPr>
      </w:pPr>
    </w:p>
    <w:bookmarkStart w:id="168" w:name="page169"/>
    <w:bookmarkEnd w:id="168"/>
    <w:p>
      <w:pPr>
        <w:ind w:right="100" w:firstLine="4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You further acknowledge that the Commitment Party is a full service securities or banking firm engaged in securities trading and brokerage activities as well as providing investment banking and other financial services. In the ordinary course of business, the Commitment Party may provide investment banking and other financial services to, and/or acquire, hold or sell, for its own accounts and the accounts of customers, equity, debt and other securities and financial instruments (including bank loans and other obligations) of, you and other companies with which you may have commercial or other relationships. With respect to any securities and/or financial instruments so held by the Commitment Party or any of its customers, all rights in respect of such securities and financial instruments, including any voting rights, will be exercised by the holder of the rights, in its sole discretion.</w:t>
      </w:r>
    </w:p>
    <w:p>
      <w:pPr>
        <w:spacing w:after="0" w:line="195" w:lineRule="exact"/>
        <w:rPr>
          <w:sz w:val="20"/>
          <w:szCs w:val="20"/>
          <w:color w:val="auto"/>
        </w:rPr>
      </w:pPr>
    </w:p>
    <w:p>
      <w:pPr>
        <w:ind w:right="220" w:firstLine="440"/>
        <w:spacing w:after="0" w:line="263" w:lineRule="auto"/>
        <w:rPr>
          <w:sz w:val="20"/>
          <w:szCs w:val="20"/>
          <w:color w:val="auto"/>
        </w:rPr>
      </w:pPr>
      <w:r>
        <w:rPr>
          <w:rFonts w:ascii="Arial" w:cs="Arial" w:eastAsia="Arial" w:hAnsi="Arial"/>
          <w:sz w:val="18"/>
          <w:szCs w:val="18"/>
          <w:color w:val="auto"/>
        </w:rPr>
        <w:t>In particular, you acknowledge that JPMorgan or its affiliates may be acting as a buy-side financial advisor to you in connection with the Transactions. You agree not to assert or allege any claim based on actual or potential conflict of interest arising or resulting from, on the one hand, the engagement of JPMorgan or its affiliates in such capacity and our obligations hereunder, on the other hand.</w:t>
      </w:r>
    </w:p>
    <w:p>
      <w:pPr>
        <w:spacing w:after="0" w:line="184" w:lineRule="exact"/>
        <w:rPr>
          <w:sz w:val="20"/>
          <w:szCs w:val="20"/>
          <w:color w:val="auto"/>
        </w:rPr>
      </w:pPr>
    </w:p>
    <w:p>
      <w:pPr>
        <w:ind w:left="620" w:hanging="184"/>
        <w:spacing w:after="0"/>
        <w:tabs>
          <w:tab w:leader="none" w:pos="620" w:val="left"/>
        </w:tabs>
        <w:numPr>
          <w:ilvl w:val="0"/>
          <w:numId w:val="228"/>
        </w:numPr>
        <w:rPr>
          <w:rFonts w:ascii="Arial" w:cs="Arial" w:eastAsia="Arial" w:hAnsi="Arial"/>
          <w:sz w:val="18"/>
          <w:szCs w:val="18"/>
          <w:color w:val="auto"/>
        </w:rPr>
      </w:pPr>
      <w:r>
        <w:rPr>
          <w:rFonts w:ascii="Arial" w:cs="Arial" w:eastAsia="Arial" w:hAnsi="Arial"/>
          <w:sz w:val="18"/>
          <w:szCs w:val="18"/>
          <w:u w:val="single" w:color="auto"/>
          <w:color w:val="auto"/>
        </w:rPr>
        <w:t>Confidentiality</w:t>
      </w:r>
    </w:p>
    <w:p>
      <w:pPr>
        <w:spacing w:after="0" w:line="225" w:lineRule="exact"/>
        <w:rPr>
          <w:sz w:val="20"/>
          <w:szCs w:val="20"/>
          <w:color w:val="auto"/>
        </w:rPr>
      </w:pPr>
    </w:p>
    <w:p>
      <w:pPr>
        <w:ind w:firstLine="440"/>
        <w:spacing w:after="0" w:line="285" w:lineRule="auto"/>
        <w:rPr>
          <w:sz w:val="20"/>
          <w:szCs w:val="20"/>
          <w:color w:val="auto"/>
        </w:rPr>
      </w:pPr>
      <w:r>
        <w:rPr>
          <w:rFonts w:ascii="Arial" w:cs="Arial" w:eastAsia="Arial" w:hAnsi="Arial"/>
          <w:sz w:val="16"/>
          <w:szCs w:val="16"/>
          <w:color w:val="auto"/>
        </w:rPr>
        <w:t>This Commitment Letter is delivered to you on the understanding that neither this Commitment Letter, the Term Sheets or the Fee Letter nor any of their terms or substance shall be disclosed by you, directly or indirectly, to any other person without our prior written consent (such approval not to be unreasonably withheld or delayed) except (a) to your affiliates and your and your affiliates’ directors, officers, employees, agents and advisors who are directly involved in the consideration of this matter and for whom you shall be responsible for any breach by any one of them of this confidentiality undertaking, (b) as may be compelled in a judicial or administrative proceeding or as otherwise required by law or to the extent requested or required by governmental and/or regulatory authorities, in each case based on the reasonable advice of your legal counsel (in which case you agree, to the extent practicable and not prohibited by applicable law, to inform us promptly thereof), (c) following your acceptance of the provisions hereof and your return of an executed counterpart of this Commitment Letter to the Lead Arranger as provided below, you may disclose this Commitment Letter and the contents hereof (but not the Fee Letter or the contents thereof) in any offering memoranda relating to the Facilities, in any syndication or other marketing materials in connection with the Facilities or in connection with any public filing relating to the Transactions, (d) following your acceptance of the provisions hereof and your return of an executed counterpart of this Commitment Letter to the Lead Arranger as provided below, you may file a copy of any portion of this Commitment Letter (but not the Fee Letter) in any public record in which it is required by law or regulation on the advice of your counsel to be filed, (e) you may disclose, on a confidential basis, the existence and contents of this Commitment Letter, including Exhibits A through D (but not the Fee Letter) to any rating agency or any prospective Lenders to the extent necessary to satisfy your obligations or the conditions hereunder, (f) you may disclose the aggregate fee amounts contained in the Fee Letter in financial statements or as part of Projections, pro forma information or a generic disclosure of aggregate sources and uses related to fee amounts related to the Transactions to the extent customary or required in offering and marketing materials for the Facilities or in any public filing relating to the Transactions (which in the case of such public filing may indicate the existence of the Fee Letter) and (g) in connection with the exercise of any remedy or enforcement</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00"/>
          </w:cols>
          <w:pgMar w:left="440" w:top="274" w:right="459" w:bottom="1440" w:gutter="0" w:footer="0" w:header="0"/>
        </w:sectPr>
      </w:pPr>
    </w:p>
    <w:bookmarkStart w:id="169" w:name="page170"/>
    <w:bookmarkEnd w:id="169"/>
    <w:p>
      <w:pPr>
        <w:ind w:right="10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 xml:space="preserve">of any right under this Commitment Letter and the Fee Letter;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restrictions shall cease to apply (except in respect of the Fee Letter and its terms and substance) on the date that is two years after this Commitment Letter has been accepted by you;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you may disclose this Commitment Letter and the Fee Letter (redacted in a manner reasonably satisfactory to us) to the Target, their respective subsidiaries and their officers, directors, employees, affiliates, independent auditors (but only with respect to this Commitment Letter), legal counsel and other legal advisors on a confidential basis in connection with their consideration of the Transactions.</w:t>
      </w:r>
    </w:p>
    <w:p>
      <w:pPr>
        <w:spacing w:after="0" w:line="176" w:lineRule="exact"/>
        <w:rPr>
          <w:sz w:val="20"/>
          <w:szCs w:val="20"/>
          <w:color w:val="auto"/>
        </w:rPr>
      </w:pPr>
    </w:p>
    <w:p>
      <w:pPr>
        <w:ind w:firstLine="440"/>
        <w:spacing w:after="0" w:line="267" w:lineRule="auto"/>
        <w:rPr>
          <w:sz w:val="20"/>
          <w:szCs w:val="20"/>
          <w:color w:val="auto"/>
        </w:rPr>
      </w:pPr>
      <w:r>
        <w:rPr>
          <w:rFonts w:ascii="Arial" w:cs="Arial" w:eastAsia="Arial" w:hAnsi="Arial"/>
          <w:sz w:val="17"/>
          <w:szCs w:val="17"/>
          <w:color w:val="auto"/>
        </w:rPr>
        <w:t xml:space="preserve">The Commitment Party will treat all information provided to it by or on behalf of you in connection with the transactions contemplated hereby (including information regarding the Acquired Business) confidentially and shall not publish, disclose or otherwise divulge, such information;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nothing herein shall prevent the Commitment Party and its affiliates from disclosing any such information (a) pursuant to the order of any court or administrative agency or in any pending legal, judicial or administrative proceeding, or otherwise as required by applicable law, rule or regulation, subpoena or compulsory legal process or upon the request or demand of any regulatory authority (including any self-regulatory authority) or other governmental authority purporting to have jurisdiction over the Commitment Party or any of its affiliates (in which case the Commitment Party agrees (except with respect to any audit or examination conducted by bank accountants or any self-regulatory authority or governmental or regulatory authority exercising examination or regulatory authority), to the extent practicable and not prohibited by applicable law or regulation, to inform you promptly thereof prior to disclosure), (b) to the extent that such information becomes publicly available other than by reason of improper disclosure by the Commitment Party or any of its affiliates in violation of any confidentiality obligations owing to you hereunder, (c) to the extent that such information is received by the Commitment Party from a third party that is not, to the Commitment Party’s knowledge, subject to contractual or fiduciary confidentiality obligations owing to you with respect to such information, (d) to the extent that such information is independently developed by the Commitment Party or any of its affiliates, (e) to the Commitment Party’s affiliates and their and their respective employees, directors, officers, independent auditors, rating agencies, professional advisors and other experts or agents who need to know such information in connection with the transactions contemplated hereby and who are informed of the confidential nature of such information (with the Commitment Party responsible for its affiliates’ compliance with this paragraph), (f) in connection with the exercise of any remedies hereunder or under the Fee Letter or any suit, action or proceeding relating to this Commitment Letter, the Fee Letter or the Facilities, and/or (g) to prospective Lenders, hedge providers, participants or assignees (collectively, “</w:t>
      </w:r>
      <w:r>
        <w:rPr>
          <w:rFonts w:ascii="Arial" w:cs="Arial" w:eastAsia="Arial" w:hAnsi="Arial"/>
          <w:sz w:val="17"/>
          <w:szCs w:val="17"/>
          <w:b w:val="1"/>
          <w:bCs w:val="1"/>
          <w:i w:val="1"/>
          <w:iCs w:val="1"/>
          <w:color w:val="auto"/>
        </w:rPr>
        <w:t>Prospective Parties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purposes of clause (g) above, the disclosure of any such information to any Prospective Party shall be made subject to such Prospective Party written agreement to treat such information confidentially on substantially the terms set forth in this paragraph. If the Facilities closes, the Commitment Party’s obligations under this paragraph shall terminate and be superseded by the confidentiality provisions in the Term Credit Documentation or the Revolving Credit Documentation, as applicable. Otherwise, the provisions of this paragraph shall expire two years after the date hereof.</w:t>
      </w:r>
    </w:p>
    <w:p>
      <w:pPr>
        <w:spacing w:after="0" w:line="184" w:lineRule="exact"/>
        <w:rPr>
          <w:sz w:val="20"/>
          <w:szCs w:val="20"/>
          <w:color w:val="auto"/>
        </w:rPr>
      </w:pPr>
    </w:p>
    <w:p>
      <w:pPr>
        <w:ind w:left="700" w:hanging="264"/>
        <w:spacing w:after="0"/>
        <w:tabs>
          <w:tab w:leader="none" w:pos="700" w:val="left"/>
        </w:tabs>
        <w:numPr>
          <w:ilvl w:val="0"/>
          <w:numId w:val="229"/>
        </w:numPr>
        <w:rPr>
          <w:rFonts w:ascii="Arial" w:cs="Arial" w:eastAsia="Arial" w:hAnsi="Arial"/>
          <w:sz w:val="18"/>
          <w:szCs w:val="18"/>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This Commitment Letter shall not be assignable by you without the prior written consent of the Commitment Party (and any purported assignment without such consent shall be null and void), is intended to be solely for the benefit of the parties hereto and is not intended to confer any benefits upon, or create any rights in favor of, any person other than the parties hereto. JPMorgan may assign all or a portion of its Term Commitment only to one or more prospective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80"/>
          </w:cols>
          <w:pgMar w:left="440" w:top="274" w:right="479" w:bottom="1440" w:gutter="0" w:footer="0" w:header="0"/>
        </w:sectPr>
      </w:pPr>
    </w:p>
    <w:bookmarkStart w:id="170" w:name="page171"/>
    <w:bookmarkEnd w:id="170"/>
    <w:p>
      <w:pPr>
        <w:ind w:right="2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Lenders that are (i) approved by you in writing (such approval not to be unreasonably withheld or delayed) or (ii) agreed upon in writing by you and us on or prior to the date hereof (including, for the avoidance of doubt, those lenders identified in the “syndication plan” for the Term Facility agreed to by the Lead Arranger and you prior to the date hereof) (such Lenders described in clauses (i) and (ii), each, a “</w:t>
      </w:r>
      <w:r>
        <w:rPr>
          <w:rFonts w:ascii="Arial" w:cs="Arial" w:eastAsia="Arial" w:hAnsi="Arial"/>
          <w:sz w:val="16"/>
          <w:szCs w:val="16"/>
          <w:b w:val="1"/>
          <w:bCs w:val="1"/>
          <w:i w:val="1"/>
          <w:iCs w:val="1"/>
          <w:color w:val="auto"/>
        </w:rPr>
        <w:t>Permitted Assignee</w:t>
      </w:r>
      <w:r>
        <w:rPr>
          <w:rFonts w:ascii="Arial" w:cs="Arial" w:eastAsia="Arial" w:hAnsi="Arial"/>
          <w:sz w:val="16"/>
          <w:szCs w:val="16"/>
          <w:color w:val="auto"/>
        </w:rPr>
        <w:t>”), whereupon JPMorgan shall be released from its Commitment hereunder so assigned to the extent such assignment is evidenced by either an executed credit agreement or a customary joinder agreement (a “</w:t>
      </w:r>
      <w:r>
        <w:rPr>
          <w:rFonts w:ascii="Arial" w:cs="Arial" w:eastAsia="Arial" w:hAnsi="Arial"/>
          <w:sz w:val="16"/>
          <w:szCs w:val="16"/>
          <w:b w:val="1"/>
          <w:bCs w:val="1"/>
          <w:i w:val="1"/>
          <w:iCs w:val="1"/>
          <w:color w:val="auto"/>
        </w:rPr>
        <w:t>Joinder Agreement</w:t>
      </w:r>
      <w:r>
        <w:rPr>
          <w:rFonts w:ascii="Arial" w:cs="Arial" w:eastAsia="Arial" w:hAnsi="Arial"/>
          <w:sz w:val="16"/>
          <w:szCs w:val="16"/>
          <w:color w:val="auto"/>
        </w:rPr>
        <w:t>”) pursuant to which such Permitted Assignee agrees to become party to this Commitment Letter and agrees to extend commitments directly to the Borrower on the terms set forth herein (it being understood that such Joinder Agreement shall not add any conditions to the availability of the Term Facility or change the terms of the Term Facility or change compensation in connection therewith except as set forth in the Commitment Letter and the Fee Letter and shall otherwise be reasonably satisfactory to you and us).</w:t>
      </w:r>
    </w:p>
    <w:p>
      <w:pPr>
        <w:spacing w:after="0" w:line="16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This Commitment Letter may not be amended or waived except by an instrument in writing signed by you and JPMorgan. This Commitment Letter and the Fee Letter are the only agreements that have been entered into among us with respect to the Facilities and set forth the entire understanding of the parties with respect thereto. Each of the parties hereto agrees that each of this Commitment Letter and the Fee Letter is a binding and enforceable agreement (subject to the effects of bankruptcy, insolvency, fraudulent transfer, fraudulent conveyance, reorganization and other similar laws relating to or affecting creditors’ rights generally) with respect to the subject matter contained herein, including the good faith negotiation of the Term Credit Documentation and the Revolving Credit Documentation by the parties hereto in a manner consistent with this Commitment Letter; it being acknowledged and agreed that the funding of the Term Facility is subject only to the Term Funding Conditions.</w:t>
      </w:r>
    </w:p>
    <w:p>
      <w:pPr>
        <w:spacing w:after="0" w:line="177" w:lineRule="exact"/>
        <w:rPr>
          <w:sz w:val="20"/>
          <w:szCs w:val="20"/>
          <w:color w:val="auto"/>
        </w:rPr>
      </w:pPr>
    </w:p>
    <w:p>
      <w:pPr>
        <w:ind w:right="80" w:firstLine="440"/>
        <w:spacing w:after="0" w:line="272" w:lineRule="auto"/>
        <w:rPr>
          <w:sz w:val="20"/>
          <w:szCs w:val="20"/>
          <w:color w:val="auto"/>
        </w:rPr>
      </w:pPr>
      <w:r>
        <w:rPr>
          <w:rFonts w:ascii="Arial" w:cs="Arial" w:eastAsia="Arial" w:hAnsi="Arial"/>
          <w:sz w:val="17"/>
          <w:szCs w:val="17"/>
          <w:color w:val="auto"/>
        </w:rPr>
        <w:t>This Commitment Letter may be executed in any number of counterparts, each of which shall be an original, and all of which, when taken together, shall constitute one agreement. The words “execution,” “signed,” “signature,” “delivery,” and words of like import in or relating to this Commitment Letter, the Fee Letter and/or any document to be signed in connection with this letter agreement and the transactions contemplated hereby shall be deemed to include Electronic Signatures (as defined below), deliveries or the keeping of records in electronic form, each of which shall be of the same legal effect, validity or enforceability as a manually executed signature, physical delivery thereof or the use of a paper-based recordkeeping system, as the case may be. “</w:t>
      </w:r>
      <w:r>
        <w:rPr>
          <w:rFonts w:ascii="Arial" w:cs="Arial" w:eastAsia="Arial" w:hAnsi="Arial"/>
          <w:sz w:val="17"/>
          <w:szCs w:val="17"/>
          <w:b w:val="1"/>
          <w:bCs w:val="1"/>
          <w:i w:val="1"/>
          <w:iCs w:val="1"/>
          <w:color w:val="auto"/>
        </w:rPr>
        <w:t>Electronic Signatures</w:t>
      </w:r>
      <w:r>
        <w:rPr>
          <w:rFonts w:ascii="Arial" w:cs="Arial" w:eastAsia="Arial" w:hAnsi="Arial"/>
          <w:sz w:val="17"/>
          <w:szCs w:val="17"/>
          <w:color w:val="auto"/>
        </w:rPr>
        <w:t>” means any electronic symbol or process attached to, or associated with, any contract or other record and adopted by a person with the intent to sign, authenticate or accept such contract or record.</w:t>
      </w:r>
    </w:p>
    <w:p>
      <w:pPr>
        <w:spacing w:after="0" w:line="177" w:lineRule="exact"/>
        <w:rPr>
          <w:sz w:val="20"/>
          <w:szCs w:val="20"/>
          <w:color w:val="auto"/>
        </w:rPr>
      </w:pPr>
    </w:p>
    <w:p>
      <w:pPr>
        <w:ind w:right="60" w:firstLine="440"/>
        <w:spacing w:after="0" w:line="270" w:lineRule="auto"/>
        <w:rPr>
          <w:sz w:val="20"/>
          <w:szCs w:val="20"/>
          <w:color w:val="auto"/>
        </w:rPr>
      </w:pPr>
      <w:r>
        <w:rPr>
          <w:rFonts w:ascii="Arial" w:cs="Arial" w:eastAsia="Arial" w:hAnsi="Arial"/>
          <w:sz w:val="17"/>
          <w:szCs w:val="17"/>
          <w:color w:val="auto"/>
        </w:rPr>
        <w:t xml:space="preserve">This Commitment Letter shall be governed by, and construed in accordance with, the law of the State of New York;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for the purposes of the Term Facility,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your (or your affiliates’) obligation to consummate the Acquisition or such failure gives you the right to terminate your (or your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80"/>
          </w:cols>
          <w:pgMar w:left="440" w:top="274" w:right="479" w:bottom="1440" w:gutter="0" w:footer="0" w:header="0"/>
        </w:sectPr>
      </w:pPr>
    </w:p>
    <w:bookmarkStart w:id="171" w:name="page172"/>
    <w:bookmarkEnd w:id="171"/>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(whether of the State of Delaware or any other jurisdiction) that would cause the application of laws of any jurisdiction other than the State of Delaware. The Borrower consents to the exclusive jurisdiction and venue of the United States District Court for the Southern District of New York sitting in the Borough of Manhattan (or if such court lacks subject matter jurisdiction, the Supreme Court of the State of New York sitting in the Borough of Manhattan). Each party hereto irrevocably waives, to the fullest extent permitted by applicable law, (a) any right it may have to a trial by jury in any legal proceeding arising out of or relating to this Commitment Letter, the Term Sheet, the Fee Letter or the transactions contemplated hereby or thereby (whether based on contract, tort or any other theory) and (b) any objection that it may now or hereafter have to the laying of venue of any such legal proceeding in the federal or state courts located in the City of New York, Borough of Manhattan.</w:t>
      </w:r>
    </w:p>
    <w:p>
      <w:pPr>
        <w:spacing w:after="0" w:line="17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You confirm that you have validly appointed Holdco, or if otherwise, its principal place of business in The City of New York from time to time, as your agent for service of process, and agree that service of any process, summons, notice or document by hand delivery or registered mail upon such agent shall be effective service of process for any suit, action or proceeding brought in any such court.</w:t>
      </w:r>
    </w:p>
    <w:p>
      <w:pPr>
        <w:spacing w:after="0" w:line="184"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The Commitment Party hereby notifies the Borrower that pursuant to the requirements of the USA Patriot Act, Title III of Pub. L. 107-56 (signed into law October 26, 2001) (the “</w:t>
      </w:r>
      <w:r>
        <w:rPr>
          <w:rFonts w:ascii="Arial" w:cs="Arial" w:eastAsia="Arial" w:hAnsi="Arial"/>
          <w:sz w:val="16"/>
          <w:szCs w:val="16"/>
          <w:b w:val="1"/>
          <w:bCs w:val="1"/>
          <w:i w:val="1"/>
          <w:iCs w:val="1"/>
          <w:color w:val="auto"/>
        </w:rPr>
        <w:t>Patriot Act</w:t>
      </w:r>
      <w:r>
        <w:rPr>
          <w:rFonts w:ascii="Arial" w:cs="Arial" w:eastAsia="Arial" w:hAnsi="Arial"/>
          <w:sz w:val="16"/>
          <w:szCs w:val="16"/>
          <w:color w:val="auto"/>
        </w:rPr>
        <w:t>”) and 31 C.F.R. § 1010.230 (the “</w:t>
      </w:r>
      <w:r>
        <w:rPr>
          <w:rFonts w:ascii="Arial" w:cs="Arial" w:eastAsia="Arial" w:hAnsi="Arial"/>
          <w:sz w:val="16"/>
          <w:szCs w:val="16"/>
          <w:b w:val="1"/>
          <w:bCs w:val="1"/>
          <w:i w:val="1"/>
          <w:iCs w:val="1"/>
          <w:color w:val="auto"/>
        </w:rPr>
        <w:t>Beneficial Ownership Regulation</w:t>
      </w:r>
      <w:r>
        <w:rPr>
          <w:rFonts w:ascii="Arial" w:cs="Arial" w:eastAsia="Arial" w:hAnsi="Arial"/>
          <w:sz w:val="16"/>
          <w:szCs w:val="16"/>
          <w:color w:val="auto"/>
        </w:rPr>
        <w:t xml:space="preserve">”), it and its affiliates are required to obtain, verify and record information that identifies the Borrower, which information includes the name, address, tax identification number and other information regarding the Borrower that will allow the Commitment Party to identify the Borrower in accordance with the Patriot Act and the Beneficial Ownership Regulation. This notice is given in accordance with the requirements of the Patriot Act and Beneficial Ownership Regulation and is effective for the Commitment Party and each of its affiliates. The provisions of this Commitment Letter and/or in the Fee Letter relating to compensation, limitation of liability, indemnification, settlement, affiliate activities, sharing of information, absence of fiduciary relationships, confidentiality (other than as provided in the last sentence of Section 9 above), electronic signatures, governing law, waiver of jury trial and waiver of objection to the laying of venue shall remain in full force and effect regardless of whether the Term Credit Documentation or Revolving Credit Documentation shall be executed and delivered and notwithstanding the termination of this Commitment Letter and/or JPMorgan’s commitment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provisions of Section 3 and 4 shall not survive if the commitments and undertakings of the Commitment Party is terminated prior to the effectiveness of the Facilities;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xml:space="preserve"> that (i) (x) if the Term Facility closes and the Term Credit Documentation shall be executed and delivered, as they apply to the Term Facility, the provisions of Section 3 shall survive only until the Syndication Date and the provisions of Section 4 shall survive only until the later of the Closing Date and the Syndication Date and (y) if the Revolving Facility closes and the Revolving Credit Documentation shall be executed and delivered, as they apply to the Revolving Facility, the provisions of Section 3 shall survive only until the Syndication Date and the provisions of Section 4 shall survive only until the later of the Closing Date and the Syndication Date and (ii) (x) if the Term Facility closes and the Term Credit Documentation shall be executed and delivered, the provisions under Section 7(b), to the extent covered in such definitive documentation, and the second paragraph of Section 9 shall be superseded and deemed replaced with respect to the Term Facility by the terms of such Term Credit Documentation governing such matters and (y) if the Revolving Facility closes and the Revolving Credit Documentation shall be executed and delivered, the provisions under Section 7(b), to the extent covered in such definitive documentation, and the second paragraph of Section 9 shall be superseded and deemed replaced with respect to the Revolving Facility by the terms of such Revolving Credit Documentation governing such matters. You may ratably terminate each Lender’s commitments hereunder at any time subject to the provisions of the preceding sentence.</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80"/>
          </w:cols>
          <w:pgMar w:left="440" w:top="274" w:right="479" w:bottom="1440" w:gutter="0" w:footer="0" w:header="0"/>
        </w:sectPr>
      </w:pPr>
    </w:p>
    <w:bookmarkStart w:id="172" w:name="page173"/>
    <w:bookmarkEnd w:id="172"/>
    <w:p>
      <w:pPr>
        <w:ind w:right="2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Section headings used herein are for convenience of reference only and are not to affect the construction of, or to be taken into consideration in interpreting, this Commitment Letter.</w:t>
      </w:r>
    </w:p>
    <w:p>
      <w:pPr>
        <w:spacing w:after="0" w:line="170"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If the foregoing correctly sets forth our agreement, please indicate your acceptance of the terms of this Commitment Letter, the Term Sheets and the Fee Letter by returning to us executed counterparts of this Commitment Letter and of the Fee Letter not later than 5:00 p.m., New York City time, on October 29, 2020 (the “</w:t>
      </w:r>
      <w:r>
        <w:rPr>
          <w:rFonts w:ascii="Arial" w:cs="Arial" w:eastAsia="Arial" w:hAnsi="Arial"/>
          <w:sz w:val="16"/>
          <w:szCs w:val="16"/>
          <w:b w:val="1"/>
          <w:bCs w:val="1"/>
          <w:i w:val="1"/>
          <w:iCs w:val="1"/>
          <w:color w:val="auto"/>
        </w:rPr>
        <w:t>Expiration Time</w:t>
      </w:r>
      <w:r>
        <w:rPr>
          <w:rFonts w:ascii="Arial" w:cs="Arial" w:eastAsia="Arial" w:hAnsi="Arial"/>
          <w:sz w:val="16"/>
          <w:szCs w:val="16"/>
          <w:color w:val="auto"/>
        </w:rPr>
        <w:t xml:space="preserve">”). JPMorgan’s commitments and agreements herein will expire at the Expiration Time in the event JPMorgan has not received, in readable form, a complete copy of each of this Commitment Letter and the Fee Letter countersigned and dated by you, which executed counterparts are delivered in accordance with the immediately preceding sentence. The parties hereto agree that your acceptance of JPMorgan’s offer shall only be effective if each such document has been received in such form by each of the contacts specified below prior to the Expiration Time. If you do so execute and deliver to us this Commitment Letter and the Fee Letter at or prior to the Expiration Time, this Commitment Letter shall terminate at the earliest of (i) with respect to the Term Facility, after execution of the Acquisition Agreement and prior to the consummation of the Transactions, the termination of the Acquisition Agreement by you in a signed writing in accordance with its terms (or your written confirmation thereof) (and you hereby agree to notify us promptly thereof), (ii) with respect to the Term Facility, the consummation of the Acquisition without the funding of the Term Facility, (iii) (x) with respect to the Term Facility only, the execution and delivery of the Term Credit Documentation and (y) with respect to the Revolving Facility only, the execution and delivery of the Revolving Credit Documentation, (iv) 11:59 p.m., New York City time, on the date that is five business days after the End Date (as defined in the Acquisition Agreement as of the date hereof) (with respect to the Revolving Facility, to the extent the RCF Effective Date (as defined below) has not occurred prior to such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(iv), upon written notice of each such extension to the Lead Arranger from the Borrower, automatically extend to five business days after each such extended date, and (v) receipt by the Commitment Party of written notice from the Borrower of its election, (x) with respect to the Term Facility, to terminate all commitments under the Term Facility in full and (y) with respect to the Revolving Facility, to terminate all commitments under the Revolving Facility in full (such earliest time, the “</w:t>
      </w:r>
      <w:r>
        <w:rPr>
          <w:rFonts w:ascii="Arial" w:cs="Arial" w:eastAsia="Arial" w:hAnsi="Arial"/>
          <w:sz w:val="16"/>
          <w:szCs w:val="16"/>
          <w:b w:val="1"/>
          <w:bCs w:val="1"/>
          <w:i w:val="1"/>
          <w:iCs w:val="1"/>
          <w:color w:val="auto"/>
        </w:rPr>
        <w:t>Termination Date</w:t>
      </w:r>
      <w:r>
        <w:rPr>
          <w:rFonts w:ascii="Arial" w:cs="Arial" w:eastAsia="Arial" w:hAnsi="Arial"/>
          <w:sz w:val="16"/>
          <w:szCs w:val="16"/>
          <w:color w:val="auto"/>
        </w:rPr>
        <w:t>”). Upon the occurrence of any of the events referred to in the preceding sentence, this Commitment Letter and the commitments of the Commitment Party hereunder and the agreement of the Commitment Party to provide the services described herein shall automatically terminate unless all of the Commitment Parties shall, in their sole discretion, agree to an extension in writing.</w:t>
      </w:r>
    </w:p>
    <w:p>
      <w:pPr>
        <w:spacing w:after="0" w:line="39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JPMorgan is pleased to have been given the opportunity to assist you in connection with this important financing.</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173" w:name="page174"/>
    <w:bookmarkEnd w:id="173"/>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Very truly yours,</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7"/>
          <w:szCs w:val="17"/>
          <w:color w:val="auto"/>
        </w:rPr>
        <w:t>JPMORGAN CHASE BANK, N.A.</w:t>
      </w:r>
    </w:p>
    <w:p>
      <w:pPr>
        <w:spacing w:after="0" w:line="237" w:lineRule="exact"/>
        <w:rPr>
          <w:sz w:val="20"/>
          <w:szCs w:val="20"/>
          <w:color w:val="auto"/>
        </w:rPr>
      </w:pPr>
    </w:p>
    <w:p>
      <w:pPr>
        <w:ind w:left="5620"/>
        <w:spacing w:after="0"/>
        <w:tabs>
          <w:tab w:leader="none" w:pos="60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Ryan Zimmerman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3785870</wp:posOffset>
            </wp:positionH>
            <wp:positionV relativeFrom="paragraph">
              <wp:posOffset>14605</wp:posOffset>
            </wp:positionV>
            <wp:extent cx="2571750" cy="825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Name: Ryan Zimmerman</w:t>
      </w:r>
    </w:p>
    <w:p>
      <w:pPr>
        <w:spacing w:after="0" w:line="2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2720"/>
        <w:spacing w:after="0"/>
        <w:rPr>
          <w:sz w:val="20"/>
          <w:szCs w:val="20"/>
          <w:color w:val="auto"/>
        </w:rPr>
      </w:pPr>
      <w:r>
        <w:rPr>
          <w:rFonts w:ascii="Arial" w:cs="Arial" w:eastAsia="Arial" w:hAnsi="Arial"/>
          <w:sz w:val="18"/>
          <w:szCs w:val="18"/>
          <w:color w:val="auto"/>
        </w:rPr>
        <w:t>[Signature Page to Facilities Commitment Letter]</w:t>
      </w:r>
    </w:p>
    <w:p>
      <w:pPr>
        <w:sectPr>
          <w:pgSz w:w="11900" w:h="16838" w:orient="portrait"/>
          <w:cols w:equalWidth="0" w:num="1">
            <w:col w:w="9019"/>
          </w:cols>
          <w:pgMar w:left="1440" w:top="274" w:right="1440" w:bottom="1440" w:gutter="0" w:footer="0" w:header="0"/>
        </w:sectPr>
      </w:pPr>
    </w:p>
    <w:bookmarkStart w:id="174" w:name="page175"/>
    <w:bookmarkEnd w:id="17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Accepted and agreed to as of October 29, 2020, by: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 Chief Financial Officer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jc w:val="right"/>
        <w:ind w:right="27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Facilities Commitment Letter</w:t>
      </w:r>
      <w:r>
        <w:rPr>
          <w:rFonts w:ascii="Arial" w:cs="Arial" w:eastAsia="Arial" w:hAnsi="Arial"/>
          <w:sz w:val="18"/>
          <w:szCs w:val="18"/>
          <w:color w:val="auto"/>
        </w:rPr>
        <w:t>]</w:t>
      </w:r>
    </w:p>
    <w:p>
      <w:pPr>
        <w:sectPr>
          <w:pgSz w:w="11900" w:h="16838" w:orient="portrait"/>
          <w:cols w:equalWidth="0" w:num="1">
            <w:col w:w="10019"/>
          </w:cols>
          <w:pgMar w:left="440" w:top="274" w:right="1440" w:bottom="1440" w:gutter="0" w:footer="0" w:header="0"/>
        </w:sectPr>
      </w:pPr>
    </w:p>
    <w:bookmarkStart w:id="175" w:name="page176"/>
    <w:bookmarkEnd w:id="175"/>
    <w:tbl>
      <w:tblPr>
        <w:tblLayout w:type="fixed"/>
        <w:tblInd w:w="0" w:type="dxa"/>
        <w:tblCellMar>
          <w:top w:w="0" w:type="dxa"/>
          <w:left w:w="0" w:type="dxa"/>
          <w:bottom w:w="0" w:type="dxa"/>
          <w:right w:w="0" w:type="dxa"/>
        </w:tblCellMar>
      </w:tblPr>
      <w:tr>
        <w:trPr>
          <w:trHeight w:val="207"/>
        </w:trPr>
        <w:tc>
          <w:tcPr>
            <w:tcW w:w="4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52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640" w:type="dxa"/>
            <w:vAlign w:val="bottom"/>
          </w:tcPr>
          <w:p>
            <w:pPr>
              <w:spacing w:after="0"/>
              <w:rPr>
                <w:sz w:val="17"/>
                <w:szCs w:val="17"/>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8"/>
              </w:rPr>
              <w:t>Exhibit A</w:t>
            </w:r>
          </w:p>
        </w:tc>
        <w:tc>
          <w:tcPr>
            <w:tcW w:w="0" w:type="dxa"/>
            <w:vAlign w:val="bottom"/>
          </w:tcPr>
          <w:p>
            <w:pPr>
              <w:spacing w:after="0"/>
              <w:rPr>
                <w:sz w:val="1"/>
                <w:szCs w:val="1"/>
                <w:color w:val="auto"/>
              </w:rPr>
            </w:pPr>
          </w:p>
        </w:tc>
      </w:tr>
      <w:tr>
        <w:trPr>
          <w:trHeight w:val="453"/>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8540" w:type="dxa"/>
            <w:vAlign w:val="bottom"/>
            <w:gridSpan w:val="6"/>
          </w:tcPr>
          <w:p>
            <w:pPr>
              <w:jc w:val="center"/>
              <w:ind w:right="2410"/>
              <w:spacing w:after="0"/>
              <w:rPr>
                <w:sz w:val="20"/>
                <w:szCs w:val="20"/>
                <w:color w:val="auto"/>
              </w:rPr>
            </w:pPr>
            <w:r>
              <w:rPr>
                <w:rFonts w:ascii="Arial" w:cs="Arial" w:eastAsia="Arial" w:hAnsi="Arial"/>
                <w:sz w:val="18"/>
                <w:szCs w:val="18"/>
                <w:color w:val="auto"/>
                <w:w w:val="96"/>
              </w:rPr>
              <w:t>SENIOR UNSECURED TERM FACILITY</w:t>
            </w:r>
          </w:p>
        </w:tc>
        <w:tc>
          <w:tcPr>
            <w:tcW w:w="0" w:type="dxa"/>
            <w:vAlign w:val="bottom"/>
          </w:tcPr>
          <w:p>
            <w:pPr>
              <w:spacing w:after="0"/>
              <w:rPr>
                <w:sz w:val="1"/>
                <w:szCs w:val="1"/>
                <w:color w:val="auto"/>
              </w:rPr>
            </w:pPr>
          </w:p>
        </w:tc>
      </w:tr>
      <w:tr>
        <w:trPr>
          <w:trHeight w:val="324"/>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8540" w:type="dxa"/>
            <w:vAlign w:val="bottom"/>
            <w:gridSpan w:val="6"/>
          </w:tcPr>
          <w:p>
            <w:pPr>
              <w:jc w:val="center"/>
              <w:ind w:right="2410"/>
              <w:spacing w:after="0"/>
              <w:rPr>
                <w:sz w:val="20"/>
                <w:szCs w:val="20"/>
                <w:color w:val="auto"/>
              </w:rPr>
            </w:pPr>
            <w:r>
              <w:rPr>
                <w:rFonts w:ascii="Arial" w:cs="Arial" w:eastAsia="Arial" w:hAnsi="Arial"/>
                <w:sz w:val="18"/>
                <w:szCs w:val="18"/>
                <w:color w:val="auto"/>
                <w:w w:val="90"/>
              </w:rPr>
              <w:t>Summary of Terms and Conditions</w:t>
            </w:r>
          </w:p>
        </w:tc>
        <w:tc>
          <w:tcPr>
            <w:tcW w:w="0" w:type="dxa"/>
            <w:vAlign w:val="bottom"/>
          </w:tcPr>
          <w:p>
            <w:pPr>
              <w:spacing w:after="0"/>
              <w:rPr>
                <w:sz w:val="1"/>
                <w:szCs w:val="1"/>
                <w:color w:val="auto"/>
              </w:rPr>
            </w:pPr>
          </w:p>
        </w:tc>
      </w:tr>
      <w:tr>
        <w:trPr>
          <w:trHeight w:val="324"/>
        </w:trPr>
        <w:tc>
          <w:tcPr>
            <w:tcW w:w="4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6680" w:type="dxa"/>
            <w:vAlign w:val="bottom"/>
            <w:gridSpan w:val="5"/>
          </w:tcPr>
          <w:p>
            <w:pPr>
              <w:jc w:val="center"/>
              <w:ind w:right="4250"/>
              <w:spacing w:after="0"/>
              <w:rPr>
                <w:sz w:val="20"/>
                <w:szCs w:val="20"/>
                <w:color w:val="auto"/>
              </w:rPr>
            </w:pPr>
            <w:r>
              <w:rPr>
                <w:rFonts w:ascii="Arial" w:cs="Arial" w:eastAsia="Arial" w:hAnsi="Arial"/>
                <w:sz w:val="18"/>
                <w:szCs w:val="18"/>
                <w:color w:val="auto"/>
                <w:w w:val="90"/>
              </w:rPr>
              <w:t>October 29, 2020</w:t>
            </w:r>
          </w:p>
        </w:tc>
        <w:tc>
          <w:tcPr>
            <w:tcW w:w="0" w:type="dxa"/>
            <w:vAlign w:val="bottom"/>
          </w:tcPr>
          <w:p>
            <w:pPr>
              <w:spacing w:after="0"/>
              <w:rPr>
                <w:sz w:val="1"/>
                <w:szCs w:val="1"/>
                <w:color w:val="auto"/>
              </w:rPr>
            </w:pPr>
          </w:p>
        </w:tc>
      </w:tr>
      <w:tr>
        <w:trPr>
          <w:trHeight w:val="351"/>
        </w:trPr>
        <w:tc>
          <w:tcPr>
            <w:tcW w:w="420" w:type="dxa"/>
            <w:vAlign w:val="bottom"/>
            <w:vMerge w:val="restart"/>
          </w:tcPr>
          <w:p>
            <w:pPr>
              <w:spacing w:after="0"/>
              <w:rPr>
                <w:sz w:val="20"/>
                <w:szCs w:val="20"/>
                <w:color w:val="auto"/>
              </w:rPr>
            </w:pPr>
            <w:r>
              <w:rPr>
                <w:rFonts w:ascii="Arial" w:cs="Arial" w:eastAsia="Arial" w:hAnsi="Arial"/>
                <w:sz w:val="18"/>
                <w:szCs w:val="18"/>
                <w:b w:val="1"/>
                <w:bCs w:val="1"/>
                <w:color w:val="auto"/>
              </w:rPr>
              <w:t>I.</w:t>
            </w:r>
          </w:p>
        </w:tc>
        <w:tc>
          <w:tcPr>
            <w:tcW w:w="20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Parties</w:t>
            </w:r>
          </w:p>
        </w:tc>
        <w:tc>
          <w:tcPr>
            <w:tcW w:w="1860" w:type="dxa"/>
            <w:vAlign w:val="bottom"/>
          </w:tcPr>
          <w:p>
            <w:pPr>
              <w:spacing w:after="0"/>
              <w:rPr>
                <w:sz w:val="24"/>
                <w:szCs w:val="24"/>
                <w:color w:val="auto"/>
              </w:rPr>
            </w:pPr>
          </w:p>
        </w:tc>
        <w:tc>
          <w:tcPr>
            <w:tcW w:w="13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420" w:type="dxa"/>
            <w:vAlign w:val="bottom"/>
            <w:vMerge w:val="continue"/>
          </w:tcPr>
          <w:p>
            <w:pPr>
              <w:spacing w:after="0"/>
              <w:rPr>
                <w:sz w:val="24"/>
                <w:szCs w:val="24"/>
                <w:color w:val="auto"/>
              </w:rPr>
            </w:pPr>
          </w:p>
        </w:tc>
        <w:tc>
          <w:tcPr>
            <w:tcW w:w="2060" w:type="dxa"/>
            <w:vAlign w:val="bottom"/>
            <w:gridSpan w:val="2"/>
            <w:vMerge w:val="continue"/>
          </w:tcPr>
          <w:p>
            <w:pPr>
              <w:spacing w:after="0"/>
              <w:rPr>
                <w:sz w:val="24"/>
                <w:szCs w:val="24"/>
                <w:color w:val="auto"/>
              </w:rPr>
            </w:pPr>
          </w:p>
        </w:tc>
        <w:tc>
          <w:tcPr>
            <w:tcW w:w="18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7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65"/>
        </w:trPr>
        <w:tc>
          <w:tcPr>
            <w:tcW w:w="420" w:type="dxa"/>
            <w:vAlign w:val="bottom"/>
          </w:tcPr>
          <w:p>
            <w:pPr>
              <w:spacing w:after="0"/>
              <w:rPr>
                <w:sz w:val="24"/>
                <w:szCs w:val="24"/>
                <w:color w:val="auto"/>
              </w:rPr>
            </w:pPr>
          </w:p>
        </w:tc>
        <w:tc>
          <w:tcPr>
            <w:tcW w:w="2060" w:type="dxa"/>
            <w:vAlign w:val="bottom"/>
            <w:gridSpan w:val="2"/>
          </w:tcPr>
          <w:p>
            <w:pPr>
              <w:ind w:left="40"/>
              <w:spacing w:after="0"/>
              <w:rPr>
                <w:sz w:val="20"/>
                <w:szCs w:val="20"/>
                <w:color w:val="auto"/>
              </w:rPr>
            </w:pPr>
            <w:r>
              <w:rPr>
                <w:rFonts w:ascii="Arial" w:cs="Arial" w:eastAsia="Arial" w:hAnsi="Arial"/>
                <w:sz w:val="18"/>
                <w:szCs w:val="18"/>
                <w:color w:val="auto"/>
              </w:rPr>
              <w:t>Borrower:</w:t>
            </w: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3"/>
              </w:rPr>
              <w:t>Initially, Marvell Technology Group Ltd., a Bermuda exempt company, and on and after the Closing</w:t>
            </w:r>
          </w:p>
        </w:tc>
        <w:tc>
          <w:tcPr>
            <w:tcW w:w="0" w:type="dxa"/>
            <w:vAlign w:val="bottom"/>
          </w:tcPr>
          <w:p>
            <w:pPr>
              <w:spacing w:after="0"/>
              <w:rPr>
                <w:sz w:val="1"/>
                <w:szCs w:val="1"/>
                <w:color w:val="auto"/>
              </w:rPr>
            </w:pPr>
          </w:p>
        </w:tc>
      </w:tr>
      <w:tr>
        <w:trPr>
          <w:trHeight w:val="230"/>
        </w:trPr>
        <w:tc>
          <w:tcPr>
            <w:tcW w:w="4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rPr>
              <w:t>Date, Holdco, a Delaware corporation (the “</w:t>
            </w:r>
            <w:r>
              <w:rPr>
                <w:rFonts w:ascii="Arial" w:cs="Arial" w:eastAsia="Arial" w:hAnsi="Arial"/>
                <w:sz w:val="18"/>
                <w:szCs w:val="18"/>
                <w:b w:val="1"/>
                <w:bCs w:val="1"/>
                <w:i w:val="1"/>
                <w:iCs w:val="1"/>
                <w:color w:val="auto"/>
              </w:rPr>
              <w:t>Borrower</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0"/>
        </w:trPr>
        <w:tc>
          <w:tcPr>
            <w:tcW w:w="420" w:type="dxa"/>
            <w:vAlign w:val="bottom"/>
          </w:tcPr>
          <w:p>
            <w:pPr>
              <w:spacing w:after="0"/>
              <w:rPr>
                <w:sz w:val="24"/>
                <w:szCs w:val="24"/>
                <w:color w:val="auto"/>
              </w:rPr>
            </w:pPr>
          </w:p>
        </w:tc>
        <w:tc>
          <w:tcPr>
            <w:tcW w:w="2060" w:type="dxa"/>
            <w:vAlign w:val="bottom"/>
            <w:gridSpan w:val="2"/>
          </w:tcPr>
          <w:p>
            <w:pPr>
              <w:ind w:left="40"/>
              <w:spacing w:after="0"/>
              <w:rPr>
                <w:sz w:val="20"/>
                <w:szCs w:val="20"/>
                <w:color w:val="auto"/>
              </w:rPr>
            </w:pPr>
            <w:r>
              <w:rPr>
                <w:rFonts w:ascii="Arial" w:cs="Arial" w:eastAsia="Arial" w:hAnsi="Arial"/>
                <w:sz w:val="18"/>
                <w:szCs w:val="18"/>
                <w:color w:val="auto"/>
              </w:rPr>
              <w:t>Guarantors:</w:t>
            </w: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rPr>
              <w:t>From the Closing Date, all obligations of the Borrower under the Term Facility will be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8"/>
              </w:rPr>
              <w:t>unconditionally guaranteed by (a) Maui so long as Maui is the issuer, borrower or guarantor of</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3"/>
              </w:rPr>
              <w:t>indebtedness for borrowed money (including, for the avoidance of doubt, Maui’s existing unsecured</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0"/>
              </w:rPr>
              <w:t>notes) in an aggregate outstanding principal amount in excess of $100.0 million and (b) Target so long</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1"/>
              </w:rPr>
              <w:t>as Target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1"/>
              </w:rPr>
              <w:t>avoidance of doubt, Target’s existing convertible notes) in an aggregate outstanding principal amount</w:t>
            </w:r>
          </w:p>
        </w:tc>
        <w:tc>
          <w:tcPr>
            <w:tcW w:w="0" w:type="dxa"/>
            <w:vAlign w:val="bottom"/>
          </w:tcPr>
          <w:p>
            <w:pPr>
              <w:spacing w:after="0"/>
              <w:rPr>
                <w:sz w:val="1"/>
                <w:szCs w:val="1"/>
                <w:color w:val="auto"/>
              </w:rPr>
            </w:pPr>
          </w:p>
        </w:tc>
      </w:tr>
      <w:tr>
        <w:trPr>
          <w:trHeight w:val="190"/>
        </w:trPr>
        <w:tc>
          <w:tcPr>
            <w:tcW w:w="4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8540" w:type="dxa"/>
            <w:vAlign w:val="bottom"/>
            <w:gridSpan w:val="6"/>
          </w:tcPr>
          <w:p>
            <w:pPr>
              <w:ind w:left="1160"/>
              <w:spacing w:after="0" w:line="190" w:lineRule="exact"/>
              <w:rPr>
                <w:sz w:val="20"/>
                <w:szCs w:val="20"/>
                <w:color w:val="auto"/>
              </w:rPr>
            </w:pPr>
            <w:r>
              <w:rPr>
                <w:rFonts w:ascii="Arial" w:cs="Arial" w:eastAsia="Arial" w:hAnsi="Arial"/>
                <w:sz w:val="18"/>
                <w:szCs w:val="18"/>
                <w:color w:val="auto"/>
                <w:w w:val="91"/>
              </w:rPr>
              <w:t>in excess of $100.0 million; provided that the existing convertible notes of the Target shall be deemed</w:t>
            </w:r>
          </w:p>
        </w:tc>
        <w:tc>
          <w:tcPr>
            <w:tcW w:w="0" w:type="dxa"/>
            <w:vAlign w:val="bottom"/>
          </w:tcPr>
          <w:p>
            <w:pPr>
              <w:spacing w:after="0"/>
              <w:rPr>
                <w:sz w:val="1"/>
                <w:szCs w:val="1"/>
                <w:color w:val="auto"/>
              </w:rPr>
            </w:pPr>
          </w:p>
        </w:tc>
      </w:tr>
      <w:tr>
        <w:trPr>
          <w:trHeight w:val="20"/>
        </w:trPr>
        <w:tc>
          <w:tcPr>
            <w:tcW w:w="4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70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6"/>
              </w:rPr>
              <w:t>not to be outstanding for the purpose of this clause (b) until the date that is 90 days following the</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rPr>
              <w:t>Closing Date. In the event that the conditions requiring the guarantee by Maui or Target, as</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1"/>
              </w:rPr>
              <w:t>applicable, are no longer satisfied, the Borrower may request, and the Term Administrative Agent (as</w:t>
            </w:r>
          </w:p>
        </w:tc>
        <w:tc>
          <w:tcPr>
            <w:tcW w:w="0" w:type="dxa"/>
            <w:vAlign w:val="bottom"/>
          </w:tcPr>
          <w:p>
            <w:pPr>
              <w:spacing w:after="0"/>
              <w:rPr>
                <w:sz w:val="1"/>
                <w:szCs w:val="1"/>
                <w:color w:val="auto"/>
              </w:rPr>
            </w:pPr>
          </w:p>
        </w:tc>
      </w:tr>
      <w:tr>
        <w:trPr>
          <w:trHeight w:val="216"/>
        </w:trPr>
        <w:tc>
          <w:tcPr>
            <w:tcW w:w="4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w w:val="94"/>
              </w:rPr>
              <w:t>defined below) and the Term Lenders (as defined below) agree to, release Maui and/or Target, as</w:t>
            </w:r>
          </w:p>
        </w:tc>
        <w:tc>
          <w:tcPr>
            <w:tcW w:w="0" w:type="dxa"/>
            <w:vAlign w:val="bottom"/>
          </w:tcPr>
          <w:p>
            <w:pPr>
              <w:spacing w:after="0"/>
              <w:rPr>
                <w:sz w:val="1"/>
                <w:szCs w:val="1"/>
                <w:color w:val="auto"/>
              </w:rPr>
            </w:pPr>
          </w:p>
        </w:tc>
      </w:tr>
      <w:tr>
        <w:trPr>
          <w:trHeight w:val="230"/>
        </w:trPr>
        <w:tc>
          <w:tcPr>
            <w:tcW w:w="4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540" w:type="dxa"/>
            <w:vAlign w:val="bottom"/>
            <w:gridSpan w:val="6"/>
          </w:tcPr>
          <w:p>
            <w:pPr>
              <w:ind w:left="1160"/>
              <w:spacing w:after="0"/>
              <w:rPr>
                <w:sz w:val="20"/>
                <w:szCs w:val="20"/>
                <w:color w:val="auto"/>
              </w:rPr>
            </w:pPr>
            <w:r>
              <w:rPr>
                <w:rFonts w:ascii="Arial" w:cs="Arial" w:eastAsia="Arial" w:hAnsi="Arial"/>
                <w:sz w:val="18"/>
                <w:szCs w:val="18"/>
                <w:color w:val="auto"/>
              </w:rPr>
              <w:t>applicable, from such guarantee.</w:t>
            </w:r>
          </w:p>
        </w:tc>
        <w:tc>
          <w:tcPr>
            <w:tcW w:w="0" w:type="dxa"/>
            <w:vAlign w:val="bottom"/>
          </w:tcPr>
          <w:p>
            <w:pPr>
              <w:spacing w:after="0"/>
              <w:rPr>
                <w:sz w:val="1"/>
                <w:szCs w:val="1"/>
                <w:color w:val="auto"/>
              </w:rPr>
            </w:pPr>
          </w:p>
        </w:tc>
      </w:tr>
    </w:tbl>
    <w:p>
      <w:pPr>
        <w:spacing w:after="0" w:line="9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ind w:left="460"/>
        <w:spacing w:after="0"/>
        <w:tabs>
          <w:tab w:leader="none" w:pos="3620" w:val="left"/>
        </w:tabs>
        <w:rPr>
          <w:sz w:val="20"/>
          <w:szCs w:val="20"/>
          <w:color w:val="auto"/>
        </w:rPr>
      </w:pPr>
      <w:r>
        <w:rPr>
          <w:rFonts w:ascii="Arial" w:cs="Arial" w:eastAsia="Arial" w:hAnsi="Arial"/>
          <w:sz w:val="18"/>
          <w:szCs w:val="18"/>
          <w:color w:val="auto"/>
        </w:rPr>
        <w:t>Sole Lead Arranger and Sole Bookrunner:</w:t>
      </w:r>
      <w:r>
        <w:rPr>
          <w:sz w:val="20"/>
          <w:szCs w:val="20"/>
          <w:color w:val="auto"/>
        </w:rPr>
        <w:tab/>
      </w:r>
      <w:r>
        <w:rPr>
          <w:rFonts w:ascii="Arial" w:cs="Arial" w:eastAsia="Arial" w:hAnsi="Arial"/>
          <w:sz w:val="16"/>
          <w:szCs w:val="16"/>
          <w:color w:val="auto"/>
        </w:rPr>
        <w:t>JPMorgan Chase Bank, N.A. (“</w:t>
      </w:r>
      <w:r>
        <w:rPr>
          <w:rFonts w:ascii="Arial" w:cs="Arial" w:eastAsia="Arial" w:hAnsi="Arial"/>
          <w:sz w:val="16"/>
          <w:szCs w:val="16"/>
          <w:b w:val="1"/>
          <w:bCs w:val="1"/>
          <w:i w:val="1"/>
          <w:iCs w:val="1"/>
          <w:color w:val="auto"/>
        </w:rPr>
        <w:t>JPMorgan</w:t>
      </w:r>
      <w:r>
        <w:rPr>
          <w:rFonts w:ascii="Arial" w:cs="Arial" w:eastAsia="Arial" w:hAnsi="Arial"/>
          <w:sz w:val="16"/>
          <w:szCs w:val="16"/>
          <w:color w:val="auto"/>
        </w:rPr>
        <w:t>” and in such capacity, the “</w:t>
      </w:r>
      <w:r>
        <w:rPr>
          <w:rFonts w:ascii="Arial" w:cs="Arial" w:eastAsia="Arial" w:hAnsi="Arial"/>
          <w:sz w:val="16"/>
          <w:szCs w:val="16"/>
          <w:b w:val="1"/>
          <w:bCs w:val="1"/>
          <w:i w:val="1"/>
          <w:iCs w:val="1"/>
          <w:color w:val="auto"/>
        </w:rPr>
        <w:t>Term Lead Arranger</w:t>
      </w:r>
      <w:r>
        <w:rPr>
          <w:rFonts w:ascii="Arial" w:cs="Arial" w:eastAsia="Arial" w:hAnsi="Arial"/>
          <w:sz w:val="16"/>
          <w:szCs w:val="16"/>
          <w:color w:val="auto"/>
        </w:rPr>
        <w:t>”).</w:t>
      </w:r>
    </w:p>
    <w:p>
      <w:pPr>
        <w:sectPr>
          <w:pgSz w:w="11900" w:h="16838" w:orient="portrait"/>
          <w:cols w:equalWidth="0" w:num="1">
            <w:col w:w="11020"/>
          </w:cols>
          <w:pgMar w:left="440" w:top="257" w:right="439" w:bottom="1440" w:gutter="0" w:footer="0" w:header="0"/>
        </w:sectPr>
      </w:pPr>
    </w:p>
    <w:p>
      <w:pPr>
        <w:spacing w:after="0" w:line="11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Administrative Agent:</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rPr>
          <w:sz w:val="20"/>
          <w:szCs w:val="20"/>
          <w:color w:val="auto"/>
        </w:rPr>
      </w:pPr>
      <w:r>
        <w:rPr>
          <w:rFonts w:ascii="Arial" w:cs="Arial" w:eastAsia="Arial" w:hAnsi="Arial"/>
          <w:sz w:val="16"/>
          <w:szCs w:val="16"/>
          <w:color w:val="auto"/>
        </w:rPr>
        <w:t>JPMorgan (in such capacity, the “</w:t>
      </w:r>
      <w:r>
        <w:rPr>
          <w:rFonts w:ascii="Arial" w:cs="Arial" w:eastAsia="Arial" w:hAnsi="Arial"/>
          <w:sz w:val="16"/>
          <w:szCs w:val="16"/>
          <w:b w:val="1"/>
          <w:bCs w:val="1"/>
          <w:i w:val="1"/>
          <w:iCs w:val="1"/>
          <w:color w:val="auto"/>
        </w:rPr>
        <w:t>Term Administrative Agent</w:t>
      </w:r>
      <w:r>
        <w:rPr>
          <w:rFonts w:ascii="Arial" w:cs="Arial" w:eastAsia="Arial" w:hAnsi="Arial"/>
          <w:sz w:val="16"/>
          <w:szCs w:val="16"/>
          <w:color w:val="auto"/>
        </w:rPr>
        <w:t>”).</w:t>
      </w:r>
    </w:p>
    <w:p>
      <w:pPr>
        <w:spacing w:after="0" w:line="140" w:lineRule="exact"/>
        <w:rPr>
          <w:sz w:val="20"/>
          <w:szCs w:val="20"/>
          <w:color w:val="auto"/>
        </w:rPr>
      </w:pPr>
    </w:p>
    <w:p>
      <w:pPr>
        <w:sectPr>
          <w:pgSz w:w="11900" w:h="16838" w:orient="portrait"/>
          <w:cols w:equalWidth="0" w:num="2">
            <w:col w:w="2920" w:space="720"/>
            <w:col w:w="7380"/>
          </w:cols>
          <w:pgMar w:left="440" w:top="257" w:right="4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Lenders:</w:t>
      </w:r>
    </w:p>
    <w:p>
      <w:pPr>
        <w:spacing w:after="0" w:line="20" w:lineRule="exact"/>
        <w:rPr>
          <w:sz w:val="20"/>
          <w:szCs w:val="20"/>
          <w:color w:val="auto"/>
        </w:rPr>
      </w:pPr>
      <w:r>
        <w:rPr>
          <w:sz w:val="20"/>
          <w:szCs w:val="20"/>
          <w:color w:val="auto"/>
        </w:rPr>
        <w:br w:type="column"/>
      </w:r>
    </w:p>
    <w:p>
      <w:pPr>
        <w:ind w:right="180"/>
        <w:spacing w:after="0" w:line="342" w:lineRule="auto"/>
        <w:rPr>
          <w:sz w:val="20"/>
          <w:szCs w:val="20"/>
          <w:color w:val="auto"/>
        </w:rPr>
      </w:pPr>
      <w:r>
        <w:rPr>
          <w:rFonts w:ascii="Arial" w:cs="Arial" w:eastAsia="Arial" w:hAnsi="Arial"/>
          <w:sz w:val="16"/>
          <w:szCs w:val="16"/>
          <w:color w:val="auto"/>
        </w:rPr>
        <w:t>A syndicate of banks, financial institutions and other entities, including JPMorgan, arranged by the Term Lead Arranger in accordance with the Commitment Letter (collectively, the “</w:t>
      </w:r>
      <w:r>
        <w:rPr>
          <w:rFonts w:ascii="Arial" w:cs="Arial" w:eastAsia="Arial" w:hAnsi="Arial"/>
          <w:sz w:val="16"/>
          <w:szCs w:val="16"/>
          <w:b w:val="1"/>
          <w:bCs w:val="1"/>
          <w:i w:val="1"/>
          <w:iCs w:val="1"/>
          <w:color w:val="auto"/>
        </w:rPr>
        <w:t>Term Lenders</w:t>
      </w:r>
      <w:r>
        <w:rPr>
          <w:rFonts w:ascii="Arial" w:cs="Arial" w:eastAsia="Arial" w:hAnsi="Arial"/>
          <w:sz w:val="16"/>
          <w:szCs w:val="16"/>
          <w:color w:val="auto"/>
        </w:rPr>
        <w:t>”).</w:t>
      </w:r>
    </w:p>
    <w:p>
      <w:pPr>
        <w:spacing w:after="0" w:line="56" w:lineRule="exact"/>
        <w:rPr>
          <w:sz w:val="20"/>
          <w:szCs w:val="20"/>
          <w:color w:val="auto"/>
        </w:rPr>
      </w:pPr>
    </w:p>
    <w:p>
      <w:pPr>
        <w:sectPr>
          <w:pgSz w:w="11900" w:h="16838" w:orient="portrait"/>
          <w:cols w:equalWidth="0" w:num="2">
            <w:col w:w="2920" w:space="720"/>
            <w:col w:w="7380"/>
          </w:cols>
          <w:pgMar w:left="440" w:top="257" w:right="439" w:bottom="1440" w:gutter="0" w:footer="0" w:header="0"/>
          <w:type w:val="continuous"/>
        </w:sectPr>
      </w:pPr>
    </w:p>
    <w:p>
      <w:pPr>
        <w:jc w:val="center"/>
        <w:spacing w:after="0"/>
        <w:rPr>
          <w:sz w:val="20"/>
          <w:szCs w:val="20"/>
          <w:color w:val="auto"/>
        </w:rPr>
      </w:pPr>
      <w:r>
        <w:rPr>
          <w:rFonts w:ascii="Arial" w:cs="Arial" w:eastAsia="Arial" w:hAnsi="Arial"/>
          <w:sz w:val="17"/>
          <w:szCs w:val="17"/>
          <w:color w:val="auto"/>
        </w:rPr>
        <w:t>Exhibit A-1</w:t>
      </w:r>
    </w:p>
    <w:p>
      <w:pPr>
        <w:sectPr>
          <w:pgSz w:w="11900" w:h="16838" w:orient="portrait"/>
          <w:cols w:equalWidth="0" w:num="1">
            <w:col w:w="11020"/>
          </w:cols>
          <w:pgMar w:left="440" w:top="257" w:right="439" w:bottom="1440" w:gutter="0" w:footer="0" w:header="0"/>
          <w:type w:val="continuous"/>
        </w:sectPr>
      </w:pPr>
    </w:p>
    <w:bookmarkStart w:id="176" w:name="page177"/>
    <w:bookmarkEnd w:id="176"/>
    <w:tbl>
      <w:tblPr>
        <w:tblLayout w:type="fixed"/>
        <w:tblInd w:w="0" w:type="dxa"/>
        <w:tblCellMar>
          <w:top w:w="0" w:type="dxa"/>
          <w:left w:w="0" w:type="dxa"/>
          <w:bottom w:w="0" w:type="dxa"/>
          <w:right w:w="0" w:type="dxa"/>
        </w:tblCellMar>
      </w:tblPr>
      <w:tr>
        <w:trPr>
          <w:trHeight w:val="207"/>
        </w:trPr>
        <w:tc>
          <w:tcPr>
            <w:tcW w:w="420" w:type="dxa"/>
            <w:vAlign w:val="bottom"/>
          </w:tcPr>
          <w:p>
            <w:pPr>
              <w:spacing w:after="0"/>
              <w:rPr>
                <w:sz w:val="20"/>
                <w:szCs w:val="20"/>
                <w:color w:val="auto"/>
              </w:rPr>
            </w:pPr>
            <w:r>
              <w:rPr>
                <w:rFonts w:ascii="Arial" w:cs="Arial" w:eastAsia="Arial" w:hAnsi="Arial"/>
                <w:sz w:val="18"/>
                <w:szCs w:val="18"/>
                <w:b w:val="1"/>
                <w:bCs w:val="1"/>
                <w:color w:val="auto"/>
              </w:rPr>
              <w:t>II.</w:t>
            </w:r>
          </w:p>
        </w:tc>
        <w:tc>
          <w:tcPr>
            <w:tcW w:w="3080" w:type="dxa"/>
            <w:vAlign w:val="bottom"/>
            <w:gridSpan w:val="3"/>
          </w:tcPr>
          <w:p>
            <w:pPr>
              <w:spacing w:after="0"/>
              <w:rPr>
                <w:sz w:val="20"/>
                <w:szCs w:val="20"/>
                <w:color w:val="auto"/>
              </w:rPr>
            </w:pPr>
            <w:r>
              <w:rPr>
                <w:rFonts w:ascii="Arial" w:cs="Arial" w:eastAsia="Arial" w:hAnsi="Arial"/>
                <w:sz w:val="18"/>
                <w:szCs w:val="18"/>
                <w:b w:val="1"/>
                <w:bCs w:val="1"/>
                <w:color w:val="auto"/>
              </w:rPr>
              <w:t>Term Facility</w:t>
            </w:r>
          </w:p>
        </w:tc>
        <w:tc>
          <w:tcPr>
            <w:tcW w:w="7400" w:type="dxa"/>
            <w:vAlign w:val="bottom"/>
          </w:tcPr>
          <w:p>
            <w:pPr>
              <w:spacing w:after="0"/>
              <w:rPr>
                <w:sz w:val="17"/>
                <w:szCs w:val="17"/>
                <w:color w:val="auto"/>
              </w:rPr>
            </w:pPr>
          </w:p>
        </w:tc>
      </w:tr>
      <w:tr>
        <w:trPr>
          <w:trHeight w:val="20"/>
        </w:trPr>
        <w:tc>
          <w:tcPr>
            <w:tcW w:w="42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r>
      <w:tr>
        <w:trPr>
          <w:trHeight w:val="465"/>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Type and Amount of Term Facility:</w:t>
            </w: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A senior unsecured term loan facility (the “</w:t>
            </w:r>
            <w:r>
              <w:rPr>
                <w:rFonts w:ascii="Arial" w:cs="Arial" w:eastAsia="Arial" w:hAnsi="Arial"/>
                <w:sz w:val="18"/>
                <w:szCs w:val="18"/>
                <w:b w:val="1"/>
                <w:bCs w:val="1"/>
                <w:i w:val="1"/>
                <w:iCs w:val="1"/>
                <w:color w:val="auto"/>
                <w:w w:val="93"/>
              </w:rPr>
              <w:t>Term Facility</w:t>
            </w:r>
            <w:r>
              <w:rPr>
                <w:rFonts w:ascii="Arial" w:cs="Arial" w:eastAsia="Arial" w:hAnsi="Arial"/>
                <w:sz w:val="18"/>
                <w:szCs w:val="18"/>
                <w:color w:val="auto"/>
                <w:w w:val="93"/>
              </w:rPr>
              <w:t>”) in the amount of up to $1,500,000,000,</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consisting of (i) a $750,000,000 3-year tranche term loan facility (the “</w:t>
            </w:r>
            <w:r>
              <w:rPr>
                <w:rFonts w:ascii="Arial" w:cs="Arial" w:eastAsia="Arial" w:hAnsi="Arial"/>
                <w:sz w:val="18"/>
                <w:szCs w:val="18"/>
                <w:b w:val="1"/>
                <w:bCs w:val="1"/>
                <w:i w:val="1"/>
                <w:iCs w:val="1"/>
                <w:color w:val="auto"/>
                <w:w w:val="93"/>
              </w:rPr>
              <w:t>3-Year Tranche</w:t>
            </w:r>
            <w:r>
              <w:rPr>
                <w:rFonts w:ascii="Arial" w:cs="Arial" w:eastAsia="Arial" w:hAnsi="Arial"/>
                <w:sz w:val="18"/>
                <w:szCs w:val="18"/>
                <w:color w:val="auto"/>
                <w:w w:val="93"/>
              </w:rPr>
              <w:t>”, the loans</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thereunder, the “</w:t>
            </w:r>
            <w:r>
              <w:rPr>
                <w:rFonts w:ascii="Arial" w:cs="Arial" w:eastAsia="Arial" w:hAnsi="Arial"/>
                <w:sz w:val="18"/>
                <w:szCs w:val="18"/>
                <w:b w:val="1"/>
                <w:bCs w:val="1"/>
                <w:i w:val="1"/>
                <w:iCs w:val="1"/>
                <w:color w:val="auto"/>
                <w:w w:val="93"/>
              </w:rPr>
              <w:t>3-Year Tranche Term Loans</w:t>
            </w:r>
            <w:r>
              <w:rPr>
                <w:rFonts w:ascii="Arial" w:cs="Arial" w:eastAsia="Arial" w:hAnsi="Arial"/>
                <w:sz w:val="18"/>
                <w:szCs w:val="18"/>
                <w:color w:val="auto"/>
                <w:w w:val="93"/>
              </w:rPr>
              <w:t>”) and (ii) a $750,000,000 5-year tranche term loan</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0"/>
              </w:rPr>
              <w:t>facility (the “</w:t>
            </w:r>
            <w:r>
              <w:rPr>
                <w:rFonts w:ascii="Arial" w:cs="Arial" w:eastAsia="Arial" w:hAnsi="Arial"/>
                <w:sz w:val="18"/>
                <w:szCs w:val="18"/>
                <w:b w:val="1"/>
                <w:bCs w:val="1"/>
                <w:i w:val="1"/>
                <w:iCs w:val="1"/>
                <w:color w:val="auto"/>
                <w:w w:val="90"/>
              </w:rPr>
              <w:t>5-Year Tranche</w:t>
            </w:r>
            <w:r>
              <w:rPr>
                <w:rFonts w:ascii="Arial" w:cs="Arial" w:eastAsia="Arial" w:hAnsi="Arial"/>
                <w:sz w:val="18"/>
                <w:szCs w:val="18"/>
                <w:color w:val="auto"/>
                <w:w w:val="90"/>
              </w:rPr>
              <w:t>”, the loans thereunder, the “</w:t>
            </w:r>
            <w:r>
              <w:rPr>
                <w:rFonts w:ascii="Arial" w:cs="Arial" w:eastAsia="Arial" w:hAnsi="Arial"/>
                <w:sz w:val="18"/>
                <w:szCs w:val="18"/>
                <w:b w:val="1"/>
                <w:bCs w:val="1"/>
                <w:i w:val="1"/>
                <w:iCs w:val="1"/>
                <w:color w:val="auto"/>
                <w:w w:val="90"/>
              </w:rPr>
              <w:t>5-Year Tranche Term Loans</w:t>
            </w:r>
            <w:r>
              <w:rPr>
                <w:rFonts w:ascii="Arial" w:cs="Arial" w:eastAsia="Arial" w:hAnsi="Arial"/>
                <w:sz w:val="18"/>
                <w:szCs w:val="18"/>
                <w:color w:val="auto"/>
                <w:w w:val="90"/>
              </w:rPr>
              <w:t>” and together</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with the 3-Year Tranche Term Loans, the “</w:t>
            </w:r>
            <w:r>
              <w:rPr>
                <w:rFonts w:ascii="Arial" w:cs="Arial" w:eastAsia="Arial" w:hAnsi="Arial"/>
                <w:sz w:val="18"/>
                <w:szCs w:val="18"/>
                <w:b w:val="1"/>
                <w:bCs w:val="1"/>
                <w:i w:val="1"/>
                <w:iCs w:val="1"/>
                <w:color w:val="auto"/>
              </w:rPr>
              <w:t>Term Loans</w:t>
            </w:r>
            <w:r>
              <w:rPr>
                <w:rFonts w:ascii="Arial" w:cs="Arial" w:eastAsia="Arial" w:hAnsi="Arial"/>
                <w:sz w:val="18"/>
                <w:szCs w:val="18"/>
                <w:color w:val="auto"/>
              </w:rPr>
              <w:t>”).</w:t>
            </w:r>
          </w:p>
        </w:tc>
      </w:tr>
      <w:tr>
        <w:trPr>
          <w:trHeight w:val="338"/>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Each of the 3-Year Tranche and 5-Year Tranche are referred to herein as a “</w:t>
            </w:r>
            <w:r>
              <w:rPr>
                <w:rFonts w:ascii="Arial" w:cs="Arial" w:eastAsia="Arial" w:hAnsi="Arial"/>
                <w:sz w:val="18"/>
                <w:szCs w:val="18"/>
                <w:b w:val="1"/>
                <w:bCs w:val="1"/>
                <w:i w:val="1"/>
                <w:iCs w:val="1"/>
                <w:color w:val="auto"/>
              </w:rPr>
              <w:t>Tranche</w:t>
            </w:r>
            <w:r>
              <w:rPr>
                <w:rFonts w:ascii="Arial" w:cs="Arial" w:eastAsia="Arial" w:hAnsi="Arial"/>
                <w:sz w:val="18"/>
                <w:szCs w:val="18"/>
                <w:color w:val="auto"/>
              </w:rPr>
              <w:t>”.</w:t>
            </w:r>
          </w:p>
        </w:tc>
      </w:tr>
      <w:tr>
        <w:trPr>
          <w:trHeight w:val="323"/>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Availability:</w:t>
            </w:r>
          </w:p>
        </w:tc>
        <w:tc>
          <w:tcPr>
            <w:tcW w:w="7400" w:type="dxa"/>
            <w:vAlign w:val="bottom"/>
          </w:tcPr>
          <w:p>
            <w:pPr>
              <w:ind w:left="140"/>
              <w:spacing w:after="0"/>
              <w:rPr>
                <w:sz w:val="20"/>
                <w:szCs w:val="20"/>
                <w:color w:val="auto"/>
              </w:rPr>
            </w:pPr>
            <w:r>
              <w:rPr>
                <w:rFonts w:ascii="Arial" w:cs="Arial" w:eastAsia="Arial" w:hAnsi="Arial"/>
                <w:sz w:val="18"/>
                <w:szCs w:val="18"/>
                <w:color w:val="auto"/>
                <w:w w:val="96"/>
              </w:rPr>
              <w:t>Each Tranche of the Term Facility shall be available in a single draw on the Closing Date. Any</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amount borrowed under the Term Facility and repaid or prepaid may not be reborrowed.</w:t>
            </w:r>
          </w:p>
        </w:tc>
      </w:tr>
      <w:tr>
        <w:trPr>
          <w:trHeight w:val="310"/>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Maturity:</w:t>
            </w:r>
          </w:p>
        </w:tc>
        <w:tc>
          <w:tcPr>
            <w:tcW w:w="7400" w:type="dxa"/>
            <w:vAlign w:val="bottom"/>
          </w:tcPr>
          <w:p>
            <w:pPr>
              <w:ind w:left="140"/>
              <w:spacing w:after="0"/>
              <w:rPr>
                <w:sz w:val="20"/>
                <w:szCs w:val="20"/>
                <w:color w:val="auto"/>
              </w:rPr>
            </w:pPr>
            <w:r>
              <w:rPr>
                <w:rFonts w:ascii="Arial" w:cs="Arial" w:eastAsia="Arial" w:hAnsi="Arial"/>
                <w:sz w:val="18"/>
                <w:szCs w:val="18"/>
                <w:color w:val="auto"/>
                <w:w w:val="90"/>
              </w:rPr>
              <w:t>3-Year Tranche Term Loans will mature on the date that is three years after the Closing Date. 5-Year</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Tranche Term Loans will mature on the date that is five years after the Closing Date.</w:t>
            </w:r>
          </w:p>
        </w:tc>
      </w:tr>
      <w:tr>
        <w:trPr>
          <w:trHeight w:val="310"/>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Purpose:</w:t>
            </w:r>
          </w:p>
        </w:tc>
        <w:tc>
          <w:tcPr>
            <w:tcW w:w="7400" w:type="dxa"/>
            <w:vAlign w:val="bottom"/>
          </w:tcPr>
          <w:p>
            <w:pPr>
              <w:ind w:left="140"/>
              <w:spacing w:after="0"/>
              <w:rPr>
                <w:sz w:val="20"/>
                <w:szCs w:val="20"/>
                <w:color w:val="auto"/>
              </w:rPr>
            </w:pPr>
            <w:r>
              <w:rPr>
                <w:rFonts w:ascii="Arial" w:cs="Arial" w:eastAsia="Arial" w:hAnsi="Arial"/>
                <w:sz w:val="18"/>
                <w:szCs w:val="18"/>
                <w:color w:val="auto"/>
                <w:w w:val="96"/>
              </w:rPr>
              <w:t>The proceeds of the Term Loans shall be used by the Borrower (i) to pay all or a portion of the</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Acquisition Cash Consideration and (ii) to pay the Transaction Costs.</w:t>
            </w:r>
          </w:p>
        </w:tc>
      </w:tr>
      <w:tr>
        <w:trPr>
          <w:trHeight w:val="540"/>
        </w:trPr>
        <w:tc>
          <w:tcPr>
            <w:tcW w:w="420" w:type="dxa"/>
            <w:vAlign w:val="bottom"/>
          </w:tcPr>
          <w:p>
            <w:pPr>
              <w:spacing w:after="0"/>
              <w:rPr>
                <w:sz w:val="20"/>
                <w:szCs w:val="20"/>
                <w:color w:val="auto"/>
              </w:rPr>
            </w:pPr>
            <w:r>
              <w:rPr>
                <w:rFonts w:ascii="Arial" w:cs="Arial" w:eastAsia="Arial" w:hAnsi="Arial"/>
                <w:sz w:val="18"/>
                <w:szCs w:val="18"/>
                <w:b w:val="1"/>
                <w:bCs w:val="1"/>
                <w:color w:val="auto"/>
              </w:rPr>
              <w:t>III.</w:t>
            </w:r>
          </w:p>
        </w:tc>
        <w:tc>
          <w:tcPr>
            <w:tcW w:w="3080" w:type="dxa"/>
            <w:vAlign w:val="bottom"/>
            <w:gridSpan w:val="3"/>
          </w:tcPr>
          <w:p>
            <w:pPr>
              <w:spacing w:after="0"/>
              <w:rPr>
                <w:sz w:val="20"/>
                <w:szCs w:val="20"/>
                <w:color w:val="auto"/>
              </w:rPr>
            </w:pPr>
            <w:r>
              <w:rPr>
                <w:rFonts w:ascii="Arial" w:cs="Arial" w:eastAsia="Arial" w:hAnsi="Arial"/>
                <w:sz w:val="18"/>
                <w:szCs w:val="18"/>
                <w:b w:val="1"/>
                <w:bCs w:val="1"/>
                <w:color w:val="auto"/>
              </w:rPr>
              <w:t>Certain Payment Provisions</w:t>
            </w:r>
          </w:p>
        </w:tc>
        <w:tc>
          <w:tcPr>
            <w:tcW w:w="7400" w:type="dxa"/>
            <w:vAlign w:val="bottom"/>
          </w:tcPr>
          <w:p>
            <w:pPr>
              <w:spacing w:after="0"/>
              <w:rPr>
                <w:sz w:val="24"/>
                <w:szCs w:val="24"/>
                <w:color w:val="auto"/>
              </w:rPr>
            </w:pPr>
          </w:p>
        </w:tc>
      </w:tr>
      <w:tr>
        <w:trPr>
          <w:trHeight w:val="358"/>
        </w:trPr>
        <w:tc>
          <w:tcPr>
            <w:tcW w:w="420" w:type="dxa"/>
            <w:vAlign w:val="bottom"/>
          </w:tcPr>
          <w:p>
            <w:pPr>
              <w:spacing w:after="0"/>
              <w:rPr>
                <w:sz w:val="24"/>
                <w:szCs w:val="24"/>
                <w:color w:val="auto"/>
              </w:rPr>
            </w:pPr>
          </w:p>
        </w:tc>
        <w:tc>
          <w:tcPr>
            <w:tcW w:w="2160" w:type="dxa"/>
            <w:vAlign w:val="bottom"/>
            <w:tcBorders>
              <w:top w:val="single" w:sz="8" w:color="auto"/>
            </w:tcBorders>
            <w:gridSpan w:val="2"/>
          </w:tcPr>
          <w:p>
            <w:pPr>
              <w:ind w:left="40"/>
              <w:spacing w:after="0"/>
              <w:rPr>
                <w:sz w:val="20"/>
                <w:szCs w:val="20"/>
                <w:color w:val="auto"/>
              </w:rPr>
            </w:pPr>
            <w:r>
              <w:rPr>
                <w:rFonts w:ascii="Arial" w:cs="Arial" w:eastAsia="Arial" w:hAnsi="Arial"/>
                <w:sz w:val="18"/>
                <w:szCs w:val="18"/>
                <w:color w:val="auto"/>
              </w:rPr>
              <w:t>Fees and Interest Rates:</w:t>
            </w: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As set forth on Annex I.</w:t>
            </w:r>
          </w:p>
        </w:tc>
      </w:tr>
      <w:tr>
        <w:trPr>
          <w:trHeight w:val="324"/>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Amortization:</w:t>
            </w:r>
          </w:p>
        </w:tc>
        <w:tc>
          <w:tcPr>
            <w:tcW w:w="7400" w:type="dxa"/>
            <w:vAlign w:val="bottom"/>
          </w:tcPr>
          <w:p>
            <w:pPr>
              <w:ind w:left="140"/>
              <w:spacing w:after="0"/>
              <w:rPr>
                <w:sz w:val="20"/>
                <w:szCs w:val="20"/>
                <w:color w:val="auto"/>
              </w:rPr>
            </w:pPr>
            <w:r>
              <w:rPr>
                <w:rFonts w:ascii="Arial" w:cs="Arial" w:eastAsia="Arial" w:hAnsi="Arial"/>
                <w:sz w:val="18"/>
                <w:szCs w:val="18"/>
                <w:color w:val="auto"/>
              </w:rPr>
              <w:t>3-Year Tranche Term Loans: none.</w:t>
            </w:r>
          </w:p>
        </w:tc>
      </w:tr>
      <w:tr>
        <w:trPr>
          <w:trHeight w:val="323"/>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2"/>
              </w:rPr>
              <w:t>Commencing at the end of the first full fiscal quarter of the Borrower after the Closing Date, 5-Year</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2"/>
              </w:rPr>
              <w:t>Tranche Term Loans will amortize in equal quarterly installments at a per annum rate of (i) 5.0% of</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the aggregate principal amount of 5-Year Tranche Loans incurred by the Borrower on the Closing</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6"/>
              </w:rPr>
              <w:t>Date for the first 4 full quarters following the Closing Date, (ii) 10.0% of the aggregate principal</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2"/>
              </w:rPr>
              <w:t>amount of 5-Year Tranche Loans incurred by the Borrower on the Closing Date for the fifth through</w:t>
            </w:r>
          </w:p>
        </w:tc>
      </w:tr>
      <w:tr>
        <w:trPr>
          <w:trHeight w:val="216"/>
        </w:trPr>
        <w:tc>
          <w:tcPr>
            <w:tcW w:w="4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twelfth full quarters following the Closing Date and (iii) 15.0% of the aggregate principal amount of</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1"/>
              </w:rPr>
              <w:t>5-Year Tranche Loans incurred by the Borrower on the Closing Date for the each quarter thereafter.</w:t>
            </w:r>
          </w:p>
        </w:tc>
      </w:tr>
      <w:tr>
        <w:trPr>
          <w:trHeight w:val="323"/>
        </w:trPr>
        <w:tc>
          <w:tcPr>
            <w:tcW w:w="420" w:type="dxa"/>
            <w:vAlign w:val="bottom"/>
          </w:tcPr>
          <w:p>
            <w:pPr>
              <w:spacing w:after="0"/>
              <w:rPr>
                <w:sz w:val="24"/>
                <w:szCs w:val="24"/>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w w:val="94"/>
              </w:rPr>
              <w:t>Optional Prepayments and Commitment</w:t>
            </w:r>
          </w:p>
        </w:tc>
        <w:tc>
          <w:tcPr>
            <w:tcW w:w="7400" w:type="dxa"/>
            <w:vAlign w:val="bottom"/>
          </w:tcPr>
          <w:p>
            <w:pPr>
              <w:ind w:left="140"/>
              <w:spacing w:after="0"/>
              <w:rPr>
                <w:sz w:val="20"/>
                <w:szCs w:val="20"/>
                <w:color w:val="auto"/>
              </w:rPr>
            </w:pPr>
            <w:r>
              <w:rPr>
                <w:rFonts w:ascii="Arial" w:cs="Arial" w:eastAsia="Arial" w:hAnsi="Arial"/>
                <w:sz w:val="18"/>
                <w:szCs w:val="18"/>
                <w:color w:val="auto"/>
                <w:w w:val="94"/>
              </w:rPr>
              <w:t>Term Loans may be prepaid at any time in whole or in part and commitments may be reduced or</w:t>
            </w:r>
          </w:p>
        </w:tc>
      </w:tr>
      <w:tr>
        <w:trPr>
          <w:trHeight w:val="216"/>
        </w:trPr>
        <w:tc>
          <w:tcPr>
            <w:tcW w:w="420" w:type="dxa"/>
            <w:vAlign w:val="bottom"/>
          </w:tcPr>
          <w:p>
            <w:pPr>
              <w:spacing w:after="0"/>
              <w:rPr>
                <w:sz w:val="18"/>
                <w:szCs w:val="18"/>
                <w:color w:val="auto"/>
              </w:rPr>
            </w:pPr>
          </w:p>
        </w:tc>
        <w:tc>
          <w:tcPr>
            <w:tcW w:w="3080" w:type="dxa"/>
            <w:vAlign w:val="bottom"/>
            <w:gridSpan w:val="3"/>
          </w:tcPr>
          <w:p>
            <w:pPr>
              <w:ind w:left="40"/>
              <w:spacing w:after="0"/>
              <w:rPr>
                <w:sz w:val="20"/>
                <w:szCs w:val="20"/>
                <w:color w:val="auto"/>
              </w:rPr>
            </w:pPr>
            <w:r>
              <w:rPr>
                <w:rFonts w:ascii="Arial" w:cs="Arial" w:eastAsia="Arial" w:hAnsi="Arial"/>
                <w:sz w:val="18"/>
                <w:szCs w:val="18"/>
                <w:color w:val="auto"/>
              </w:rPr>
              <w:t>Reductions:</w:t>
            </w:r>
          </w:p>
        </w:tc>
        <w:tc>
          <w:tcPr>
            <w:tcW w:w="7400" w:type="dxa"/>
            <w:vAlign w:val="bottom"/>
          </w:tcPr>
          <w:p>
            <w:pPr>
              <w:ind w:left="140"/>
              <w:spacing w:after="0"/>
              <w:rPr>
                <w:sz w:val="20"/>
                <w:szCs w:val="20"/>
                <w:color w:val="auto"/>
              </w:rPr>
            </w:pPr>
            <w:r>
              <w:rPr>
                <w:rFonts w:ascii="Arial" w:cs="Arial" w:eastAsia="Arial" w:hAnsi="Arial"/>
                <w:sz w:val="18"/>
                <w:szCs w:val="18"/>
                <w:color w:val="auto"/>
                <w:w w:val="93"/>
              </w:rPr>
              <w:t>terminated by the Borrower at any time, in each case without premium or penalty and in minimum</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amounts to be agreed upon.</w:t>
            </w:r>
          </w:p>
        </w:tc>
      </w:tr>
      <w:tr>
        <w:trPr>
          <w:trHeight w:val="310"/>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w w:val="90"/>
              </w:rPr>
              <w:t>Voluntary prepayments of 5-Year Tranche Term Loans shall be applied to the scheduled installments</w:t>
            </w:r>
          </w:p>
        </w:tc>
      </w:tr>
      <w:tr>
        <w:trPr>
          <w:trHeight w:val="230"/>
        </w:trPr>
        <w:tc>
          <w:tcPr>
            <w:tcW w:w="4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400" w:type="dxa"/>
            <w:vAlign w:val="bottom"/>
          </w:tcPr>
          <w:p>
            <w:pPr>
              <w:ind w:left="140"/>
              <w:spacing w:after="0"/>
              <w:rPr>
                <w:sz w:val="20"/>
                <w:szCs w:val="20"/>
                <w:color w:val="auto"/>
              </w:rPr>
            </w:pPr>
            <w:r>
              <w:rPr>
                <w:rFonts w:ascii="Arial" w:cs="Arial" w:eastAsia="Arial" w:hAnsi="Arial"/>
                <w:sz w:val="18"/>
                <w:szCs w:val="18"/>
                <w:color w:val="auto"/>
              </w:rPr>
              <w:t>of principal of the 5-Year Tranche on a pro rata basis.</w:t>
            </w:r>
          </w:p>
        </w:tc>
      </w:tr>
      <w:tr>
        <w:trPr>
          <w:trHeight w:val="365"/>
        </w:trPr>
        <w:tc>
          <w:tcPr>
            <w:tcW w:w="4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400" w:type="dxa"/>
            <w:vAlign w:val="bottom"/>
          </w:tcPr>
          <w:p>
            <w:pPr>
              <w:ind w:left="1580"/>
              <w:spacing w:after="0"/>
              <w:rPr>
                <w:sz w:val="20"/>
                <w:szCs w:val="20"/>
                <w:color w:val="auto"/>
              </w:rPr>
            </w:pPr>
            <w:r>
              <w:rPr>
                <w:rFonts w:ascii="Arial" w:cs="Arial" w:eastAsia="Arial" w:hAnsi="Arial"/>
                <w:sz w:val="18"/>
                <w:szCs w:val="18"/>
                <w:color w:val="auto"/>
              </w:rPr>
              <w:t>Exhibit A-2</w:t>
            </w:r>
          </w:p>
        </w:tc>
      </w:tr>
    </w:tbl>
    <w:p>
      <w:pPr>
        <w:ind w:left="1580"/>
        <w:spacing w:after="0"/>
        <w:rPr>
          <w:sz w:val="20"/>
          <w:szCs w:val="20"/>
          <w:color w:val="auto"/>
        </w:rPr>
        <w:sectPr>
          <w:pgSz w:w="11900" w:h="16838" w:orient="portrait"/>
          <w:cols w:equalWidth="0" w:num="1">
            <w:col w:w="10900"/>
          </w:cols>
          <w:pgMar w:left="440" w:top="257" w:right="5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77" w:name="page178"/>
    <w:bookmarkEnd w:id="177"/>
    <w:p>
      <w:pPr>
        <w:ind w:left="460"/>
        <w:spacing w:after="0"/>
        <w:tabs>
          <w:tab w:leader="none" w:pos="362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Mandatory Prepayments:</w:t>
      </w:r>
      <w:r>
        <w:rPr>
          <w:sz w:val="20"/>
          <w:szCs w:val="20"/>
          <w:color w:val="auto"/>
        </w:rPr>
        <w:tab/>
      </w:r>
      <w:r>
        <w:rPr>
          <w:rFonts w:ascii="Arial" w:cs="Arial" w:eastAsia="Arial" w:hAnsi="Arial"/>
          <w:sz w:val="16"/>
          <w:szCs w:val="16"/>
          <w:color w:val="auto"/>
        </w:rPr>
        <w:t>None.</w:t>
      </w:r>
    </w:p>
    <w:p>
      <w:pPr>
        <w:spacing w:after="0" w:line="117" w:lineRule="exact"/>
        <w:rPr>
          <w:sz w:val="20"/>
          <w:szCs w:val="20"/>
          <w:color w:val="auto"/>
        </w:rPr>
      </w:pPr>
    </w:p>
    <w:p>
      <w:pPr>
        <w:ind w:left="3640"/>
        <w:spacing w:after="0" w:line="269" w:lineRule="auto"/>
        <w:rPr>
          <w:sz w:val="20"/>
          <w:szCs w:val="20"/>
          <w:color w:val="auto"/>
        </w:rPr>
      </w:pPr>
      <w:r>
        <w:rPr>
          <w:rFonts w:ascii="Arial" w:cs="Arial" w:eastAsia="Arial" w:hAnsi="Arial"/>
          <w:sz w:val="17"/>
          <w:szCs w:val="17"/>
          <w:color w:val="auto"/>
        </w:rPr>
        <w:t xml:space="preserve">The commitments under the Term Facility shall terminate on the earliest of (i) the termination of the Acquisition Agreement by the Borrower in a signed writing in accordance with its terms (or the Borrower’s written confirmation thereof) (and the Borrower agrees to notify the Term Lead Arranger promptly thereof), (ii) the consummation of the Acquisition without the funding of the Term Facility and (iii) the date that is five business days after the End Date (as defined in the Acquisition Agreement as of the date 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End Date (as defined in the Acquisition Agreement, as in effect on the date hereof) is extended one or more times pursuant to Section 8.1(b) of the Acquisition Agreement (as in effect on the date hereof), such End Date shall be for purposes of this clause (iii), upon written notice of each such extension to the Term Lead Arranger from the Borrower, automatically extended to five business days after each such extended date, and (iv) receipt by the Term Lenders of written notice from the Borrower of its election to terminate all commitments under the Term Facility in full.</w:t>
      </w:r>
    </w:p>
    <w:p>
      <w:pPr>
        <w:spacing w:after="0" w:line="323"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b w:val="1"/>
          <w:bCs w:val="1"/>
          <w:color w:val="auto"/>
        </w:rPr>
        <w:t>IV.</w:t>
      </w:r>
      <w:r>
        <w:rPr>
          <w:sz w:val="20"/>
          <w:szCs w:val="20"/>
          <w:color w:val="auto"/>
        </w:rPr>
        <w:tab/>
      </w:r>
      <w:r>
        <w:rPr>
          <w:rFonts w:ascii="Arial" w:cs="Arial" w:eastAsia="Arial" w:hAnsi="Arial"/>
          <w:sz w:val="18"/>
          <w:szCs w:val="18"/>
          <w:b w:val="1"/>
          <w:bCs w:val="1"/>
          <w:u w:val="single" w:color="auto"/>
          <w:color w:val="auto"/>
        </w:rPr>
        <w:t>Certain Documentation Matters</w:t>
      </w:r>
    </w:p>
    <w:p>
      <w:pPr>
        <w:spacing w:after="0" w:line="135" w:lineRule="exact"/>
        <w:rPr>
          <w:sz w:val="20"/>
          <w:szCs w:val="20"/>
          <w:color w:val="auto"/>
        </w:rPr>
      </w:pPr>
    </w:p>
    <w:p>
      <w:pPr>
        <w:ind w:left="3640" w:right="20"/>
        <w:spacing w:after="0" w:line="268" w:lineRule="auto"/>
        <w:rPr>
          <w:sz w:val="20"/>
          <w:szCs w:val="20"/>
          <w:color w:val="auto"/>
        </w:rPr>
      </w:pPr>
      <w:r>
        <w:rPr>
          <w:rFonts w:ascii="Arial" w:cs="Arial" w:eastAsia="Arial" w:hAnsi="Arial"/>
          <w:sz w:val="17"/>
          <w:szCs w:val="17"/>
          <w:color w:val="auto"/>
        </w:rPr>
        <w:t xml:space="preserve">The Term Credit Documentation shall contain representations, warranties, covenants and events of default substantially similar to the Existing Credit Agreement (as in effect on the date hereof) with such modifications (i) as are necessary to reflect the terms specifically set forth herein (including the nature of the Term Facility as a “term facility”) and in the Fee Letter, including the Limited Conditionality Provision, (ii) as are mutually agreed to take into account the operational and strategic requirements of the Borrower and its subsidiaries (after giving effect to the Transactions) in light of their size, total assets, geographic locations, industry (and risks and trends associated therewith), businesses, business practices, operations, financial accounting and the Projections, (iii) to reflect any changes in law or accounting standard since the date of the Existing Credit Agreement, (iv) to reflect the operational or administrative requirements of the Term Administrative Agent, (v) modifications reflected on </w:t>
      </w:r>
      <w:r>
        <w:rPr>
          <w:rFonts w:ascii="Arial" w:cs="Arial" w:eastAsia="Arial" w:hAnsi="Arial"/>
          <w:sz w:val="17"/>
          <w:szCs w:val="17"/>
          <w:u w:val="single" w:color="auto"/>
          <w:color w:val="auto"/>
        </w:rPr>
        <w:t>Exhibit D</w:t>
      </w:r>
      <w:r>
        <w:rPr>
          <w:rFonts w:ascii="Arial" w:cs="Arial" w:eastAsia="Arial" w:hAnsi="Arial"/>
          <w:sz w:val="17"/>
          <w:szCs w:val="17"/>
          <w:color w:val="auto"/>
        </w:rPr>
        <w:t xml:space="preserve"> hereto, solely to the extent such modifications are also incorporated into the Revolving Facility, (vi) other modifications to be mutually agreed (collectively, the “</w:t>
      </w:r>
      <w:r>
        <w:rPr>
          <w:rFonts w:ascii="Arial" w:cs="Arial" w:eastAsia="Arial" w:hAnsi="Arial"/>
          <w:sz w:val="17"/>
          <w:szCs w:val="17"/>
          <w:b w:val="1"/>
          <w:bCs w:val="1"/>
          <w:i w:val="1"/>
          <w:iCs w:val="1"/>
          <w:color w:val="auto"/>
        </w:rPr>
        <w:t>Term</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Documentation Principles</w:t>
      </w:r>
      <w:r>
        <w:rPr>
          <w:rFonts w:ascii="Arial" w:cs="Arial" w:eastAsia="Arial" w:hAnsi="Arial"/>
          <w:sz w:val="17"/>
          <w:szCs w:val="17"/>
          <w:color w:val="auto"/>
        </w:rPr>
        <w: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Exhibit A-3</w:t>
      </w:r>
    </w:p>
    <w:p>
      <w:pPr>
        <w:sectPr>
          <w:pgSz w:w="11900" w:h="16838" w:orient="portrait"/>
          <w:cols w:equalWidth="0" w:num="1">
            <w:col w:w="10980"/>
          </w:cols>
          <w:pgMar w:left="440" w:top="274" w:right="479" w:bottom="1440" w:gutter="0" w:footer="0" w:header="0"/>
        </w:sectPr>
      </w:pPr>
    </w:p>
    <w:bookmarkStart w:id="178" w:name="page179"/>
    <w:bookmarkEnd w:id="178"/>
    <w:p>
      <w:pPr>
        <w:spacing w:after="0"/>
        <w:rPr>
          <w:sz w:val="20"/>
          <w:szCs w:val="20"/>
          <w:color w:val="auto"/>
        </w:rPr>
      </w:pPr>
      <w:r>
        <w:rPr>
          <w:rFonts w:ascii="Arial" w:cs="Arial" w:eastAsia="Arial" w:hAnsi="Arial"/>
          <w:sz w:val="15"/>
          <w:szCs w:val="15"/>
          <w:color w:val="auto"/>
        </w:rPr>
        <w:t>Representations and Warranties: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Subject to the Term Documentation Principles, substantially similar to the Existing Credit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-2381885</wp:posOffset>
            </wp:positionH>
            <wp:positionV relativeFrom="paragraph">
              <wp:posOffset>-269875</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26" w:lineRule="exact"/>
        <w:rPr>
          <w:sz w:val="20"/>
          <w:szCs w:val="20"/>
          <w:color w:val="auto"/>
        </w:rPr>
      </w:pPr>
    </w:p>
    <w:p>
      <w:pPr>
        <w:spacing w:after="0"/>
        <w:rPr>
          <w:sz w:val="20"/>
          <w:szCs w:val="20"/>
          <w:color w:val="auto"/>
        </w:rPr>
      </w:pPr>
      <w:r>
        <w:rPr>
          <w:rFonts w:ascii="Arial" w:cs="Arial" w:eastAsia="Arial" w:hAnsi="Arial"/>
          <w:sz w:val="17"/>
          <w:szCs w:val="17"/>
          <w:color w:val="auto"/>
        </w:rPr>
        <w:t>(as in effect on the date hereof) (including with respect to exceptions, baskets and materiality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qualifiers) with such modifications as may be agreed among the parties, and limited to the following:</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(i) organization, powers, (ii) authorization, enforceability, (iii) governmental approvals, absence of</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conflicts, (iv) financial condition, no material adverse change, (v) properties, (vi) litigation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environmental matters, (vii) compliance with laws, and maintenance of effective compliance policies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and procedures regarding anti-corruption and sanctions laws, (viii) investment company status,</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(ix) taxes, (x) ERISA, (xi) solvency (to be defined in a manner substantially the same as set forth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Annex I to Exhibit B attached hereto), (xii) disclosure, (xiii) federal reserve regulations, (xiv) use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proceeds as stated and in a manner not in violation of federal reserve regulations, applicable sanctions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laws or anti-corruption laws (including FCPA), (xv) ranking of obligations, (xvi) choice of law</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provisions, (xvii) no immunity, (xviii) proper form, no recordation, (xix) EEA financial institutions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and (xx) Beneficial Ownership Regulation.</w:t>
      </w:r>
    </w:p>
    <w:p>
      <w:pPr>
        <w:spacing w:after="0" w:line="103" w:lineRule="exact"/>
        <w:rPr>
          <w:sz w:val="20"/>
          <w:szCs w:val="20"/>
          <w:color w:val="auto"/>
        </w:rPr>
      </w:pPr>
    </w:p>
    <w:p>
      <w:pPr>
        <w:sectPr>
          <w:pgSz w:w="11900" w:h="16838" w:orient="portrait"/>
          <w:cols w:equalWidth="0" w:num="2">
            <w:col w:w="2460" w:space="720"/>
            <w:col w:w="7340"/>
          </w:cols>
          <w:pgMar w:left="900" w:top="382" w:right="479" w:bottom="1440" w:gutter="0" w:footer="0" w:header="0"/>
        </w:sectPr>
      </w:pPr>
    </w:p>
    <w:p>
      <w:pPr>
        <w:spacing w:after="0"/>
        <w:rPr>
          <w:sz w:val="20"/>
          <w:szCs w:val="20"/>
          <w:color w:val="auto"/>
        </w:rPr>
      </w:pPr>
      <w:r>
        <w:rPr>
          <w:rFonts w:ascii="Arial" w:cs="Arial" w:eastAsia="Arial" w:hAnsi="Arial"/>
          <w:sz w:val="16"/>
          <w:szCs w:val="16"/>
          <w:color w:val="auto"/>
        </w:rPr>
        <w:t>Affirmative Covenants:</w:t>
      </w:r>
    </w:p>
    <w:p>
      <w:pPr>
        <w:spacing w:after="0" w:line="20" w:lineRule="exact"/>
        <w:rPr>
          <w:sz w:val="20"/>
          <w:szCs w:val="20"/>
          <w:color w:val="auto"/>
        </w:rPr>
      </w:pPr>
      <w:r>
        <w:rPr>
          <w:sz w:val="20"/>
          <w:szCs w:val="20"/>
          <w:color w:val="auto"/>
        </w:rPr>
        <w:br w:type="column"/>
      </w:r>
    </w:p>
    <w:p>
      <w:pPr>
        <w:ind w:right="40"/>
        <w:spacing w:after="0" w:line="272" w:lineRule="auto"/>
        <w:rPr>
          <w:sz w:val="20"/>
          <w:szCs w:val="20"/>
          <w:color w:val="auto"/>
        </w:rPr>
      </w:pPr>
      <w:r>
        <w:rPr>
          <w:rFonts w:ascii="Arial" w:cs="Arial" w:eastAsia="Arial" w:hAnsi="Arial"/>
          <w:sz w:val="17"/>
          <w:szCs w:val="17"/>
          <w:color w:val="auto"/>
        </w:rPr>
        <w:t>Subject to the Term Documentation Principles, substantially similar to the Existing Credit Agreement (as in effect on the date hereof) (including with respect to exceptions, baskets and materiality qualifiers) with such modifications as may be agreed among the parties, including the following: (i) financial statements and other information; (ii) notices of material events; (iii) existence; conduct of business; maintenance of properties; (iv) payment of taxes; (v) insurance; (vi) books and records, inspection rights; (vii) compliance with laws; and (viii) use of proceeds (including not in violation of applicable anti-corruption laws and sanctions).</w:t>
      </w:r>
    </w:p>
    <w:p>
      <w:pPr>
        <w:spacing w:after="0" w:line="69" w:lineRule="exact"/>
        <w:rPr>
          <w:sz w:val="20"/>
          <w:szCs w:val="20"/>
          <w:color w:val="auto"/>
        </w:rPr>
      </w:pPr>
    </w:p>
    <w:p>
      <w:pPr>
        <w:sectPr>
          <w:pgSz w:w="11900" w:h="16838" w:orient="portrait"/>
          <w:cols w:equalWidth="0" w:num="2">
            <w:col w:w="2460" w:space="720"/>
            <w:col w:w="7340"/>
          </w:cols>
          <w:pgMar w:left="900" w:top="382" w:right="479" w:bottom="1440" w:gutter="0" w:footer="0" w:header="0"/>
          <w:type w:val="continuous"/>
        </w:sectPr>
      </w:pPr>
    </w:p>
    <w:p>
      <w:pPr>
        <w:spacing w:after="0"/>
        <w:rPr>
          <w:sz w:val="20"/>
          <w:szCs w:val="20"/>
          <w:color w:val="auto"/>
        </w:rPr>
      </w:pPr>
      <w:r>
        <w:rPr>
          <w:rFonts w:ascii="Arial" w:cs="Arial" w:eastAsia="Arial" w:hAnsi="Arial"/>
          <w:sz w:val="16"/>
          <w:szCs w:val="16"/>
          <w:color w:val="auto"/>
        </w:rPr>
        <w:t>Financial Covenant:</w:t>
      </w:r>
    </w:p>
    <w:p>
      <w:pPr>
        <w:spacing w:after="0" w:line="20" w:lineRule="exact"/>
        <w:rPr>
          <w:sz w:val="20"/>
          <w:szCs w:val="20"/>
          <w:color w:val="auto"/>
        </w:rPr>
      </w:pPr>
      <w:r>
        <w:rPr>
          <w:sz w:val="20"/>
          <w:szCs w:val="20"/>
          <w:color w:val="auto"/>
        </w:rPr>
        <w:br w:type="column"/>
      </w:r>
    </w:p>
    <w:p>
      <w:pPr>
        <w:ind w:right="80"/>
        <w:spacing w:after="0" w:line="254" w:lineRule="auto"/>
        <w:rPr>
          <w:sz w:val="20"/>
          <w:szCs w:val="20"/>
          <w:color w:val="auto"/>
        </w:rPr>
      </w:pPr>
      <w:r>
        <w:rPr>
          <w:rFonts w:ascii="Arial" w:cs="Arial" w:eastAsia="Arial" w:hAnsi="Arial"/>
          <w:sz w:val="18"/>
          <w:szCs w:val="18"/>
          <w:color w:val="auto"/>
        </w:rPr>
        <w:t>Subject to the Term Documentation Principles, commencing with the first fiscal quarter ended after the Closing Date, a maximum leverage ratio of 4.75 to 1.00 with step-downs to (i) from and after the fiscal quarter ending March 31, 2022, 4.50 to 1.00, (ii) from and after the fiscal quarter ending September 30, 2022, 4.25 to 1.00, (iii) from and after the fiscal quarter ending March 31, 2023, 4.00 to 1.00, (iv) from and after the fiscal quarter ending September 30, 2023, 3.50 to 1.00 and (iv) from and after the fiscal quarter ending March 31, 2024 and thereafter, 3.25 to 1.00, to be calculated in a manner substantially similar to the Existing Credit Agreement as in effect on the date hereof (the “</w:t>
      </w:r>
      <w:r>
        <w:rPr>
          <w:rFonts w:ascii="Arial" w:cs="Arial" w:eastAsia="Arial" w:hAnsi="Arial"/>
          <w:sz w:val="18"/>
          <w:szCs w:val="18"/>
          <w:b w:val="1"/>
          <w:bCs w:val="1"/>
          <w:i w:val="1"/>
          <w:iCs w:val="1"/>
          <w:color w:val="auto"/>
        </w:rPr>
        <w:t>Financial Covenant</w:t>
      </w:r>
      <w:r>
        <w:rPr>
          <w:rFonts w:ascii="Arial" w:cs="Arial" w:eastAsia="Arial" w:hAnsi="Arial"/>
          <w:sz w:val="18"/>
          <w:szCs w:val="18"/>
          <w:color w:val="auto"/>
        </w:rPr>
        <w:t>”).</w:t>
      </w:r>
    </w:p>
    <w:p>
      <w:pPr>
        <w:spacing w:after="0" w:line="84" w:lineRule="exact"/>
        <w:rPr>
          <w:sz w:val="20"/>
          <w:szCs w:val="20"/>
          <w:color w:val="auto"/>
        </w:rPr>
      </w:pPr>
    </w:p>
    <w:p>
      <w:pPr>
        <w:sectPr>
          <w:pgSz w:w="11900" w:h="16838" w:orient="portrait"/>
          <w:cols w:equalWidth="0" w:num="2">
            <w:col w:w="2460" w:space="720"/>
            <w:col w:w="7340"/>
          </w:cols>
          <w:pgMar w:left="900" w:top="382" w:right="479" w:bottom="1440" w:gutter="0" w:footer="0" w:header="0"/>
          <w:type w:val="continuous"/>
        </w:sectPr>
      </w:pPr>
    </w:p>
    <w:p>
      <w:pPr>
        <w:spacing w:after="0"/>
        <w:rPr>
          <w:sz w:val="20"/>
          <w:szCs w:val="20"/>
          <w:color w:val="auto"/>
        </w:rPr>
      </w:pPr>
      <w:r>
        <w:rPr>
          <w:rFonts w:ascii="Arial" w:cs="Arial" w:eastAsia="Arial" w:hAnsi="Arial"/>
          <w:sz w:val="16"/>
          <w:szCs w:val="16"/>
          <w:color w:val="auto"/>
        </w:rPr>
        <w:t>Negative Covenants:</w:t>
      </w:r>
    </w:p>
    <w:p>
      <w:pPr>
        <w:spacing w:after="0" w:line="20" w:lineRule="exact"/>
        <w:rPr>
          <w:sz w:val="20"/>
          <w:szCs w:val="20"/>
          <w:color w:val="auto"/>
        </w:rPr>
      </w:pPr>
      <w:r>
        <w:rPr>
          <w:sz w:val="20"/>
          <w:szCs w:val="20"/>
          <w:color w:val="auto"/>
        </w:rPr>
        <w:br w:type="column"/>
      </w:r>
    </w:p>
    <w:p>
      <w:pPr>
        <w:ind w:right="40"/>
        <w:spacing w:after="0" w:line="279" w:lineRule="auto"/>
        <w:rPr>
          <w:sz w:val="20"/>
          <w:szCs w:val="20"/>
          <w:color w:val="auto"/>
        </w:rPr>
      </w:pPr>
      <w:r>
        <w:rPr>
          <w:rFonts w:ascii="Arial" w:cs="Arial" w:eastAsia="Arial" w:hAnsi="Arial"/>
          <w:sz w:val="17"/>
          <w:szCs w:val="17"/>
          <w:color w:val="auto"/>
        </w:rPr>
        <w:t>Subject to the Term Documentation Principles, substantially similar to the Existing Credit Agreement (as in effect on the date hereof) (including with respect to exceptions, baskets and materiality qualifiers) with such modifications as may be agreed among the parties, including the following (except to the extent modified or removed pursuant to clause (v) of the Term</w:t>
      </w:r>
    </w:p>
    <w:p>
      <w:pPr>
        <w:spacing w:after="0" w:line="104" w:lineRule="exact"/>
        <w:rPr>
          <w:sz w:val="20"/>
          <w:szCs w:val="20"/>
          <w:color w:val="auto"/>
        </w:rPr>
      </w:pPr>
    </w:p>
    <w:p>
      <w:pPr>
        <w:sectPr>
          <w:pgSz w:w="11900" w:h="16838" w:orient="portrait"/>
          <w:cols w:equalWidth="0" w:num="2">
            <w:col w:w="2460" w:space="720"/>
            <w:col w:w="7340"/>
          </w:cols>
          <w:pgMar w:left="900" w:top="382" w:right="479" w:bottom="1440" w:gutter="0" w:footer="0" w:header="0"/>
          <w:type w:val="continuous"/>
        </w:sectPr>
      </w:pPr>
    </w:p>
    <w:p>
      <w:pPr>
        <w:jc w:val="center"/>
        <w:ind w:right="420"/>
        <w:spacing w:after="0"/>
        <w:rPr>
          <w:sz w:val="20"/>
          <w:szCs w:val="20"/>
          <w:color w:val="auto"/>
        </w:rPr>
      </w:pPr>
      <w:r>
        <w:rPr>
          <w:rFonts w:ascii="Arial" w:cs="Arial" w:eastAsia="Arial" w:hAnsi="Arial"/>
          <w:sz w:val="17"/>
          <w:szCs w:val="17"/>
          <w:color w:val="auto"/>
        </w:rPr>
        <w:t>Exhibit A-4</w:t>
      </w:r>
    </w:p>
    <w:p>
      <w:pPr>
        <w:sectPr>
          <w:pgSz w:w="11900" w:h="16838" w:orient="portrait"/>
          <w:cols w:equalWidth="0" w:num="1">
            <w:col w:w="10520"/>
          </w:cols>
          <w:pgMar w:left="900" w:top="382" w:right="479" w:bottom="1440" w:gutter="0" w:footer="0" w:header="0"/>
          <w:type w:val="continuous"/>
        </w:sectPr>
      </w:pPr>
    </w:p>
    <w:bookmarkStart w:id="179" w:name="page180"/>
    <w:bookmarkEnd w:id="179"/>
    <w:p>
      <w:pPr>
        <w:ind w:left="3180" w:right="2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Documentation Principles):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(v) business of borrower and subsidiaries and (vi) restrictive agreements.</w:t>
      </w:r>
    </w:p>
    <w:p>
      <w:pPr>
        <w:sectPr>
          <w:pgSz w:w="11900" w:h="16838" w:orient="portrait"/>
          <w:cols w:equalWidth="0" w:num="1">
            <w:col w:w="10500"/>
          </w:cols>
          <w:pgMar w:left="900" w:top="274" w:right="499" w:bottom="1440" w:gutter="0" w:footer="0" w:header="0"/>
        </w:sectPr>
      </w:pPr>
    </w:p>
    <w:p>
      <w:pPr>
        <w:spacing w:after="0" w:line="84" w:lineRule="exact"/>
        <w:rPr>
          <w:sz w:val="20"/>
          <w:szCs w:val="20"/>
          <w:color w:val="auto"/>
        </w:rPr>
      </w:pPr>
    </w:p>
    <w:p>
      <w:pPr>
        <w:spacing w:after="0"/>
        <w:rPr>
          <w:sz w:val="20"/>
          <w:szCs w:val="20"/>
          <w:color w:val="auto"/>
        </w:rPr>
      </w:pPr>
      <w:r>
        <w:rPr>
          <w:rFonts w:ascii="Arial" w:cs="Arial" w:eastAsia="Arial" w:hAnsi="Arial"/>
          <w:sz w:val="16"/>
          <w:szCs w:val="16"/>
          <w:color w:val="auto"/>
        </w:rPr>
        <w:t>Events of Default:</w:t>
      </w:r>
    </w:p>
    <w:p>
      <w:pPr>
        <w:spacing w:after="0" w:line="20" w:lineRule="exact"/>
        <w:rPr>
          <w:sz w:val="20"/>
          <w:szCs w:val="20"/>
          <w:color w:val="auto"/>
        </w:rPr>
      </w:pPr>
      <w:r>
        <w:rPr>
          <w:sz w:val="20"/>
          <w:szCs w:val="20"/>
          <w:color w:val="auto"/>
        </w:rPr>
        <w:br w:type="column"/>
      </w:r>
    </w:p>
    <w:p>
      <w:pPr>
        <w:spacing w:after="0" w:line="64" w:lineRule="exact"/>
        <w:rPr>
          <w:sz w:val="20"/>
          <w:szCs w:val="20"/>
          <w:color w:val="auto"/>
        </w:rPr>
      </w:pPr>
    </w:p>
    <w:p>
      <w:pPr>
        <w:spacing w:after="0"/>
        <w:rPr>
          <w:sz w:val="20"/>
          <w:szCs w:val="20"/>
          <w:color w:val="auto"/>
        </w:rPr>
      </w:pPr>
      <w:r>
        <w:rPr>
          <w:rFonts w:ascii="Arial" w:cs="Arial" w:eastAsia="Arial" w:hAnsi="Arial"/>
          <w:sz w:val="16"/>
          <w:szCs w:val="16"/>
          <w:color w:val="auto"/>
        </w:rPr>
        <w:t>Subject to the Term Documentation Principles, substantially similar to the Existing Credit Agreement</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(as in effect on the date hereof) (including with respect to exceptions, baskets and materiality</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qualifiers) with such modifications as may be agreed among the parties including (i) nonpayment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principal, interest, fees or other amounts when due, (ii) accuracy of representations in any material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respects, (iii) failure to perform or observe covenants set forth in the Term Credit Documentation,</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(iv) cross defaults to other material indebtedness, (v) bankruptcy and insolvency defaults,</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(vi) material monetary judgments, (vii) ERISA events, (viii) change of control and (ix) invalidity of</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any guarantee required by the Term Credit Documentation.</w:t>
      </w:r>
    </w:p>
    <w:p>
      <w:pPr>
        <w:spacing w:after="0" w:line="103" w:lineRule="exact"/>
        <w:rPr>
          <w:sz w:val="20"/>
          <w:szCs w:val="20"/>
          <w:color w:val="auto"/>
        </w:rPr>
      </w:pPr>
    </w:p>
    <w:p>
      <w:pPr>
        <w:sectPr>
          <w:pgSz w:w="11900" w:h="16838" w:orient="portrait"/>
          <w:cols w:equalWidth="0" w:num="2">
            <w:col w:w="2460" w:space="720"/>
            <w:col w:w="7320"/>
          </w:cols>
          <w:pgMar w:left="900" w:top="274" w:right="499" w:bottom="1440" w:gutter="0" w:footer="0" w:header="0"/>
          <w:type w:val="continuous"/>
        </w:sectPr>
      </w:pPr>
    </w:p>
    <w:p>
      <w:pPr>
        <w:spacing w:after="0"/>
        <w:rPr>
          <w:sz w:val="20"/>
          <w:szCs w:val="20"/>
          <w:color w:val="auto"/>
        </w:rPr>
      </w:pPr>
      <w:r>
        <w:rPr>
          <w:rFonts w:ascii="Arial" w:cs="Arial" w:eastAsia="Arial" w:hAnsi="Arial"/>
          <w:sz w:val="16"/>
          <w:szCs w:val="16"/>
          <w:color w:val="auto"/>
        </w:rPr>
        <w:t>Voting:</w:t>
      </w:r>
    </w:p>
    <w:p>
      <w:pPr>
        <w:spacing w:after="0" w:line="20" w:lineRule="exact"/>
        <w:rPr>
          <w:sz w:val="20"/>
          <w:szCs w:val="20"/>
          <w:color w:val="auto"/>
        </w:rPr>
      </w:pPr>
      <w:r>
        <w:rPr>
          <w:sz w:val="20"/>
          <w:szCs w:val="20"/>
          <w:color w:val="auto"/>
        </w:rPr>
        <w:br w:type="column"/>
      </w:r>
    </w:p>
    <w:p>
      <w:pPr>
        <w:ind w:right="20"/>
        <w:spacing w:after="0" w:line="287" w:lineRule="auto"/>
        <w:rPr>
          <w:sz w:val="20"/>
          <w:szCs w:val="20"/>
          <w:color w:val="auto"/>
        </w:rPr>
      </w:pPr>
      <w:r>
        <w:rPr>
          <w:rFonts w:ascii="Arial" w:cs="Arial" w:eastAsia="Arial" w:hAnsi="Arial"/>
          <w:sz w:val="16"/>
          <w:szCs w:val="16"/>
          <w:color w:val="auto"/>
        </w:rPr>
        <w:t>Amendments and waivers with respect to the Term Credit Documentation shall require the approval of Term Lenders holding not less than 50% of the aggregate amount of the Term Loans, except that (a) the consent of each Term Lender affected thereby shall be required with respect to (i) extensions of the scheduled date of final maturity of any Term Loan, (ii) reductions in the principal amount, rate of interest or any fee or extensions of any due date thereof, (iii) increases in the amount or extensions of the expiry date of any Term Lender’s commitment, (iv) changes to the pro rata sharing provisions and (v) releases of guarantee of Maui or Target (except as contemplated by the Term Credit Documentation), (b) the consent of 100% of the Term Lenders shall be required with respect to modifications to any of the voting percentages and (c) amendments or waivers that adversely affect Term Lenders in one Tranche differently than Term Lenders in another Tranche will require the approval of the Term Lenders holding the majority of Term Loans or commitments under each Tranche which is adversely and differently affected thereby.</w:t>
      </w:r>
    </w:p>
    <w:p>
      <w:pPr>
        <w:spacing w:after="0" w:line="60" w:lineRule="exact"/>
        <w:rPr>
          <w:sz w:val="20"/>
          <w:szCs w:val="20"/>
          <w:color w:val="auto"/>
        </w:rPr>
      </w:pPr>
    </w:p>
    <w:p>
      <w:pPr>
        <w:sectPr>
          <w:pgSz w:w="11900" w:h="16838" w:orient="portrait"/>
          <w:cols w:equalWidth="0" w:num="2">
            <w:col w:w="2460" w:space="720"/>
            <w:col w:w="7320"/>
          </w:cols>
          <w:pgMar w:left="900" w:top="274" w:right="499" w:bottom="1440" w:gutter="0" w:footer="0" w:header="0"/>
          <w:type w:val="continuous"/>
        </w:sectPr>
      </w:pPr>
    </w:p>
    <w:p>
      <w:pPr>
        <w:spacing w:after="0"/>
        <w:rPr>
          <w:sz w:val="20"/>
          <w:szCs w:val="20"/>
          <w:color w:val="auto"/>
        </w:rPr>
      </w:pPr>
      <w:r>
        <w:rPr>
          <w:rFonts w:ascii="Arial" w:cs="Arial" w:eastAsia="Arial" w:hAnsi="Arial"/>
          <w:sz w:val="16"/>
          <w:szCs w:val="16"/>
          <w:color w:val="auto"/>
        </w:rPr>
        <w:t>Assignments and Participations:</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Prior to the Closing Date, the Term Lenders will be permitted to assign commitments under the Term Facility on terms substantially consistent with the first paragraph of Section 10 of the Commitment Letter. From and after the Closing Date, the Term Lenders shall be permitted to assign all or a portion of their loans and commitments with the consent, not to be</w:t>
      </w:r>
    </w:p>
    <w:p>
      <w:pPr>
        <w:spacing w:after="0" w:line="104" w:lineRule="exact"/>
        <w:rPr>
          <w:sz w:val="20"/>
          <w:szCs w:val="20"/>
          <w:color w:val="auto"/>
        </w:rPr>
      </w:pPr>
    </w:p>
    <w:p>
      <w:pPr>
        <w:sectPr>
          <w:pgSz w:w="11900" w:h="16838" w:orient="portrait"/>
          <w:cols w:equalWidth="0" w:num="2">
            <w:col w:w="2460" w:space="720"/>
            <w:col w:w="7320"/>
          </w:cols>
          <w:pgMar w:left="900" w:top="274" w:right="499" w:bottom="1440" w:gutter="0" w:footer="0" w:header="0"/>
          <w:type w:val="continuous"/>
        </w:sectPr>
      </w:pPr>
    </w:p>
    <w:p>
      <w:pPr>
        <w:jc w:val="center"/>
        <w:ind w:right="400"/>
        <w:spacing w:after="0"/>
        <w:rPr>
          <w:sz w:val="20"/>
          <w:szCs w:val="20"/>
          <w:color w:val="auto"/>
        </w:rPr>
      </w:pPr>
      <w:r>
        <w:rPr>
          <w:rFonts w:ascii="Arial" w:cs="Arial" w:eastAsia="Arial" w:hAnsi="Arial"/>
          <w:sz w:val="17"/>
          <w:szCs w:val="17"/>
          <w:color w:val="auto"/>
        </w:rPr>
        <w:t>Exhibit A-5</w:t>
      </w:r>
    </w:p>
    <w:p>
      <w:pPr>
        <w:sectPr>
          <w:pgSz w:w="11900" w:h="16838" w:orient="portrait"/>
          <w:cols w:equalWidth="0" w:num="1">
            <w:col w:w="10500"/>
          </w:cols>
          <w:pgMar w:left="900" w:top="274" w:right="499" w:bottom="1440" w:gutter="0" w:footer="0" w:header="0"/>
          <w:type w:val="continuous"/>
        </w:sectPr>
      </w:pPr>
    </w:p>
    <w:bookmarkStart w:id="180" w:name="page181"/>
    <w:bookmarkEnd w:id="180"/>
    <w:tbl>
      <w:tblPr>
        <w:tblLayout w:type="fixed"/>
        <w:tblInd w:w="0" w:type="dxa"/>
        <w:tblCellMar>
          <w:top w:w="0" w:type="dxa"/>
          <w:left w:w="0" w:type="dxa"/>
          <w:bottom w:w="0" w:type="dxa"/>
          <w:right w:w="0" w:type="dxa"/>
        </w:tblCellMar>
      </w:tblP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unreasonably withheld, conditioned or delayed, of (a) the Borrower, unless (i) the assignee is a Term</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3"/>
              </w:rPr>
              <w:t>Lender, an affiliate of a Term Lender or an approved fund or (ii) a payment or bankruptcy Event of</w:t>
            </w:r>
          </w:p>
        </w:tc>
      </w:tr>
      <w:tr>
        <w:trPr>
          <w:trHeight w:val="190"/>
        </w:trPr>
        <w:tc>
          <w:tcPr>
            <w:tcW w:w="2920" w:type="dxa"/>
            <w:vAlign w:val="bottom"/>
          </w:tcPr>
          <w:p>
            <w:pPr>
              <w:spacing w:after="0"/>
              <w:rPr>
                <w:sz w:val="16"/>
                <w:szCs w:val="16"/>
                <w:color w:val="auto"/>
              </w:rPr>
            </w:pPr>
          </w:p>
        </w:tc>
        <w:tc>
          <w:tcPr>
            <w:tcW w:w="7580" w:type="dxa"/>
            <w:vAlign w:val="bottom"/>
            <w:gridSpan w:val="3"/>
          </w:tcPr>
          <w:p>
            <w:pPr>
              <w:ind w:left="260"/>
              <w:spacing w:after="0" w:line="190" w:lineRule="exact"/>
              <w:rPr>
                <w:sz w:val="20"/>
                <w:szCs w:val="20"/>
                <w:color w:val="auto"/>
              </w:rPr>
            </w:pPr>
            <w:r>
              <w:rPr>
                <w:rFonts w:ascii="Arial" w:cs="Arial" w:eastAsia="Arial" w:hAnsi="Arial"/>
                <w:sz w:val="18"/>
                <w:szCs w:val="18"/>
                <w:color w:val="auto"/>
                <w:w w:val="99"/>
              </w:rPr>
              <w:t>Default has occurred and is continuing, provided that, the Borrower shall be deemed to have</w:t>
            </w:r>
          </w:p>
        </w:tc>
      </w:tr>
      <w:tr>
        <w:trPr>
          <w:trHeight w:val="20"/>
        </w:trPr>
        <w:tc>
          <w:tcPr>
            <w:tcW w:w="292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r>
      <w:tr>
        <w:trPr>
          <w:trHeight w:val="222"/>
        </w:trPr>
        <w:tc>
          <w:tcPr>
            <w:tcW w:w="2920" w:type="dxa"/>
            <w:vAlign w:val="bottom"/>
          </w:tcPr>
          <w:p>
            <w:pPr>
              <w:spacing w:after="0"/>
              <w:rPr>
                <w:sz w:val="19"/>
                <w:szCs w:val="19"/>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2"/>
              </w:rPr>
              <w:t>consented to an assignment of Term Loans unless it shall have objected thereto by written notice to</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the Term Administrative Agent within ten (10) business days after having received notice thereof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5"/>
              </w:rPr>
              <w:t>(b) the Term Administrative Agent, unless Term Loans are being assigned to a Term Lender, an</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6"/>
              </w:rPr>
              <w:t>affiliate of a Term Lender or an approved fund. In the case of partial assignments (other than to</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0"/>
              </w:rPr>
              <w:t>another Term Lender, to an affiliate of a Term Lender or an approved fund), the minimum assignment</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89"/>
              </w:rPr>
              <w:t>amount shall be $1,000,000, in the case of Term Loans, unless a lesser amount shall be agreed by the</w:t>
            </w:r>
          </w:p>
        </w:tc>
      </w:tr>
      <w:tr>
        <w:trPr>
          <w:trHeight w:val="230"/>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rPr>
              <w:t>Borrower and the Term Administrative Agent.</w:t>
            </w:r>
          </w:p>
        </w:tc>
      </w:tr>
      <w:tr>
        <w:trPr>
          <w:trHeight w:val="310"/>
        </w:trPr>
        <w:tc>
          <w:tcPr>
            <w:tcW w:w="2920" w:type="dxa"/>
            <w:vAlign w:val="bottom"/>
          </w:tcPr>
          <w:p>
            <w:pPr>
              <w:spacing w:after="0"/>
              <w:rPr>
                <w:sz w:val="24"/>
                <w:szCs w:val="24"/>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The Term Lenders shall also be permitted to sell participations in their Loans. Participants shall have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0"/>
              </w:rPr>
              <w:t>the same benefits as the Term Lenders with respect to yield protection and increased cost provisions.</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5"/>
              </w:rPr>
              <w:t>Voting rights of participants shall be limited to those matters with respect to which the affirmative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5"/>
              </w:rPr>
              <w:t>vote of the Term Lender from which it purchased its participation would be required as described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under “Voting” above. Pledges of Loans in accordance with applicable law shall be permitted without</w:t>
            </w:r>
          </w:p>
        </w:tc>
      </w:tr>
      <w:tr>
        <w:trPr>
          <w:trHeight w:val="230"/>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rPr>
              <w:t>restriction.</w:t>
            </w:r>
          </w:p>
        </w:tc>
      </w:tr>
      <w:tr>
        <w:trPr>
          <w:trHeight w:val="324"/>
        </w:trPr>
        <w:tc>
          <w:tcPr>
            <w:tcW w:w="2920" w:type="dxa"/>
            <w:vAlign w:val="bottom"/>
          </w:tcPr>
          <w:p>
            <w:pPr>
              <w:spacing w:after="0"/>
              <w:rPr>
                <w:sz w:val="24"/>
                <w:szCs w:val="24"/>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rPr>
              <w:t>No assignments or participations shall be permitted to be made to natural persons.</w:t>
            </w:r>
          </w:p>
        </w:tc>
      </w:tr>
      <w:tr>
        <w:trPr>
          <w:trHeight w:val="310"/>
        </w:trPr>
        <w:tc>
          <w:tcPr>
            <w:tcW w:w="2920" w:type="dxa"/>
            <w:vAlign w:val="bottom"/>
          </w:tcPr>
          <w:p>
            <w:pPr>
              <w:spacing w:after="0"/>
              <w:rPr>
                <w:sz w:val="20"/>
                <w:szCs w:val="20"/>
                <w:color w:val="auto"/>
              </w:rPr>
            </w:pPr>
            <w:r>
              <w:rPr>
                <w:rFonts w:ascii="Arial" w:cs="Arial" w:eastAsia="Arial" w:hAnsi="Arial"/>
                <w:sz w:val="18"/>
                <w:szCs w:val="18"/>
                <w:color w:val="auto"/>
              </w:rPr>
              <w:t>Yield Protection:</w:t>
            </w: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The Term Credit Documentation shall contain customary provisions (a) protecting the Term Lenders</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2"/>
              </w:rPr>
              <w:t>against increased costs or loss of yield resulting from changes in reserve, tax, capital adequacy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4"/>
              </w:rPr>
              <w:t>other requirements of law and from the imposition of or changes in withholding or other taxes and</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4"/>
              </w:rPr>
              <w:t>(b) indemnifying the Term Lenders for “breakage costs” incurred in connection with, among other</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1"/>
              </w:rPr>
              <w:t>things, any prepayment of a Eurodollar Loan (as defined in Annex I) on a day other than the last day</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8"/>
              </w:rPr>
              <w:t>of an interest period with respect thereto. The Dodd-Frank Wall Street Reform and Consumer</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4"/>
              </w:rPr>
              <w:t>Protection Act and Basel III (and all requests, rules, guidelines or directives relating to each of the</w:t>
            </w:r>
          </w:p>
        </w:tc>
      </w:tr>
      <w:tr>
        <w:trPr>
          <w:trHeight w:val="216"/>
        </w:trPr>
        <w:tc>
          <w:tcPr>
            <w:tcW w:w="2920" w:type="dxa"/>
            <w:vAlign w:val="bottom"/>
          </w:tcPr>
          <w:p>
            <w:pPr>
              <w:spacing w:after="0"/>
              <w:rPr>
                <w:sz w:val="18"/>
                <w:szCs w:val="18"/>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2"/>
              </w:rPr>
              <w:t>foregoing or issued in connection therewith) shall be deemed to be changes in law after the Closing</w:t>
            </w:r>
          </w:p>
        </w:tc>
      </w:tr>
      <w:tr>
        <w:trPr>
          <w:trHeight w:val="230"/>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rPr>
              <w:t>Date regardless of the date enacted, adopted or issued.</w:t>
            </w:r>
          </w:p>
        </w:tc>
      </w:tr>
      <w:tr>
        <w:trPr>
          <w:trHeight w:val="310"/>
        </w:trPr>
        <w:tc>
          <w:tcPr>
            <w:tcW w:w="2920" w:type="dxa"/>
            <w:vAlign w:val="bottom"/>
          </w:tcPr>
          <w:p>
            <w:pPr>
              <w:spacing w:after="0"/>
              <w:rPr>
                <w:sz w:val="20"/>
                <w:szCs w:val="20"/>
                <w:color w:val="auto"/>
              </w:rPr>
            </w:pPr>
            <w:r>
              <w:rPr>
                <w:rFonts w:ascii="Arial" w:cs="Arial" w:eastAsia="Arial" w:hAnsi="Arial"/>
                <w:sz w:val="18"/>
                <w:szCs w:val="18"/>
                <w:color w:val="auto"/>
              </w:rPr>
              <w:t>Limitation of Liability, Expenses and</w:t>
            </w: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2"/>
              </w:rPr>
              <w:t>Subject to the limitations consistent with those set forth in Section 7(a) of the Commitment Letter to</w:t>
            </w:r>
          </w:p>
        </w:tc>
      </w:tr>
      <w:tr>
        <w:trPr>
          <w:trHeight w:val="216"/>
        </w:trPr>
        <w:tc>
          <w:tcPr>
            <w:tcW w:w="2920" w:type="dxa"/>
            <w:vAlign w:val="bottom"/>
          </w:tcPr>
          <w:p>
            <w:pPr>
              <w:spacing w:after="0"/>
              <w:rPr>
                <w:sz w:val="20"/>
                <w:szCs w:val="20"/>
                <w:color w:val="auto"/>
              </w:rPr>
            </w:pPr>
            <w:r>
              <w:rPr>
                <w:rFonts w:ascii="Arial" w:cs="Arial" w:eastAsia="Arial" w:hAnsi="Arial"/>
                <w:sz w:val="18"/>
                <w:szCs w:val="18"/>
                <w:color w:val="auto"/>
              </w:rPr>
              <w:t>Indemnity:</w:t>
            </w: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w w:val="98"/>
              </w:rPr>
              <w:t>which this Exhibit A is attached, as applicable, the Term Administrative Agent, the Term Lead</w:t>
            </w:r>
          </w:p>
        </w:tc>
      </w:tr>
      <w:tr>
        <w:trPr>
          <w:trHeight w:val="230"/>
        </w:trPr>
        <w:tc>
          <w:tcPr>
            <w:tcW w:w="2920" w:type="dxa"/>
            <w:vAlign w:val="bottom"/>
          </w:tcPr>
          <w:p>
            <w:pPr>
              <w:spacing w:after="0"/>
              <w:rPr>
                <w:sz w:val="20"/>
                <w:szCs w:val="20"/>
                <w:color w:val="auto"/>
              </w:rPr>
            </w:pPr>
          </w:p>
        </w:tc>
        <w:tc>
          <w:tcPr>
            <w:tcW w:w="7580" w:type="dxa"/>
            <w:vAlign w:val="bottom"/>
            <w:gridSpan w:val="3"/>
          </w:tcPr>
          <w:p>
            <w:pPr>
              <w:ind w:left="260"/>
              <w:spacing w:after="0"/>
              <w:rPr>
                <w:sz w:val="20"/>
                <w:szCs w:val="20"/>
                <w:color w:val="auto"/>
              </w:rPr>
            </w:pPr>
            <w:r>
              <w:rPr>
                <w:rFonts w:ascii="Arial" w:cs="Arial" w:eastAsia="Arial" w:hAnsi="Arial"/>
                <w:sz w:val="18"/>
                <w:szCs w:val="18"/>
                <w:color w:val="auto"/>
              </w:rPr>
              <w:t>Arranger and the Term Lenders (and their affiliates</w:t>
            </w:r>
          </w:p>
        </w:tc>
      </w:tr>
      <w:tr>
        <w:trPr>
          <w:trHeight w:val="364"/>
        </w:trPr>
        <w:tc>
          <w:tcPr>
            <w:tcW w:w="2920" w:type="dxa"/>
            <w:vAlign w:val="bottom"/>
          </w:tcPr>
          <w:p>
            <w:pPr>
              <w:spacing w:after="0"/>
              <w:rPr>
                <w:sz w:val="24"/>
                <w:szCs w:val="24"/>
                <w:color w:val="auto"/>
              </w:rPr>
            </w:pPr>
          </w:p>
        </w:tc>
        <w:tc>
          <w:tcPr>
            <w:tcW w:w="7580" w:type="dxa"/>
            <w:vAlign w:val="bottom"/>
            <w:gridSpan w:val="3"/>
          </w:tcPr>
          <w:p>
            <w:pPr>
              <w:ind w:left="1700"/>
              <w:spacing w:after="0"/>
              <w:rPr>
                <w:sz w:val="20"/>
                <w:szCs w:val="20"/>
                <w:color w:val="auto"/>
              </w:rPr>
            </w:pPr>
            <w:r>
              <w:rPr>
                <w:rFonts w:ascii="Arial" w:cs="Arial" w:eastAsia="Arial" w:hAnsi="Arial"/>
                <w:sz w:val="18"/>
                <w:szCs w:val="18"/>
                <w:color w:val="auto"/>
              </w:rPr>
              <w:t>Exhibit A-6</w:t>
            </w:r>
          </w:p>
        </w:tc>
      </w:tr>
    </w:tbl>
    <w:p>
      <w:pPr>
        <w:ind w:left="1700"/>
        <w:spacing w:after="0"/>
        <w:rPr>
          <w:sz w:val="20"/>
          <w:szCs w:val="20"/>
          <w:color w:val="auto"/>
        </w:rPr>
        <w:sectPr>
          <w:pgSz w:w="11900" w:h="16838" w:orient="portrait"/>
          <w:cols w:equalWidth="0" w:num="1">
            <w:col w:w="10500"/>
          </w:cols>
          <w:pgMar w:left="900" w:top="274" w:right="49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bookmarkStart w:id="181" w:name="page182"/>
    <w:bookmarkEnd w:id="181"/>
    <w:p>
      <w:pPr>
        <w:ind w:left="2640" w:right="8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Term Facility or the Term Credit Documentation. As used herein, the term “</w:t>
      </w:r>
      <w:r>
        <w:rPr>
          <w:rFonts w:ascii="Arial" w:cs="Arial" w:eastAsia="Arial" w:hAnsi="Arial"/>
          <w:sz w:val="16"/>
          <w:szCs w:val="16"/>
          <w:b w:val="1"/>
          <w:bCs w:val="1"/>
          <w:i w:val="1"/>
          <w:iCs w:val="1"/>
          <w:color w:val="auto"/>
        </w:rPr>
        <w:t>Liabilities</w:t>
      </w:r>
      <w:r>
        <w:rPr>
          <w:rFonts w:ascii="Arial" w:cs="Arial" w:eastAsia="Arial" w:hAnsi="Arial"/>
          <w:sz w:val="16"/>
          <w:szCs w:val="16"/>
          <w:color w:val="auto"/>
        </w:rPr>
        <w:t>” shall mean any losses, claims (including intraparty claims), demands, damages or liabilities of any kind.</w:t>
      </w:r>
    </w:p>
    <w:p>
      <w:pPr>
        <w:spacing w:after="0" w:line="53" w:lineRule="exact"/>
        <w:rPr>
          <w:sz w:val="20"/>
          <w:szCs w:val="20"/>
          <w:color w:val="auto"/>
        </w:rPr>
      </w:pPr>
    </w:p>
    <w:p>
      <w:pPr>
        <w:ind w:left="2640"/>
        <w:spacing w:after="0" w:line="290" w:lineRule="auto"/>
        <w:rPr>
          <w:sz w:val="20"/>
          <w:szCs w:val="20"/>
          <w:color w:val="auto"/>
        </w:rPr>
      </w:pPr>
      <w:r>
        <w:rPr>
          <w:rFonts w:ascii="Arial" w:cs="Arial" w:eastAsia="Arial" w:hAnsi="Arial"/>
          <w:sz w:val="16"/>
          <w:szCs w:val="16"/>
          <w:color w:val="auto"/>
        </w:rPr>
        <w:t>Subject to the limitations consistent with those set forth in Section 7(b) of the Commitment Letter to which this Exhibit A is attached, as applicable, the Borrower shall pay (a) all reasonable out-of-pocket expenses of the Term Administrative Agent and the Term Lead Arranger associated with the syndication of the Term Facility and the preparation, execution, delivery and administration of the Term Credit Documentation and any amendment, modification or waiver with respect thereto (including the reasonable fees, disbursements and other charges of counsel) and (b) all out-of-pocket expenses of the Term Administrative Agent and the Term Lenders (including the fees, disbursements and other charges of counsel) in connection with the enforcement of the Term Credit Documentation.</w:t>
      </w:r>
    </w:p>
    <w:p>
      <w:pPr>
        <w:spacing w:after="0" w:line="57" w:lineRule="exact"/>
        <w:rPr>
          <w:sz w:val="20"/>
          <w:szCs w:val="20"/>
          <w:color w:val="auto"/>
        </w:rPr>
      </w:pPr>
    </w:p>
    <w:p>
      <w:pPr>
        <w:ind w:left="2640" w:right="120"/>
        <w:spacing w:after="0" w:line="284" w:lineRule="auto"/>
        <w:rPr>
          <w:sz w:val="20"/>
          <w:szCs w:val="20"/>
          <w:color w:val="auto"/>
        </w:rPr>
      </w:pPr>
      <w:r>
        <w:rPr>
          <w:rFonts w:ascii="Arial" w:cs="Arial" w:eastAsia="Arial" w:hAnsi="Arial"/>
          <w:sz w:val="16"/>
          <w:szCs w:val="16"/>
          <w:color w:val="auto"/>
        </w:rPr>
        <w:t>Subject to the limitations consistent with those set forth in Section 7(b) of the Commitment Letter to which this Exhibit A is attached, as applicable, the Term Administrative Agent, the Term Lead Arranger and the Term Lenders (and their respective affiliates and their respective officers, directors, employees, advisors and agents) (each a “</w:t>
      </w:r>
      <w:r>
        <w:rPr>
          <w:rFonts w:ascii="Arial" w:cs="Arial" w:eastAsia="Arial" w:hAnsi="Arial"/>
          <w:sz w:val="16"/>
          <w:szCs w:val="16"/>
          <w:b w:val="1"/>
          <w:bCs w:val="1"/>
          <w:i w:val="1"/>
          <w:iCs w:val="1"/>
          <w:color w:val="auto"/>
        </w:rPr>
        <w:t>Indemnified Person</w:t>
      </w:r>
      <w:r>
        <w:rPr>
          <w:rFonts w:ascii="Arial" w:cs="Arial" w:eastAsia="Arial" w:hAnsi="Arial"/>
          <w:sz w:val="16"/>
          <w:szCs w:val="16"/>
          <w:color w:val="auto"/>
        </w:rPr>
        <w:t>”) will be indemnified and held harmless against, any Liabilities or expenses (including the fees, disbursements and other charges of counsel) incurred by such Indemnified Person in connection with or as a result of (i) the execution and delivery of the Term Credit Documentation and any agreement or instrument contemplated thereby; (ii) the funding of the Term Facility, or the use or the proposed use of proceeds thereof;</w:t>
      </w:r>
    </w:p>
    <w:p>
      <w:pPr>
        <w:spacing w:after="0" w:line="1" w:lineRule="exact"/>
        <w:rPr>
          <w:sz w:val="20"/>
          <w:szCs w:val="20"/>
          <w:color w:val="auto"/>
        </w:rPr>
      </w:pPr>
    </w:p>
    <w:p>
      <w:pPr>
        <w:ind w:left="2640" w:right="20" w:firstLine="1"/>
        <w:spacing w:after="0" w:line="268" w:lineRule="auto"/>
        <w:tabs>
          <w:tab w:leader="none" w:pos="2955" w:val="left"/>
        </w:tabs>
        <w:numPr>
          <w:ilvl w:val="0"/>
          <w:numId w:val="230"/>
        </w:numPr>
        <w:rPr>
          <w:rFonts w:ascii="Arial" w:cs="Arial" w:eastAsia="Arial" w:hAnsi="Arial"/>
          <w:sz w:val="17"/>
          <w:szCs w:val="17"/>
          <w:color w:val="auto"/>
        </w:rPr>
      </w:pPr>
      <w:r>
        <w:rPr>
          <w:rFonts w:ascii="Arial" w:cs="Arial" w:eastAsia="Arial" w:hAnsi="Arial"/>
          <w:sz w:val="17"/>
          <w:szCs w:val="17"/>
          <w:color w:val="auto"/>
        </w:rPr>
        <w:t>any act or omission of the Term Administrative Agent in connection with the administration of the Term Credit Documentation; and (iv) any actual or prospective claim, litigation, investigation, arbitration or administrative, judicial or regulatory action or proceeding (each, a “</w:t>
      </w:r>
      <w:r>
        <w:rPr>
          <w:rFonts w:ascii="Arial" w:cs="Arial" w:eastAsia="Arial" w:hAnsi="Arial"/>
          <w:sz w:val="17"/>
          <w:szCs w:val="17"/>
          <w:b w:val="1"/>
          <w:bCs w:val="1"/>
          <w:i w:val="1"/>
          <w:iCs w:val="1"/>
          <w:color w:val="auto"/>
        </w:rPr>
        <w:t>Proceeding</w:t>
      </w:r>
      <w:r>
        <w:rPr>
          <w:rFonts w:ascii="Arial" w:cs="Arial" w:eastAsia="Arial" w:hAnsi="Arial"/>
          <w:sz w:val="17"/>
          <w:szCs w:val="17"/>
          <w:color w:val="auto"/>
        </w:rPr>
        <w:t xml:space="preserve">”) in any jurisdiction relating to any of the foregoing (including in relation to enforcing the terms of the limitation of liability and indemnification referred to above), regardless of whether or not any Indemnified Person is a party thereto and whether or not such Proceeding is brought by the Borrower, its affiliates or equity holders or any other party;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indemnification shall not, as to any Indemnified Person, be available to the extent that such Liabilities or expenses are determined by a court of competent jurisdiction by final and</w:t>
      </w:r>
    </w:p>
    <w:p>
      <w:pPr>
        <w:spacing w:after="0" w:line="114" w:lineRule="exact"/>
        <w:rPr>
          <w:sz w:val="20"/>
          <w:szCs w:val="20"/>
          <w:color w:val="auto"/>
        </w:rPr>
      </w:pPr>
    </w:p>
    <w:p>
      <w:pPr>
        <w:ind w:left="4080"/>
        <w:spacing w:after="0"/>
        <w:rPr>
          <w:sz w:val="20"/>
          <w:szCs w:val="20"/>
          <w:color w:val="auto"/>
        </w:rPr>
      </w:pPr>
      <w:r>
        <w:rPr>
          <w:rFonts w:ascii="Arial" w:cs="Arial" w:eastAsia="Arial" w:hAnsi="Arial"/>
          <w:sz w:val="18"/>
          <w:szCs w:val="18"/>
          <w:color w:val="auto"/>
        </w:rPr>
        <w:t>Exhibit A-7</w:t>
      </w:r>
    </w:p>
    <w:p>
      <w:pPr>
        <w:sectPr>
          <w:pgSz w:w="11900" w:h="16838" w:orient="portrait"/>
          <w:cols w:equalWidth="0" w:num="1">
            <w:col w:w="10020"/>
          </w:cols>
          <w:pgMar w:left="1440" w:top="274" w:right="439" w:bottom="1440" w:gutter="0" w:footer="0" w:header="0"/>
        </w:sectPr>
      </w:pPr>
    </w:p>
    <w:bookmarkStart w:id="182" w:name="page183"/>
    <w:bookmarkEnd w:id="182"/>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spacing w:after="0"/>
        <w:rPr>
          <w:sz w:val="20"/>
          <w:szCs w:val="20"/>
          <w:color w:val="auto"/>
        </w:rPr>
      </w:pPr>
      <w:r>
        <w:rPr>
          <w:rFonts w:ascii="Arial" w:cs="Arial" w:eastAsia="Arial" w:hAnsi="Arial"/>
          <w:sz w:val="18"/>
          <w:szCs w:val="18"/>
          <w:color w:val="auto"/>
        </w:rPr>
        <w:t>EU/UK Bail-in:</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ERISA Fiduciary Status: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Delaware Divisions: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Governing Law: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color w:val="auto"/>
        </w:rPr>
        <w:t>Forum:</w:t>
      </w:r>
    </w:p>
    <w:p>
      <w:pPr>
        <w:spacing w:after="0" w:line="200" w:lineRule="exact"/>
        <w:rPr>
          <w:sz w:val="20"/>
          <w:szCs w:val="20"/>
          <w:color w:val="auto"/>
        </w:rPr>
      </w:pPr>
    </w:p>
    <w:p>
      <w:pPr>
        <w:spacing w:after="0" w:line="349" w:lineRule="exact"/>
        <w:rPr>
          <w:sz w:val="20"/>
          <w:szCs w:val="20"/>
          <w:color w:val="auto"/>
        </w:rPr>
      </w:pPr>
    </w:p>
    <w:p>
      <w:pPr>
        <w:jc w:val="both"/>
        <w:spacing w:after="0" w:line="342" w:lineRule="auto"/>
        <w:rPr>
          <w:sz w:val="20"/>
          <w:szCs w:val="20"/>
          <w:color w:val="auto"/>
        </w:rPr>
      </w:pPr>
      <w:r>
        <w:rPr>
          <w:rFonts w:ascii="Arial" w:cs="Arial" w:eastAsia="Arial" w:hAnsi="Arial"/>
          <w:sz w:val="16"/>
          <w:szCs w:val="16"/>
          <w:color w:val="auto"/>
        </w:rPr>
        <w:t>Counsel to the Term Administrative Agent and the Term Lead Arranger:</w:t>
      </w:r>
    </w:p>
    <w:p>
      <w:pPr>
        <w:spacing w:after="0" w:line="20" w:lineRule="exact"/>
        <w:rPr>
          <w:sz w:val="20"/>
          <w:szCs w:val="20"/>
          <w:color w:val="auto"/>
        </w:rPr>
      </w:pPr>
      <w:r>
        <w:rPr>
          <w:sz w:val="20"/>
          <w:szCs w:val="20"/>
          <w:color w:val="auto"/>
        </w:rPr>
        <w:br w:type="column"/>
      </w:r>
    </w:p>
    <w:p>
      <w:pPr>
        <w:ind w:right="140"/>
        <w:spacing w:after="0" w:line="263" w:lineRule="auto"/>
        <w:rPr>
          <w:sz w:val="20"/>
          <w:szCs w:val="20"/>
          <w:color w:val="auto"/>
        </w:rPr>
      </w:pPr>
      <w:r>
        <w:rPr>
          <w:rFonts w:ascii="Arial" w:cs="Arial" w:eastAsia="Arial" w:hAnsi="Arial"/>
          <w:sz w:val="18"/>
          <w:szCs w:val="18"/>
          <w:color w:val="auto"/>
        </w:rPr>
        <w:t>nonappealable judgment to have resulted primarily from the gross negligence, bad faith or willful misconduct of such Indemnified Person in performing its activities or in furnishing its commitments or services under the Term Credit Documentation.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-2381885</wp:posOffset>
            </wp:positionH>
            <wp:positionV relativeFrom="paragraph">
              <wp:posOffset>-516890</wp:posOffset>
            </wp:positionV>
            <wp:extent cx="7149465" cy="260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56"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The Term Credit Documentation shall contain customary European Union/United Kingdom Bail-in provisions.</w:t>
      </w:r>
    </w:p>
    <w:p>
      <w:pPr>
        <w:spacing w:after="0" w:line="62"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The Term Credit Documentation shall contain Term Lender representations as to fiduciary status under ERISA.</w:t>
      </w:r>
    </w:p>
    <w:p>
      <w:pPr>
        <w:spacing w:after="0" w:line="62"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Term Credit Documentation shall contain customary provisions related to divisions and plans of division under Delaware law.</w:t>
      </w:r>
    </w:p>
    <w:p>
      <w:pPr>
        <w:spacing w:after="0" w:line="62"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 xml:space="preserve">State of New York;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 the interpretation of the definition of “Target Material Adverse Effect” (and whether or not a “Target Material Adverse Effect” has occurred or would reasonably be expected to occur), (b) the determination of the accuracy of any Acquisition Agreement Representations and whether as a result of any inaccuracy of any Acquisition Agreement Representation there has been a failure of a condition precedent to the Borrower’s (or its affiliates’) obligation to consummate the Acquisition or such failure gives the Borrower the right to terminate its (or its affiliates’) obligations under the Acquisition Agreement and (c) the determination of whether the Acquisition has been consummated in accordance with the terms of the Acquisition Agreement shall, in each case, be governed by, and construed and interpreted in accordance with, the internal laws and judicial decisions of the State of Delaware applicable to agreements executed and performed entirely within such State without giving effect to any choice or conflict of laws provision or rule (whether of the State of Delaware or any other jurisdiction) that would cause the application of laws of any jurisdiction other than the State of Delaware.</w:t>
      </w:r>
    </w:p>
    <w:p>
      <w:pPr>
        <w:spacing w:after="0" w:line="78" w:lineRule="exact"/>
        <w:rPr>
          <w:sz w:val="20"/>
          <w:szCs w:val="20"/>
          <w:color w:val="auto"/>
        </w:rPr>
      </w:pPr>
    </w:p>
    <w:p>
      <w:pPr>
        <w:ind w:right="160"/>
        <w:spacing w:after="0" w:line="286" w:lineRule="auto"/>
        <w:rPr>
          <w:sz w:val="20"/>
          <w:szCs w:val="20"/>
          <w:color w:val="auto"/>
        </w:rPr>
      </w:pPr>
      <w:r>
        <w:rPr>
          <w:rFonts w:ascii="Arial" w:cs="Arial" w:eastAsia="Arial" w:hAnsi="Arial"/>
          <w:sz w:val="17"/>
          <w:szCs w:val="17"/>
          <w:color w:val="auto"/>
        </w:rPr>
        <w:t>United States District Court for the Southern District of New York sitting in the Borough of Manhattan (or if such court lacks subject matter jurisdiction, the Supreme Court of the State of New York sitting in the Borough of Manhattan), and any appellate court from any thereof.</w:t>
      </w:r>
    </w:p>
    <w:p>
      <w:pPr>
        <w:spacing w:after="0" w:line="57" w:lineRule="exact"/>
        <w:rPr>
          <w:sz w:val="20"/>
          <w:szCs w:val="20"/>
          <w:color w:val="auto"/>
        </w:rPr>
      </w:pPr>
    </w:p>
    <w:p>
      <w:pPr>
        <w:spacing w:after="0"/>
        <w:rPr>
          <w:sz w:val="20"/>
          <w:szCs w:val="20"/>
          <w:color w:val="auto"/>
        </w:rPr>
      </w:pPr>
      <w:r>
        <w:rPr>
          <w:rFonts w:ascii="Arial" w:cs="Arial" w:eastAsia="Arial" w:hAnsi="Arial"/>
          <w:sz w:val="18"/>
          <w:szCs w:val="18"/>
          <w:color w:val="auto"/>
        </w:rPr>
        <w:t>Davis Polk &amp; Wardwell LLP.</w:t>
      </w:r>
    </w:p>
    <w:p>
      <w:pPr>
        <w:spacing w:after="0" w:line="374" w:lineRule="exact"/>
        <w:rPr>
          <w:sz w:val="20"/>
          <w:szCs w:val="20"/>
          <w:color w:val="auto"/>
        </w:rPr>
      </w:pPr>
    </w:p>
    <w:p>
      <w:pPr>
        <w:ind w:left="1440"/>
        <w:spacing w:after="0"/>
        <w:rPr>
          <w:sz w:val="20"/>
          <w:szCs w:val="20"/>
          <w:color w:val="auto"/>
        </w:rPr>
      </w:pPr>
      <w:r>
        <w:rPr>
          <w:rFonts w:ascii="Arial" w:cs="Arial" w:eastAsia="Arial" w:hAnsi="Arial"/>
          <w:sz w:val="18"/>
          <w:szCs w:val="18"/>
          <w:color w:val="auto"/>
        </w:rPr>
        <w:t>Exhibit A-8</w:t>
      </w:r>
    </w:p>
    <w:p>
      <w:pPr>
        <w:sectPr>
          <w:pgSz w:w="11900" w:h="16838" w:orient="portrait"/>
          <w:cols w:equalWidth="0" w:num="2">
            <w:col w:w="2580" w:space="600"/>
            <w:col w:w="7360"/>
          </w:cols>
          <w:pgMar w:left="900" w:top="274" w:right="459" w:bottom="1440" w:gutter="0" w:footer="0" w:header="0"/>
        </w:sectPr>
      </w:pPr>
    </w:p>
    <w:bookmarkStart w:id="183" w:name="page184"/>
    <w:bookmarkEnd w:id="183"/>
    <w:tbl>
      <w:tblPr>
        <w:tblLayout w:type="fixed"/>
        <w:tblInd w:w="0" w:type="dxa"/>
        <w:tblCellMar>
          <w:top w:w="0" w:type="dxa"/>
          <w:left w:w="0" w:type="dxa"/>
          <w:bottom w:w="0" w:type="dxa"/>
          <w:right w:w="0" w:type="dxa"/>
        </w:tblCellMar>
      </w:tblPr>
      <w:tr>
        <w:trPr>
          <w:trHeight w:val="207"/>
        </w:trPr>
        <w:tc>
          <w:tcPr>
            <w:tcW w:w="240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Annex I</w:t>
            </w:r>
          </w:p>
        </w:tc>
        <w:tc>
          <w:tcPr>
            <w:tcW w:w="0" w:type="dxa"/>
            <w:vAlign w:val="bottom"/>
          </w:tcPr>
          <w:p>
            <w:pPr>
              <w:spacing w:after="0"/>
              <w:rPr>
                <w:sz w:val="1"/>
                <w:szCs w:val="1"/>
                <w:color w:val="auto"/>
              </w:rPr>
            </w:pPr>
          </w:p>
        </w:tc>
      </w:tr>
      <w:tr>
        <w:trPr>
          <w:trHeight w:val="412"/>
        </w:trPr>
        <w:tc>
          <w:tcPr>
            <w:tcW w:w="240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0" w:type="dxa"/>
            <w:vAlign w:val="bottom"/>
            <w:gridSpan w:val="6"/>
          </w:tcPr>
          <w:p>
            <w:pPr>
              <w:jc w:val="center"/>
              <w:ind w:right="800"/>
              <w:spacing w:after="0"/>
              <w:rPr>
                <w:sz w:val="20"/>
                <w:szCs w:val="20"/>
                <w:color w:val="auto"/>
              </w:rPr>
            </w:pPr>
            <w:r>
              <w:rPr>
                <w:rFonts w:ascii="Arial" w:cs="Arial" w:eastAsia="Arial" w:hAnsi="Arial"/>
                <w:sz w:val="18"/>
                <w:szCs w:val="18"/>
                <w:color w:val="auto"/>
                <w:w w:val="88"/>
              </w:rPr>
              <w:t>Interest and Certain Fees</w:t>
            </w: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1800" w:type="dxa"/>
            <w:vAlign w:val="bottom"/>
            <w:gridSpan w:val="3"/>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640" w:type="dxa"/>
            <w:vAlign w:val="bottom"/>
            <w:gridSpan w:val="4"/>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780" w:type="dxa"/>
            <w:vAlign w:val="bottom"/>
            <w:gridSpan w:val="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73"/>
        </w:trPr>
        <w:tc>
          <w:tcPr>
            <w:tcW w:w="2400" w:type="dxa"/>
            <w:vAlign w:val="bottom"/>
          </w:tcPr>
          <w:p>
            <w:pPr>
              <w:spacing w:after="0"/>
              <w:rPr>
                <w:sz w:val="20"/>
                <w:szCs w:val="20"/>
                <w:color w:val="auto"/>
              </w:rPr>
            </w:pPr>
            <w:r>
              <w:rPr>
                <w:rFonts w:ascii="Arial" w:cs="Arial" w:eastAsia="Arial" w:hAnsi="Arial"/>
                <w:sz w:val="18"/>
                <w:szCs w:val="18"/>
                <w:color w:val="auto"/>
              </w:rPr>
              <w:t>Interest Rate Options:</w:t>
            </w:r>
          </w:p>
        </w:tc>
        <w:tc>
          <w:tcPr>
            <w:tcW w:w="8640" w:type="dxa"/>
            <w:vAlign w:val="bottom"/>
            <w:gridSpan w:val="20"/>
          </w:tcPr>
          <w:p>
            <w:pPr>
              <w:ind w:left="800"/>
              <w:spacing w:after="0"/>
              <w:rPr>
                <w:sz w:val="20"/>
                <w:szCs w:val="20"/>
                <w:color w:val="auto"/>
              </w:rPr>
            </w:pPr>
            <w:r>
              <w:rPr>
                <w:rFonts w:ascii="Arial" w:cs="Arial" w:eastAsia="Arial" w:hAnsi="Arial"/>
                <w:sz w:val="18"/>
                <w:szCs w:val="18"/>
                <w:color w:val="auto"/>
                <w:w w:val="92"/>
              </w:rPr>
              <w:t xml:space="preserve">The Borrower may elect that the Term Loans comprising each borrowing bear interest at a rate </w:t>
            </w:r>
            <w:r>
              <w:rPr>
                <w:rFonts w:ascii="Arial" w:cs="Arial" w:eastAsia="Arial" w:hAnsi="Arial"/>
                <w:sz w:val="18"/>
                <w:szCs w:val="18"/>
                <w:i w:val="1"/>
                <w:iCs w:val="1"/>
                <w:color w:val="auto"/>
                <w:w w:val="92"/>
              </w:rPr>
              <w:t>per annum</w:t>
            </w:r>
          </w:p>
        </w:tc>
        <w:tc>
          <w:tcPr>
            <w:tcW w:w="0" w:type="dxa"/>
            <w:vAlign w:val="bottom"/>
          </w:tcPr>
          <w:p>
            <w:pPr>
              <w:spacing w:after="0"/>
              <w:rPr>
                <w:sz w:val="1"/>
                <w:szCs w:val="1"/>
                <w:color w:val="auto"/>
              </w:rPr>
            </w:pPr>
          </w:p>
        </w:tc>
      </w:tr>
      <w:tr>
        <w:trPr>
          <w:trHeight w:val="230"/>
        </w:trPr>
        <w:tc>
          <w:tcPr>
            <w:tcW w:w="2400" w:type="dxa"/>
            <w:vAlign w:val="bottom"/>
          </w:tcPr>
          <w:p>
            <w:pPr>
              <w:spacing w:after="0"/>
              <w:rPr>
                <w:sz w:val="20"/>
                <w:szCs w:val="20"/>
                <w:color w:val="auto"/>
              </w:rPr>
            </w:pPr>
          </w:p>
        </w:tc>
        <w:tc>
          <w:tcPr>
            <w:tcW w:w="2140" w:type="dxa"/>
            <w:vAlign w:val="bottom"/>
          </w:tcPr>
          <w:p>
            <w:pPr>
              <w:ind w:left="800"/>
              <w:spacing w:after="0"/>
              <w:rPr>
                <w:sz w:val="20"/>
                <w:szCs w:val="20"/>
                <w:color w:val="auto"/>
              </w:rPr>
            </w:pPr>
            <w:r>
              <w:rPr>
                <w:rFonts w:ascii="Arial" w:cs="Arial" w:eastAsia="Arial" w:hAnsi="Arial"/>
                <w:sz w:val="18"/>
                <w:szCs w:val="18"/>
                <w:color w:val="auto"/>
              </w:rPr>
              <w:t>equal to:</w:t>
            </w:r>
          </w:p>
        </w:tc>
        <w:tc>
          <w:tcPr>
            <w:tcW w:w="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4800" w:type="dxa"/>
            <w:vAlign w:val="bottom"/>
            <w:gridSpan w:val="8"/>
          </w:tcPr>
          <w:p>
            <w:pPr>
              <w:ind w:left="800"/>
              <w:spacing w:after="0"/>
              <w:rPr>
                <w:sz w:val="20"/>
                <w:szCs w:val="20"/>
                <w:color w:val="auto"/>
              </w:rPr>
            </w:pPr>
            <w:r>
              <w:rPr>
                <w:rFonts w:ascii="Arial" w:cs="Arial" w:eastAsia="Arial" w:hAnsi="Arial"/>
                <w:sz w:val="18"/>
                <w:szCs w:val="18"/>
                <w:color w:val="auto"/>
              </w:rPr>
              <w:t>the ABR plus the Applicable ABR Margin; or</w:t>
            </w: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6360" w:type="dxa"/>
            <w:vAlign w:val="bottom"/>
            <w:gridSpan w:val="12"/>
          </w:tcPr>
          <w:p>
            <w:pPr>
              <w:ind w:left="800"/>
              <w:spacing w:after="0"/>
              <w:rPr>
                <w:sz w:val="20"/>
                <w:szCs w:val="20"/>
                <w:color w:val="auto"/>
              </w:rPr>
            </w:pPr>
            <w:r>
              <w:rPr>
                <w:rFonts w:ascii="Arial" w:cs="Arial" w:eastAsia="Arial" w:hAnsi="Arial"/>
                <w:sz w:val="18"/>
                <w:szCs w:val="18"/>
                <w:color w:val="auto"/>
              </w:rPr>
              <w:t>the Adjusted LIBO Rate plus the Applicable LIBO Margin.</w:t>
            </w: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2400" w:type="dxa"/>
            <w:vAlign w:val="bottom"/>
          </w:tcPr>
          <w:p>
            <w:pPr>
              <w:spacing w:after="0"/>
              <w:rPr>
                <w:sz w:val="24"/>
                <w:szCs w:val="24"/>
                <w:color w:val="auto"/>
              </w:rPr>
            </w:pPr>
          </w:p>
        </w:tc>
        <w:tc>
          <w:tcPr>
            <w:tcW w:w="2140" w:type="dxa"/>
            <w:vAlign w:val="bottom"/>
          </w:tcPr>
          <w:p>
            <w:pPr>
              <w:ind w:left="800"/>
              <w:spacing w:after="0"/>
              <w:rPr>
                <w:sz w:val="20"/>
                <w:szCs w:val="20"/>
                <w:color w:val="auto"/>
              </w:rPr>
            </w:pPr>
            <w:r>
              <w:rPr>
                <w:rFonts w:ascii="Arial" w:cs="Arial" w:eastAsia="Arial" w:hAnsi="Arial"/>
                <w:sz w:val="18"/>
                <w:szCs w:val="18"/>
                <w:color w:val="auto"/>
              </w:rPr>
              <w:t>As used herein:</w:t>
            </w:r>
          </w:p>
        </w:tc>
        <w:tc>
          <w:tcPr>
            <w:tcW w:w="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0"/>
        </w:trPr>
        <w:tc>
          <w:tcPr>
            <w:tcW w:w="2400" w:type="dxa"/>
            <w:vAlign w:val="bottom"/>
          </w:tcPr>
          <w:p>
            <w:pPr>
              <w:spacing w:after="0"/>
              <w:rPr>
                <w:sz w:val="24"/>
                <w:szCs w:val="24"/>
                <w:color w:val="auto"/>
              </w:rPr>
            </w:pPr>
          </w:p>
        </w:tc>
        <w:tc>
          <w:tcPr>
            <w:tcW w:w="8640" w:type="dxa"/>
            <w:vAlign w:val="bottom"/>
            <w:gridSpan w:val="20"/>
          </w:tcPr>
          <w:p>
            <w:pPr>
              <w:ind w:left="80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b w:val="1"/>
                <w:bCs w:val="1"/>
                <w:i w:val="1"/>
                <w:iCs w:val="1"/>
                <w:color w:val="auto"/>
                <w:w w:val="92"/>
              </w:rPr>
              <w:t>ABR</w:t>
            </w:r>
            <w:r>
              <w:rPr>
                <w:rFonts w:ascii="Arial" w:cs="Arial" w:eastAsia="Arial" w:hAnsi="Arial"/>
                <w:sz w:val="18"/>
                <w:szCs w:val="18"/>
                <w:color w:val="auto"/>
                <w:w w:val="92"/>
              </w:rPr>
              <w:t>” means the highest of (i) the rate of interest last quoted by The Wall Street Journal in the U.S. as the</w:t>
            </w:r>
          </w:p>
        </w:tc>
        <w:tc>
          <w:tcPr>
            <w:tcW w:w="0" w:type="dxa"/>
            <w:vAlign w:val="bottom"/>
          </w:tcPr>
          <w:p>
            <w:pPr>
              <w:spacing w:after="0"/>
              <w:rPr>
                <w:sz w:val="1"/>
                <w:szCs w:val="1"/>
                <w:color w:val="auto"/>
              </w:rPr>
            </w:pPr>
          </w:p>
        </w:tc>
      </w:tr>
      <w:tr>
        <w:trPr>
          <w:trHeight w:val="190"/>
        </w:trPr>
        <w:tc>
          <w:tcPr>
            <w:tcW w:w="2400" w:type="dxa"/>
            <w:vAlign w:val="bottom"/>
          </w:tcPr>
          <w:p>
            <w:pPr>
              <w:spacing w:after="0"/>
              <w:rPr>
                <w:sz w:val="16"/>
                <w:szCs w:val="16"/>
                <w:color w:val="auto"/>
              </w:rPr>
            </w:pPr>
          </w:p>
        </w:tc>
        <w:tc>
          <w:tcPr>
            <w:tcW w:w="8640" w:type="dxa"/>
            <w:vAlign w:val="bottom"/>
            <w:gridSpan w:val="20"/>
          </w:tcPr>
          <w:p>
            <w:pPr>
              <w:ind w:left="800"/>
              <w:spacing w:after="0" w:line="190" w:lineRule="exact"/>
              <w:rPr>
                <w:sz w:val="20"/>
                <w:szCs w:val="20"/>
                <w:color w:val="auto"/>
              </w:rPr>
            </w:pPr>
            <w:r>
              <w:rPr>
                <w:rFonts w:ascii="Arial" w:cs="Arial" w:eastAsia="Arial" w:hAnsi="Arial"/>
                <w:sz w:val="18"/>
                <w:szCs w:val="18"/>
                <w:color w:val="auto"/>
                <w:w w:val="99"/>
              </w:rPr>
              <w:t>prime rate in effect (the “</w:t>
            </w:r>
            <w:r>
              <w:rPr>
                <w:rFonts w:ascii="Arial" w:cs="Arial" w:eastAsia="Arial" w:hAnsi="Arial"/>
                <w:sz w:val="18"/>
                <w:szCs w:val="18"/>
                <w:b w:val="1"/>
                <w:bCs w:val="1"/>
                <w:i w:val="1"/>
                <w:iCs w:val="1"/>
                <w:color w:val="auto"/>
                <w:w w:val="99"/>
              </w:rPr>
              <w:t>Prime Rate</w:t>
            </w:r>
            <w:r>
              <w:rPr>
                <w:rFonts w:ascii="Arial" w:cs="Arial" w:eastAsia="Arial" w:hAnsi="Arial"/>
                <w:sz w:val="18"/>
                <w:szCs w:val="18"/>
                <w:color w:val="auto"/>
                <w:w w:val="99"/>
              </w:rPr>
              <w:t>”), (ii) the NYFRB Rate from time to time plus 0.5% and (iii) the</w:t>
            </w: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4620" w:type="dxa"/>
            <w:vAlign w:val="bottom"/>
            <w:gridSpan w:val="6"/>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1640" w:type="dxa"/>
            <w:vAlign w:val="bottom"/>
            <w:gridSpan w:val="4"/>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780" w:type="dxa"/>
            <w:vAlign w:val="bottom"/>
            <w:gridSpan w:val="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400" w:type="dxa"/>
            <w:vAlign w:val="bottom"/>
          </w:tcPr>
          <w:p>
            <w:pPr>
              <w:spacing w:after="0"/>
              <w:rPr>
                <w:sz w:val="17"/>
                <w:szCs w:val="17"/>
                <w:color w:val="auto"/>
              </w:rPr>
            </w:pPr>
          </w:p>
        </w:tc>
        <w:tc>
          <w:tcPr>
            <w:tcW w:w="8640" w:type="dxa"/>
            <w:vAlign w:val="bottom"/>
            <w:gridSpan w:val="20"/>
          </w:tcPr>
          <w:p>
            <w:pPr>
              <w:ind w:left="800"/>
              <w:spacing w:after="0" w:line="196" w:lineRule="exact"/>
              <w:rPr>
                <w:sz w:val="20"/>
                <w:szCs w:val="20"/>
                <w:color w:val="auto"/>
              </w:rPr>
            </w:pPr>
            <w:r>
              <w:rPr>
                <w:rFonts w:ascii="Arial" w:cs="Arial" w:eastAsia="Arial" w:hAnsi="Arial"/>
                <w:sz w:val="18"/>
                <w:szCs w:val="18"/>
                <w:color w:val="auto"/>
                <w:w w:val="95"/>
              </w:rPr>
              <w:t>Adjusted LIBO Rate for a one-month interest period plus 1%. If the ABR as determined pursuant to the</w:t>
            </w:r>
          </w:p>
        </w:tc>
        <w:tc>
          <w:tcPr>
            <w:tcW w:w="0" w:type="dxa"/>
            <w:vAlign w:val="bottom"/>
          </w:tcPr>
          <w:p>
            <w:pPr>
              <w:spacing w:after="0"/>
              <w:rPr>
                <w:sz w:val="1"/>
                <w:szCs w:val="1"/>
                <w:color w:val="auto"/>
              </w:rPr>
            </w:pPr>
          </w:p>
        </w:tc>
      </w:tr>
      <w:tr>
        <w:trPr>
          <w:trHeight w:val="20"/>
        </w:trPr>
        <w:tc>
          <w:tcPr>
            <w:tcW w:w="2400" w:type="dxa"/>
            <w:vAlign w:val="bottom"/>
          </w:tcPr>
          <w:p>
            <w:pPr>
              <w:spacing w:after="0" w:line="20" w:lineRule="exact"/>
              <w:rPr>
                <w:sz w:val="1"/>
                <w:szCs w:val="1"/>
                <w:color w:val="auto"/>
              </w:rPr>
            </w:pPr>
          </w:p>
        </w:tc>
        <w:tc>
          <w:tcPr>
            <w:tcW w:w="4620" w:type="dxa"/>
            <w:vAlign w:val="bottom"/>
            <w:gridSpan w:val="6"/>
          </w:tcPr>
          <w:p>
            <w:pPr>
              <w:spacing w:after="0" w:line="20" w:lineRule="exact"/>
              <w:rPr>
                <w:sz w:val="1"/>
                <w:szCs w:val="1"/>
                <w:color w:val="auto"/>
              </w:rPr>
            </w:pPr>
          </w:p>
        </w:tc>
        <w:tc>
          <w:tcPr>
            <w:tcW w:w="300" w:type="dxa"/>
            <w:vAlign w:val="bottom"/>
            <w:gridSpan w:val="3"/>
            <w:shd w:val="clear" w:color="auto" w:fill="000000"/>
          </w:tcPr>
          <w:p>
            <w:pPr>
              <w:spacing w:after="0" w:line="20" w:lineRule="exact"/>
              <w:rPr>
                <w:sz w:val="1"/>
                <w:szCs w:val="1"/>
                <w:color w:val="auto"/>
              </w:rPr>
            </w:pPr>
          </w:p>
        </w:tc>
        <w:tc>
          <w:tcPr>
            <w:tcW w:w="1440" w:type="dxa"/>
            <w:vAlign w:val="bottom"/>
            <w:gridSpan w:val="3"/>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400" w:type="dxa"/>
            <w:vAlign w:val="bottom"/>
          </w:tcPr>
          <w:p>
            <w:pPr>
              <w:spacing w:after="0"/>
              <w:rPr>
                <w:sz w:val="20"/>
                <w:szCs w:val="20"/>
                <w:color w:val="auto"/>
              </w:rPr>
            </w:pPr>
          </w:p>
        </w:tc>
        <w:tc>
          <w:tcPr>
            <w:tcW w:w="6360" w:type="dxa"/>
            <w:vAlign w:val="bottom"/>
            <w:gridSpan w:val="12"/>
          </w:tcPr>
          <w:p>
            <w:pPr>
              <w:ind w:left="800"/>
              <w:spacing w:after="0"/>
              <w:rPr>
                <w:sz w:val="20"/>
                <w:szCs w:val="20"/>
                <w:color w:val="auto"/>
              </w:rPr>
            </w:pPr>
            <w:r>
              <w:rPr>
                <w:rFonts w:ascii="Arial" w:cs="Arial" w:eastAsia="Arial" w:hAnsi="Arial"/>
                <w:sz w:val="18"/>
                <w:szCs w:val="18"/>
                <w:color w:val="auto"/>
                <w:w w:val="90"/>
              </w:rPr>
              <w:t>foregoing would be less than 1.00%, such rate shall be deemed to be 1.00%.</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400" w:type="dxa"/>
            <w:vAlign w:val="bottom"/>
          </w:tcPr>
          <w:p>
            <w:pPr>
              <w:spacing w:after="0"/>
              <w:rPr>
                <w:sz w:val="24"/>
                <w:szCs w:val="24"/>
                <w:color w:val="auto"/>
              </w:rPr>
            </w:pPr>
          </w:p>
        </w:tc>
        <w:tc>
          <w:tcPr>
            <w:tcW w:w="7740" w:type="dxa"/>
            <w:vAlign w:val="bottom"/>
            <w:gridSpan w:val="17"/>
          </w:tcPr>
          <w:p>
            <w:pPr>
              <w:ind w:left="80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b w:val="1"/>
                <w:bCs w:val="1"/>
                <w:i w:val="1"/>
                <w:iCs w:val="1"/>
                <w:color w:val="auto"/>
                <w:w w:val="90"/>
              </w:rPr>
              <w:t>Adjusted LIBO Rate</w:t>
            </w:r>
            <w:r>
              <w:rPr>
                <w:rFonts w:ascii="Arial" w:cs="Arial" w:eastAsia="Arial" w:hAnsi="Arial"/>
                <w:sz w:val="18"/>
                <w:szCs w:val="18"/>
                <w:color w:val="auto"/>
                <w:w w:val="90"/>
              </w:rPr>
              <w:t>” means the LIBO Rate, as adjusted for statutory reserve requirements for</w:t>
            </w: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2400" w:type="dxa"/>
            <w:vAlign w:val="bottom"/>
          </w:tcPr>
          <w:p>
            <w:pPr>
              <w:spacing w:after="0"/>
              <w:rPr>
                <w:sz w:val="20"/>
                <w:szCs w:val="20"/>
                <w:color w:val="auto"/>
              </w:rPr>
            </w:pPr>
          </w:p>
        </w:tc>
        <w:tc>
          <w:tcPr>
            <w:tcW w:w="3480" w:type="dxa"/>
            <w:vAlign w:val="bottom"/>
            <w:gridSpan w:val="4"/>
          </w:tcPr>
          <w:p>
            <w:pPr>
              <w:ind w:left="800"/>
              <w:spacing w:after="0"/>
              <w:rPr>
                <w:sz w:val="20"/>
                <w:szCs w:val="20"/>
                <w:color w:val="auto"/>
              </w:rPr>
            </w:pPr>
            <w:r>
              <w:rPr>
                <w:rFonts w:ascii="Arial" w:cs="Arial" w:eastAsia="Arial" w:hAnsi="Arial"/>
                <w:sz w:val="18"/>
                <w:szCs w:val="18"/>
                <w:color w:val="auto"/>
              </w:rPr>
              <w:t>eurocurrency liabilities.</w:t>
            </w:r>
          </w:p>
        </w:tc>
        <w:tc>
          <w:tcPr>
            <w:tcW w:w="5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400" w:type="dxa"/>
            <w:vAlign w:val="bottom"/>
          </w:tcPr>
          <w:p>
            <w:pPr>
              <w:spacing w:after="0"/>
              <w:rPr>
                <w:sz w:val="24"/>
                <w:szCs w:val="24"/>
                <w:color w:val="auto"/>
              </w:rPr>
            </w:pPr>
          </w:p>
        </w:tc>
        <w:tc>
          <w:tcPr>
            <w:tcW w:w="8640" w:type="dxa"/>
            <w:vAlign w:val="bottom"/>
            <w:gridSpan w:val="20"/>
          </w:tcPr>
          <w:p>
            <w:pPr>
              <w:ind w:left="80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b w:val="1"/>
                <w:bCs w:val="1"/>
                <w:i w:val="1"/>
                <w:iCs w:val="1"/>
                <w:color w:val="auto"/>
                <w:w w:val="92"/>
              </w:rPr>
              <w:t>Applicable LIBO Margin</w:t>
            </w:r>
            <w:r>
              <w:rPr>
                <w:rFonts w:ascii="Arial" w:cs="Arial" w:eastAsia="Arial" w:hAnsi="Arial"/>
                <w:sz w:val="18"/>
                <w:szCs w:val="18"/>
                <w:color w:val="auto"/>
                <w:w w:val="92"/>
              </w:rPr>
              <w:t>” means, with respect to each Tranche of Term Loans, a percentage determined</w:t>
            </w:r>
          </w:p>
        </w:tc>
        <w:tc>
          <w:tcPr>
            <w:tcW w:w="0" w:type="dxa"/>
            <w:vAlign w:val="bottom"/>
          </w:tcPr>
          <w:p>
            <w:pPr>
              <w:spacing w:after="0"/>
              <w:rPr>
                <w:sz w:val="1"/>
                <w:szCs w:val="1"/>
                <w:color w:val="auto"/>
              </w:rPr>
            </w:pPr>
          </w:p>
        </w:tc>
      </w:tr>
      <w:tr>
        <w:trPr>
          <w:trHeight w:val="230"/>
        </w:trPr>
        <w:tc>
          <w:tcPr>
            <w:tcW w:w="2400" w:type="dxa"/>
            <w:vAlign w:val="bottom"/>
          </w:tcPr>
          <w:p>
            <w:pPr>
              <w:spacing w:after="0"/>
              <w:rPr>
                <w:sz w:val="20"/>
                <w:szCs w:val="20"/>
                <w:color w:val="auto"/>
              </w:rPr>
            </w:pPr>
          </w:p>
        </w:tc>
        <w:tc>
          <w:tcPr>
            <w:tcW w:w="6360" w:type="dxa"/>
            <w:vAlign w:val="bottom"/>
            <w:gridSpan w:val="12"/>
          </w:tcPr>
          <w:p>
            <w:pPr>
              <w:ind w:left="800"/>
              <w:spacing w:after="0"/>
              <w:rPr>
                <w:sz w:val="20"/>
                <w:szCs w:val="20"/>
                <w:color w:val="auto"/>
              </w:rPr>
            </w:pPr>
            <w:r>
              <w:rPr>
                <w:rFonts w:ascii="Arial" w:cs="Arial" w:eastAsia="Arial" w:hAnsi="Arial"/>
                <w:sz w:val="18"/>
                <w:szCs w:val="18"/>
                <w:color w:val="auto"/>
              </w:rPr>
              <w:t>in accordance with the pricing grid set forth immediately below:</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8"/>
        </w:trPr>
        <w:tc>
          <w:tcPr>
            <w:tcW w:w="240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color w:val="auto"/>
                <w:w w:val="98"/>
              </w:rPr>
              <w:t>Pricing</w:t>
            </w:r>
          </w:p>
        </w:tc>
        <w:tc>
          <w:tcPr>
            <w:tcW w:w="1320" w:type="dxa"/>
            <w:vAlign w:val="bottom"/>
            <w:gridSpan w:val="4"/>
          </w:tcPr>
          <w:p>
            <w:pPr>
              <w:jc w:val="center"/>
              <w:ind w:right="100"/>
              <w:spacing w:after="0"/>
              <w:rPr>
                <w:sz w:val="20"/>
                <w:szCs w:val="20"/>
                <w:color w:val="auto"/>
              </w:rPr>
            </w:pPr>
            <w:r>
              <w:rPr>
                <w:rFonts w:ascii="Arial" w:cs="Arial" w:eastAsia="Arial" w:hAnsi="Arial"/>
                <w:sz w:val="14"/>
                <w:szCs w:val="14"/>
                <w:color w:val="auto"/>
                <w:w w:val="98"/>
              </w:rPr>
              <w:t>Pricing</w:t>
            </w:r>
          </w:p>
        </w:tc>
        <w:tc>
          <w:tcPr>
            <w:tcW w:w="120" w:type="dxa"/>
            <w:vAlign w:val="bottom"/>
          </w:tcPr>
          <w:p>
            <w:pPr>
              <w:spacing w:after="0"/>
              <w:rPr>
                <w:sz w:val="20"/>
                <w:szCs w:val="20"/>
                <w:color w:val="auto"/>
              </w:rPr>
            </w:pPr>
          </w:p>
        </w:tc>
        <w:tc>
          <w:tcPr>
            <w:tcW w:w="1440" w:type="dxa"/>
            <w:vAlign w:val="bottom"/>
            <w:gridSpan w:val="3"/>
          </w:tcPr>
          <w:p>
            <w:pPr>
              <w:jc w:val="center"/>
              <w:ind w:right="500"/>
              <w:spacing w:after="0"/>
              <w:rPr>
                <w:sz w:val="20"/>
                <w:szCs w:val="20"/>
                <w:color w:val="auto"/>
              </w:rPr>
            </w:pPr>
            <w:r>
              <w:rPr>
                <w:rFonts w:ascii="Arial" w:cs="Arial" w:eastAsia="Arial" w:hAnsi="Arial"/>
                <w:sz w:val="14"/>
                <w:szCs w:val="14"/>
                <w:color w:val="auto"/>
                <w:w w:val="98"/>
              </w:rPr>
              <w:t>Pricing</w:t>
            </w:r>
          </w:p>
        </w:tc>
        <w:tc>
          <w:tcPr>
            <w:tcW w:w="1380" w:type="dxa"/>
            <w:vAlign w:val="bottom"/>
            <w:gridSpan w:val="5"/>
          </w:tcPr>
          <w:p>
            <w:pPr>
              <w:jc w:val="center"/>
              <w:ind w:right="700"/>
              <w:spacing w:after="0"/>
              <w:rPr>
                <w:sz w:val="20"/>
                <w:szCs w:val="20"/>
                <w:color w:val="auto"/>
              </w:rPr>
            </w:pPr>
            <w:r>
              <w:rPr>
                <w:rFonts w:ascii="Arial" w:cs="Arial" w:eastAsia="Arial" w:hAnsi="Arial"/>
                <w:sz w:val="14"/>
                <w:szCs w:val="14"/>
                <w:color w:val="auto"/>
                <w:w w:val="93"/>
              </w:rPr>
              <w:t>Pricing</w:t>
            </w:r>
          </w:p>
        </w:tc>
        <w:tc>
          <w:tcPr>
            <w:tcW w:w="900" w:type="dxa"/>
            <w:vAlign w:val="bottom"/>
            <w:gridSpan w:val="3"/>
          </w:tcPr>
          <w:p>
            <w:pPr>
              <w:jc w:val="center"/>
              <w:ind w:right="360"/>
              <w:spacing w:after="0"/>
              <w:rPr>
                <w:sz w:val="20"/>
                <w:szCs w:val="20"/>
                <w:color w:val="auto"/>
              </w:rPr>
            </w:pPr>
            <w:r>
              <w:rPr>
                <w:rFonts w:ascii="Arial" w:cs="Arial" w:eastAsia="Arial" w:hAnsi="Arial"/>
                <w:sz w:val="14"/>
                <w:szCs w:val="14"/>
                <w:color w:val="auto"/>
                <w:w w:val="98"/>
              </w:rPr>
              <w:t>Pricing</w:t>
            </w:r>
          </w:p>
        </w:tc>
        <w:tc>
          <w:tcPr>
            <w:tcW w:w="0" w:type="dxa"/>
            <w:vAlign w:val="bottom"/>
          </w:tcPr>
          <w:p>
            <w:pPr>
              <w:spacing w:after="0"/>
              <w:rPr>
                <w:sz w:val="1"/>
                <w:szCs w:val="1"/>
                <w:color w:val="auto"/>
              </w:rPr>
            </w:pPr>
          </w:p>
        </w:tc>
      </w:tr>
      <w:tr>
        <w:trPr>
          <w:trHeight w:val="181"/>
        </w:trPr>
        <w:tc>
          <w:tcPr>
            <w:tcW w:w="240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color w:val="auto"/>
              </w:rPr>
              <w:t>Level I</w:t>
            </w:r>
          </w:p>
        </w:tc>
        <w:tc>
          <w:tcPr>
            <w:tcW w:w="1320" w:type="dxa"/>
            <w:vAlign w:val="bottom"/>
            <w:gridSpan w:val="4"/>
          </w:tcPr>
          <w:p>
            <w:pPr>
              <w:jc w:val="center"/>
              <w:ind w:right="100"/>
              <w:spacing w:after="0"/>
              <w:rPr>
                <w:sz w:val="20"/>
                <w:szCs w:val="20"/>
                <w:color w:val="auto"/>
              </w:rPr>
            </w:pPr>
            <w:r>
              <w:rPr>
                <w:rFonts w:ascii="Arial" w:cs="Arial" w:eastAsia="Arial" w:hAnsi="Arial"/>
                <w:sz w:val="14"/>
                <w:szCs w:val="14"/>
                <w:color w:val="auto"/>
              </w:rPr>
              <w:t>Level II</w:t>
            </w:r>
          </w:p>
        </w:tc>
        <w:tc>
          <w:tcPr>
            <w:tcW w:w="120" w:type="dxa"/>
            <w:vAlign w:val="bottom"/>
          </w:tcPr>
          <w:p>
            <w:pPr>
              <w:spacing w:after="0"/>
              <w:rPr>
                <w:sz w:val="15"/>
                <w:szCs w:val="15"/>
                <w:color w:val="auto"/>
              </w:rPr>
            </w:pPr>
          </w:p>
        </w:tc>
        <w:tc>
          <w:tcPr>
            <w:tcW w:w="1440" w:type="dxa"/>
            <w:vAlign w:val="bottom"/>
            <w:gridSpan w:val="3"/>
          </w:tcPr>
          <w:p>
            <w:pPr>
              <w:jc w:val="center"/>
              <w:ind w:right="500"/>
              <w:spacing w:after="0"/>
              <w:rPr>
                <w:sz w:val="20"/>
                <w:szCs w:val="20"/>
                <w:color w:val="auto"/>
              </w:rPr>
            </w:pPr>
            <w:r>
              <w:rPr>
                <w:rFonts w:ascii="Arial" w:cs="Arial" w:eastAsia="Arial" w:hAnsi="Arial"/>
                <w:sz w:val="14"/>
                <w:szCs w:val="14"/>
                <w:color w:val="auto"/>
              </w:rPr>
              <w:t>Level III</w:t>
            </w:r>
          </w:p>
        </w:tc>
        <w:tc>
          <w:tcPr>
            <w:tcW w:w="1380" w:type="dxa"/>
            <w:vAlign w:val="bottom"/>
            <w:gridSpan w:val="5"/>
          </w:tcPr>
          <w:p>
            <w:pPr>
              <w:jc w:val="center"/>
              <w:ind w:right="700"/>
              <w:spacing w:after="0"/>
              <w:rPr>
                <w:sz w:val="20"/>
                <w:szCs w:val="20"/>
                <w:color w:val="auto"/>
              </w:rPr>
            </w:pPr>
            <w:r>
              <w:rPr>
                <w:rFonts w:ascii="Arial" w:cs="Arial" w:eastAsia="Arial" w:hAnsi="Arial"/>
                <w:sz w:val="14"/>
                <w:szCs w:val="14"/>
                <w:color w:val="auto"/>
              </w:rPr>
              <w:t>Level IV</w:t>
            </w:r>
          </w:p>
        </w:tc>
        <w:tc>
          <w:tcPr>
            <w:tcW w:w="900" w:type="dxa"/>
            <w:vAlign w:val="bottom"/>
            <w:gridSpan w:val="3"/>
          </w:tcPr>
          <w:p>
            <w:pPr>
              <w:jc w:val="center"/>
              <w:ind w:right="360"/>
              <w:spacing w:after="0"/>
              <w:rPr>
                <w:sz w:val="20"/>
                <w:szCs w:val="20"/>
                <w:color w:val="auto"/>
              </w:rPr>
            </w:pPr>
            <w:r>
              <w:rPr>
                <w:rFonts w:ascii="Arial" w:cs="Arial" w:eastAsia="Arial" w:hAnsi="Arial"/>
                <w:sz w:val="14"/>
                <w:szCs w:val="14"/>
                <w:color w:val="auto"/>
                <w:w w:val="98"/>
              </w:rPr>
              <w:t>Level V</w:t>
            </w:r>
          </w:p>
        </w:tc>
        <w:tc>
          <w:tcPr>
            <w:tcW w:w="0" w:type="dxa"/>
            <w:vAlign w:val="bottom"/>
          </w:tcPr>
          <w:p>
            <w:pPr>
              <w:spacing w:after="0"/>
              <w:rPr>
                <w:sz w:val="1"/>
                <w:szCs w:val="1"/>
                <w:color w:val="auto"/>
              </w:rPr>
            </w:pPr>
          </w:p>
        </w:tc>
      </w:tr>
      <w:tr>
        <w:trPr>
          <w:trHeight w:val="123"/>
        </w:trPr>
        <w:tc>
          <w:tcPr>
            <w:tcW w:w="2400" w:type="dxa"/>
            <w:vAlign w:val="bottom"/>
          </w:tcPr>
          <w:p>
            <w:pPr>
              <w:spacing w:after="0"/>
              <w:rPr>
                <w:sz w:val="10"/>
                <w:szCs w:val="10"/>
                <w:color w:val="auto"/>
              </w:rPr>
            </w:pPr>
          </w:p>
        </w:tc>
        <w:tc>
          <w:tcPr>
            <w:tcW w:w="2140" w:type="dxa"/>
            <w:vAlign w:val="bottom"/>
          </w:tcPr>
          <w:p>
            <w:pPr>
              <w:spacing w:after="0"/>
              <w:rPr>
                <w:sz w:val="10"/>
                <w:szCs w:val="10"/>
                <w:color w:val="auto"/>
              </w:rPr>
            </w:pPr>
          </w:p>
        </w:tc>
        <w:tc>
          <w:tcPr>
            <w:tcW w:w="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³BBB+/</w:t>
            </w:r>
          </w:p>
        </w:tc>
        <w:tc>
          <w:tcPr>
            <w:tcW w:w="120" w:type="dxa"/>
            <w:vAlign w:val="bottom"/>
          </w:tcPr>
          <w:p>
            <w:pPr>
              <w:spacing w:after="0"/>
              <w:rPr>
                <w:sz w:val="10"/>
                <w:szCs w:val="10"/>
                <w:color w:val="auto"/>
              </w:rPr>
            </w:pPr>
          </w:p>
        </w:tc>
        <w:tc>
          <w:tcPr>
            <w:tcW w:w="1200" w:type="dxa"/>
            <w:vAlign w:val="bottom"/>
            <w:tcBorders>
              <w:top w:val="single" w:sz="8" w:color="auto"/>
            </w:tcBorders>
            <w:gridSpan w:val="3"/>
          </w:tcPr>
          <w:p>
            <w:pPr>
              <w:jc w:val="center"/>
              <w:spacing w:after="0" w:line="123" w:lineRule="exact"/>
              <w:rPr>
                <w:sz w:val="20"/>
                <w:szCs w:val="20"/>
                <w:color w:val="auto"/>
              </w:rPr>
            </w:pPr>
            <w:r>
              <w:rPr>
                <w:rFonts w:ascii="Arial" w:cs="Arial" w:eastAsia="Arial" w:hAnsi="Arial"/>
                <w:sz w:val="14"/>
                <w:szCs w:val="14"/>
                <w:color w:val="auto"/>
              </w:rPr>
              <w:t>BBB/</w:t>
            </w:r>
          </w:p>
        </w:tc>
        <w:tc>
          <w:tcPr>
            <w:tcW w:w="1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center"/>
              <w:ind w:right="68"/>
              <w:spacing w:after="0" w:line="123" w:lineRule="exact"/>
              <w:rPr>
                <w:sz w:val="20"/>
                <w:szCs w:val="20"/>
                <w:color w:val="auto"/>
              </w:rPr>
            </w:pPr>
            <w:r>
              <w:rPr>
                <w:rFonts w:ascii="Arial" w:cs="Arial" w:eastAsia="Arial" w:hAnsi="Arial"/>
                <w:sz w:val="14"/>
                <w:szCs w:val="14"/>
                <w:color w:val="auto"/>
              </w:rPr>
              <w:t>BBB-/</w:t>
            </w:r>
          </w:p>
        </w:tc>
        <w:tc>
          <w:tcPr>
            <w:tcW w:w="10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3"/>
          </w:tcPr>
          <w:p>
            <w:pPr>
              <w:jc w:val="center"/>
              <w:ind w:right="260"/>
              <w:spacing w:after="0" w:line="123" w:lineRule="exact"/>
              <w:rPr>
                <w:sz w:val="20"/>
                <w:szCs w:val="20"/>
                <w:color w:val="auto"/>
              </w:rPr>
            </w:pPr>
            <w:r>
              <w:rPr>
                <w:rFonts w:ascii="Arial" w:cs="Arial" w:eastAsia="Arial" w:hAnsi="Arial"/>
                <w:sz w:val="14"/>
                <w:szCs w:val="14"/>
                <w:color w:val="auto"/>
              </w:rPr>
              <w:t>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center"/>
              <w:ind w:right="340"/>
              <w:spacing w:after="0" w:line="123" w:lineRule="exact"/>
              <w:rPr>
                <w:sz w:val="20"/>
                <w:szCs w:val="20"/>
                <w:color w:val="auto"/>
              </w:rPr>
            </w:pPr>
            <w:r>
              <w:rPr>
                <w:rFonts w:ascii="Arial" w:cs="Arial" w:eastAsia="Arial" w:hAnsi="Arial"/>
                <w:sz w:val="14"/>
                <w:szCs w:val="14"/>
                <w:color w:val="auto"/>
                <w:w w:val="98"/>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2400" w:type="dxa"/>
            <w:vAlign w:val="bottom"/>
          </w:tcPr>
          <w:p>
            <w:pPr>
              <w:spacing w:after="0"/>
              <w:rPr>
                <w:sz w:val="15"/>
                <w:szCs w:val="15"/>
                <w:color w:val="auto"/>
              </w:rPr>
            </w:pPr>
          </w:p>
        </w:tc>
        <w:tc>
          <w:tcPr>
            <w:tcW w:w="2140" w:type="dxa"/>
            <w:vAlign w:val="bottom"/>
            <w:vMerge w:val="restart"/>
          </w:tcPr>
          <w:p>
            <w:pPr>
              <w:ind w:left="800"/>
              <w:spacing w:after="0"/>
              <w:rPr>
                <w:sz w:val="20"/>
                <w:szCs w:val="20"/>
                <w:color w:val="auto"/>
              </w:rPr>
            </w:pPr>
            <w:r>
              <w:rPr>
                <w:rFonts w:ascii="Arial" w:cs="Arial" w:eastAsia="Arial" w:hAnsi="Arial"/>
                <w:sz w:val="18"/>
                <w:szCs w:val="18"/>
                <w:color w:val="auto"/>
              </w:rPr>
              <w:t>3-Year Tranche</w:t>
            </w:r>
          </w:p>
        </w:tc>
        <w:tc>
          <w:tcPr>
            <w:tcW w:w="60" w:type="dxa"/>
            <w:vAlign w:val="bottom"/>
          </w:tcPr>
          <w:p>
            <w:pPr>
              <w:spacing w:after="0"/>
              <w:rPr>
                <w:sz w:val="15"/>
                <w:szCs w:val="15"/>
                <w:color w:val="auto"/>
              </w:rPr>
            </w:pP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color w:val="auto"/>
                <w:w w:val="96"/>
              </w:rPr>
              <w:t>Baa1/BBB+</w:t>
            </w:r>
          </w:p>
        </w:tc>
        <w:tc>
          <w:tcPr>
            <w:tcW w:w="1320" w:type="dxa"/>
            <w:vAlign w:val="bottom"/>
            <w:gridSpan w:val="4"/>
          </w:tcPr>
          <w:p>
            <w:pPr>
              <w:jc w:val="center"/>
              <w:ind w:right="100"/>
              <w:spacing w:after="0"/>
              <w:rPr>
                <w:sz w:val="20"/>
                <w:szCs w:val="20"/>
                <w:color w:val="auto"/>
              </w:rPr>
            </w:pPr>
            <w:r>
              <w:rPr>
                <w:rFonts w:ascii="Arial" w:cs="Arial" w:eastAsia="Arial" w:hAnsi="Arial"/>
                <w:sz w:val="14"/>
                <w:szCs w:val="14"/>
                <w:color w:val="auto"/>
                <w:w w:val="95"/>
              </w:rPr>
              <w:t>Baa2/BBB</w:t>
            </w:r>
          </w:p>
        </w:tc>
        <w:tc>
          <w:tcPr>
            <w:tcW w:w="120" w:type="dxa"/>
            <w:vAlign w:val="bottom"/>
          </w:tcPr>
          <w:p>
            <w:pPr>
              <w:spacing w:after="0"/>
              <w:rPr>
                <w:sz w:val="15"/>
                <w:szCs w:val="15"/>
                <w:color w:val="auto"/>
              </w:rPr>
            </w:pPr>
          </w:p>
        </w:tc>
        <w:tc>
          <w:tcPr>
            <w:tcW w:w="1440" w:type="dxa"/>
            <w:vAlign w:val="bottom"/>
            <w:gridSpan w:val="3"/>
          </w:tcPr>
          <w:p>
            <w:pPr>
              <w:jc w:val="center"/>
              <w:ind w:right="500"/>
              <w:spacing w:after="0"/>
              <w:rPr>
                <w:sz w:val="20"/>
                <w:szCs w:val="20"/>
                <w:color w:val="auto"/>
              </w:rPr>
            </w:pPr>
            <w:r>
              <w:rPr>
                <w:rFonts w:ascii="Arial" w:cs="Arial" w:eastAsia="Arial" w:hAnsi="Arial"/>
                <w:sz w:val="14"/>
                <w:szCs w:val="14"/>
                <w:color w:val="auto"/>
                <w:w w:val="95"/>
              </w:rPr>
              <w:t>Baa3/BBB-</w:t>
            </w:r>
          </w:p>
        </w:tc>
        <w:tc>
          <w:tcPr>
            <w:tcW w:w="1380" w:type="dxa"/>
            <w:vAlign w:val="bottom"/>
            <w:gridSpan w:val="5"/>
          </w:tcPr>
          <w:p>
            <w:pPr>
              <w:jc w:val="center"/>
              <w:ind w:right="700"/>
              <w:spacing w:after="0"/>
              <w:rPr>
                <w:sz w:val="20"/>
                <w:szCs w:val="20"/>
                <w:color w:val="auto"/>
              </w:rPr>
            </w:pPr>
            <w:r>
              <w:rPr>
                <w:rFonts w:ascii="Arial" w:cs="Arial" w:eastAsia="Arial" w:hAnsi="Arial"/>
                <w:sz w:val="14"/>
                <w:szCs w:val="14"/>
                <w:color w:val="auto"/>
              </w:rPr>
              <w:t>Ba1/BB+</w:t>
            </w:r>
          </w:p>
        </w:tc>
        <w:tc>
          <w:tcPr>
            <w:tcW w:w="900" w:type="dxa"/>
            <w:vAlign w:val="bottom"/>
            <w:gridSpan w:val="3"/>
          </w:tcPr>
          <w:p>
            <w:pPr>
              <w:jc w:val="center"/>
              <w:ind w:right="360"/>
              <w:spacing w:after="0"/>
              <w:rPr>
                <w:sz w:val="20"/>
                <w:szCs w:val="20"/>
                <w:color w:val="auto"/>
              </w:rPr>
            </w:pPr>
            <w:r>
              <w:rPr>
                <w:rFonts w:ascii="Arial" w:cs="Arial" w:eastAsia="Arial" w:hAnsi="Arial"/>
                <w:sz w:val="14"/>
                <w:szCs w:val="14"/>
                <w:color w:val="auto"/>
                <w:w w:val="96"/>
              </w:rPr>
              <w:t>Ba2/BB</w:t>
            </w:r>
          </w:p>
        </w:tc>
        <w:tc>
          <w:tcPr>
            <w:tcW w:w="0" w:type="dxa"/>
            <w:vAlign w:val="bottom"/>
          </w:tcPr>
          <w:p>
            <w:pPr>
              <w:spacing w:after="0"/>
              <w:rPr>
                <w:sz w:val="1"/>
                <w:szCs w:val="1"/>
                <w:color w:val="auto"/>
              </w:rPr>
            </w:pPr>
          </w:p>
        </w:tc>
      </w:tr>
      <w:tr>
        <w:trPr>
          <w:trHeight w:val="195"/>
        </w:trPr>
        <w:tc>
          <w:tcPr>
            <w:tcW w:w="2400" w:type="dxa"/>
            <w:vAlign w:val="bottom"/>
          </w:tcPr>
          <w:p>
            <w:pPr>
              <w:spacing w:after="0"/>
              <w:rPr>
                <w:sz w:val="16"/>
                <w:szCs w:val="16"/>
                <w:color w:val="auto"/>
              </w:rPr>
            </w:pPr>
          </w:p>
        </w:tc>
        <w:tc>
          <w:tcPr>
            <w:tcW w:w="2140" w:type="dxa"/>
            <w:vAlign w:val="bottom"/>
            <w:vMerge w:val="continue"/>
          </w:tcPr>
          <w:p>
            <w:pPr>
              <w:spacing w:after="0"/>
              <w:rPr>
                <w:sz w:val="16"/>
                <w:szCs w:val="16"/>
                <w:color w:val="auto"/>
              </w:rPr>
            </w:pPr>
          </w:p>
        </w:tc>
        <w:tc>
          <w:tcPr>
            <w:tcW w:w="1220" w:type="dxa"/>
            <w:vAlign w:val="bottom"/>
            <w:tcBorders>
              <w:top w:val="single" w:sz="8" w:color="auto"/>
            </w:tcBorders>
            <w:gridSpan w:val="2"/>
          </w:tcPr>
          <w:p>
            <w:pPr>
              <w:jc w:val="center"/>
              <w:ind w:left="570"/>
              <w:spacing w:after="0" w:line="195" w:lineRule="exact"/>
              <w:rPr>
                <w:sz w:val="20"/>
                <w:szCs w:val="20"/>
                <w:color w:val="auto"/>
              </w:rPr>
            </w:pPr>
            <w:r>
              <w:rPr>
                <w:rFonts w:ascii="Arial" w:cs="Arial" w:eastAsia="Arial" w:hAnsi="Arial"/>
                <w:sz w:val="18"/>
                <w:szCs w:val="18"/>
                <w:color w:val="auto"/>
                <w:w w:val="91"/>
              </w:rPr>
              <w:t>1.000%</w:t>
            </w:r>
          </w:p>
        </w:tc>
        <w:tc>
          <w:tcPr>
            <w:tcW w:w="120" w:type="dxa"/>
            <w:vAlign w:val="bottom"/>
          </w:tcPr>
          <w:p>
            <w:pPr>
              <w:spacing w:after="0"/>
              <w:rPr>
                <w:sz w:val="16"/>
                <w:szCs w:val="16"/>
                <w:color w:val="auto"/>
              </w:rPr>
            </w:pPr>
          </w:p>
        </w:tc>
        <w:tc>
          <w:tcPr>
            <w:tcW w:w="1200" w:type="dxa"/>
            <w:vAlign w:val="bottom"/>
            <w:tcBorders>
              <w:top w:val="single" w:sz="8" w:color="auto"/>
            </w:tcBorders>
            <w:gridSpan w:val="3"/>
          </w:tcPr>
          <w:p>
            <w:pPr>
              <w:jc w:val="right"/>
              <w:spacing w:after="0" w:line="195" w:lineRule="exact"/>
              <w:rPr>
                <w:sz w:val="20"/>
                <w:szCs w:val="20"/>
                <w:color w:val="auto"/>
              </w:rPr>
            </w:pPr>
            <w:r>
              <w:rPr>
                <w:rFonts w:ascii="Arial" w:cs="Arial" w:eastAsia="Arial" w:hAnsi="Arial"/>
                <w:sz w:val="18"/>
                <w:szCs w:val="18"/>
                <w:color w:val="auto"/>
              </w:rPr>
              <w:t>1.125%</w:t>
            </w:r>
          </w:p>
        </w:tc>
        <w:tc>
          <w:tcPr>
            <w:tcW w:w="120" w:type="dxa"/>
            <w:vAlign w:val="bottom"/>
          </w:tcPr>
          <w:p>
            <w:pPr>
              <w:spacing w:after="0"/>
              <w:rPr>
                <w:sz w:val="16"/>
                <w:szCs w:val="16"/>
                <w:color w:val="auto"/>
              </w:rPr>
            </w:pPr>
          </w:p>
        </w:tc>
        <w:tc>
          <w:tcPr>
            <w:tcW w:w="1200" w:type="dxa"/>
            <w:vAlign w:val="bottom"/>
            <w:tcBorders>
              <w:top w:val="single" w:sz="8" w:color="auto"/>
            </w:tcBorders>
            <w:gridSpan w:val="2"/>
          </w:tcPr>
          <w:p>
            <w:pPr>
              <w:jc w:val="right"/>
              <w:spacing w:after="0" w:line="195" w:lineRule="exact"/>
              <w:rPr>
                <w:sz w:val="20"/>
                <w:szCs w:val="20"/>
                <w:color w:val="auto"/>
              </w:rPr>
            </w:pPr>
            <w:r>
              <w:rPr>
                <w:rFonts w:ascii="Arial" w:cs="Arial" w:eastAsia="Arial" w:hAnsi="Arial"/>
                <w:sz w:val="18"/>
                <w:szCs w:val="18"/>
                <w:color w:val="auto"/>
              </w:rPr>
              <w:t>1.250%</w:t>
            </w:r>
          </w:p>
        </w:tc>
        <w:tc>
          <w:tcPr>
            <w:tcW w:w="100" w:type="dxa"/>
            <w:vAlign w:val="bottom"/>
          </w:tcPr>
          <w:p>
            <w:pPr>
              <w:spacing w:after="0"/>
              <w:rPr>
                <w:sz w:val="16"/>
                <w:szCs w:val="16"/>
                <w:color w:val="auto"/>
              </w:rPr>
            </w:pPr>
          </w:p>
        </w:tc>
        <w:tc>
          <w:tcPr>
            <w:tcW w:w="260" w:type="dxa"/>
            <w:vAlign w:val="bottom"/>
            <w:tcBorders>
              <w:top w:val="single" w:sz="8" w:color="auto"/>
            </w:tcBorders>
          </w:tcPr>
          <w:p>
            <w:pPr>
              <w:spacing w:after="0"/>
              <w:rPr>
                <w:sz w:val="16"/>
                <w:szCs w:val="16"/>
                <w:color w:val="auto"/>
              </w:rPr>
            </w:pPr>
          </w:p>
        </w:tc>
        <w:tc>
          <w:tcPr>
            <w:tcW w:w="940" w:type="dxa"/>
            <w:vAlign w:val="bottom"/>
            <w:tcBorders>
              <w:top w:val="single" w:sz="8" w:color="auto"/>
            </w:tcBorders>
            <w:gridSpan w:val="3"/>
          </w:tcPr>
          <w:p>
            <w:pPr>
              <w:jc w:val="right"/>
              <w:spacing w:after="0" w:line="195" w:lineRule="exact"/>
              <w:rPr>
                <w:sz w:val="20"/>
                <w:szCs w:val="20"/>
                <w:color w:val="auto"/>
              </w:rPr>
            </w:pPr>
            <w:r>
              <w:rPr>
                <w:rFonts w:ascii="Arial" w:cs="Arial" w:eastAsia="Arial" w:hAnsi="Arial"/>
                <w:sz w:val="18"/>
                <w:szCs w:val="18"/>
                <w:color w:val="auto"/>
              </w:rPr>
              <w:t>1.750%</w:t>
            </w:r>
          </w:p>
        </w:tc>
        <w:tc>
          <w:tcPr>
            <w:tcW w:w="120" w:type="dxa"/>
            <w:vAlign w:val="bottom"/>
          </w:tcPr>
          <w:p>
            <w:pPr>
              <w:spacing w:after="0"/>
              <w:rPr>
                <w:sz w:val="16"/>
                <w:szCs w:val="16"/>
                <w:color w:val="auto"/>
              </w:rPr>
            </w:pPr>
          </w:p>
        </w:tc>
        <w:tc>
          <w:tcPr>
            <w:tcW w:w="32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gridSpan w:val="2"/>
          </w:tcPr>
          <w:p>
            <w:pPr>
              <w:jc w:val="right"/>
              <w:spacing w:after="0" w:line="195" w:lineRule="exact"/>
              <w:rPr>
                <w:sz w:val="20"/>
                <w:szCs w:val="20"/>
                <w:color w:val="auto"/>
              </w:rPr>
            </w:pPr>
            <w:r>
              <w:rPr>
                <w:rFonts w:ascii="Arial" w:cs="Arial" w:eastAsia="Arial" w:hAnsi="Arial"/>
                <w:sz w:val="18"/>
                <w:szCs w:val="18"/>
                <w:color w:val="auto"/>
              </w:rPr>
              <w:t>2.000%</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400" w:type="dxa"/>
            <w:vAlign w:val="bottom"/>
          </w:tcPr>
          <w:p>
            <w:pPr>
              <w:spacing w:after="0"/>
              <w:rPr>
                <w:sz w:val="20"/>
                <w:szCs w:val="20"/>
                <w:color w:val="auto"/>
              </w:rPr>
            </w:pPr>
          </w:p>
        </w:tc>
        <w:tc>
          <w:tcPr>
            <w:tcW w:w="2140" w:type="dxa"/>
            <w:vAlign w:val="bottom"/>
          </w:tcPr>
          <w:p>
            <w:pPr>
              <w:ind w:left="800"/>
              <w:spacing w:after="0"/>
              <w:rPr>
                <w:sz w:val="20"/>
                <w:szCs w:val="20"/>
                <w:color w:val="auto"/>
              </w:rPr>
            </w:pPr>
            <w:r>
              <w:rPr>
                <w:rFonts w:ascii="Arial" w:cs="Arial" w:eastAsia="Arial" w:hAnsi="Arial"/>
                <w:sz w:val="18"/>
                <w:szCs w:val="18"/>
                <w:color w:val="auto"/>
              </w:rPr>
              <w:t>5-Year Tranche</w:t>
            </w:r>
          </w:p>
        </w:tc>
        <w:tc>
          <w:tcPr>
            <w:tcW w:w="1340" w:type="dxa"/>
            <w:vAlign w:val="bottom"/>
            <w:gridSpan w:val="3"/>
          </w:tcPr>
          <w:p>
            <w:pPr>
              <w:jc w:val="center"/>
              <w:ind w:left="450"/>
              <w:spacing w:after="0"/>
              <w:rPr>
                <w:sz w:val="20"/>
                <w:szCs w:val="20"/>
                <w:color w:val="auto"/>
              </w:rPr>
            </w:pPr>
            <w:r>
              <w:rPr>
                <w:rFonts w:ascii="Arial" w:cs="Arial" w:eastAsia="Arial" w:hAnsi="Arial"/>
                <w:sz w:val="18"/>
                <w:szCs w:val="18"/>
                <w:color w:val="auto"/>
                <w:w w:val="91"/>
              </w:rPr>
              <w:t>1.125%</w:t>
            </w:r>
          </w:p>
        </w:tc>
        <w:tc>
          <w:tcPr>
            <w:tcW w:w="1320" w:type="dxa"/>
            <w:vAlign w:val="bottom"/>
            <w:gridSpan w:val="4"/>
          </w:tcPr>
          <w:p>
            <w:pPr>
              <w:jc w:val="right"/>
              <w:ind w:right="120"/>
              <w:spacing w:after="0"/>
              <w:rPr>
                <w:sz w:val="20"/>
                <w:szCs w:val="20"/>
                <w:color w:val="auto"/>
              </w:rPr>
            </w:pPr>
            <w:r>
              <w:rPr>
                <w:rFonts w:ascii="Arial" w:cs="Arial" w:eastAsia="Arial" w:hAnsi="Arial"/>
                <w:sz w:val="18"/>
                <w:szCs w:val="18"/>
                <w:color w:val="auto"/>
              </w:rPr>
              <w:t>1.250%</w:t>
            </w:r>
          </w:p>
        </w:tc>
        <w:tc>
          <w:tcPr>
            <w:tcW w:w="1300" w:type="dxa"/>
            <w:vAlign w:val="bottom"/>
            <w:gridSpan w:val="3"/>
          </w:tcPr>
          <w:p>
            <w:pPr>
              <w:jc w:val="right"/>
              <w:ind w:right="100"/>
              <w:spacing w:after="0"/>
              <w:rPr>
                <w:sz w:val="20"/>
                <w:szCs w:val="20"/>
                <w:color w:val="auto"/>
              </w:rPr>
            </w:pPr>
            <w:r>
              <w:rPr>
                <w:rFonts w:ascii="Arial" w:cs="Arial" w:eastAsia="Arial" w:hAnsi="Arial"/>
                <w:sz w:val="18"/>
                <w:szCs w:val="18"/>
                <w:color w:val="auto"/>
              </w:rPr>
              <w:t>1.375%</w:t>
            </w:r>
          </w:p>
        </w:tc>
        <w:tc>
          <w:tcPr>
            <w:tcW w:w="260" w:type="dxa"/>
            <w:vAlign w:val="bottom"/>
          </w:tcPr>
          <w:p>
            <w:pPr>
              <w:spacing w:after="0"/>
              <w:rPr>
                <w:sz w:val="20"/>
                <w:szCs w:val="20"/>
                <w:color w:val="auto"/>
              </w:rPr>
            </w:pPr>
          </w:p>
        </w:tc>
        <w:tc>
          <w:tcPr>
            <w:tcW w:w="1060" w:type="dxa"/>
            <w:vAlign w:val="bottom"/>
            <w:gridSpan w:val="4"/>
          </w:tcPr>
          <w:p>
            <w:pPr>
              <w:jc w:val="right"/>
              <w:ind w:right="120"/>
              <w:spacing w:after="0"/>
              <w:rPr>
                <w:sz w:val="20"/>
                <w:szCs w:val="20"/>
                <w:color w:val="auto"/>
              </w:rPr>
            </w:pPr>
            <w:r>
              <w:rPr>
                <w:rFonts w:ascii="Arial" w:cs="Arial" w:eastAsia="Arial" w:hAnsi="Arial"/>
                <w:sz w:val="18"/>
                <w:szCs w:val="18"/>
                <w:color w:val="auto"/>
              </w:rPr>
              <w:t>2.000%</w:t>
            </w:r>
          </w:p>
        </w:tc>
        <w:tc>
          <w:tcPr>
            <w:tcW w:w="320" w:type="dxa"/>
            <w:vAlign w:val="bottom"/>
          </w:tcPr>
          <w:p>
            <w:pPr>
              <w:spacing w:after="0"/>
              <w:rPr>
                <w:sz w:val="20"/>
                <w:szCs w:val="20"/>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2.250%</w:t>
            </w:r>
          </w:p>
        </w:tc>
        <w:tc>
          <w:tcPr>
            <w:tcW w:w="0" w:type="dxa"/>
            <w:vAlign w:val="bottom"/>
          </w:tcPr>
          <w:p>
            <w:pPr>
              <w:spacing w:after="0"/>
              <w:rPr>
                <w:sz w:val="1"/>
                <w:szCs w:val="1"/>
                <w:color w:val="auto"/>
              </w:rPr>
            </w:pPr>
          </w:p>
        </w:tc>
      </w:tr>
    </w:tbl>
    <w:p>
      <w:pPr>
        <w:spacing w:after="0" w:line="9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ind w:left="3200" w:right="80"/>
        <w:spacing w:after="0" w:line="279" w:lineRule="auto"/>
        <w:rPr>
          <w:sz w:val="20"/>
          <w:szCs w:val="20"/>
          <w:color w:val="auto"/>
        </w:rPr>
      </w:pPr>
      <w:r>
        <w:rPr>
          <w:rFonts w:ascii="Arial" w:cs="Arial" w:eastAsia="Arial" w:hAnsi="Arial"/>
          <w:sz w:val="17"/>
          <w:szCs w:val="17"/>
          <w:color w:val="auto"/>
        </w:rPr>
        <w:t>The foregoing pricing shall be based on the senior, unsecured non-credit enhanced long-term indebtedness for borrowed money of (x) prior to the assignment of such ratings for Holdco, Maui and (y) thereafter, Holdco, in each case, issued by Moody’s, S&amp;P and Fitch (the “</w:t>
      </w:r>
      <w:r>
        <w:rPr>
          <w:rFonts w:ascii="Arial" w:cs="Arial" w:eastAsia="Arial" w:hAnsi="Arial"/>
          <w:sz w:val="17"/>
          <w:szCs w:val="17"/>
          <w:b w:val="1"/>
          <w:bCs w:val="1"/>
          <w:i w:val="1"/>
          <w:iCs w:val="1"/>
          <w:color w:val="auto"/>
        </w:rPr>
        <w:t>Public Debt Ratings</w:t>
      </w:r>
      <w:r>
        <w:rPr>
          <w:rFonts w:ascii="Arial" w:cs="Arial" w:eastAsia="Arial" w:hAnsi="Arial"/>
          <w:sz w:val="17"/>
          <w:szCs w:val="17"/>
          <w:color w:val="auto"/>
        </w:rPr>
        <w:t>”). Split ratings shall be addressed in a manner consistent with the Existing Credit Agreement.</w:t>
      </w:r>
    </w:p>
    <w:p>
      <w:pPr>
        <w:spacing w:after="0" w:line="63" w:lineRule="exact"/>
        <w:rPr>
          <w:sz w:val="20"/>
          <w:szCs w:val="20"/>
          <w:color w:val="auto"/>
        </w:rPr>
      </w:pPr>
    </w:p>
    <w:p>
      <w:pPr>
        <w:ind w:left="3200" w:right="1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Applicable ABR Margin</w:t>
      </w:r>
      <w:r>
        <w:rPr>
          <w:rFonts w:ascii="Arial" w:cs="Arial" w:eastAsia="Arial" w:hAnsi="Arial"/>
          <w:sz w:val="18"/>
          <w:szCs w:val="18"/>
          <w:color w:val="auto"/>
        </w:rPr>
        <w:t xml:space="preserve">” means a percentage equal to the greater of (i) 0% and (ii) the Applicable LIBO Margin </w:t>
      </w:r>
      <w:r>
        <w:rPr>
          <w:rFonts w:ascii="Arial" w:cs="Arial" w:eastAsia="Arial" w:hAnsi="Arial"/>
          <w:sz w:val="18"/>
          <w:szCs w:val="18"/>
          <w:i w:val="1"/>
          <w:iCs w:val="1"/>
          <w:color w:val="auto"/>
        </w:rPr>
        <w:t>minus</w:t>
      </w:r>
      <w:r>
        <w:rPr>
          <w:rFonts w:ascii="Arial" w:cs="Arial" w:eastAsia="Arial" w:hAnsi="Arial"/>
          <w:sz w:val="18"/>
          <w:szCs w:val="18"/>
          <w:color w:val="auto"/>
        </w:rPr>
        <w:t xml:space="preserve"> 1.0%.</w:t>
      </w:r>
    </w:p>
    <w:p>
      <w:pPr>
        <w:spacing w:after="0" w:line="103"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Exhibit A-9</w:t>
      </w:r>
    </w:p>
    <w:p>
      <w:pPr>
        <w:sectPr>
          <w:pgSz w:w="11900" w:h="16838" w:orient="portrait"/>
          <w:cols w:equalWidth="0" w:num="1">
            <w:col w:w="11020"/>
          </w:cols>
          <w:pgMar w:left="440" w:top="257" w:right="439" w:bottom="1440" w:gutter="0" w:footer="0" w:header="0"/>
        </w:sectPr>
      </w:pPr>
    </w:p>
    <w:bookmarkStart w:id="184" w:name="page185"/>
    <w:bookmarkEnd w:id="184"/>
    <w:p>
      <w:pPr>
        <w:ind w:left="2640" w:right="16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w:t>
      </w:r>
      <w:r>
        <w:rPr>
          <w:rFonts w:ascii="Arial" w:cs="Arial" w:eastAsia="Arial" w:hAnsi="Arial"/>
          <w:sz w:val="16"/>
          <w:szCs w:val="16"/>
          <w:b w:val="1"/>
          <w:bCs w:val="1"/>
          <w:i w:val="1"/>
          <w:iCs w:val="1"/>
          <w:color w:val="auto"/>
        </w:rPr>
        <w:t>Federal Funds Effective Rate” means, for any day, the rate calculated by the NYFRB based on</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 xml:space="preserve">such day’s federal funds transactions by depositary institutions, as determined in such manner as the NYFRB shall set forth on its public website from time to time, and published on the next succeeding Business Day by the NYFRB as the federal funds effective rate, </w:t>
      </w:r>
      <w:r>
        <w:rPr>
          <w:rFonts w:ascii="Arial" w:cs="Arial" w:eastAsia="Arial" w:hAnsi="Arial"/>
          <w:sz w:val="16"/>
          <w:szCs w:val="16"/>
          <w:b w:val="1"/>
          <w:bCs w:val="1"/>
          <w:i w:val="1"/>
          <w:iCs w:val="1"/>
          <w:u w:val="single" w:color="auto"/>
          <w:color w:val="auto"/>
        </w:rPr>
        <w:t>provided</w:t>
      </w:r>
      <w:r>
        <w:rPr>
          <w:rFonts w:ascii="Arial" w:cs="Arial" w:eastAsia="Arial" w:hAnsi="Arial"/>
          <w:sz w:val="16"/>
          <w:szCs w:val="16"/>
          <w:b w:val="1"/>
          <w:bCs w:val="1"/>
          <w:i w:val="1"/>
          <w:iCs w:val="1"/>
          <w:color w:val="auto"/>
        </w:rPr>
        <w:t xml:space="preserve"> that if the Federal Funds Effective Rate shall be less than zero, such rate shall be deemed to zero for the purposes of calculating such rate.</w:t>
      </w:r>
    </w:p>
    <w:p>
      <w:pPr>
        <w:spacing w:after="0" w:line="56" w:lineRule="exact"/>
        <w:rPr>
          <w:sz w:val="20"/>
          <w:szCs w:val="20"/>
          <w:color w:val="auto"/>
        </w:rPr>
      </w:pPr>
    </w:p>
    <w:p>
      <w:pPr>
        <w:ind w:left="2640" w:right="2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Interpolated Rate</w:t>
      </w:r>
      <w:r>
        <w:rPr>
          <w:rFonts w:ascii="Arial" w:cs="Arial" w:eastAsia="Arial" w:hAnsi="Arial"/>
          <w:sz w:val="16"/>
          <w:szCs w:val="16"/>
          <w:color w:val="auto"/>
        </w:rPr>
        <w:t xml:space="preserve">” means, at any time, for any interest period, the rate </w:t>
      </w:r>
      <w:r>
        <w:rPr>
          <w:rFonts w:ascii="Arial" w:cs="Arial" w:eastAsia="Arial" w:hAnsi="Arial"/>
          <w:sz w:val="16"/>
          <w:szCs w:val="16"/>
          <w:i w:val="1"/>
          <w:iCs w:val="1"/>
          <w:color w:val="auto"/>
        </w:rPr>
        <w:t>per annum</w:t>
      </w:r>
      <w:r>
        <w:rPr>
          <w:rFonts w:ascii="Arial" w:cs="Arial" w:eastAsia="Arial" w:hAnsi="Arial"/>
          <w:sz w:val="16"/>
          <w:szCs w:val="16"/>
          <w:color w:val="auto"/>
        </w:rPr>
        <w:t xml:space="preserve"> (rounded to the same number of decimal places as the LIBO Screen Rate) determined by the Term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58" w:lineRule="exact"/>
        <w:rPr>
          <w:sz w:val="20"/>
          <w:szCs w:val="20"/>
          <w:color w:val="auto"/>
        </w:rPr>
      </w:pPr>
    </w:p>
    <w:p>
      <w:pPr>
        <w:ind w:left="2640" w:right="8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LIBO Rate</w:t>
      </w:r>
      <w:r>
        <w:rPr>
          <w:rFonts w:ascii="Arial" w:cs="Arial" w:eastAsia="Arial" w:hAnsi="Arial"/>
          <w:sz w:val="18"/>
          <w:szCs w:val="18"/>
          <w:color w:val="auto"/>
        </w:rPr>
        <w:t xml:space="preserve">” means, with respect to any Eurodollar Borrowing for any interest period, the LIBO Screen Rate at approximately 11:00 a.m., London time, two Business Days prior to the commencement of such interest period;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LIBO Screen Rate shall not be available at such time for such interest period (an “</w:t>
      </w:r>
      <w:r>
        <w:rPr>
          <w:rFonts w:ascii="Arial" w:cs="Arial" w:eastAsia="Arial" w:hAnsi="Arial"/>
          <w:sz w:val="18"/>
          <w:szCs w:val="18"/>
          <w:b w:val="1"/>
          <w:bCs w:val="1"/>
          <w:i w:val="1"/>
          <w:iCs w:val="1"/>
          <w:color w:val="auto"/>
        </w:rPr>
        <w:t>Impacted Interest Period</w:t>
      </w:r>
      <w:r>
        <w:rPr>
          <w:rFonts w:ascii="Arial" w:cs="Arial" w:eastAsia="Arial" w:hAnsi="Arial"/>
          <w:sz w:val="18"/>
          <w:szCs w:val="18"/>
          <w:color w:val="auto"/>
        </w:rPr>
        <w:t>”) then the LIBO Rate shall be the Interpolated Rate.</w:t>
      </w:r>
    </w:p>
    <w:p>
      <w:pPr>
        <w:spacing w:after="0" w:line="80" w:lineRule="exact"/>
        <w:rPr>
          <w:sz w:val="20"/>
          <w:szCs w:val="20"/>
          <w:color w:val="auto"/>
        </w:rPr>
      </w:pPr>
    </w:p>
    <w:p>
      <w:pPr>
        <w:ind w:left="26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LIBO Screen Rate</w:t>
      </w:r>
      <w:r>
        <w:rPr>
          <w:rFonts w:ascii="Arial" w:cs="Arial" w:eastAsia="Arial" w:hAnsi="Arial"/>
          <w:sz w:val="17"/>
          <w:szCs w:val="17"/>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Term Administrative Agent in its reasonable discretion);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LIBO Screen Rate as so determined would be less than zero, such rate shall be deemed to be zero for the purposes of calculating such rate.</w:t>
      </w:r>
    </w:p>
    <w:p>
      <w:pPr>
        <w:spacing w:after="0" w:line="77" w:lineRule="exact"/>
        <w:rPr>
          <w:sz w:val="20"/>
          <w:szCs w:val="20"/>
          <w:color w:val="auto"/>
        </w:rPr>
      </w:pPr>
    </w:p>
    <w:p>
      <w:pPr>
        <w:ind w:left="2640" w:right="18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NYFRB Rate</w:t>
      </w:r>
      <w:r>
        <w:rPr>
          <w:rFonts w:ascii="Arial" w:cs="Arial" w:eastAsia="Arial" w:hAnsi="Arial"/>
          <w:sz w:val="18"/>
          <w:szCs w:val="18"/>
          <w:color w:val="auto"/>
        </w:rPr>
        <w:t xml:space="preserve">” means, for any day, the greater of (a) the Federal Funds Effective Rate in effect on such day and (b) the Overnight Bank Funding Rate in effect on such day;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any of the aforesaid rates shall be less than zero, such rate shall be deemed to zero for the purposes of calculating such rate.</w:t>
      </w:r>
    </w:p>
    <w:p>
      <w:pPr>
        <w:spacing w:after="0" w:line="79" w:lineRule="exact"/>
        <w:rPr>
          <w:sz w:val="20"/>
          <w:szCs w:val="20"/>
          <w:color w:val="auto"/>
        </w:rPr>
      </w:pPr>
    </w:p>
    <w:p>
      <w:pPr>
        <w:ind w:left="2640" w:right="6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Overnight Bank Funding Rate</w:t>
      </w:r>
      <w:r>
        <w:rPr>
          <w:rFonts w:ascii="Arial" w:cs="Arial" w:eastAsia="Arial" w:hAnsi="Arial"/>
          <w:sz w:val="18"/>
          <w:szCs w:val="18"/>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125" w:lineRule="exact"/>
        <w:rPr>
          <w:sz w:val="20"/>
          <w:szCs w:val="20"/>
          <w:color w:val="auto"/>
        </w:rPr>
      </w:pPr>
    </w:p>
    <w:p>
      <w:pPr>
        <w:ind w:left="4040"/>
        <w:spacing w:after="0"/>
        <w:rPr>
          <w:sz w:val="20"/>
          <w:szCs w:val="20"/>
          <w:color w:val="auto"/>
        </w:rPr>
      </w:pPr>
      <w:r>
        <w:rPr>
          <w:rFonts w:ascii="Arial" w:cs="Arial" w:eastAsia="Arial" w:hAnsi="Arial"/>
          <w:sz w:val="18"/>
          <w:szCs w:val="18"/>
          <w:color w:val="auto"/>
        </w:rPr>
        <w:t>Exhibit A-10</w:t>
      </w:r>
    </w:p>
    <w:p>
      <w:pPr>
        <w:sectPr>
          <w:pgSz w:w="11900" w:h="16838" w:orient="portrait"/>
          <w:cols w:equalWidth="0" w:num="1">
            <w:col w:w="10000"/>
          </w:cols>
          <w:pgMar w:left="1440" w:top="382" w:right="459" w:bottom="1440" w:gutter="0" w:footer="0" w:header="0"/>
        </w:sectPr>
      </w:pPr>
    </w:p>
    <w:bookmarkStart w:id="185" w:name="page186"/>
    <w:bookmarkEnd w:id="185"/>
    <w:tbl>
      <w:tblPr>
        <w:tblLayout w:type="fixed"/>
        <w:tblInd w:w="0" w:type="dxa"/>
        <w:tblCellMar>
          <w:top w:w="0" w:type="dxa"/>
          <w:left w:w="0" w:type="dxa"/>
          <w:bottom w:w="0" w:type="dxa"/>
          <w:right w:w="0" w:type="dxa"/>
        </w:tblCellMar>
      </w:tblPr>
      <w:tr>
        <w:trPr>
          <w:trHeight w:val="216"/>
        </w:trPr>
        <w:tc>
          <w:tcPr>
            <w:tcW w:w="2320" w:type="dxa"/>
            <w:vAlign w:val="bottom"/>
          </w:tcPr>
          <w:p>
            <w:pPr>
              <w:spacing w:after="0"/>
              <w:rPr>
                <w:sz w:val="18"/>
                <w:szCs w:val="18"/>
                <w:color w:val="auto"/>
              </w:rPr>
            </w:pPr>
          </w:p>
        </w:tc>
        <w:tc>
          <w:tcPr>
            <w:tcW w:w="7820" w:type="dxa"/>
            <w:vAlign w:val="bottom"/>
            <w:gridSpan w:val="10"/>
          </w:tcPr>
          <w:p>
            <w:pPr>
              <w:ind w:left="880"/>
              <w:spacing w:after="0"/>
              <w:rPr>
                <w:sz w:val="20"/>
                <w:szCs w:val="20"/>
                <w:color w:val="auto"/>
              </w:rPr>
            </w:pPr>
            <w:r>
              <w:rPr>
                <w:rFonts w:ascii="Arial" w:cs="Arial" w:eastAsia="Arial" w:hAnsi="Arial"/>
                <w:sz w:val="18"/>
                <w:szCs w:val="18"/>
                <w:color w:val="auto"/>
                <w:w w:val="92"/>
              </w:rPr>
              <w:t>The Term Credit Documentation will contain provisions to be mutually agreed with respect to a</w:t>
            </w:r>
          </w:p>
        </w:tc>
        <w:tc>
          <w:tcPr>
            <w:tcW w:w="8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3560" w:type="dxa"/>
            <w:vAlign w:val="bottom"/>
            <w:gridSpan w:val="3"/>
          </w:tcPr>
          <w:p>
            <w:pPr>
              <w:ind w:left="880"/>
              <w:spacing w:after="0"/>
              <w:rPr>
                <w:sz w:val="20"/>
                <w:szCs w:val="20"/>
                <w:color w:val="auto"/>
              </w:rPr>
            </w:pPr>
            <w:r>
              <w:rPr>
                <w:rFonts w:ascii="Arial" w:cs="Arial" w:eastAsia="Arial" w:hAnsi="Arial"/>
                <w:sz w:val="18"/>
                <w:szCs w:val="18"/>
                <w:color w:val="auto"/>
              </w:rPr>
              <w:t>replacement of the LIBO Rate.</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0"/>
              </w:rPr>
              <w:t>Interest Payment Dates:In the case of Loans bearing interest based upon the ABR (“</w:t>
            </w:r>
            <w:r>
              <w:rPr>
                <w:rFonts w:ascii="Arial" w:cs="Arial" w:eastAsia="Arial" w:hAnsi="Arial"/>
                <w:sz w:val="18"/>
                <w:szCs w:val="18"/>
                <w:b w:val="1"/>
                <w:bCs w:val="1"/>
                <w:i w:val="1"/>
                <w:iCs w:val="1"/>
                <w:color w:val="auto"/>
                <w:w w:val="90"/>
              </w:rPr>
              <w:t>ABR Loans</w:t>
            </w:r>
            <w:r>
              <w:rPr>
                <w:rFonts w:ascii="Arial" w:cs="Arial" w:eastAsia="Arial" w:hAnsi="Arial"/>
                <w:sz w:val="18"/>
                <w:szCs w:val="18"/>
                <w:color w:val="auto"/>
                <w:w w:val="90"/>
              </w:rPr>
              <w:t>”), quarterly</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2220" w:type="dxa"/>
            <w:vAlign w:val="bottom"/>
          </w:tcPr>
          <w:p>
            <w:pPr>
              <w:ind w:left="880"/>
              <w:spacing w:after="0"/>
              <w:rPr>
                <w:sz w:val="20"/>
                <w:szCs w:val="20"/>
                <w:color w:val="auto"/>
              </w:rPr>
            </w:pPr>
            <w:r>
              <w:rPr>
                <w:rFonts w:ascii="Arial" w:cs="Arial" w:eastAsia="Arial" w:hAnsi="Arial"/>
                <w:sz w:val="18"/>
                <w:szCs w:val="18"/>
                <w:color w:val="auto"/>
              </w:rPr>
              <w:t>in arrears.</w:t>
            </w:r>
          </w:p>
        </w:tc>
        <w:tc>
          <w:tcPr>
            <w:tcW w:w="1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1"/>
              </w:rPr>
              <w:t>In the case of Loans bearing interest based upon the Adjusted LIBO Rate (“</w:t>
            </w:r>
            <w:r>
              <w:rPr>
                <w:rFonts w:ascii="Arial" w:cs="Arial" w:eastAsia="Arial" w:hAnsi="Arial"/>
                <w:sz w:val="18"/>
                <w:szCs w:val="18"/>
                <w:b w:val="1"/>
                <w:bCs w:val="1"/>
                <w:i w:val="1"/>
                <w:iCs w:val="1"/>
                <w:color w:val="auto"/>
                <w:w w:val="91"/>
              </w:rPr>
              <w:t>Eurodollar Loans</w:t>
            </w:r>
            <w:r>
              <w:rPr>
                <w:rFonts w:ascii="Arial" w:cs="Arial" w:eastAsia="Arial" w:hAnsi="Arial"/>
                <w:sz w:val="18"/>
                <w:szCs w:val="18"/>
                <w:color w:val="auto"/>
                <w:w w:val="91"/>
              </w:rPr>
              <w:t>”), on the last</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0"/>
              </w:rPr>
              <w:t>day of each relevant interest period and, in the case of any interest period longer than three months, on each</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6180" w:type="dxa"/>
            <w:vAlign w:val="bottom"/>
            <w:gridSpan w:val="7"/>
          </w:tcPr>
          <w:p>
            <w:pPr>
              <w:ind w:left="880"/>
              <w:spacing w:after="0"/>
              <w:rPr>
                <w:sz w:val="20"/>
                <w:szCs w:val="20"/>
                <w:color w:val="auto"/>
              </w:rPr>
            </w:pPr>
            <w:r>
              <w:rPr>
                <w:rFonts w:ascii="Arial" w:cs="Arial" w:eastAsia="Arial" w:hAnsi="Arial"/>
                <w:sz w:val="18"/>
                <w:szCs w:val="18"/>
                <w:color w:val="auto"/>
                <w:w w:val="93"/>
              </w:rPr>
              <w:t>successive date three months after the first day of such interest period.</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0"/>
                <w:szCs w:val="20"/>
                <w:color w:val="auto"/>
              </w:rPr>
            </w:pPr>
            <w:r>
              <w:rPr>
                <w:rFonts w:ascii="Arial" w:cs="Arial" w:eastAsia="Arial" w:hAnsi="Arial"/>
                <w:sz w:val="18"/>
                <w:szCs w:val="18"/>
                <w:color w:val="auto"/>
              </w:rPr>
              <w:t>Default Rate:</w:t>
            </w: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3"/>
              </w:rPr>
              <w:t>At any time when the Borrower is in default in the payment of any amount of principal due under the Term</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0"/>
              </w:rPr>
              <w:t>Facility, such amount shall bear interest at 2% above the rate otherwise applicable thereto. Overdue interest,</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7820" w:type="dxa"/>
            <w:vAlign w:val="bottom"/>
            <w:gridSpan w:val="10"/>
          </w:tcPr>
          <w:p>
            <w:pPr>
              <w:ind w:left="880"/>
              <w:spacing w:after="0"/>
              <w:rPr>
                <w:sz w:val="20"/>
                <w:szCs w:val="20"/>
                <w:color w:val="auto"/>
              </w:rPr>
            </w:pPr>
            <w:r>
              <w:rPr>
                <w:rFonts w:ascii="Arial" w:cs="Arial" w:eastAsia="Arial" w:hAnsi="Arial"/>
                <w:sz w:val="18"/>
                <w:szCs w:val="18"/>
                <w:color w:val="auto"/>
                <w:w w:val="96"/>
              </w:rPr>
              <w:t>fees and other amounts shall bear interest at 2% above the rate applicable to ABR Loans.</w:t>
            </w: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0"/>
                <w:szCs w:val="20"/>
                <w:color w:val="auto"/>
              </w:rPr>
            </w:pPr>
            <w:r>
              <w:rPr>
                <w:rFonts w:ascii="Arial" w:cs="Arial" w:eastAsia="Arial" w:hAnsi="Arial"/>
                <w:sz w:val="18"/>
                <w:szCs w:val="18"/>
                <w:color w:val="auto"/>
              </w:rPr>
              <w:t>Undrawn Fee:</w:t>
            </w: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9"/>
              </w:rPr>
              <w:t>The Borrower will pay a fee (the “</w:t>
            </w:r>
            <w:r>
              <w:rPr>
                <w:rFonts w:ascii="Arial" w:cs="Arial" w:eastAsia="Arial" w:hAnsi="Arial"/>
                <w:sz w:val="18"/>
                <w:szCs w:val="18"/>
                <w:b w:val="1"/>
                <w:bCs w:val="1"/>
                <w:i w:val="1"/>
                <w:iCs w:val="1"/>
                <w:color w:val="auto"/>
                <w:w w:val="99"/>
              </w:rPr>
              <w:t>Undrawn Fee</w:t>
            </w:r>
            <w:r>
              <w:rPr>
                <w:rFonts w:ascii="Arial" w:cs="Arial" w:eastAsia="Arial" w:hAnsi="Arial"/>
                <w:sz w:val="18"/>
                <w:szCs w:val="18"/>
                <w:color w:val="auto"/>
                <w:w w:val="99"/>
              </w:rPr>
              <w:t>”), for the ratable benefit of the Term Lenders, in an</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3"/>
              </w:rPr>
              <w:t>amount equal to a percentage determined in accordance with the pricing grid set forth immediately below</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3"/>
              </w:rPr>
              <w:t>(the “</w:t>
            </w:r>
            <w:r>
              <w:rPr>
                <w:rFonts w:ascii="Arial" w:cs="Arial" w:eastAsia="Arial" w:hAnsi="Arial"/>
                <w:sz w:val="18"/>
                <w:szCs w:val="18"/>
                <w:b w:val="1"/>
                <w:bCs w:val="1"/>
                <w:i w:val="1"/>
                <w:iCs w:val="1"/>
                <w:color w:val="auto"/>
                <w:w w:val="93"/>
              </w:rPr>
              <w:t>Undrawn Fee Pricing Grid</w:t>
            </w:r>
            <w:r>
              <w:rPr>
                <w:rFonts w:ascii="Arial" w:cs="Arial" w:eastAsia="Arial" w:hAnsi="Arial"/>
                <w:sz w:val="18"/>
                <w:szCs w:val="18"/>
                <w:color w:val="auto"/>
                <w:w w:val="93"/>
              </w:rPr>
              <w:t>”) of the undrawn portion of the commitments in respect of each Tranche</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6"/>
              </w:rPr>
              <w:t>the Term Facility from and including the day that is 90 days following the execution of the Commitment</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2"/>
              </w:rPr>
              <w:t>Letter and to but excluding the Fee Payment Date, which fee shall be payable upon the Fee Payment Date</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2"/>
              </w:rPr>
              <w:t>(or earlier termination of the commitments with respect to the Term Facility). For the purposes hereof, “</w:t>
            </w:r>
            <w:r>
              <w:rPr>
                <w:rFonts w:ascii="Arial" w:cs="Arial" w:eastAsia="Arial" w:hAnsi="Arial"/>
                <w:sz w:val="18"/>
                <w:szCs w:val="18"/>
                <w:b w:val="1"/>
                <w:bCs w:val="1"/>
                <w:i w:val="1"/>
                <w:iCs w:val="1"/>
                <w:color w:val="auto"/>
                <w:w w:val="92"/>
              </w:rPr>
              <w:t>Fee</w:t>
            </w:r>
          </w:p>
        </w:tc>
        <w:tc>
          <w:tcPr>
            <w:tcW w:w="0" w:type="dxa"/>
            <w:vAlign w:val="bottom"/>
          </w:tcPr>
          <w:p>
            <w:pPr>
              <w:spacing w:after="0"/>
              <w:rPr>
                <w:sz w:val="1"/>
                <w:szCs w:val="1"/>
                <w:color w:val="auto"/>
              </w:rPr>
            </w:pPr>
          </w:p>
        </w:tc>
      </w:tr>
      <w:tr>
        <w:trPr>
          <w:trHeight w:val="216"/>
        </w:trPr>
        <w:tc>
          <w:tcPr>
            <w:tcW w:w="2320" w:type="dxa"/>
            <w:vAlign w:val="bottom"/>
          </w:tcPr>
          <w:p>
            <w:pPr>
              <w:spacing w:after="0"/>
              <w:rPr>
                <w:sz w:val="18"/>
                <w:szCs w:val="18"/>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b w:val="1"/>
                <w:bCs w:val="1"/>
                <w:i w:val="1"/>
                <w:iCs w:val="1"/>
                <w:color w:val="auto"/>
                <w:w w:val="97"/>
              </w:rPr>
              <w:t>Payment Date</w:t>
            </w:r>
            <w:r>
              <w:rPr>
                <w:rFonts w:ascii="Arial" w:cs="Arial" w:eastAsia="Arial" w:hAnsi="Arial"/>
                <w:sz w:val="18"/>
                <w:szCs w:val="18"/>
                <w:color w:val="auto"/>
                <w:w w:val="97"/>
              </w:rPr>
              <w:t>” means the earlier of (i) termination or expiration of the commitments under the Term</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3560" w:type="dxa"/>
            <w:vAlign w:val="bottom"/>
            <w:gridSpan w:val="3"/>
          </w:tcPr>
          <w:p>
            <w:pPr>
              <w:ind w:left="880"/>
              <w:spacing w:after="0"/>
              <w:rPr>
                <w:sz w:val="20"/>
                <w:szCs w:val="20"/>
                <w:color w:val="auto"/>
              </w:rPr>
            </w:pPr>
            <w:r>
              <w:rPr>
                <w:rFonts w:ascii="Arial" w:cs="Arial" w:eastAsia="Arial" w:hAnsi="Arial"/>
                <w:sz w:val="18"/>
                <w:szCs w:val="18"/>
                <w:color w:val="auto"/>
              </w:rPr>
              <w:t>Facility and (ii) the Closing Date.</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8"/>
        </w:trPr>
        <w:tc>
          <w:tcPr>
            <w:tcW w:w="23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w w:val="98"/>
              </w:rPr>
              <w:t>Pricing</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w w:val="98"/>
              </w:rPr>
              <w:t>Pricing</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w w:val="98"/>
              </w:rPr>
              <w:t>Pricing</w:t>
            </w:r>
          </w:p>
        </w:tc>
        <w:tc>
          <w:tcPr>
            <w:tcW w:w="1640" w:type="dxa"/>
            <w:vAlign w:val="bottom"/>
            <w:gridSpan w:val="3"/>
          </w:tcPr>
          <w:p>
            <w:pPr>
              <w:jc w:val="center"/>
              <w:ind w:right="440"/>
              <w:spacing w:after="0"/>
              <w:rPr>
                <w:sz w:val="20"/>
                <w:szCs w:val="20"/>
                <w:color w:val="auto"/>
              </w:rPr>
            </w:pPr>
            <w:r>
              <w:rPr>
                <w:rFonts w:ascii="Arial" w:cs="Arial" w:eastAsia="Arial" w:hAnsi="Arial"/>
                <w:sz w:val="14"/>
                <w:szCs w:val="14"/>
                <w:color w:val="auto"/>
                <w:w w:val="93"/>
              </w:rPr>
              <w:t>Pricing</w:t>
            </w:r>
          </w:p>
        </w:tc>
        <w:tc>
          <w:tcPr>
            <w:tcW w:w="900" w:type="dxa"/>
            <w:vAlign w:val="bottom"/>
            <w:gridSpan w:val="2"/>
          </w:tcPr>
          <w:p>
            <w:pPr>
              <w:jc w:val="center"/>
              <w:ind w:right="360"/>
              <w:spacing w:after="0"/>
              <w:rPr>
                <w:sz w:val="20"/>
                <w:szCs w:val="20"/>
                <w:color w:val="auto"/>
              </w:rPr>
            </w:pPr>
            <w:r>
              <w:rPr>
                <w:rFonts w:ascii="Arial" w:cs="Arial" w:eastAsia="Arial" w:hAnsi="Arial"/>
                <w:sz w:val="14"/>
                <w:szCs w:val="14"/>
                <w:color w:val="auto"/>
                <w:w w:val="98"/>
              </w:rPr>
              <w:t>Pricing</w:t>
            </w:r>
          </w:p>
        </w:tc>
        <w:tc>
          <w:tcPr>
            <w:tcW w:w="0" w:type="dxa"/>
            <w:vAlign w:val="bottom"/>
          </w:tcPr>
          <w:p>
            <w:pPr>
              <w:spacing w:after="0"/>
              <w:rPr>
                <w:sz w:val="1"/>
                <w:szCs w:val="1"/>
                <w:color w:val="auto"/>
              </w:rPr>
            </w:pPr>
          </w:p>
        </w:tc>
      </w:tr>
      <w:tr>
        <w:trPr>
          <w:trHeight w:val="181"/>
        </w:trPr>
        <w:tc>
          <w:tcPr>
            <w:tcW w:w="232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rPr>
              <w:t>Level I</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rPr>
              <w:t>Level II</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rPr>
              <w:t>Level III</w:t>
            </w:r>
          </w:p>
        </w:tc>
        <w:tc>
          <w:tcPr>
            <w:tcW w:w="1640" w:type="dxa"/>
            <w:vAlign w:val="bottom"/>
            <w:gridSpan w:val="3"/>
          </w:tcPr>
          <w:p>
            <w:pPr>
              <w:jc w:val="center"/>
              <w:ind w:right="440"/>
              <w:spacing w:after="0"/>
              <w:rPr>
                <w:sz w:val="20"/>
                <w:szCs w:val="20"/>
                <w:color w:val="auto"/>
              </w:rPr>
            </w:pPr>
            <w:r>
              <w:rPr>
                <w:rFonts w:ascii="Arial" w:cs="Arial" w:eastAsia="Arial" w:hAnsi="Arial"/>
                <w:sz w:val="14"/>
                <w:szCs w:val="14"/>
                <w:color w:val="auto"/>
              </w:rPr>
              <w:t>Level IV</w:t>
            </w:r>
          </w:p>
        </w:tc>
        <w:tc>
          <w:tcPr>
            <w:tcW w:w="900" w:type="dxa"/>
            <w:vAlign w:val="bottom"/>
            <w:gridSpan w:val="2"/>
          </w:tcPr>
          <w:p>
            <w:pPr>
              <w:jc w:val="center"/>
              <w:ind w:right="360"/>
              <w:spacing w:after="0"/>
              <w:rPr>
                <w:sz w:val="20"/>
                <w:szCs w:val="20"/>
                <w:color w:val="auto"/>
              </w:rPr>
            </w:pPr>
            <w:r>
              <w:rPr>
                <w:rFonts w:ascii="Arial" w:cs="Arial" w:eastAsia="Arial" w:hAnsi="Arial"/>
                <w:sz w:val="14"/>
                <w:szCs w:val="14"/>
                <w:color w:val="auto"/>
                <w:w w:val="98"/>
              </w:rPr>
              <w:t>Level V</w:t>
            </w:r>
          </w:p>
        </w:tc>
        <w:tc>
          <w:tcPr>
            <w:tcW w:w="0" w:type="dxa"/>
            <w:vAlign w:val="bottom"/>
          </w:tcPr>
          <w:p>
            <w:pPr>
              <w:spacing w:after="0"/>
              <w:rPr>
                <w:sz w:val="1"/>
                <w:szCs w:val="1"/>
                <w:color w:val="auto"/>
              </w:rPr>
            </w:pPr>
          </w:p>
        </w:tc>
      </w:tr>
      <w:tr>
        <w:trPr>
          <w:trHeight w:val="123"/>
        </w:trPr>
        <w:tc>
          <w:tcPr>
            <w:tcW w:w="2320" w:type="dxa"/>
            <w:vAlign w:val="bottom"/>
          </w:tcPr>
          <w:p>
            <w:pPr>
              <w:spacing w:after="0"/>
              <w:rPr>
                <w:sz w:val="10"/>
                <w:szCs w:val="10"/>
                <w:color w:val="auto"/>
              </w:rPr>
            </w:pPr>
          </w:p>
        </w:tc>
        <w:tc>
          <w:tcPr>
            <w:tcW w:w="2220" w:type="dxa"/>
            <w:vAlign w:val="bottom"/>
          </w:tcPr>
          <w:p>
            <w:pPr>
              <w:spacing w:after="0"/>
              <w:rPr>
                <w:sz w:val="10"/>
                <w:szCs w:val="10"/>
                <w:color w:val="auto"/>
              </w:rPr>
            </w:pPr>
          </w:p>
        </w:tc>
        <w:tc>
          <w:tcPr>
            <w:tcW w:w="122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³ 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2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00" w:type="dxa"/>
            <w:vAlign w:val="bottom"/>
          </w:tcPr>
          <w:p>
            <w:pPr>
              <w:spacing w:after="0"/>
              <w:rPr>
                <w:sz w:val="10"/>
                <w:szCs w:val="10"/>
                <w:color w:val="auto"/>
              </w:rPr>
            </w:pPr>
          </w:p>
        </w:tc>
        <w:tc>
          <w:tcPr>
            <w:tcW w:w="120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w:t>
            </w:r>
          </w:p>
        </w:tc>
        <w:tc>
          <w:tcPr>
            <w:tcW w:w="120" w:type="dxa"/>
            <w:vAlign w:val="bottom"/>
          </w:tcPr>
          <w:p>
            <w:pPr>
              <w:spacing w:after="0"/>
              <w:rPr>
                <w:sz w:val="10"/>
                <w:szCs w:val="10"/>
                <w:color w:val="auto"/>
              </w:rPr>
            </w:pPr>
          </w:p>
        </w:tc>
        <w:tc>
          <w:tcPr>
            <w:tcW w:w="3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center"/>
              <w:ind w:right="262"/>
              <w:spacing w:after="0" w:line="123" w:lineRule="exact"/>
              <w:rPr>
                <w:sz w:val="20"/>
                <w:szCs w:val="20"/>
                <w:color w:val="auto"/>
              </w:rPr>
            </w:pPr>
            <w:r>
              <w:rPr>
                <w:rFonts w:ascii="Arial" w:cs="Arial" w:eastAsia="Arial" w:hAnsi="Arial"/>
                <w:sz w:val="14"/>
                <w:szCs w:val="14"/>
                <w:color w:val="auto"/>
                <w:w w:val="98"/>
              </w:rPr>
              <w:t>£BB/</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2320" w:type="dxa"/>
            <w:vAlign w:val="bottom"/>
          </w:tcPr>
          <w:p>
            <w:pPr>
              <w:spacing w:after="0"/>
              <w:rPr>
                <w:sz w:val="15"/>
                <w:szCs w:val="15"/>
                <w:color w:val="auto"/>
              </w:rPr>
            </w:pPr>
          </w:p>
        </w:tc>
        <w:tc>
          <w:tcPr>
            <w:tcW w:w="2220" w:type="dxa"/>
            <w:vAlign w:val="bottom"/>
            <w:vMerge w:val="restart"/>
          </w:tcPr>
          <w:p>
            <w:pPr>
              <w:ind w:left="880"/>
              <w:spacing w:after="0"/>
              <w:rPr>
                <w:sz w:val="20"/>
                <w:szCs w:val="20"/>
                <w:color w:val="auto"/>
              </w:rPr>
            </w:pPr>
            <w:r>
              <w:rPr>
                <w:rFonts w:ascii="Arial" w:cs="Arial" w:eastAsia="Arial" w:hAnsi="Arial"/>
                <w:sz w:val="18"/>
                <w:szCs w:val="18"/>
                <w:color w:val="auto"/>
              </w:rPr>
              <w:t>3-Year Tranche</w:t>
            </w:r>
          </w:p>
        </w:tc>
        <w:tc>
          <w:tcPr>
            <w:tcW w:w="1340" w:type="dxa"/>
            <w:vAlign w:val="bottom"/>
            <w:gridSpan w:val="2"/>
          </w:tcPr>
          <w:p>
            <w:pPr>
              <w:jc w:val="center"/>
              <w:ind w:right="120"/>
              <w:spacing w:after="0"/>
              <w:rPr>
                <w:sz w:val="20"/>
                <w:szCs w:val="20"/>
                <w:color w:val="auto"/>
              </w:rPr>
            </w:pPr>
            <w:r>
              <w:rPr>
                <w:rFonts w:ascii="Arial" w:cs="Arial" w:eastAsia="Arial" w:hAnsi="Arial"/>
                <w:sz w:val="14"/>
                <w:szCs w:val="14"/>
                <w:color w:val="auto"/>
                <w:w w:val="96"/>
              </w:rPr>
              <w:t>Baa1/BBB+</w:t>
            </w:r>
          </w:p>
        </w:tc>
        <w:tc>
          <w:tcPr>
            <w:tcW w:w="132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Baa2/BBB</w:t>
            </w:r>
          </w:p>
        </w:tc>
        <w:tc>
          <w:tcPr>
            <w:tcW w:w="1300" w:type="dxa"/>
            <w:vAlign w:val="bottom"/>
            <w:gridSpan w:val="2"/>
          </w:tcPr>
          <w:p>
            <w:pPr>
              <w:jc w:val="center"/>
              <w:ind w:right="120"/>
              <w:spacing w:after="0"/>
              <w:rPr>
                <w:sz w:val="20"/>
                <w:szCs w:val="20"/>
                <w:color w:val="auto"/>
              </w:rPr>
            </w:pPr>
            <w:r>
              <w:rPr>
                <w:rFonts w:ascii="Arial" w:cs="Arial" w:eastAsia="Arial" w:hAnsi="Arial"/>
                <w:sz w:val="14"/>
                <w:szCs w:val="14"/>
                <w:color w:val="auto"/>
                <w:w w:val="95"/>
              </w:rPr>
              <w:t>Baa3/BBB-</w:t>
            </w:r>
          </w:p>
        </w:tc>
        <w:tc>
          <w:tcPr>
            <w:tcW w:w="1640" w:type="dxa"/>
            <w:vAlign w:val="bottom"/>
            <w:gridSpan w:val="3"/>
          </w:tcPr>
          <w:p>
            <w:pPr>
              <w:jc w:val="center"/>
              <w:ind w:right="440"/>
              <w:spacing w:after="0"/>
              <w:rPr>
                <w:sz w:val="20"/>
                <w:szCs w:val="20"/>
                <w:color w:val="auto"/>
              </w:rPr>
            </w:pPr>
            <w:r>
              <w:rPr>
                <w:rFonts w:ascii="Arial" w:cs="Arial" w:eastAsia="Arial" w:hAnsi="Arial"/>
                <w:sz w:val="14"/>
                <w:szCs w:val="14"/>
                <w:color w:val="auto"/>
              </w:rPr>
              <w:t>Ba1/BB+</w:t>
            </w:r>
          </w:p>
        </w:tc>
        <w:tc>
          <w:tcPr>
            <w:tcW w:w="900" w:type="dxa"/>
            <w:vAlign w:val="bottom"/>
            <w:gridSpan w:val="2"/>
          </w:tcPr>
          <w:p>
            <w:pPr>
              <w:jc w:val="center"/>
              <w:ind w:right="360"/>
              <w:spacing w:after="0"/>
              <w:rPr>
                <w:sz w:val="20"/>
                <w:szCs w:val="20"/>
                <w:color w:val="auto"/>
              </w:rPr>
            </w:pPr>
            <w:r>
              <w:rPr>
                <w:rFonts w:ascii="Arial" w:cs="Arial" w:eastAsia="Arial" w:hAnsi="Arial"/>
                <w:sz w:val="14"/>
                <w:szCs w:val="14"/>
                <w:color w:val="auto"/>
                <w:w w:val="96"/>
              </w:rPr>
              <w:t>Ba2/BB</w:t>
            </w:r>
          </w:p>
        </w:tc>
        <w:tc>
          <w:tcPr>
            <w:tcW w:w="0" w:type="dxa"/>
            <w:vAlign w:val="bottom"/>
          </w:tcPr>
          <w:p>
            <w:pPr>
              <w:spacing w:after="0"/>
              <w:rPr>
                <w:sz w:val="1"/>
                <w:szCs w:val="1"/>
                <w:color w:val="auto"/>
              </w:rPr>
            </w:pPr>
          </w:p>
        </w:tc>
      </w:tr>
      <w:tr>
        <w:trPr>
          <w:trHeight w:val="195"/>
        </w:trPr>
        <w:tc>
          <w:tcPr>
            <w:tcW w:w="2320" w:type="dxa"/>
            <w:vAlign w:val="bottom"/>
          </w:tcPr>
          <w:p>
            <w:pPr>
              <w:spacing w:after="0"/>
              <w:rPr>
                <w:sz w:val="16"/>
                <w:szCs w:val="16"/>
                <w:color w:val="auto"/>
              </w:rPr>
            </w:pPr>
          </w:p>
        </w:tc>
        <w:tc>
          <w:tcPr>
            <w:tcW w:w="2220" w:type="dxa"/>
            <w:vAlign w:val="bottom"/>
            <w:vMerge w:val="continue"/>
          </w:tcPr>
          <w:p>
            <w:pPr>
              <w:spacing w:after="0"/>
              <w:rPr>
                <w:sz w:val="16"/>
                <w:szCs w:val="16"/>
                <w:color w:val="auto"/>
              </w:rPr>
            </w:pPr>
          </w:p>
        </w:tc>
        <w:tc>
          <w:tcPr>
            <w:tcW w:w="1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0.125%</w:t>
            </w:r>
          </w:p>
        </w:tc>
        <w:tc>
          <w:tcPr>
            <w:tcW w:w="120" w:type="dxa"/>
            <w:vAlign w:val="bottom"/>
          </w:tcPr>
          <w:p>
            <w:pPr>
              <w:spacing w:after="0"/>
              <w:rPr>
                <w:sz w:val="16"/>
                <w:szCs w:val="16"/>
                <w:color w:val="auto"/>
              </w:rPr>
            </w:pPr>
          </w:p>
        </w:tc>
        <w:tc>
          <w:tcPr>
            <w:tcW w:w="12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0.150%</w:t>
            </w:r>
          </w:p>
        </w:tc>
        <w:tc>
          <w:tcPr>
            <w:tcW w:w="120" w:type="dxa"/>
            <w:vAlign w:val="bottom"/>
          </w:tcPr>
          <w:p>
            <w:pPr>
              <w:spacing w:after="0"/>
              <w:rPr>
                <w:sz w:val="16"/>
                <w:szCs w:val="16"/>
                <w:color w:val="auto"/>
              </w:rPr>
            </w:pPr>
          </w:p>
        </w:tc>
        <w:tc>
          <w:tcPr>
            <w:tcW w:w="12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0.200%</w:t>
            </w:r>
          </w:p>
        </w:tc>
        <w:tc>
          <w:tcPr>
            <w:tcW w:w="100" w:type="dxa"/>
            <w:vAlign w:val="bottom"/>
          </w:tcPr>
          <w:p>
            <w:pPr>
              <w:spacing w:after="0"/>
              <w:rPr>
                <w:sz w:val="16"/>
                <w:szCs w:val="16"/>
                <w:color w:val="auto"/>
              </w:rPr>
            </w:pPr>
          </w:p>
        </w:tc>
        <w:tc>
          <w:tcPr>
            <w:tcW w:w="120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0.250%</w:t>
            </w:r>
          </w:p>
        </w:tc>
        <w:tc>
          <w:tcPr>
            <w:tcW w:w="120" w:type="dxa"/>
            <w:vAlign w:val="bottom"/>
          </w:tcPr>
          <w:p>
            <w:pPr>
              <w:spacing w:after="0"/>
              <w:rPr>
                <w:sz w:val="16"/>
                <w:szCs w:val="16"/>
                <w:color w:val="auto"/>
              </w:rPr>
            </w:pPr>
          </w:p>
        </w:tc>
        <w:tc>
          <w:tcPr>
            <w:tcW w:w="32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0.350%</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2220" w:type="dxa"/>
            <w:vAlign w:val="bottom"/>
          </w:tcPr>
          <w:p>
            <w:pPr>
              <w:ind w:left="880"/>
              <w:spacing w:after="0"/>
              <w:rPr>
                <w:sz w:val="20"/>
                <w:szCs w:val="20"/>
                <w:color w:val="auto"/>
              </w:rPr>
            </w:pPr>
            <w:r>
              <w:rPr>
                <w:rFonts w:ascii="Arial" w:cs="Arial" w:eastAsia="Arial" w:hAnsi="Arial"/>
                <w:sz w:val="18"/>
                <w:szCs w:val="18"/>
                <w:color w:val="auto"/>
              </w:rPr>
              <w:t>5-Year Tranche</w:t>
            </w:r>
          </w:p>
        </w:tc>
        <w:tc>
          <w:tcPr>
            <w:tcW w:w="1340" w:type="dxa"/>
            <w:vAlign w:val="bottom"/>
            <w:gridSpan w:val="2"/>
          </w:tcPr>
          <w:p>
            <w:pPr>
              <w:jc w:val="right"/>
              <w:ind w:right="120"/>
              <w:spacing w:after="0"/>
              <w:rPr>
                <w:sz w:val="20"/>
                <w:szCs w:val="20"/>
                <w:color w:val="auto"/>
              </w:rPr>
            </w:pPr>
            <w:r>
              <w:rPr>
                <w:rFonts w:ascii="Arial" w:cs="Arial" w:eastAsia="Arial" w:hAnsi="Arial"/>
                <w:sz w:val="18"/>
                <w:szCs w:val="18"/>
                <w:color w:val="auto"/>
              </w:rPr>
              <w:t>0.150%</w:t>
            </w:r>
          </w:p>
        </w:tc>
        <w:tc>
          <w:tcPr>
            <w:tcW w:w="1320" w:type="dxa"/>
            <w:vAlign w:val="bottom"/>
            <w:gridSpan w:val="2"/>
          </w:tcPr>
          <w:p>
            <w:pPr>
              <w:jc w:val="right"/>
              <w:ind w:right="120"/>
              <w:spacing w:after="0"/>
              <w:rPr>
                <w:sz w:val="20"/>
                <w:szCs w:val="20"/>
                <w:color w:val="auto"/>
              </w:rPr>
            </w:pPr>
            <w:r>
              <w:rPr>
                <w:rFonts w:ascii="Arial" w:cs="Arial" w:eastAsia="Arial" w:hAnsi="Arial"/>
                <w:sz w:val="18"/>
                <w:szCs w:val="18"/>
                <w:color w:val="auto"/>
              </w:rPr>
              <w:t>0.200%</w:t>
            </w:r>
          </w:p>
        </w:tc>
        <w:tc>
          <w:tcPr>
            <w:tcW w:w="1300" w:type="dxa"/>
            <w:vAlign w:val="bottom"/>
            <w:gridSpan w:val="2"/>
          </w:tcPr>
          <w:p>
            <w:pPr>
              <w:jc w:val="right"/>
              <w:ind w:right="100"/>
              <w:spacing w:after="0"/>
              <w:rPr>
                <w:sz w:val="20"/>
                <w:szCs w:val="20"/>
                <w:color w:val="auto"/>
              </w:rPr>
            </w:pPr>
            <w:r>
              <w:rPr>
                <w:rFonts w:ascii="Arial" w:cs="Arial" w:eastAsia="Arial" w:hAnsi="Arial"/>
                <w:sz w:val="18"/>
                <w:szCs w:val="18"/>
                <w:color w:val="auto"/>
              </w:rPr>
              <w:t>0.250%</w:t>
            </w:r>
          </w:p>
        </w:tc>
        <w:tc>
          <w:tcPr>
            <w:tcW w:w="1320" w:type="dxa"/>
            <w:vAlign w:val="bottom"/>
            <w:gridSpan w:val="2"/>
          </w:tcPr>
          <w:p>
            <w:pPr>
              <w:jc w:val="right"/>
              <w:ind w:right="120"/>
              <w:spacing w:after="0"/>
              <w:rPr>
                <w:sz w:val="20"/>
                <w:szCs w:val="20"/>
                <w:color w:val="auto"/>
              </w:rPr>
            </w:pPr>
            <w:r>
              <w:rPr>
                <w:rFonts w:ascii="Arial" w:cs="Arial" w:eastAsia="Arial" w:hAnsi="Arial"/>
                <w:sz w:val="18"/>
                <w:szCs w:val="18"/>
                <w:color w:val="auto"/>
              </w:rPr>
              <w:t>0.300%</w:t>
            </w:r>
          </w:p>
        </w:tc>
        <w:tc>
          <w:tcPr>
            <w:tcW w:w="320" w:type="dxa"/>
            <w:vAlign w:val="bottom"/>
          </w:tcPr>
          <w:p>
            <w:pPr>
              <w:spacing w:after="0"/>
              <w:rPr>
                <w:sz w:val="20"/>
                <w:szCs w:val="20"/>
                <w:color w:val="auto"/>
              </w:rPr>
            </w:pP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0.400%</w:t>
            </w: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4"/>
                <w:szCs w:val="24"/>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7"/>
              </w:rPr>
              <w:t>The foregoing pricing shall be based on the Public Debt Ratings. Split ratings shall be addressed in a</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4880" w:type="dxa"/>
            <w:vAlign w:val="bottom"/>
            <w:gridSpan w:val="5"/>
          </w:tcPr>
          <w:p>
            <w:pPr>
              <w:ind w:left="880"/>
              <w:spacing w:after="0"/>
              <w:rPr>
                <w:sz w:val="20"/>
                <w:szCs w:val="20"/>
                <w:color w:val="auto"/>
              </w:rPr>
            </w:pPr>
            <w:r>
              <w:rPr>
                <w:rFonts w:ascii="Arial" w:cs="Arial" w:eastAsia="Arial" w:hAnsi="Arial"/>
                <w:sz w:val="18"/>
                <w:szCs w:val="18"/>
                <w:color w:val="auto"/>
                <w:w w:val="91"/>
              </w:rPr>
              <w:t>manner consistent with the Existing Credit Agreement.</w:t>
            </w:r>
          </w:p>
        </w:tc>
        <w:tc>
          <w:tcPr>
            <w:tcW w:w="1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2320" w:type="dxa"/>
            <w:vAlign w:val="bottom"/>
          </w:tcPr>
          <w:p>
            <w:pPr>
              <w:spacing w:after="0"/>
              <w:rPr>
                <w:sz w:val="20"/>
                <w:szCs w:val="20"/>
                <w:color w:val="auto"/>
              </w:rPr>
            </w:pPr>
            <w:r>
              <w:rPr>
                <w:rFonts w:ascii="Arial" w:cs="Arial" w:eastAsia="Arial" w:hAnsi="Arial"/>
                <w:sz w:val="18"/>
                <w:szCs w:val="18"/>
                <w:color w:val="auto"/>
              </w:rPr>
              <w:t>Rate and Fee Basis:</w:t>
            </w: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2"/>
              </w:rPr>
              <w:t xml:space="preserve">All </w:t>
            </w:r>
            <w:r>
              <w:rPr>
                <w:rFonts w:ascii="Arial" w:cs="Arial" w:eastAsia="Arial" w:hAnsi="Arial"/>
                <w:sz w:val="18"/>
                <w:szCs w:val="18"/>
                <w:i w:val="1"/>
                <w:iCs w:val="1"/>
                <w:color w:val="auto"/>
                <w:w w:val="92"/>
              </w:rPr>
              <w:t>per annum</w:t>
            </w:r>
            <w:r>
              <w:rPr>
                <w:rFonts w:ascii="Arial" w:cs="Arial" w:eastAsia="Arial" w:hAnsi="Arial"/>
                <w:sz w:val="18"/>
                <w:szCs w:val="18"/>
                <w:color w:val="auto"/>
                <w:w w:val="92"/>
              </w:rPr>
              <w:t xml:space="preserve"> rates shall be calculated on the basis of a year of 360 days (or 365/366 days, in the case of</w:t>
            </w:r>
          </w:p>
        </w:tc>
        <w:tc>
          <w:tcPr>
            <w:tcW w:w="0" w:type="dxa"/>
            <w:vAlign w:val="bottom"/>
          </w:tcPr>
          <w:p>
            <w:pPr>
              <w:spacing w:after="0"/>
              <w:rPr>
                <w:sz w:val="1"/>
                <w:szCs w:val="1"/>
                <w:color w:val="auto"/>
              </w:rPr>
            </w:pPr>
          </w:p>
        </w:tc>
      </w:tr>
      <w:tr>
        <w:trPr>
          <w:trHeight w:val="230"/>
        </w:trPr>
        <w:tc>
          <w:tcPr>
            <w:tcW w:w="2320" w:type="dxa"/>
            <w:vAlign w:val="bottom"/>
          </w:tcPr>
          <w:p>
            <w:pPr>
              <w:spacing w:after="0"/>
              <w:rPr>
                <w:sz w:val="20"/>
                <w:szCs w:val="20"/>
                <w:color w:val="auto"/>
              </w:rPr>
            </w:pPr>
          </w:p>
        </w:tc>
        <w:tc>
          <w:tcPr>
            <w:tcW w:w="8720" w:type="dxa"/>
            <w:vAlign w:val="bottom"/>
            <w:gridSpan w:val="12"/>
          </w:tcPr>
          <w:p>
            <w:pPr>
              <w:ind w:left="880"/>
              <w:spacing w:after="0"/>
              <w:rPr>
                <w:sz w:val="20"/>
                <w:szCs w:val="20"/>
                <w:color w:val="auto"/>
              </w:rPr>
            </w:pPr>
            <w:r>
              <w:rPr>
                <w:rFonts w:ascii="Arial" w:cs="Arial" w:eastAsia="Arial" w:hAnsi="Arial"/>
                <w:sz w:val="18"/>
                <w:szCs w:val="18"/>
                <w:color w:val="auto"/>
                <w:w w:val="94"/>
              </w:rPr>
              <w:t>ABR Loans the interest rate payable on which is then based on the Prime Rate) for actual days elapsed.</w:t>
            </w:r>
          </w:p>
        </w:tc>
        <w:tc>
          <w:tcPr>
            <w:tcW w:w="0" w:type="dxa"/>
            <w:vAlign w:val="bottom"/>
          </w:tcPr>
          <w:p>
            <w:pPr>
              <w:spacing w:after="0"/>
              <w:rPr>
                <w:sz w:val="1"/>
                <w:szCs w:val="1"/>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jc w:val="center"/>
        <w:ind w:right="20"/>
        <w:spacing w:after="0"/>
        <w:rPr>
          <w:sz w:val="20"/>
          <w:szCs w:val="20"/>
          <w:color w:val="auto"/>
        </w:rPr>
      </w:pPr>
      <w:r>
        <w:rPr>
          <w:rFonts w:ascii="Arial" w:cs="Arial" w:eastAsia="Arial" w:hAnsi="Arial"/>
          <w:sz w:val="18"/>
          <w:szCs w:val="18"/>
          <w:color w:val="auto"/>
        </w:rPr>
        <w:t>Exhibit A-11</w:t>
      </w:r>
    </w:p>
    <w:p>
      <w:pPr>
        <w:sectPr>
          <w:pgSz w:w="11900" w:h="16838" w:orient="portrait"/>
          <w:cols w:equalWidth="0" w:num="1">
            <w:col w:w="11020"/>
          </w:cols>
          <w:pgMar w:left="440" w:top="382" w:right="439" w:bottom="1440" w:gutter="0" w:footer="0" w:header="0"/>
        </w:sectPr>
      </w:pPr>
    </w:p>
    <w:bookmarkStart w:id="186" w:name="page187"/>
    <w:bookmarkEnd w:id="186"/>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Exhibit B</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CONDITIONS PRECEDENT TO THE TERM FACILITY</w:t>
      </w:r>
    </w:p>
    <w:p>
      <w:pPr>
        <w:spacing w:after="0" w:line="229"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Capitalized terms not otherwise defined herein have the same meanings as specified therefor in the Commitment Letter to which this Exhibit B is attached.</w:t>
      </w:r>
    </w:p>
    <w:p>
      <w:pPr>
        <w:spacing w:after="0" w:line="170"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The Term Facility Effective Date and the initial borrowing under the Term Facility, as applicable, will be subject to the following additional conditions precedent (subject to the Limited Conditionality Provision):</w:t>
      </w:r>
    </w:p>
    <w:p>
      <w:pPr>
        <w:spacing w:after="0" w:line="62" w:lineRule="exact"/>
        <w:rPr>
          <w:sz w:val="20"/>
          <w:szCs w:val="20"/>
          <w:color w:val="auto"/>
        </w:rPr>
      </w:pPr>
    </w:p>
    <w:p>
      <w:pPr>
        <w:ind w:right="60" w:firstLine="436"/>
        <w:spacing w:after="0" w:line="268" w:lineRule="auto"/>
        <w:tabs>
          <w:tab w:leader="none" w:pos="655" w:val="left"/>
        </w:tabs>
        <w:numPr>
          <w:ilvl w:val="0"/>
          <w:numId w:val="231"/>
        </w:numPr>
        <w:rPr>
          <w:rFonts w:ascii="Arial" w:cs="Arial" w:eastAsia="Arial" w:hAnsi="Arial"/>
          <w:sz w:val="17"/>
          <w:szCs w:val="17"/>
          <w:color w:val="auto"/>
        </w:rPr>
      </w:pPr>
      <w:r>
        <w:rPr>
          <w:rFonts w:ascii="Arial" w:cs="Arial" w:eastAsia="Arial" w:hAnsi="Arial"/>
          <w:sz w:val="17"/>
          <w:szCs w:val="17"/>
          <w:color w:val="auto"/>
        </w:rPr>
        <w:t xml:space="preserve">The Acquisition shall be consummated substantially concurrently with the initial funding under the Term Facility in accordance with the Acquisition Agreement and the Acquisition Agreement shall not have been amended or modified, and no condition shall have been waived or consent granted, in any respect that is materially adverse to the Term Lenders or the Term Lead Arranger without the Term Lead Arranger’s prior written consent;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increases in the Acquisition Common Stock Consideration and, if funded with equity, increases in the Acquisition Cash Consideration shall not be deemed to be materially adverse to the interests of the Term Lenders and the Term Lead Arranger and shall not require the consent of the Term Lead Arranger, (ii) decreases of less than 10% in the Acquisition Consideration shall not be deemed to be materially adverse to the interests of the Term Lenders or the Term Lead Arranger and shall not require the consent of the Term Lead Arranger so long as any such reduction in Acquisition Cash Consideration shall reduce dollar-for-dollar the commitments in respect of the Term Facility, (iii) decreases of more than 10% in the Acquisition Consideration shall be deemed to be materially adverse to the interests of the Term Lenders or the Term Lead Arranger and shall require the consent of the Term Lead Arranger; and (iv) any amendment to the definition of “Material Adverse Effect on the Company” as defined in the Acquisition Agreement (as in effect on the date hereof) shall be deemed to be materially adverse to the interests of the Term Lenders and the Term Lead Arranger;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xml:space="preserve"> that, for the avoidance of doubt, any increases or decreases in the amount of newly issued shares of common stock of the Borrower received by the existing equity holders of the Target as the Acquisition Common Stock Consideration that result in accordance with the application of the Exchange Ratio (as in effect and defined in the Acquisition Agreement on the date hereof and without any amendment, modification or waiver thereof), shall not be materially adverse to the interest of the Term Lenders and the Term Lead Arranger and shall not require the consent of the Term Lead Arranger.</w:t>
      </w:r>
    </w:p>
    <w:p>
      <w:pPr>
        <w:spacing w:after="0" w:line="179" w:lineRule="exact"/>
        <w:rPr>
          <w:rFonts w:ascii="Arial" w:cs="Arial" w:eastAsia="Arial" w:hAnsi="Arial"/>
          <w:sz w:val="17"/>
          <w:szCs w:val="17"/>
          <w:color w:val="auto"/>
        </w:rPr>
      </w:pPr>
    </w:p>
    <w:p>
      <w:pPr>
        <w:ind w:right="40" w:firstLine="436"/>
        <w:spacing w:after="0" w:line="269" w:lineRule="auto"/>
        <w:tabs>
          <w:tab w:leader="none" w:pos="705" w:val="left"/>
        </w:tabs>
        <w:numPr>
          <w:ilvl w:val="0"/>
          <w:numId w:val="231"/>
        </w:numPr>
        <w:rPr>
          <w:rFonts w:ascii="Arial" w:cs="Arial" w:eastAsia="Arial" w:hAnsi="Arial"/>
          <w:sz w:val="17"/>
          <w:szCs w:val="17"/>
          <w:color w:val="auto"/>
        </w:rPr>
      </w:pPr>
      <w:r>
        <w:rPr>
          <w:rFonts w:ascii="Arial" w:cs="Arial" w:eastAsia="Arial" w:hAnsi="Arial"/>
          <w:sz w:val="17"/>
          <w:szCs w:val="17"/>
          <w:color w:val="auto"/>
        </w:rPr>
        <w:t xml:space="preserve">The Term Lead Arranger shall have received for each of the Borrower (which such statements may be of Maui) and the Target (a) U.S. GAAP audited consolidated balance sheets and related statements of income (and/or operations), stockholders’(or shareholders’) equity and cash flows for the three most recent fiscal years ended at least 60 days prior to the Closing Date and (b) U.S. GAAP unaudited consolidated balance sheets and related statements of income (and/or operation), stockholders’ (or shareholders’) equity and cash flows for each subsequent fiscal quarter ended at least 40 days before the Closing Date, which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Borrower’s (or Maui’s) and the Target’s public filing of any required financial statements with the SEC shall constitute delivery of such financial statements to the Term Lead Arranger. The Term Lead Arranger acknowledges receipt of (i) the audited financing statements of Maui for the fiscal years ended February 3, 2018, February 2, 2019 and February 1, 2020, (ii) the audited financing statements of Target or the fiscal years ended December 31, 2017,</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Exhibit B-1</w:t>
      </w:r>
    </w:p>
    <w:p>
      <w:pPr>
        <w:sectPr>
          <w:pgSz w:w="11900" w:h="16838" w:orient="portrait"/>
          <w:cols w:equalWidth="0" w:num="1">
            <w:col w:w="11020"/>
          </w:cols>
          <w:pgMar w:left="440" w:top="270" w:right="439" w:bottom="1440" w:gutter="0" w:footer="0" w:header="0"/>
        </w:sectPr>
      </w:pPr>
    </w:p>
    <w:bookmarkStart w:id="187" w:name="page188"/>
    <w:bookmarkEnd w:id="187"/>
    <w:p>
      <w:pPr>
        <w:ind w:right="1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t>December 31, 2018 and December 31, 2019, (iii) the unaudited consolidated balance sheets and related statements of income (and/or operation), stockholders’ (or shareholders’) equity and cash flows of (x) Maui for each fiscal quarter through August 1, 2020 and (y) Target for each fiscal quarter through June 30, 2020.</w:t>
      </w:r>
    </w:p>
    <w:p>
      <w:pPr>
        <w:spacing w:after="0" w:line="184" w:lineRule="exact"/>
        <w:rPr>
          <w:sz w:val="20"/>
          <w:szCs w:val="20"/>
          <w:color w:val="auto"/>
        </w:rPr>
      </w:pPr>
    </w:p>
    <w:p>
      <w:pPr>
        <w:ind w:firstLine="436"/>
        <w:spacing w:after="0" w:line="289" w:lineRule="auto"/>
        <w:tabs>
          <w:tab w:leader="none" w:pos="755" w:val="left"/>
        </w:tabs>
        <w:numPr>
          <w:ilvl w:val="0"/>
          <w:numId w:val="232"/>
        </w:numPr>
        <w:rPr>
          <w:rFonts w:ascii="Arial" w:cs="Arial" w:eastAsia="Arial" w:hAnsi="Arial"/>
          <w:sz w:val="16"/>
          <w:szCs w:val="16"/>
          <w:color w:val="auto"/>
        </w:rPr>
      </w:pPr>
      <w:r>
        <w:rPr>
          <w:rFonts w:ascii="Arial" w:cs="Arial" w:eastAsia="Arial" w:hAnsi="Arial"/>
          <w:sz w:val="16"/>
          <w:szCs w:val="16"/>
          <w:color w:val="auto"/>
        </w:rPr>
        <w:t xml:space="preserve">The Term Lead Arranger shall have received a pro forma consolidated balance sheet of the Borrower and the Target as of the last day of the most recently completed fiscal quarter period of Maui for which financial statements have been delivered pursuant to paragraph (ii) above and pro forma consolidated income (and/or operations) statements for the most recent fiscal year and most recent interim period, in each case, of Maui, delivered pursuant to paragraph (ii) above, prepared after giving effect to the Transactions as if the Transactions had occurred as of the last day of the pro forma financial statements delivered (in the case of such balance sheet) or at the beginning of the pro forma financial statements delivered (in the case of the income or operations statement), which pro forma financial statements shall meet in all material respects the requirements of Regulation S-X under the Securities Act of 1933, as amended, and all other accounting rules and regulations of the SEC promulgated thereunder applicable to a registration statement under such Act on Form S-3;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Borrower’s (or Maui’s) and the Target’s public filing of any required pro forma financial statements with the SEC shall constitute delivery of such financial statements to the Term Lead Arranger.</w:t>
      </w:r>
    </w:p>
    <w:p>
      <w:pPr>
        <w:spacing w:after="0" w:line="166" w:lineRule="exact"/>
        <w:rPr>
          <w:rFonts w:ascii="Arial" w:cs="Arial" w:eastAsia="Arial" w:hAnsi="Arial"/>
          <w:sz w:val="16"/>
          <w:szCs w:val="16"/>
          <w:color w:val="auto"/>
        </w:rPr>
      </w:pPr>
    </w:p>
    <w:p>
      <w:pPr>
        <w:ind w:right="80" w:firstLine="436"/>
        <w:spacing w:after="0" w:line="255" w:lineRule="auto"/>
        <w:tabs>
          <w:tab w:leader="none" w:pos="74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(A) The Term Administrative Agent shall have received (x) on or prior to the Term Facility Effective Date, customary legal opinions, corporate organizational documents, good standing certificates, resolutions and other customary closing certificates, and (y) prior to the Closing Date, a borrowing notice, (B) the Acquisition Agreement Representations shall be true and correct as of the Closing Date and the Specified Representations shall be true and correct in all material respects as of the Closing Date and (C) as of the Closing Date, there shall not be any continuing event of default (limited to violation of negative covenant with respect to fundamental changes, payment defaults and bankruptcy defaults) under the Term Credit Documentation.</w:t>
      </w:r>
    </w:p>
    <w:p>
      <w:pPr>
        <w:spacing w:after="0" w:line="192" w:lineRule="exact"/>
        <w:rPr>
          <w:rFonts w:ascii="Arial" w:cs="Arial" w:eastAsia="Arial" w:hAnsi="Arial"/>
          <w:sz w:val="18"/>
          <w:szCs w:val="18"/>
          <w:color w:val="auto"/>
        </w:rPr>
      </w:pPr>
    </w:p>
    <w:p>
      <w:pPr>
        <w:ind w:right="60" w:firstLine="436"/>
        <w:spacing w:after="0" w:line="277" w:lineRule="auto"/>
        <w:tabs>
          <w:tab w:leader="none" w:pos="69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 xml:space="preserve">The Term Administrative Agent shall have received a solvency certificate from the chief financial officer of the Borrower in the form attached as </w:t>
      </w:r>
      <w:r>
        <w:rPr>
          <w:rFonts w:ascii="Arial" w:cs="Arial" w:eastAsia="Arial" w:hAnsi="Arial"/>
          <w:sz w:val="18"/>
          <w:szCs w:val="18"/>
          <w:u w:val="single" w:color="auto"/>
          <w:color w:val="auto"/>
        </w:rPr>
        <w:t>Annex I</w:t>
      </w:r>
      <w:r>
        <w:rPr>
          <w:rFonts w:ascii="Arial" w:cs="Arial" w:eastAsia="Arial" w:hAnsi="Arial"/>
          <w:sz w:val="18"/>
          <w:szCs w:val="18"/>
          <w:color w:val="auto"/>
        </w:rPr>
        <w:t xml:space="preserve"> hereto dated as of the Closing Date.</w:t>
      </w:r>
    </w:p>
    <w:p>
      <w:pPr>
        <w:spacing w:after="0" w:line="170" w:lineRule="exact"/>
        <w:rPr>
          <w:rFonts w:ascii="Arial" w:cs="Arial" w:eastAsia="Arial" w:hAnsi="Arial"/>
          <w:sz w:val="18"/>
          <w:szCs w:val="18"/>
          <w:color w:val="auto"/>
        </w:rPr>
      </w:pPr>
    </w:p>
    <w:p>
      <w:pPr>
        <w:ind w:right="40" w:firstLine="436"/>
        <w:spacing w:after="0" w:line="263" w:lineRule="auto"/>
        <w:tabs>
          <w:tab w:leader="none" w:pos="74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The Term Lead Arranger, the Term Administrative Agent and the Term Lenders shall have received all fees and invoiced expenses required to be paid on or prior to the Closing Date pursuant to the Fee Letter or Commitment Letter and solely with respect to expenses, to the extent invoiced at least three (3) days prior to the Closing Date.</w:t>
      </w:r>
    </w:p>
    <w:p>
      <w:pPr>
        <w:spacing w:after="0" w:line="183" w:lineRule="exact"/>
        <w:rPr>
          <w:rFonts w:ascii="Arial" w:cs="Arial" w:eastAsia="Arial" w:hAnsi="Arial"/>
          <w:sz w:val="18"/>
          <w:szCs w:val="18"/>
          <w:color w:val="auto"/>
        </w:rPr>
      </w:pPr>
    </w:p>
    <w:p>
      <w:pPr>
        <w:ind w:right="60" w:firstLine="436"/>
        <w:spacing w:after="0" w:line="259" w:lineRule="auto"/>
        <w:tabs>
          <w:tab w:leader="none" w:pos="795" w:val="left"/>
        </w:tabs>
        <w:numPr>
          <w:ilvl w:val="0"/>
          <w:numId w:val="232"/>
        </w:numPr>
        <w:rPr>
          <w:rFonts w:ascii="Arial" w:cs="Arial" w:eastAsia="Arial" w:hAnsi="Arial"/>
          <w:sz w:val="18"/>
          <w:szCs w:val="18"/>
          <w:color w:val="auto"/>
        </w:rPr>
      </w:pPr>
      <w:r>
        <w:rPr>
          <w:rFonts w:ascii="Arial" w:cs="Arial" w:eastAsia="Arial" w:hAnsi="Arial"/>
          <w:sz w:val="18"/>
          <w:szCs w:val="18"/>
          <w:color w:val="auto"/>
        </w:rPr>
        <w:t>The Term Lead Arranger shall have received at least three business days prior to the Term Facility Effective Date, to the extent reasonably requested at least ten business days prior to the Term Facility Effective Date, all documentation and other information required by regulatory authorities under applicable “know your customer” and anti-money laundering rules and regulations, including, without limitation, the PATRIOT Act and the Beneficial Ownership Regulation.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Exhibit C-2</w:t>
      </w:r>
    </w:p>
    <w:p>
      <w:pPr>
        <w:sectPr>
          <w:pgSz w:w="11900" w:h="16838" w:orient="portrait"/>
          <w:cols w:equalWidth="0" w:num="1">
            <w:col w:w="11000"/>
          </w:cols>
          <w:pgMar w:left="440" w:top="274" w:right="459" w:bottom="1440" w:gutter="0" w:footer="0" w:header="0"/>
        </w:sectPr>
      </w:pPr>
    </w:p>
    <w:bookmarkStart w:id="188" w:name="page189"/>
    <w:bookmarkEnd w:id="188"/>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Annex I</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TO EXHIBIT B</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SOLVENCY CERTIFICATE</w:t>
      </w:r>
    </w:p>
    <w:p>
      <w:pPr>
        <w:spacing w:after="0" w:line="99" w:lineRule="exact"/>
        <w:rPr>
          <w:sz w:val="20"/>
          <w:szCs w:val="20"/>
          <w:color w:val="auto"/>
        </w:rPr>
      </w:pPr>
    </w:p>
    <w:p>
      <w:pPr>
        <w:ind w:left="5520" w:hanging="653"/>
        <w:spacing w:after="0"/>
        <w:tabs>
          <w:tab w:leader="none" w:pos="5520" w:val="left"/>
        </w:tabs>
        <w:numPr>
          <w:ilvl w:val="0"/>
          <w:numId w:val="233"/>
        </w:numPr>
        <w:rPr>
          <w:rFonts w:ascii="Arial" w:cs="Arial" w:eastAsia="Arial" w:hAnsi="Arial"/>
          <w:sz w:val="18"/>
          <w:szCs w:val="18"/>
          <w:b w:val="1"/>
          <w:bCs w:val="1"/>
          <w:color w:val="auto"/>
        </w:rPr>
      </w:pPr>
      <w:r>
        <w:rPr>
          <w:rFonts w:ascii="Arial" w:cs="Arial" w:eastAsia="Arial" w:hAnsi="Arial"/>
          <w:sz w:val="18"/>
          <w:szCs w:val="18"/>
          <w:b w:val="1"/>
          <w:bCs w:val="1"/>
          <w:color w:val="auto"/>
        </w:rPr>
        <w:t>], 202[_]</w:t>
      </w:r>
    </w:p>
    <w:p>
      <w:pPr>
        <w:spacing w:after="0" w:line="229" w:lineRule="exact"/>
        <w:rPr>
          <w:sz w:val="20"/>
          <w:szCs w:val="20"/>
          <w:color w:val="auto"/>
        </w:rPr>
      </w:pPr>
    </w:p>
    <w:p>
      <w:pPr>
        <w:ind w:right="360" w:firstLine="440"/>
        <w:spacing w:after="0" w:line="263" w:lineRule="auto"/>
        <w:rPr>
          <w:sz w:val="20"/>
          <w:szCs w:val="20"/>
          <w:color w:val="auto"/>
        </w:rPr>
      </w:pPr>
      <w:r>
        <w:rPr>
          <w:rFonts w:ascii="Arial" w:cs="Arial" w:eastAsia="Arial" w:hAnsi="Arial"/>
          <w:sz w:val="18"/>
          <w:szCs w:val="18"/>
          <w:color w:val="auto"/>
        </w:rPr>
        <w:t>This Solvency Certificate is delivered pursuant to Section [ ] of the Credit Agreement dated as of [ ], 202[_], among [ ] (the “</w:t>
      </w:r>
      <w:r>
        <w:rPr>
          <w:rFonts w:ascii="Arial" w:cs="Arial" w:eastAsia="Arial" w:hAnsi="Arial"/>
          <w:sz w:val="18"/>
          <w:szCs w:val="18"/>
          <w:b w:val="1"/>
          <w:bCs w:val="1"/>
          <w:i w:val="1"/>
          <w:iCs w:val="1"/>
          <w:color w:val="auto"/>
        </w:rPr>
        <w:t>Credit Agreement</w:t>
      </w:r>
      <w:r>
        <w:rPr>
          <w:rFonts w:ascii="Arial" w:cs="Arial" w:eastAsia="Arial" w:hAnsi="Arial"/>
          <w:sz w:val="18"/>
          <w:szCs w:val="18"/>
          <w:color w:val="auto"/>
        </w:rPr>
        <w:t>”)</w:t>
      </w:r>
      <w:r>
        <w:rPr>
          <w:rFonts w:ascii="Arial" w:cs="Arial" w:eastAsia="Arial" w:hAnsi="Arial"/>
          <w:sz w:val="18"/>
          <w:szCs w:val="18"/>
          <w:i w:val="1"/>
          <w:iCs w:val="1"/>
          <w:color w:val="auto"/>
        </w:rPr>
        <w:t>.</w:t>
      </w:r>
      <w:r>
        <w:rPr>
          <w:rFonts w:ascii="Arial" w:cs="Arial" w:eastAsia="Arial" w:hAnsi="Arial"/>
          <w:sz w:val="18"/>
          <w:szCs w:val="18"/>
          <w:color w:val="auto"/>
        </w:rPr>
        <w:t xml:space="preserve"> Capitalized terms used herein and not otherwise defined herein shall have the meanings assigned to such terms in the Credit Agreement.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undersigned hereby certifies, solely in his capacity as an officer of the Borrower and not in his individual capacity, as follows:</w:t>
      </w:r>
    </w:p>
    <w:p>
      <w:pPr>
        <w:spacing w:after="0" w:line="117" w:lineRule="exact"/>
        <w:rPr>
          <w:sz w:val="20"/>
          <w:szCs w:val="20"/>
          <w:color w:val="auto"/>
        </w:rPr>
      </w:pPr>
    </w:p>
    <w:p>
      <w:pPr>
        <w:ind w:right="40" w:firstLine="436"/>
        <w:spacing w:after="0" w:line="263" w:lineRule="auto"/>
        <w:tabs>
          <w:tab w:leader="none" w:pos="620" w:val="left"/>
        </w:tabs>
        <w:numPr>
          <w:ilvl w:val="0"/>
          <w:numId w:val="234"/>
        </w:numPr>
        <w:rPr>
          <w:rFonts w:ascii="Arial" w:cs="Arial" w:eastAsia="Arial" w:hAnsi="Arial"/>
          <w:sz w:val="18"/>
          <w:szCs w:val="18"/>
          <w:color w:val="auto"/>
        </w:rPr>
      </w:pPr>
      <w:r>
        <w:rPr>
          <w:rFonts w:ascii="Arial" w:cs="Arial" w:eastAsia="Arial" w:hAnsi="Arial"/>
          <w:sz w:val="18"/>
          <w:szCs w:val="18"/>
          <w:color w:val="auto"/>
        </w:rPr>
        <w:t>I am the [Chief Financial Officer] of the Borrower. I am familiar with the Transactions and have reviewed the Credit Agreement, financial statements referred to in Section [__] of the Credit Agreement and such documents and made such investigation as I deemed relevant for the purposes of this Solvency Certificate.</w:t>
      </w:r>
    </w:p>
    <w:p>
      <w:pPr>
        <w:spacing w:after="0" w:line="183" w:lineRule="exact"/>
        <w:rPr>
          <w:rFonts w:ascii="Arial" w:cs="Arial" w:eastAsia="Arial" w:hAnsi="Arial"/>
          <w:sz w:val="18"/>
          <w:szCs w:val="18"/>
          <w:color w:val="auto"/>
        </w:rPr>
      </w:pPr>
    </w:p>
    <w:p>
      <w:pPr>
        <w:ind w:right="60" w:firstLine="436"/>
        <w:spacing w:after="0" w:line="269" w:lineRule="auto"/>
        <w:tabs>
          <w:tab w:leader="none" w:pos="620" w:val="left"/>
        </w:tabs>
        <w:numPr>
          <w:ilvl w:val="0"/>
          <w:numId w:val="234"/>
        </w:numPr>
        <w:rPr>
          <w:rFonts w:ascii="Arial" w:cs="Arial" w:eastAsia="Arial" w:hAnsi="Arial"/>
          <w:sz w:val="17"/>
          <w:szCs w:val="17"/>
          <w:color w:val="auto"/>
        </w:rPr>
      </w:pPr>
      <w:r>
        <w:rPr>
          <w:rFonts w:ascii="Arial" w:cs="Arial" w:eastAsia="Arial" w:hAnsi="Arial"/>
          <w:sz w:val="17"/>
          <w:szCs w:val="17"/>
          <w:color w:val="auto"/>
        </w:rPr>
        <w:t>As of the date hereof, immediately after giving effect to the consummation of the Transactions, on and as of such date (i) the fair value of the assets of the Borrower and its subsidiaries on a consolidated basis, at a fair valuation on a going concern basis, will exceed the debts and liabilities, direct, subordinated, contingent or otherwise, of the Borrower and its subsidiaries on a consolidated basis; (ii) the present fair saleable value of the property of the Borrower and its subsidiaries on a consolidated and going concern basis will be greater than the amount that will be required to pay the probable liability of the Borrower and its subsidiaries on a consolidated basis on their debts and other liabilities, direct, subordinated, contingent or otherwise, as such debts and other liabilities become absolute and matured in the ordinary course of business; (iii) the Borrower and its subsidiaries on a consolidated basis will be able to pay their debts and liabilities, direct, subordinated, contingent or otherwise, as such debts and liabilities become absolute and matured in the ordinary course of business; and (iv) the Borrower and its subsidiaries on a consolidated basis will not have unreasonably small capital with which to conduct the businesses in which they are engaged as such businesses are now conducted and are proposed to be conducted following the Closing Date.</w:t>
      </w:r>
    </w:p>
    <w:p>
      <w:pPr>
        <w:spacing w:after="0" w:line="185" w:lineRule="exact"/>
        <w:rPr>
          <w:sz w:val="20"/>
          <w:szCs w:val="20"/>
          <w:color w:val="auto"/>
        </w:rPr>
      </w:pPr>
    </w:p>
    <w:p>
      <w:pPr>
        <w:ind w:right="220" w:firstLine="440"/>
        <w:spacing w:after="0" w:line="308" w:lineRule="auto"/>
        <w:rPr>
          <w:sz w:val="20"/>
          <w:szCs w:val="20"/>
          <w:color w:val="auto"/>
        </w:rPr>
      </w:pPr>
      <w:r>
        <w:rPr>
          <w:rFonts w:ascii="Arial" w:cs="Arial" w:eastAsia="Arial" w:hAnsi="Arial"/>
          <w:sz w:val="17"/>
          <w:szCs w:val="17"/>
          <w:color w:val="auto"/>
        </w:rPr>
        <w:t>This Solvency Certificate is being delivered by the undersigned officer only in his capacity as [Chief Financial Officer] of the Borrower and not individually and the undersigned shall have no personal liability to the Administrative Agent or the Lenders with respect thereto.</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Annex I-1</w:t>
      </w:r>
    </w:p>
    <w:p>
      <w:pPr>
        <w:sectPr>
          <w:pgSz w:w="11900" w:h="16838" w:orient="portrait"/>
          <w:cols w:equalWidth="0" w:num="1">
            <w:col w:w="11020"/>
          </w:cols>
          <w:pgMar w:left="440" w:top="270" w:right="439" w:bottom="1440" w:gutter="0" w:footer="0" w:header="0"/>
        </w:sectPr>
      </w:pPr>
    </w:p>
    <w:bookmarkStart w:id="189" w:name="page190"/>
    <w:bookmarkEnd w:id="189"/>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IN WITNESS WHEREOF, the undersigned has executed this Solvency Certificate on the date first written above.</w:t>
      </w:r>
    </w:p>
    <w:p>
      <w:pPr>
        <w:spacing w:after="0" w:line="26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MAUI HOLDCO, INC.</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4141470</wp:posOffset>
            </wp:positionH>
            <wp:positionV relativeFrom="paragraph">
              <wp:posOffset>14605</wp:posOffset>
            </wp:positionV>
            <wp:extent cx="2571750" cy="825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3"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jc w:val="both"/>
        <w:ind w:left="6180"/>
        <w:spacing w:after="0"/>
        <w:tabs>
          <w:tab w:leader="none" w:pos="6740" w:val="left"/>
        </w:tabs>
        <w:rPr>
          <w:sz w:val="20"/>
          <w:szCs w:val="20"/>
          <w:color w:val="auto"/>
        </w:rPr>
      </w:pPr>
      <w:r>
        <w:rPr>
          <w:rFonts w:ascii="Arial" w:cs="Arial" w:eastAsia="Arial" w:hAnsi="Arial"/>
          <w:sz w:val="18"/>
          <w:szCs w:val="18"/>
          <w:color w:val="auto"/>
        </w:rPr>
        <w:t>Title:</w:t>
        <w:tab/>
        <w:t>[Chief Financial Officer]</w:t>
      </w:r>
    </w:p>
    <w:p>
      <w:pPr>
        <w:spacing w:after="0" w:line="143" w:lineRule="exact"/>
        <w:rPr>
          <w:sz w:val="20"/>
          <w:szCs w:val="20"/>
          <w:color w:val="auto"/>
        </w:rPr>
      </w:pPr>
    </w:p>
    <w:p>
      <w:pPr>
        <w:ind w:left="4700"/>
        <w:spacing w:after="0"/>
        <w:rPr>
          <w:sz w:val="20"/>
          <w:szCs w:val="20"/>
          <w:color w:val="auto"/>
        </w:rPr>
      </w:pPr>
      <w:r>
        <w:rPr>
          <w:rFonts w:ascii="Arial" w:cs="Arial" w:eastAsia="Arial" w:hAnsi="Arial"/>
          <w:sz w:val="18"/>
          <w:szCs w:val="18"/>
          <w:color w:val="auto"/>
        </w:rPr>
        <w:t>Annex I-2</w:t>
      </w:r>
    </w:p>
    <w:p>
      <w:pPr>
        <w:sectPr>
          <w:pgSz w:w="11900" w:h="16838" w:orient="portrait"/>
          <w:cols w:equalWidth="0" w:num="1">
            <w:col w:w="9579"/>
          </w:cols>
          <w:pgMar w:left="880" w:top="274" w:right="1440" w:bottom="1440" w:gutter="0" w:footer="0" w:header="0"/>
        </w:sectPr>
      </w:pPr>
    </w:p>
    <w:bookmarkStart w:id="190" w:name="page191"/>
    <w:bookmarkEnd w:id="190"/>
    <w:tbl>
      <w:tblPr>
        <w:tblLayout w:type="fixed"/>
        <w:tblInd w:w="0" w:type="dxa"/>
        <w:tblCellMar>
          <w:top w:w="0" w:type="dxa"/>
          <w:left w:w="0" w:type="dxa"/>
          <w:bottom w:w="0" w:type="dxa"/>
          <w:right w:w="0" w:type="dxa"/>
        </w:tblCellMar>
      </w:tblPr>
      <w:tr>
        <w:trPr>
          <w:trHeight w:val="230"/>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4360" w:type="dxa"/>
            <w:vAlign w:val="bottom"/>
          </w:tcPr>
          <w:p>
            <w:pPr>
              <w:ind w:left="3660"/>
              <w:spacing w:after="0"/>
              <w:rPr>
                <w:sz w:val="20"/>
                <w:szCs w:val="20"/>
                <w:color w:val="auto"/>
              </w:rPr>
            </w:pPr>
            <w:r>
              <w:rPr>
                <w:rFonts w:ascii="Arial" w:cs="Arial" w:eastAsia="Arial" w:hAnsi="Arial"/>
                <w:sz w:val="18"/>
                <w:szCs w:val="18"/>
                <w:color w:val="auto"/>
                <w:w w:val="94"/>
              </w:rPr>
              <w:t>Exhibit C</w:t>
            </w:r>
          </w:p>
        </w:tc>
        <w:tc>
          <w:tcPr>
            <w:tcW w:w="0" w:type="dxa"/>
            <w:vAlign w:val="bottom"/>
          </w:tcPr>
          <w:p>
            <w:pPr>
              <w:spacing w:after="0"/>
              <w:rPr>
                <w:sz w:val="1"/>
                <w:szCs w:val="1"/>
                <w:color w:val="auto"/>
              </w:rPr>
            </w:pPr>
          </w:p>
        </w:tc>
      </w:tr>
      <w:tr>
        <w:trPr>
          <w:trHeight w:val="432"/>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920" w:type="dxa"/>
            <w:vAlign w:val="bottom"/>
            <w:gridSpan w:val="5"/>
          </w:tcPr>
          <w:p>
            <w:pPr>
              <w:jc w:val="center"/>
              <w:ind w:right="2010"/>
              <w:spacing w:after="0"/>
              <w:rPr>
                <w:sz w:val="20"/>
                <w:szCs w:val="20"/>
                <w:color w:val="auto"/>
              </w:rPr>
            </w:pPr>
            <w:r>
              <w:rPr>
                <w:rFonts w:ascii="Arial" w:cs="Arial" w:eastAsia="Arial" w:hAnsi="Arial"/>
                <w:sz w:val="18"/>
                <w:szCs w:val="18"/>
                <w:color w:val="auto"/>
                <w:w w:val="96"/>
              </w:rPr>
              <w:t>SENIOR UNSECURED REVOLVING FACILITY</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920" w:type="dxa"/>
            <w:vAlign w:val="bottom"/>
            <w:gridSpan w:val="5"/>
          </w:tcPr>
          <w:p>
            <w:pPr>
              <w:jc w:val="center"/>
              <w:ind w:right="2030"/>
              <w:spacing w:after="0"/>
              <w:rPr>
                <w:sz w:val="20"/>
                <w:szCs w:val="20"/>
                <w:color w:val="auto"/>
              </w:rPr>
            </w:pPr>
            <w:r>
              <w:rPr>
                <w:rFonts w:ascii="Arial" w:cs="Arial" w:eastAsia="Arial" w:hAnsi="Arial"/>
                <w:sz w:val="18"/>
                <w:szCs w:val="18"/>
                <w:color w:val="auto"/>
                <w:w w:val="90"/>
              </w:rPr>
              <w:t>Summary of Terms and Conditions</w:t>
            </w:r>
          </w:p>
        </w:tc>
        <w:tc>
          <w:tcPr>
            <w:tcW w:w="0" w:type="dxa"/>
            <w:vAlign w:val="bottom"/>
          </w:tcPr>
          <w:p>
            <w:pPr>
              <w:spacing w:after="0"/>
              <w:rPr>
                <w:sz w:val="1"/>
                <w:szCs w:val="1"/>
                <w:color w:val="auto"/>
              </w:rPr>
            </w:pPr>
          </w:p>
        </w:tc>
      </w:tr>
      <w:tr>
        <w:trPr>
          <w:trHeight w:val="324"/>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60" w:type="dxa"/>
            <w:vAlign w:val="bottom"/>
            <w:gridSpan w:val="3"/>
          </w:tcPr>
          <w:p>
            <w:pPr>
              <w:jc w:val="center"/>
              <w:ind w:right="4270"/>
              <w:spacing w:after="0"/>
              <w:rPr>
                <w:sz w:val="20"/>
                <w:szCs w:val="20"/>
                <w:color w:val="auto"/>
              </w:rPr>
            </w:pPr>
            <w:r>
              <w:rPr>
                <w:rFonts w:ascii="Arial" w:cs="Arial" w:eastAsia="Arial" w:hAnsi="Arial"/>
                <w:sz w:val="18"/>
                <w:szCs w:val="18"/>
                <w:color w:val="auto"/>
                <w:w w:val="90"/>
              </w:rPr>
              <w:t>October 29, 2020</w:t>
            </w:r>
          </w:p>
        </w:tc>
        <w:tc>
          <w:tcPr>
            <w:tcW w:w="0" w:type="dxa"/>
            <w:vAlign w:val="bottom"/>
          </w:tcPr>
          <w:p>
            <w:pPr>
              <w:spacing w:after="0"/>
              <w:rPr>
                <w:sz w:val="1"/>
                <w:szCs w:val="1"/>
                <w:color w:val="auto"/>
              </w:rPr>
            </w:pPr>
          </w:p>
        </w:tc>
      </w:tr>
      <w:tr>
        <w:trPr>
          <w:trHeight w:val="351"/>
        </w:trPr>
        <w:tc>
          <w:tcPr>
            <w:tcW w:w="460" w:type="dxa"/>
            <w:vAlign w:val="bottom"/>
            <w:vMerge w:val="restart"/>
          </w:tcPr>
          <w:p>
            <w:pPr>
              <w:spacing w:after="0"/>
              <w:rPr>
                <w:sz w:val="20"/>
                <w:szCs w:val="20"/>
                <w:color w:val="auto"/>
              </w:rPr>
            </w:pPr>
            <w:r>
              <w:rPr>
                <w:rFonts w:ascii="Arial" w:cs="Arial" w:eastAsia="Arial" w:hAnsi="Arial"/>
                <w:sz w:val="18"/>
                <w:szCs w:val="18"/>
                <w:b w:val="1"/>
                <w:bCs w:val="1"/>
                <w:color w:val="auto"/>
              </w:rPr>
              <w:t>I.</w:t>
            </w:r>
          </w:p>
        </w:tc>
        <w:tc>
          <w:tcPr>
            <w:tcW w:w="540" w:type="dxa"/>
            <w:vAlign w:val="bottom"/>
            <w:vMerge w:val="restart"/>
          </w:tcPr>
          <w:p>
            <w:pPr>
              <w:spacing w:after="0"/>
              <w:rPr>
                <w:sz w:val="20"/>
                <w:szCs w:val="20"/>
                <w:color w:val="auto"/>
              </w:rPr>
            </w:pPr>
            <w:r>
              <w:rPr>
                <w:rFonts w:ascii="Arial" w:cs="Arial" w:eastAsia="Arial" w:hAnsi="Arial"/>
                <w:sz w:val="18"/>
                <w:szCs w:val="18"/>
                <w:b w:val="1"/>
                <w:bCs w:val="1"/>
                <w:color w:val="auto"/>
                <w:w w:val="86"/>
              </w:rPr>
              <w:t>Parties</w:t>
            </w:r>
          </w:p>
        </w:tc>
        <w:tc>
          <w:tcPr>
            <w:tcW w:w="1100" w:type="dxa"/>
            <w:vAlign w:val="bottom"/>
            <w:vMerge w:val="restart"/>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660" w:type="dxa"/>
            <w:vAlign w:val="bottom"/>
            <w:tcBorders>
              <w:bottom w:val="single" w:sz="8" w:color="auto"/>
            </w:tcBorders>
          </w:tcPr>
          <w:p>
            <w:pPr>
              <w:spacing w:after="0"/>
              <w:rPr>
                <w:sz w:val="24"/>
                <w:szCs w:val="24"/>
                <w:color w:val="auto"/>
              </w:rPr>
            </w:pPr>
          </w:p>
        </w:tc>
        <w:tc>
          <w:tcPr>
            <w:tcW w:w="4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8"/>
        </w:trPr>
        <w:tc>
          <w:tcPr>
            <w:tcW w:w="460" w:type="dxa"/>
            <w:vAlign w:val="bottom"/>
            <w:vMerge w:val="continue"/>
          </w:tcPr>
          <w:p>
            <w:pPr>
              <w:spacing w:after="0"/>
              <w:rPr>
                <w:sz w:val="24"/>
                <w:szCs w:val="24"/>
                <w:color w:val="auto"/>
              </w:rPr>
            </w:pPr>
          </w:p>
        </w:tc>
        <w:tc>
          <w:tcPr>
            <w:tcW w:w="540" w:type="dxa"/>
            <w:vAlign w:val="bottom"/>
            <w:tcBorders>
              <w:bottom w:val="single" w:sz="8" w:color="auto"/>
            </w:tcBorders>
            <w:vMerge w:val="continue"/>
          </w:tcPr>
          <w:p>
            <w:pPr>
              <w:spacing w:after="0"/>
              <w:rPr>
                <w:sz w:val="24"/>
                <w:szCs w:val="24"/>
                <w:color w:val="auto"/>
              </w:rPr>
            </w:pPr>
          </w:p>
        </w:tc>
        <w:tc>
          <w:tcPr>
            <w:tcW w:w="1100" w:type="dxa"/>
            <w:vAlign w:val="bottom"/>
            <w:vMerge w:val="continue"/>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0"/>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Borrower:</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4"/>
              </w:rPr>
              <w:t>Initially, Marvell Technology Group Ltd., a Bermuda exempt company, and on and after the Closing Date, Holdco, a</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rPr>
              <w:t>Delaware corporation (the “</w:t>
            </w:r>
            <w:r>
              <w:rPr>
                <w:rFonts w:ascii="Arial" w:cs="Arial" w:eastAsia="Arial" w:hAnsi="Arial"/>
                <w:sz w:val="18"/>
                <w:szCs w:val="18"/>
                <w:b w:val="1"/>
                <w:bCs w:val="1"/>
                <w:i w:val="1"/>
                <w:iCs w:val="1"/>
                <w:color w:val="auto"/>
              </w:rPr>
              <w:t>Borrower</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0"/>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Guarantors:</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3"/>
              </w:rPr>
              <w:t>From the Closing Date, all obligations of the Borrower under the Revolving Facility will be unconditionally guaranteed</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1"/>
              </w:rPr>
              <w:t>by (a) Maui so long as Maui is the issuer, borrower or guarantor of indebtedness for borrowed money (including, for the</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7"/>
              </w:rPr>
              <w:t>avoidance of doubt, Maui’s existing unsecured notes) in an aggregate outstanding principal amount in excess of</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0"/>
              </w:rPr>
              <w:t>$100.0 million and (b) Target so long as Target is the issuer, borrower or guarantor of indebtedness for borrowed money</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1"/>
              </w:rPr>
              <w:t>(including, for the avoidance of doubt, Target’s existing convertible notes) in an aggregate outstanding principal amount</w:t>
            </w:r>
          </w:p>
        </w:tc>
        <w:tc>
          <w:tcPr>
            <w:tcW w:w="0" w:type="dxa"/>
            <w:vAlign w:val="bottom"/>
          </w:tcPr>
          <w:p>
            <w:pPr>
              <w:spacing w:after="0"/>
              <w:rPr>
                <w:sz w:val="1"/>
                <w:szCs w:val="1"/>
                <w:color w:val="auto"/>
              </w:rPr>
            </w:pPr>
          </w:p>
        </w:tc>
      </w:tr>
      <w:tr>
        <w:trPr>
          <w:trHeight w:val="190"/>
        </w:trPr>
        <w:tc>
          <w:tcPr>
            <w:tcW w:w="4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920" w:type="dxa"/>
            <w:vAlign w:val="bottom"/>
            <w:gridSpan w:val="5"/>
          </w:tcPr>
          <w:p>
            <w:pPr>
              <w:ind w:left="220"/>
              <w:spacing w:after="0" w:line="190" w:lineRule="exact"/>
              <w:rPr>
                <w:sz w:val="20"/>
                <w:szCs w:val="20"/>
                <w:color w:val="auto"/>
              </w:rPr>
            </w:pPr>
            <w:r>
              <w:rPr>
                <w:rFonts w:ascii="Arial" w:cs="Arial" w:eastAsia="Arial" w:hAnsi="Arial"/>
                <w:sz w:val="18"/>
                <w:szCs w:val="18"/>
                <w:color w:val="auto"/>
                <w:w w:val="98"/>
              </w:rPr>
              <w:t>in excess of $100.0 million; provided that the existing convertible notes of the Target shall be deemed not to be</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2260" w:type="dxa"/>
            <w:vAlign w:val="bottom"/>
            <w:gridSpan w:val="2"/>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0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2"/>
              </w:rPr>
              <w:t>outstanding for the purpose of this clause (b) until the date that is 90 days following the Closing Date. In the event that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6"/>
              </w:rPr>
              <w:t>the conditions requiring the guarantee by Maui or Target, as applicable, are no longer satisfied, the Borrower may</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5"/>
              </w:rPr>
              <w:t>request, and the Revolving Administrative Agent (as defined below) and the Revolving Lenders (as defined below)</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rPr>
              <w:t>agree to, release Maui and/or Target, as applicable, from such guarantee.</w:t>
            </w:r>
          </w:p>
        </w:tc>
        <w:tc>
          <w:tcPr>
            <w:tcW w:w="0" w:type="dxa"/>
            <w:vAlign w:val="bottom"/>
          </w:tcPr>
          <w:p>
            <w:pPr>
              <w:spacing w:after="0"/>
              <w:rPr>
                <w:sz w:val="1"/>
                <w:szCs w:val="1"/>
                <w:color w:val="auto"/>
              </w:rPr>
            </w:pPr>
          </w:p>
        </w:tc>
      </w:tr>
      <w:tr>
        <w:trPr>
          <w:trHeight w:val="310"/>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Lead Arrangers and</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6"/>
              </w:rPr>
              <w:t>JPMorgan Chase Bank, N.A. and other financial institutions appointed in accordance with the Commitment Letter</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Bookrunners:</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JPMorgan</w:t>
            </w:r>
            <w:r>
              <w:rPr>
                <w:rFonts w:ascii="Arial" w:cs="Arial" w:eastAsia="Arial" w:hAnsi="Arial"/>
                <w:sz w:val="18"/>
                <w:szCs w:val="18"/>
                <w:color w:val="auto"/>
              </w:rPr>
              <w:t>” and in such capacity, the “</w:t>
            </w:r>
            <w:r>
              <w:rPr>
                <w:rFonts w:ascii="Arial" w:cs="Arial" w:eastAsia="Arial" w:hAnsi="Arial"/>
                <w:sz w:val="18"/>
                <w:szCs w:val="18"/>
                <w:b w:val="1"/>
                <w:bCs w:val="1"/>
                <w:i w:val="1"/>
                <w:iCs w:val="1"/>
                <w:color w:val="auto"/>
              </w:rPr>
              <w:t>Revolving Lead Arranger</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10"/>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Administrative</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rPr>
              <w:t>A financial institution appointed in accordance with the Commitment Letter.</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Agent:</w:t>
            </w:r>
          </w:p>
        </w:tc>
        <w:tc>
          <w:tcPr>
            <w:tcW w:w="2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4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10"/>
        </w:trPr>
        <w:tc>
          <w:tcPr>
            <w:tcW w:w="460" w:type="dxa"/>
            <w:vAlign w:val="bottom"/>
          </w:tcPr>
          <w:p>
            <w:pPr>
              <w:spacing w:after="0"/>
              <w:rPr>
                <w:sz w:val="24"/>
                <w:szCs w:val="24"/>
                <w:color w:val="auto"/>
              </w:rPr>
            </w:pPr>
          </w:p>
        </w:tc>
        <w:tc>
          <w:tcPr>
            <w:tcW w:w="1640" w:type="dxa"/>
            <w:vAlign w:val="bottom"/>
            <w:gridSpan w:val="2"/>
          </w:tcPr>
          <w:p>
            <w:pPr>
              <w:spacing w:after="0"/>
              <w:rPr>
                <w:sz w:val="20"/>
                <w:szCs w:val="20"/>
                <w:color w:val="auto"/>
              </w:rPr>
            </w:pPr>
            <w:r>
              <w:rPr>
                <w:rFonts w:ascii="Arial" w:cs="Arial" w:eastAsia="Arial" w:hAnsi="Arial"/>
                <w:sz w:val="18"/>
                <w:szCs w:val="18"/>
                <w:color w:val="auto"/>
              </w:rPr>
              <w:t>Lenders:</w:t>
            </w: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w w:val="95"/>
              </w:rPr>
              <w:t>A syndicate of banks, financial institutions and other entities, including JPMorgan, arranged by the Revolving Lead</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920" w:type="dxa"/>
            <w:vAlign w:val="bottom"/>
            <w:gridSpan w:val="5"/>
          </w:tcPr>
          <w:p>
            <w:pPr>
              <w:ind w:left="220"/>
              <w:spacing w:after="0"/>
              <w:rPr>
                <w:sz w:val="20"/>
                <w:szCs w:val="20"/>
                <w:color w:val="auto"/>
              </w:rPr>
            </w:pPr>
            <w:r>
              <w:rPr>
                <w:rFonts w:ascii="Arial" w:cs="Arial" w:eastAsia="Arial" w:hAnsi="Arial"/>
                <w:sz w:val="18"/>
                <w:szCs w:val="18"/>
                <w:color w:val="auto"/>
              </w:rPr>
              <w:t>Arranger in accordance with the Commitment Letter (collectively, the “</w:t>
            </w:r>
            <w:r>
              <w:rPr>
                <w:rFonts w:ascii="Arial" w:cs="Arial" w:eastAsia="Arial" w:hAnsi="Arial"/>
                <w:sz w:val="18"/>
                <w:szCs w:val="18"/>
                <w:b w:val="1"/>
                <w:bCs w:val="1"/>
                <w:i w:val="1"/>
                <w:iCs w:val="1"/>
                <w:color w:val="auto"/>
              </w:rPr>
              <w:t>Revolving Lenders</w:t>
            </w: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365"/>
        </w:trPr>
        <w:tc>
          <w:tcPr>
            <w:tcW w:w="4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20" w:type="dxa"/>
            <w:vAlign w:val="bottom"/>
            <w:gridSpan w:val="2"/>
          </w:tcPr>
          <w:p>
            <w:pPr>
              <w:jc w:val="center"/>
              <w:ind w:right="4930"/>
              <w:spacing w:after="0"/>
              <w:rPr>
                <w:sz w:val="20"/>
                <w:szCs w:val="20"/>
                <w:color w:val="auto"/>
              </w:rPr>
            </w:pPr>
            <w:r>
              <w:rPr>
                <w:rFonts w:ascii="Arial" w:cs="Arial" w:eastAsia="Arial" w:hAnsi="Arial"/>
                <w:sz w:val="18"/>
                <w:szCs w:val="18"/>
                <w:color w:val="auto"/>
                <w:w w:val="95"/>
              </w:rPr>
              <w:t>Exhibit C-1</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4" w:right="43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1" w:name="page192"/>
    <w:bookmarkEnd w:id="191"/>
    <w:tbl>
      <w:tblPr>
        <w:tblLayout w:type="fixed"/>
        <w:tblInd w:w="4" w:type="dxa"/>
        <w:tblCellMar>
          <w:top w:w="0" w:type="dxa"/>
          <w:left w:w="0" w:type="dxa"/>
          <w:bottom w:w="0" w:type="dxa"/>
          <w:right w:w="0" w:type="dxa"/>
        </w:tblCellMar>
      </w:tblPr>
      <w:tr>
        <w:trPr>
          <w:trHeight w:val="207"/>
        </w:trPr>
        <w:tc>
          <w:tcPr>
            <w:tcW w:w="460" w:type="dxa"/>
            <w:vAlign w:val="bottom"/>
          </w:tcPr>
          <w:p>
            <w:pPr>
              <w:spacing w:after="0"/>
              <w:rPr>
                <w:sz w:val="20"/>
                <w:szCs w:val="20"/>
                <w:color w:val="auto"/>
              </w:rPr>
            </w:pPr>
            <w:r>
              <w:rPr>
                <w:rFonts w:ascii="Arial" w:cs="Arial" w:eastAsia="Arial" w:hAnsi="Arial"/>
                <w:sz w:val="18"/>
                <w:szCs w:val="18"/>
                <w:b w:val="1"/>
                <w:bCs w:val="1"/>
                <w:color w:val="auto"/>
              </w:rPr>
              <w:t>II.</w:t>
            </w:r>
          </w:p>
        </w:tc>
        <w:tc>
          <w:tcPr>
            <w:tcW w:w="1720" w:type="dxa"/>
            <w:vAlign w:val="bottom"/>
            <w:gridSpan w:val="2"/>
          </w:tcPr>
          <w:p>
            <w:pPr>
              <w:spacing w:after="0"/>
              <w:rPr>
                <w:sz w:val="20"/>
                <w:szCs w:val="20"/>
                <w:color w:val="auto"/>
              </w:rPr>
            </w:pPr>
            <w:r>
              <w:rPr>
                <w:rFonts w:ascii="Arial" w:cs="Arial" w:eastAsia="Arial" w:hAnsi="Arial"/>
                <w:sz w:val="18"/>
                <w:szCs w:val="18"/>
                <w:b w:val="1"/>
                <w:bCs w:val="1"/>
                <w:color w:val="auto"/>
              </w:rPr>
              <w:t>Revolving Facility</w:t>
            </w:r>
          </w:p>
        </w:tc>
        <w:tc>
          <w:tcPr>
            <w:tcW w:w="8780" w:type="dxa"/>
            <w:vAlign w:val="bottom"/>
          </w:tcPr>
          <w:p>
            <w:pPr>
              <w:spacing w:after="0"/>
              <w:rPr>
                <w:sz w:val="17"/>
                <w:szCs w:val="17"/>
                <w:color w:val="auto"/>
              </w:rPr>
            </w:pPr>
          </w:p>
        </w:tc>
      </w:tr>
      <w:tr>
        <w:trPr>
          <w:trHeight w:val="20"/>
        </w:trPr>
        <w:tc>
          <w:tcPr>
            <w:tcW w:w="46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780" w:type="dxa"/>
            <w:vAlign w:val="bottom"/>
          </w:tcPr>
          <w:p>
            <w:pPr>
              <w:spacing w:after="0" w:line="20" w:lineRule="exact"/>
              <w:rPr>
                <w:sz w:val="1"/>
                <w:szCs w:val="1"/>
                <w:color w:val="auto"/>
              </w:rPr>
            </w:pPr>
          </w:p>
        </w:tc>
      </w:tr>
      <w:tr>
        <w:trPr>
          <w:trHeight w:val="330"/>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Arial" w:cs="Arial" w:eastAsia="Arial" w:hAnsi="Arial"/>
                <w:sz w:val="18"/>
                <w:szCs w:val="18"/>
                <w:color w:val="auto"/>
              </w:rPr>
              <w:t>Type and Amount of</w:t>
            </w:r>
          </w:p>
        </w:tc>
        <w:tc>
          <w:tcPr>
            <w:tcW w:w="8780" w:type="dxa"/>
            <w:vAlign w:val="bottom"/>
          </w:tcPr>
          <w:p>
            <w:pPr>
              <w:ind w:left="240"/>
              <w:spacing w:after="0"/>
              <w:rPr>
                <w:sz w:val="20"/>
                <w:szCs w:val="20"/>
                <w:color w:val="auto"/>
              </w:rPr>
            </w:pPr>
            <w:r>
              <w:rPr>
                <w:rFonts w:ascii="Arial" w:cs="Arial" w:eastAsia="Arial" w:hAnsi="Arial"/>
                <w:sz w:val="18"/>
                <w:szCs w:val="18"/>
                <w:color w:val="auto"/>
                <w:w w:val="91"/>
              </w:rPr>
              <w:t>Five-year senior unsecured revolving loan facility (the “</w:t>
            </w:r>
            <w:r>
              <w:rPr>
                <w:rFonts w:ascii="Arial" w:cs="Arial" w:eastAsia="Arial" w:hAnsi="Arial"/>
                <w:sz w:val="18"/>
                <w:szCs w:val="18"/>
                <w:b w:val="1"/>
                <w:bCs w:val="1"/>
                <w:i w:val="1"/>
                <w:iCs w:val="1"/>
                <w:color w:val="auto"/>
                <w:w w:val="91"/>
              </w:rPr>
              <w:t>Revolving Facility</w:t>
            </w:r>
            <w:r>
              <w:rPr>
                <w:rFonts w:ascii="Arial" w:cs="Arial" w:eastAsia="Arial" w:hAnsi="Arial"/>
                <w:sz w:val="18"/>
                <w:szCs w:val="18"/>
                <w:color w:val="auto"/>
                <w:w w:val="91"/>
              </w:rPr>
              <w:t>”) in the amount of up to $750,000,000 (the</w:t>
            </w:r>
          </w:p>
        </w:tc>
      </w:tr>
      <w:tr>
        <w:trPr>
          <w:trHeight w:val="230"/>
        </w:trPr>
        <w:tc>
          <w:tcPr>
            <w:tcW w:w="460" w:type="dxa"/>
            <w:vAlign w:val="bottom"/>
          </w:tcPr>
          <w:p>
            <w:pPr>
              <w:spacing w:after="0"/>
              <w:rPr>
                <w:sz w:val="20"/>
                <w:szCs w:val="20"/>
                <w:color w:val="auto"/>
              </w:rPr>
            </w:pPr>
          </w:p>
        </w:tc>
        <w:tc>
          <w:tcPr>
            <w:tcW w:w="1720" w:type="dxa"/>
            <w:vAlign w:val="bottom"/>
            <w:gridSpan w:val="2"/>
          </w:tcPr>
          <w:p>
            <w:pPr>
              <w:spacing w:after="0"/>
              <w:rPr>
                <w:sz w:val="20"/>
                <w:szCs w:val="20"/>
                <w:color w:val="auto"/>
              </w:rPr>
            </w:pPr>
            <w:r>
              <w:rPr>
                <w:rFonts w:ascii="Arial" w:cs="Arial" w:eastAsia="Arial" w:hAnsi="Arial"/>
                <w:sz w:val="18"/>
                <w:szCs w:val="18"/>
                <w:color w:val="auto"/>
              </w:rPr>
              <w:t>Revolving Facility:</w:t>
            </w:r>
          </w:p>
        </w:tc>
        <w:tc>
          <w:tcPr>
            <w:tcW w:w="8780" w:type="dxa"/>
            <w:vAlign w:val="bottom"/>
          </w:tcPr>
          <w:p>
            <w:pPr>
              <w:ind w:left="240"/>
              <w:spacing w:after="0"/>
              <w:rPr>
                <w:sz w:val="20"/>
                <w:szCs w:val="20"/>
                <w:color w:val="auto"/>
              </w:rPr>
            </w:pPr>
            <w:r>
              <w:rPr>
                <w:rFonts w:ascii="Arial" w:cs="Arial" w:eastAsia="Arial" w:hAnsi="Arial"/>
                <w:sz w:val="18"/>
                <w:szCs w:val="18"/>
                <w:color w:val="auto"/>
              </w:rPr>
              <w:t>loans thereunder, the “</w:t>
            </w:r>
            <w:r>
              <w:rPr>
                <w:rFonts w:ascii="Arial" w:cs="Arial" w:eastAsia="Arial" w:hAnsi="Arial"/>
                <w:sz w:val="18"/>
                <w:szCs w:val="18"/>
                <w:b w:val="1"/>
                <w:bCs w:val="1"/>
                <w:i w:val="1"/>
                <w:iCs w:val="1"/>
                <w:color w:val="auto"/>
              </w:rPr>
              <w:t>Revolving Loans</w:t>
            </w:r>
            <w:r>
              <w:rPr>
                <w:rFonts w:ascii="Arial" w:cs="Arial" w:eastAsia="Arial" w:hAnsi="Arial"/>
                <w:sz w:val="18"/>
                <w:szCs w:val="18"/>
                <w:color w:val="auto"/>
              </w:rPr>
              <w:t>”).</w:t>
            </w:r>
          </w:p>
        </w:tc>
      </w:tr>
      <w:tr>
        <w:trPr>
          <w:trHeight w:val="310"/>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Arial" w:cs="Arial" w:eastAsia="Arial" w:hAnsi="Arial"/>
                <w:sz w:val="18"/>
                <w:szCs w:val="18"/>
                <w:color w:val="auto"/>
              </w:rPr>
              <w:t>Availability:</w:t>
            </w:r>
          </w:p>
        </w:tc>
        <w:tc>
          <w:tcPr>
            <w:tcW w:w="8780" w:type="dxa"/>
            <w:vAlign w:val="bottom"/>
          </w:tcPr>
          <w:p>
            <w:pPr>
              <w:ind w:left="240"/>
              <w:spacing w:after="0"/>
              <w:rPr>
                <w:sz w:val="20"/>
                <w:szCs w:val="20"/>
                <w:color w:val="auto"/>
              </w:rPr>
            </w:pPr>
            <w:r>
              <w:rPr>
                <w:rFonts w:ascii="Arial" w:cs="Arial" w:eastAsia="Arial" w:hAnsi="Arial"/>
                <w:sz w:val="18"/>
                <w:szCs w:val="18"/>
                <w:color w:val="auto"/>
                <w:w w:val="94"/>
              </w:rPr>
              <w:t>The Revolving Facility shall be available on a revolving basis during the period commencing on the RCF Effective</w:t>
            </w:r>
          </w:p>
        </w:tc>
      </w:tr>
      <w:tr>
        <w:trPr>
          <w:trHeight w:val="230"/>
        </w:trPr>
        <w:tc>
          <w:tcPr>
            <w:tcW w:w="4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780" w:type="dxa"/>
            <w:vAlign w:val="bottom"/>
          </w:tcPr>
          <w:p>
            <w:pPr>
              <w:ind w:left="240"/>
              <w:spacing w:after="0"/>
              <w:rPr>
                <w:sz w:val="20"/>
                <w:szCs w:val="20"/>
                <w:color w:val="auto"/>
              </w:rPr>
            </w:pPr>
            <w:r>
              <w:rPr>
                <w:rFonts w:ascii="Arial" w:cs="Arial" w:eastAsia="Arial" w:hAnsi="Arial"/>
                <w:sz w:val="18"/>
                <w:szCs w:val="18"/>
                <w:color w:val="auto"/>
              </w:rPr>
              <w:t>Date (as defined below) and ending on the Maturity Date.</w:t>
            </w:r>
          </w:p>
        </w:tc>
      </w:tr>
      <w:tr>
        <w:trPr>
          <w:trHeight w:val="324"/>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Arial" w:cs="Arial" w:eastAsia="Arial" w:hAnsi="Arial"/>
                <w:sz w:val="18"/>
                <w:szCs w:val="18"/>
                <w:color w:val="auto"/>
              </w:rPr>
              <w:t>Maturity:</w:t>
            </w:r>
          </w:p>
        </w:tc>
        <w:tc>
          <w:tcPr>
            <w:tcW w:w="8780" w:type="dxa"/>
            <w:vAlign w:val="bottom"/>
          </w:tcPr>
          <w:p>
            <w:pPr>
              <w:ind w:left="240"/>
              <w:spacing w:after="0"/>
              <w:rPr>
                <w:sz w:val="20"/>
                <w:szCs w:val="20"/>
                <w:color w:val="auto"/>
              </w:rPr>
            </w:pPr>
            <w:r>
              <w:rPr>
                <w:rFonts w:ascii="Arial" w:cs="Arial" w:eastAsia="Arial" w:hAnsi="Arial"/>
                <w:sz w:val="18"/>
                <w:szCs w:val="18"/>
                <w:color w:val="auto"/>
                <w:w w:val="94"/>
              </w:rPr>
              <w:t>The Revolving Facility will mature on the date that is five years after the RCF Effective Date (the “</w:t>
            </w:r>
            <w:r>
              <w:rPr>
                <w:rFonts w:ascii="Arial" w:cs="Arial" w:eastAsia="Arial" w:hAnsi="Arial"/>
                <w:sz w:val="18"/>
                <w:szCs w:val="18"/>
                <w:b w:val="1"/>
                <w:bCs w:val="1"/>
                <w:i w:val="1"/>
                <w:iCs w:val="1"/>
                <w:color w:val="auto"/>
                <w:w w:val="94"/>
              </w:rPr>
              <w:t>Maturity Date</w:t>
            </w:r>
            <w:r>
              <w:rPr>
                <w:rFonts w:ascii="Arial" w:cs="Arial" w:eastAsia="Arial" w:hAnsi="Arial"/>
                <w:sz w:val="18"/>
                <w:szCs w:val="18"/>
                <w:color w:val="auto"/>
                <w:w w:val="94"/>
              </w:rPr>
              <w:t>”).</w:t>
            </w:r>
          </w:p>
        </w:tc>
      </w:tr>
      <w:tr>
        <w:trPr>
          <w:trHeight w:val="310"/>
        </w:trPr>
        <w:tc>
          <w:tcPr>
            <w:tcW w:w="460" w:type="dxa"/>
            <w:vAlign w:val="bottom"/>
          </w:tcPr>
          <w:p>
            <w:pPr>
              <w:spacing w:after="0"/>
              <w:rPr>
                <w:sz w:val="24"/>
                <w:szCs w:val="24"/>
                <w:color w:val="auto"/>
              </w:rPr>
            </w:pPr>
          </w:p>
        </w:tc>
        <w:tc>
          <w:tcPr>
            <w:tcW w:w="1720" w:type="dxa"/>
            <w:vAlign w:val="bottom"/>
            <w:gridSpan w:val="2"/>
          </w:tcPr>
          <w:p>
            <w:pPr>
              <w:spacing w:after="0"/>
              <w:rPr>
                <w:sz w:val="20"/>
                <w:szCs w:val="20"/>
                <w:color w:val="auto"/>
              </w:rPr>
            </w:pPr>
            <w:r>
              <w:rPr>
                <w:rFonts w:ascii="Arial" w:cs="Arial" w:eastAsia="Arial" w:hAnsi="Arial"/>
                <w:sz w:val="18"/>
                <w:szCs w:val="18"/>
                <w:color w:val="auto"/>
              </w:rPr>
              <w:t>Purpose:</w:t>
            </w:r>
          </w:p>
        </w:tc>
        <w:tc>
          <w:tcPr>
            <w:tcW w:w="8780" w:type="dxa"/>
            <w:vAlign w:val="bottom"/>
          </w:tcPr>
          <w:p>
            <w:pPr>
              <w:ind w:left="240"/>
              <w:spacing w:after="0"/>
              <w:rPr>
                <w:sz w:val="20"/>
                <w:szCs w:val="20"/>
                <w:color w:val="auto"/>
              </w:rPr>
            </w:pPr>
            <w:r>
              <w:rPr>
                <w:rFonts w:ascii="Arial" w:cs="Arial" w:eastAsia="Arial" w:hAnsi="Arial"/>
                <w:sz w:val="18"/>
                <w:szCs w:val="18"/>
                <w:color w:val="auto"/>
                <w:w w:val="95"/>
              </w:rPr>
              <w:t>The proceeds of the Revolving Loans shall be used by the Borrower for working capital in the ordinary course of</w:t>
            </w:r>
          </w:p>
        </w:tc>
      </w:tr>
      <w:tr>
        <w:trPr>
          <w:trHeight w:val="230"/>
        </w:trPr>
        <w:tc>
          <w:tcPr>
            <w:tcW w:w="4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780" w:type="dxa"/>
            <w:vAlign w:val="bottom"/>
          </w:tcPr>
          <w:p>
            <w:pPr>
              <w:ind w:left="240"/>
              <w:spacing w:after="0"/>
              <w:rPr>
                <w:sz w:val="20"/>
                <w:szCs w:val="20"/>
                <w:color w:val="auto"/>
              </w:rPr>
            </w:pPr>
            <w:r>
              <w:rPr>
                <w:rFonts w:ascii="Arial" w:cs="Arial" w:eastAsia="Arial" w:hAnsi="Arial"/>
                <w:sz w:val="18"/>
                <w:szCs w:val="18"/>
                <w:color w:val="auto"/>
              </w:rPr>
              <w:t>business and for general corporate purposes.</w:t>
            </w:r>
          </w:p>
        </w:tc>
      </w:tr>
    </w:tbl>
    <w:p>
      <w:pPr>
        <w:spacing w:after="0" w:line="30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ind w:left="464" w:hanging="464"/>
        <w:spacing w:after="0"/>
        <w:tabs>
          <w:tab w:leader="none" w:pos="464" w:val="left"/>
        </w:tabs>
        <w:numPr>
          <w:ilvl w:val="0"/>
          <w:numId w:val="23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Certain Payment Provisions</w:t>
      </w:r>
    </w:p>
    <w:p>
      <w:pPr>
        <w:spacing w:after="0" w:line="121"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Fees and Interest Rates:</w:t>
      </w:r>
      <w:r>
        <w:rPr>
          <w:sz w:val="20"/>
          <w:szCs w:val="20"/>
          <w:color w:val="auto"/>
        </w:rPr>
        <w:tab/>
      </w:r>
      <w:r>
        <w:rPr>
          <w:rFonts w:ascii="Arial" w:cs="Arial" w:eastAsia="Arial" w:hAnsi="Arial"/>
          <w:sz w:val="16"/>
          <w:szCs w:val="16"/>
          <w:color w:val="auto"/>
        </w:rPr>
        <w:t>As set forth on Annex I.</w:t>
      </w:r>
    </w:p>
    <w:p>
      <w:pPr>
        <w:spacing w:after="0" w:line="117"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Amortization:</w:t>
      </w:r>
      <w:r>
        <w:rPr>
          <w:sz w:val="20"/>
          <w:szCs w:val="20"/>
          <w:color w:val="auto"/>
        </w:rPr>
        <w:tab/>
      </w:r>
      <w:r>
        <w:rPr>
          <w:rFonts w:ascii="Arial" w:cs="Arial" w:eastAsia="Arial" w:hAnsi="Arial"/>
          <w:sz w:val="18"/>
          <w:szCs w:val="18"/>
          <w:color w:val="auto"/>
        </w:rPr>
        <w:t>None.</w:t>
      </w:r>
    </w:p>
    <w:p>
      <w:pPr>
        <w:spacing w:after="0" w:line="117"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Optional Prepayments</w:t>
      </w:r>
      <w:r>
        <w:rPr>
          <w:sz w:val="20"/>
          <w:szCs w:val="20"/>
          <w:color w:val="auto"/>
        </w:rPr>
        <w:tab/>
      </w:r>
      <w:r>
        <w:rPr>
          <w:rFonts w:ascii="Arial" w:cs="Arial" w:eastAsia="Arial" w:hAnsi="Arial"/>
          <w:sz w:val="16"/>
          <w:szCs w:val="16"/>
          <w:color w:val="auto"/>
        </w:rPr>
        <w:t>Revolving Loans may be prepaid at any time in whole or in part and commitments may be reduced or terminated by</w:t>
      </w:r>
    </w:p>
    <w:p>
      <w:pPr>
        <w:spacing w:after="0" w:line="23"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and Commitment</w:t>
      </w:r>
      <w:r>
        <w:rPr>
          <w:sz w:val="20"/>
          <w:szCs w:val="20"/>
          <w:color w:val="auto"/>
        </w:rPr>
        <w:tab/>
      </w:r>
      <w:r>
        <w:rPr>
          <w:rFonts w:ascii="Arial" w:cs="Arial" w:eastAsia="Arial" w:hAnsi="Arial"/>
          <w:sz w:val="16"/>
          <w:szCs w:val="16"/>
          <w:color w:val="auto"/>
        </w:rPr>
        <w:t>the Borrower at any time, in each case without premium or penalty and in minimum amounts to be agreed upon.</w:t>
      </w:r>
    </w:p>
    <w:p>
      <w:pPr>
        <w:spacing w:after="0" w:line="9"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Reductions:</w:t>
      </w:r>
      <w:r>
        <w:rPr>
          <w:sz w:val="20"/>
          <w:szCs w:val="20"/>
          <w:color w:val="auto"/>
        </w:rPr>
        <w:tab/>
      </w:r>
      <w:r>
        <w:rPr>
          <w:rFonts w:ascii="Arial" w:cs="Arial" w:eastAsia="Arial" w:hAnsi="Arial"/>
          <w:sz w:val="18"/>
          <w:szCs w:val="18"/>
          <w:color w:val="auto"/>
        </w:rPr>
        <w:t>Revolving Loans prepaid may be reborrowed.</w:t>
      </w:r>
    </w:p>
    <w:p>
      <w:pPr>
        <w:spacing w:after="0" w:line="103"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Mandatory Prepayments:</w:t>
      </w:r>
      <w:r>
        <w:rPr>
          <w:sz w:val="20"/>
          <w:szCs w:val="20"/>
          <w:color w:val="auto"/>
        </w:rPr>
        <w:tab/>
      </w:r>
      <w:r>
        <w:rPr>
          <w:rFonts w:ascii="Arial" w:cs="Arial" w:eastAsia="Arial" w:hAnsi="Arial"/>
          <w:sz w:val="16"/>
          <w:szCs w:val="16"/>
          <w:color w:val="auto"/>
        </w:rPr>
        <w:t>None.</w:t>
      </w:r>
    </w:p>
    <w:p>
      <w:pPr>
        <w:spacing w:after="0" w:line="117"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Conditions Precedent to</w:t>
      </w:r>
      <w:r>
        <w:rPr>
          <w:sz w:val="20"/>
          <w:szCs w:val="20"/>
          <w:color w:val="auto"/>
        </w:rPr>
        <w:tab/>
      </w:r>
      <w:r>
        <w:rPr>
          <w:rFonts w:ascii="Arial" w:cs="Arial" w:eastAsia="Arial" w:hAnsi="Arial"/>
          <w:sz w:val="17"/>
          <w:szCs w:val="17"/>
          <w:color w:val="auto"/>
        </w:rPr>
        <w:t>The availability of the Revolving Facility shall be conditioned upon (i) termination in full of the “Revolving</w:t>
      </w:r>
    </w:p>
    <w:p>
      <w:pPr>
        <w:spacing w:after="0" w:line="23" w:lineRule="exact"/>
        <w:rPr>
          <w:sz w:val="20"/>
          <w:szCs w:val="20"/>
          <w:color w:val="auto"/>
        </w:rPr>
      </w:pPr>
    </w:p>
    <w:p>
      <w:pPr>
        <w:ind w:left="464"/>
        <w:spacing w:after="0"/>
        <w:tabs>
          <w:tab w:leader="none" w:pos="2404" w:val="left"/>
        </w:tabs>
        <w:rPr>
          <w:sz w:val="20"/>
          <w:szCs w:val="20"/>
          <w:color w:val="auto"/>
        </w:rPr>
      </w:pPr>
      <w:r>
        <w:rPr>
          <w:rFonts w:ascii="Arial" w:cs="Arial" w:eastAsia="Arial" w:hAnsi="Arial"/>
          <w:sz w:val="18"/>
          <w:szCs w:val="18"/>
          <w:color w:val="auto"/>
        </w:rPr>
        <w:t>the RCF Effective Date:</w:t>
      </w:r>
      <w:r>
        <w:rPr>
          <w:sz w:val="20"/>
          <w:szCs w:val="20"/>
          <w:color w:val="auto"/>
        </w:rPr>
        <w:tab/>
      </w:r>
      <w:r>
        <w:rPr>
          <w:rFonts w:ascii="Arial" w:cs="Arial" w:eastAsia="Arial" w:hAnsi="Arial"/>
          <w:sz w:val="16"/>
          <w:szCs w:val="16"/>
          <w:color w:val="auto"/>
        </w:rPr>
        <w:t>Commitments” under the Existing Credit Agreement and receipt by the Revolving Lead Arranger of customary</w:t>
      </w:r>
    </w:p>
    <w:p>
      <w:pPr>
        <w:spacing w:after="0" w:line="9" w:lineRule="exact"/>
        <w:rPr>
          <w:sz w:val="20"/>
          <w:szCs w:val="20"/>
          <w:color w:val="auto"/>
        </w:rPr>
      </w:pPr>
    </w:p>
    <w:p>
      <w:pPr>
        <w:ind w:left="2424"/>
        <w:spacing w:after="0"/>
        <w:rPr>
          <w:sz w:val="20"/>
          <w:szCs w:val="20"/>
          <w:color w:val="auto"/>
        </w:rPr>
      </w:pPr>
      <w:r>
        <w:rPr>
          <w:rFonts w:ascii="Arial" w:cs="Arial" w:eastAsia="Arial" w:hAnsi="Arial"/>
          <w:sz w:val="17"/>
          <w:szCs w:val="17"/>
          <w:color w:val="auto"/>
        </w:rPr>
        <w:t>documentary evidence thereof and (ii) satisfaction of conditions precedent substantially consistent with those</w:t>
      </w:r>
    </w:p>
    <w:p>
      <w:pPr>
        <w:spacing w:after="0" w:line="21" w:lineRule="exact"/>
        <w:rPr>
          <w:sz w:val="20"/>
          <w:szCs w:val="20"/>
          <w:color w:val="auto"/>
        </w:rPr>
      </w:pPr>
    </w:p>
    <w:p>
      <w:pPr>
        <w:ind w:left="2424"/>
        <w:spacing w:after="0"/>
        <w:rPr>
          <w:sz w:val="20"/>
          <w:szCs w:val="20"/>
          <w:color w:val="auto"/>
        </w:rPr>
      </w:pPr>
      <w:r>
        <w:rPr>
          <w:rFonts w:ascii="Arial" w:cs="Arial" w:eastAsia="Arial" w:hAnsi="Arial"/>
          <w:sz w:val="17"/>
          <w:szCs w:val="17"/>
          <w:color w:val="auto"/>
        </w:rPr>
        <w:t>contained in Section 4.01 of the Existing Revolving Credit Agreement (the date upon which all such conditions</w:t>
      </w:r>
    </w:p>
    <w:p>
      <w:pPr>
        <w:spacing w:after="0" w:line="21" w:lineRule="exact"/>
        <w:rPr>
          <w:sz w:val="20"/>
          <w:szCs w:val="20"/>
          <w:color w:val="auto"/>
        </w:rPr>
      </w:pPr>
    </w:p>
    <w:p>
      <w:pPr>
        <w:ind w:left="2424"/>
        <w:spacing w:after="0"/>
        <w:rPr>
          <w:sz w:val="20"/>
          <w:szCs w:val="20"/>
          <w:color w:val="auto"/>
        </w:rPr>
      </w:pPr>
      <w:r>
        <w:rPr>
          <w:rFonts w:ascii="Arial" w:cs="Arial" w:eastAsia="Arial" w:hAnsi="Arial"/>
          <w:sz w:val="18"/>
          <w:szCs w:val="18"/>
          <w:color w:val="auto"/>
        </w:rPr>
        <w:t>precedent shall be satisfied, the “</w:t>
      </w:r>
      <w:r>
        <w:rPr>
          <w:rFonts w:ascii="Arial" w:cs="Arial" w:eastAsia="Arial" w:hAnsi="Arial"/>
          <w:sz w:val="18"/>
          <w:szCs w:val="18"/>
          <w:b w:val="1"/>
          <w:bCs w:val="1"/>
          <w:i w:val="1"/>
          <w:iCs w:val="1"/>
          <w:color w:val="auto"/>
        </w:rPr>
        <w:t>RCF Effective Date</w:t>
      </w:r>
      <w:r>
        <w:rPr>
          <w:rFonts w:ascii="Arial" w:cs="Arial" w:eastAsia="Arial" w:hAnsi="Arial"/>
          <w:sz w:val="18"/>
          <w:szCs w:val="18"/>
          <w:color w:val="auto"/>
        </w:rPr>
        <w:t>”).</w:t>
      </w:r>
    </w:p>
    <w:p>
      <w:pPr>
        <w:sectPr>
          <w:pgSz w:w="11900" w:h="16838" w:orient="portrait"/>
          <w:cols w:equalWidth="0" w:num="1">
            <w:col w:w="10964"/>
          </w:cols>
          <w:pgMar w:left="436" w:top="257" w:right="499" w:bottom="1440" w:gutter="0" w:footer="0" w:header="0"/>
        </w:sectPr>
      </w:pPr>
    </w:p>
    <w:p>
      <w:pPr>
        <w:spacing w:after="0" w:line="103" w:lineRule="exact"/>
        <w:rPr>
          <w:sz w:val="20"/>
          <w:szCs w:val="20"/>
          <w:color w:val="auto"/>
        </w:rPr>
      </w:pPr>
    </w:p>
    <w:p>
      <w:pPr>
        <w:jc w:val="both"/>
        <w:ind w:left="464"/>
        <w:spacing w:after="0" w:line="311" w:lineRule="auto"/>
        <w:rPr>
          <w:sz w:val="20"/>
          <w:szCs w:val="20"/>
          <w:color w:val="auto"/>
        </w:rPr>
      </w:pPr>
      <w:r>
        <w:rPr>
          <w:rFonts w:ascii="Arial" w:cs="Arial" w:eastAsia="Arial" w:hAnsi="Arial"/>
          <w:sz w:val="16"/>
          <w:szCs w:val="16"/>
          <w:color w:val="auto"/>
        </w:rPr>
        <w:t>Conditions Precedent to Borrowings on and after the RCF Effective Date:</w:t>
      </w:r>
    </w:p>
    <w:p>
      <w:pPr>
        <w:spacing w:after="0" w:line="20" w:lineRule="exact"/>
        <w:rPr>
          <w:sz w:val="20"/>
          <w:szCs w:val="20"/>
          <w:color w:val="auto"/>
        </w:rPr>
      </w:pPr>
      <w:r>
        <w:rPr>
          <w:sz w:val="20"/>
          <w:szCs w:val="20"/>
          <w:color w:val="auto"/>
        </w:rPr>
        <w:br w:type="column"/>
      </w:r>
    </w:p>
    <w:p>
      <w:pPr>
        <w:spacing w:after="0" w:line="83" w:lineRule="exact"/>
        <w:rPr>
          <w:sz w:val="20"/>
          <w:szCs w:val="20"/>
          <w:color w:val="auto"/>
        </w:rPr>
      </w:pPr>
    </w:p>
    <w:p>
      <w:pPr>
        <w:ind w:right="220"/>
        <w:spacing w:after="0" w:line="263" w:lineRule="auto"/>
        <w:rPr>
          <w:sz w:val="20"/>
          <w:szCs w:val="20"/>
          <w:color w:val="auto"/>
        </w:rPr>
      </w:pPr>
      <w:r>
        <w:rPr>
          <w:rFonts w:ascii="Arial" w:cs="Arial" w:eastAsia="Arial" w:hAnsi="Arial"/>
          <w:sz w:val="18"/>
          <w:szCs w:val="18"/>
          <w:color w:val="auto"/>
        </w:rPr>
        <w:t>Borrowings under the Revolving Facility on or after the RCF Effective Date will be subject to conditions precedent substantially consistent with those contained in Section 4.03 of the Existing Revolving Credit Agreement, as applicable.</w:t>
      </w:r>
    </w:p>
    <w:p>
      <w:pPr>
        <w:spacing w:after="0" w:line="115" w:lineRule="exact"/>
        <w:rPr>
          <w:sz w:val="20"/>
          <w:szCs w:val="20"/>
          <w:color w:val="auto"/>
        </w:rPr>
      </w:pPr>
    </w:p>
    <w:p>
      <w:pPr>
        <w:sectPr>
          <w:pgSz w:w="11900" w:h="16838" w:orient="portrait"/>
          <w:cols w:equalWidth="0" w:num="2">
            <w:col w:w="2204" w:space="220"/>
            <w:col w:w="8540"/>
          </w:cols>
          <w:pgMar w:left="436" w:top="257" w:right="499" w:bottom="1440" w:gutter="0" w:footer="0" w:header="0"/>
          <w:type w:val="continuous"/>
        </w:sectPr>
      </w:pPr>
    </w:p>
    <w:p>
      <w:pPr>
        <w:jc w:val="center"/>
        <w:ind w:right="-43"/>
        <w:spacing w:after="0"/>
        <w:rPr>
          <w:sz w:val="20"/>
          <w:szCs w:val="20"/>
          <w:color w:val="auto"/>
        </w:rPr>
      </w:pPr>
      <w:r>
        <w:rPr>
          <w:rFonts w:ascii="Arial" w:cs="Arial" w:eastAsia="Arial" w:hAnsi="Arial"/>
          <w:sz w:val="17"/>
          <w:szCs w:val="17"/>
          <w:color w:val="auto"/>
        </w:rPr>
        <w:t>Exhibit C-2</w:t>
      </w:r>
    </w:p>
    <w:p>
      <w:pPr>
        <w:sectPr>
          <w:pgSz w:w="11900" w:h="16838" w:orient="portrait"/>
          <w:cols w:equalWidth="0" w:num="1">
            <w:col w:w="10964"/>
          </w:cols>
          <w:pgMar w:left="436" w:top="257" w:right="499" w:bottom="1440" w:gutter="0" w:footer="0" w:header="0"/>
          <w:type w:val="continuous"/>
        </w:sectPr>
      </w:pPr>
    </w:p>
    <w:bookmarkStart w:id="192" w:name="page193"/>
    <w:bookmarkEnd w:id="192"/>
    <w:p>
      <w:pPr>
        <w:spacing w:after="0"/>
        <w:tabs>
          <w:tab w:leader="none" w:pos="54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IV.</w:t>
      </w:r>
      <w:r>
        <w:rPr>
          <w:sz w:val="20"/>
          <w:szCs w:val="20"/>
          <w:color w:val="auto"/>
        </w:rPr>
        <w:tab/>
      </w:r>
      <w:r>
        <w:rPr>
          <w:rFonts w:ascii="Arial" w:cs="Arial" w:eastAsia="Arial" w:hAnsi="Arial"/>
          <w:sz w:val="18"/>
          <w:szCs w:val="18"/>
          <w:b w:val="1"/>
          <w:bCs w:val="1"/>
          <w:u w:val="single" w:color="auto"/>
          <w:color w:val="auto"/>
        </w:rPr>
        <w:t>Certain Documentation Matters</w:t>
      </w:r>
    </w:p>
    <w:p>
      <w:pPr>
        <w:spacing w:after="0" w:line="121" w:lineRule="exact"/>
        <w:rPr>
          <w:sz w:val="20"/>
          <w:szCs w:val="20"/>
          <w:color w:val="auto"/>
        </w:rPr>
      </w:pPr>
    </w:p>
    <w:tbl>
      <w:tblPr>
        <w:tblLayout w:type="fixed"/>
        <w:tblInd w:w="560" w:type="dxa"/>
        <w:tblCellMar>
          <w:top w:w="0" w:type="dxa"/>
          <w:left w:w="0" w:type="dxa"/>
          <w:bottom w:w="0" w:type="dxa"/>
          <w:right w:w="0" w:type="dxa"/>
        </w:tblCellMar>
      </w:tblP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7"/>
              </w:rPr>
              <w:t>The Revolving Credit Documentation shall contain representations, warranties, covenants and events of default</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1"/>
              </w:rPr>
              <w:t>substantially similar to the Existing Credit Agreement (as in effect on the date hereof) with such modifications (i) as are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2"/>
              </w:rPr>
              <w:t>necessary to reflect the terms specifically set forth herein (including the nature of the Revolving Facility as a “revolving</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0"/>
              </w:rPr>
              <w:t>facility”) and in the Fee Letter, (ii) as are mutually agreed to take into account the operational and strategic requirements</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1"/>
              </w:rPr>
              <w:t>of the Borrower and its subsidiaries (after giving effect to the Transactions) in light of their size, total assets, geographic</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4"/>
              </w:rPr>
              <w:t>locations, industry (and risks and trends associated therewith), businesses, business practices, operations, financial</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2"/>
              </w:rPr>
              <w:t>accounting and the Projections, (iii) to reflect any changes in law or accounting standard since the date of the Existing</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3"/>
              </w:rPr>
              <w:t>Credit Agreement, (iv) to reflect the operational or administrative requirements of the Revolving Administrative Agent,</w:t>
            </w:r>
          </w:p>
        </w:tc>
      </w:tr>
      <w:tr>
        <w:trPr>
          <w:trHeight w:val="190"/>
        </w:trPr>
        <w:tc>
          <w:tcPr>
            <w:tcW w:w="1600" w:type="dxa"/>
            <w:vAlign w:val="bottom"/>
          </w:tcPr>
          <w:p>
            <w:pPr>
              <w:spacing w:after="0"/>
              <w:rPr>
                <w:sz w:val="16"/>
                <w:szCs w:val="16"/>
                <w:color w:val="auto"/>
              </w:rPr>
            </w:pPr>
          </w:p>
        </w:tc>
        <w:tc>
          <w:tcPr>
            <w:tcW w:w="8840" w:type="dxa"/>
            <w:vAlign w:val="bottom"/>
            <w:gridSpan w:val="3"/>
          </w:tcPr>
          <w:p>
            <w:pPr>
              <w:ind w:left="160"/>
              <w:spacing w:after="0" w:line="190" w:lineRule="exact"/>
              <w:rPr>
                <w:sz w:val="20"/>
                <w:szCs w:val="20"/>
                <w:color w:val="auto"/>
              </w:rPr>
            </w:pPr>
            <w:r>
              <w:rPr>
                <w:rFonts w:ascii="Arial" w:cs="Arial" w:eastAsia="Arial" w:hAnsi="Arial"/>
                <w:sz w:val="18"/>
                <w:szCs w:val="18"/>
                <w:color w:val="auto"/>
              </w:rPr>
              <w:t>(v) modifications reflected on Exhibit D hereto, (vi) other modifications to be mutually agreed (collectively, the</w:t>
            </w:r>
          </w:p>
        </w:tc>
      </w:tr>
      <w:tr>
        <w:trPr>
          <w:trHeight w:val="20"/>
        </w:trPr>
        <w:tc>
          <w:tcPr>
            <w:tcW w:w="160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5780" w:type="dxa"/>
            <w:vAlign w:val="bottom"/>
          </w:tcPr>
          <w:p>
            <w:pPr>
              <w:spacing w:after="0" w:line="20" w:lineRule="exact"/>
              <w:rPr>
                <w:sz w:val="1"/>
                <w:szCs w:val="1"/>
                <w:color w:val="auto"/>
              </w:rPr>
            </w:pPr>
          </w:p>
        </w:tc>
      </w:tr>
      <w:tr>
        <w:trPr>
          <w:trHeight w:val="237"/>
        </w:trPr>
        <w:tc>
          <w:tcPr>
            <w:tcW w:w="1600" w:type="dxa"/>
            <w:vAlign w:val="bottom"/>
          </w:tcPr>
          <w:p>
            <w:pPr>
              <w:spacing w:after="0"/>
              <w:rPr>
                <w:sz w:val="20"/>
                <w:szCs w:val="20"/>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Revolving Documentation Principles</w:t>
            </w:r>
            <w:r>
              <w:rPr>
                <w:rFonts w:ascii="Arial" w:cs="Arial" w:eastAsia="Arial" w:hAnsi="Arial"/>
                <w:sz w:val="18"/>
                <w:szCs w:val="18"/>
                <w:color w:val="auto"/>
              </w:rPr>
              <w:t>”).</w:t>
            </w:r>
          </w:p>
        </w:tc>
      </w:tr>
      <w:tr>
        <w:trPr>
          <w:trHeight w:val="310"/>
        </w:trPr>
        <w:tc>
          <w:tcPr>
            <w:tcW w:w="1600" w:type="dxa"/>
            <w:vAlign w:val="bottom"/>
          </w:tcPr>
          <w:p>
            <w:pPr>
              <w:spacing w:after="0"/>
              <w:rPr>
                <w:sz w:val="20"/>
                <w:szCs w:val="20"/>
                <w:color w:val="auto"/>
              </w:rPr>
            </w:pPr>
            <w:r>
              <w:rPr>
                <w:rFonts w:ascii="Arial" w:cs="Arial" w:eastAsia="Arial" w:hAnsi="Arial"/>
                <w:sz w:val="18"/>
                <w:szCs w:val="18"/>
                <w:color w:val="auto"/>
                <w:w w:val="95"/>
              </w:rPr>
              <w:t>Representations and</w:t>
            </w: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2"/>
              </w:rPr>
              <w:t>Subject to the Revolving Documentation Principles, substantially similar to the Existing Credit Agreement (as in effect</w:t>
            </w:r>
          </w:p>
        </w:tc>
      </w:tr>
      <w:tr>
        <w:trPr>
          <w:trHeight w:val="216"/>
        </w:trPr>
        <w:tc>
          <w:tcPr>
            <w:tcW w:w="1600" w:type="dxa"/>
            <w:vAlign w:val="bottom"/>
          </w:tcPr>
          <w:p>
            <w:pPr>
              <w:spacing w:after="0"/>
              <w:rPr>
                <w:sz w:val="20"/>
                <w:szCs w:val="20"/>
                <w:color w:val="auto"/>
              </w:rPr>
            </w:pPr>
            <w:r>
              <w:rPr>
                <w:rFonts w:ascii="Arial" w:cs="Arial" w:eastAsia="Arial" w:hAnsi="Arial"/>
                <w:sz w:val="18"/>
                <w:szCs w:val="18"/>
                <w:color w:val="auto"/>
              </w:rPr>
              <w:t>Warranties:</w:t>
            </w: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2"/>
              </w:rPr>
              <w:t>on the date hereof) (including with respect to exceptions, baskets and materiality qualifiers) with such modifications as</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rPr>
              <w:t>may be agreed among the parties, and limited to the following: (i) organization, powers, (ii) authorization,</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3"/>
              </w:rPr>
              <w:t>enforceability, (iii) governmental approvals, absence of conflicts, (iv) financial condition, no material adverse change,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8"/>
              </w:rPr>
              <w:t>(v) properties, (vi) litigation and environmental matters, (vii) compliance with laws, and maintenance of effective</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1"/>
              </w:rPr>
              <w:t>compliance policies and procedures regarding anti-corruption and sanctions laws, (viii) investment company status, (ix)</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3"/>
              </w:rPr>
              <w:t>taxes, (x) ERISA, (xi) solvency (to be defined in a manner substantially the same as set forth on Annex I to Exhibit B</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0"/>
              </w:rPr>
              <w:t>attached hereto), (xii) disclosure, (xiii) federal reserve regulations, (xiv) use of proceeds as stated and in a manner not in</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8"/>
              </w:rPr>
              <w:t>violation of federal reserve regulations, applicable sanctions laws or anti-corruption laws (including FCPA), (xv)</w:t>
            </w:r>
          </w:p>
        </w:tc>
      </w:tr>
      <w:tr>
        <w:trPr>
          <w:trHeight w:val="216"/>
        </w:trPr>
        <w:tc>
          <w:tcPr>
            <w:tcW w:w="1600" w:type="dxa"/>
            <w:vAlign w:val="bottom"/>
          </w:tcPr>
          <w:p>
            <w:pPr>
              <w:spacing w:after="0"/>
              <w:rPr>
                <w:sz w:val="18"/>
                <w:szCs w:val="18"/>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w w:val="98"/>
              </w:rPr>
              <w:t>ranking of obligations, (xvi) choice of law provisions, (xvii) no immunity, (xviii) proper form, no recordation, (xix)</w:t>
            </w:r>
          </w:p>
        </w:tc>
      </w:tr>
      <w:tr>
        <w:trPr>
          <w:trHeight w:val="230"/>
        </w:trPr>
        <w:tc>
          <w:tcPr>
            <w:tcW w:w="1600" w:type="dxa"/>
            <w:vAlign w:val="bottom"/>
          </w:tcPr>
          <w:p>
            <w:pPr>
              <w:spacing w:after="0"/>
              <w:rPr>
                <w:sz w:val="20"/>
                <w:szCs w:val="20"/>
                <w:color w:val="auto"/>
              </w:rPr>
            </w:pPr>
          </w:p>
        </w:tc>
        <w:tc>
          <w:tcPr>
            <w:tcW w:w="8840" w:type="dxa"/>
            <w:vAlign w:val="bottom"/>
            <w:gridSpan w:val="3"/>
          </w:tcPr>
          <w:p>
            <w:pPr>
              <w:ind w:left="160"/>
              <w:spacing w:after="0"/>
              <w:rPr>
                <w:sz w:val="20"/>
                <w:szCs w:val="20"/>
                <w:color w:val="auto"/>
              </w:rPr>
            </w:pPr>
            <w:r>
              <w:rPr>
                <w:rFonts w:ascii="Arial" w:cs="Arial" w:eastAsia="Arial" w:hAnsi="Arial"/>
                <w:sz w:val="18"/>
                <w:szCs w:val="18"/>
                <w:color w:val="auto"/>
              </w:rPr>
              <w:t>EEA financial institutions and (xx) Beneficial Ownership Regulation.</w:t>
            </w:r>
          </w:p>
        </w:tc>
      </w:tr>
      <w:tr>
        <w:trPr>
          <w:trHeight w:val="364"/>
        </w:trPr>
        <w:tc>
          <w:tcPr>
            <w:tcW w:w="160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6500" w:type="dxa"/>
            <w:vAlign w:val="bottom"/>
            <w:gridSpan w:val="2"/>
          </w:tcPr>
          <w:p>
            <w:pPr>
              <w:ind w:left="580"/>
              <w:spacing w:after="0"/>
              <w:rPr>
                <w:sz w:val="20"/>
                <w:szCs w:val="20"/>
                <w:color w:val="auto"/>
              </w:rPr>
            </w:pPr>
            <w:r>
              <w:rPr>
                <w:rFonts w:ascii="Arial" w:cs="Arial" w:eastAsia="Arial" w:hAnsi="Arial"/>
                <w:sz w:val="18"/>
                <w:szCs w:val="18"/>
                <w:color w:val="auto"/>
              </w:rPr>
              <w:t>Exhibit C-3</w:t>
            </w:r>
          </w:p>
        </w:tc>
      </w:tr>
    </w:tbl>
    <w:p>
      <w:pPr>
        <w:sectPr>
          <w:pgSz w:w="11900" w:h="16838" w:orient="portrait"/>
          <w:cols w:equalWidth="0" w:num="1">
            <w:col w:w="11000"/>
          </w:cols>
          <w:pgMar w:left="440" w:top="270" w:right="459" w:bottom="1440" w:gutter="0" w:footer="0" w:header="0"/>
        </w:sectPr>
      </w:pPr>
    </w:p>
    <w:bookmarkStart w:id="193" w:name="page194"/>
    <w:bookmarkEnd w:id="19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16"/>
        </w:trPr>
        <w:tc>
          <w:tcPr>
            <w:tcW w:w="1880" w:type="dxa"/>
            <w:vAlign w:val="bottom"/>
          </w:tcPr>
          <w:p>
            <w:pPr>
              <w:spacing w:after="0"/>
              <w:rPr>
                <w:sz w:val="20"/>
                <w:szCs w:val="20"/>
                <w:color w:val="auto"/>
              </w:rPr>
            </w:pPr>
            <w:r>
              <w:rPr>
                <w:rFonts w:ascii="Arial" w:cs="Arial" w:eastAsia="Arial" w:hAnsi="Arial"/>
                <w:sz w:val="18"/>
                <w:szCs w:val="18"/>
                <w:color w:val="auto"/>
              </w:rPr>
              <w:t>Affirmative Covenants:</w:t>
            </w: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Subject to the Revolving Documentation Principles, substantially similar to the Existing Credit Agreement (as in effect</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on the date hereof) (including with respect to exceptions, baskets and materiality qualifiers) with such modifications as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may be agreed among the parties, including the following: (i) financial statements and other information; (ii) notices of</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1"/>
              </w:rPr>
              <w:t>material events; (iii) existence; conduct of business; maintenance of properties; (iv) payment of taxes; (v) insurance; (vi)</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books and records, inspection rights; (vii) compliance with laws; and (viii) use of proceeds (including not in violation of</w:t>
            </w:r>
          </w:p>
        </w:tc>
      </w:tr>
      <w:tr>
        <w:trPr>
          <w:trHeight w:val="230"/>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rPr>
              <w:t>applicable anti-corruption laws and sanctions).</w:t>
            </w:r>
          </w:p>
        </w:tc>
      </w:tr>
      <w:tr>
        <w:trPr>
          <w:trHeight w:val="310"/>
        </w:trPr>
        <w:tc>
          <w:tcPr>
            <w:tcW w:w="1880" w:type="dxa"/>
            <w:vAlign w:val="bottom"/>
          </w:tcPr>
          <w:p>
            <w:pPr>
              <w:spacing w:after="0"/>
              <w:rPr>
                <w:sz w:val="20"/>
                <w:szCs w:val="20"/>
                <w:color w:val="auto"/>
              </w:rPr>
            </w:pPr>
            <w:r>
              <w:rPr>
                <w:rFonts w:ascii="Arial" w:cs="Arial" w:eastAsia="Arial" w:hAnsi="Arial"/>
                <w:sz w:val="18"/>
                <w:szCs w:val="18"/>
                <w:color w:val="auto"/>
              </w:rPr>
              <w:t>Financial Covenant:</w:t>
            </w: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7"/>
              </w:rPr>
              <w:t>Subject to the Revolving Documentation Principles, commencing with the first fiscal quarter ended after the RCF</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3"/>
              </w:rPr>
              <w:t>Effective Date, a maximum leverage ratio of 3.00 to 1.00, which shall exclude any indebtedness incurred prior to the</w:t>
            </w:r>
          </w:p>
        </w:tc>
      </w:tr>
      <w:tr>
        <w:trPr>
          <w:trHeight w:val="190"/>
        </w:trPr>
        <w:tc>
          <w:tcPr>
            <w:tcW w:w="1880" w:type="dxa"/>
            <w:vAlign w:val="bottom"/>
          </w:tcPr>
          <w:p>
            <w:pPr>
              <w:spacing w:after="0"/>
              <w:rPr>
                <w:sz w:val="16"/>
                <w:szCs w:val="16"/>
                <w:color w:val="auto"/>
              </w:rPr>
            </w:pPr>
          </w:p>
        </w:tc>
        <w:tc>
          <w:tcPr>
            <w:tcW w:w="8880" w:type="dxa"/>
            <w:vAlign w:val="bottom"/>
            <w:gridSpan w:val="3"/>
          </w:tcPr>
          <w:p>
            <w:pPr>
              <w:ind w:left="200"/>
              <w:spacing w:after="0" w:line="190" w:lineRule="exact"/>
              <w:rPr>
                <w:sz w:val="20"/>
                <w:szCs w:val="20"/>
                <w:color w:val="auto"/>
              </w:rPr>
            </w:pPr>
            <w:r>
              <w:rPr>
                <w:rFonts w:ascii="Arial" w:cs="Arial" w:eastAsia="Arial" w:hAnsi="Arial"/>
                <w:sz w:val="18"/>
                <w:szCs w:val="18"/>
                <w:color w:val="auto"/>
                <w:w w:val="91"/>
              </w:rPr>
              <w:t>Closing Date to finance the Acquisition, pending the consummation thereof; provided that (a) the proceeds thereof shall</w:t>
            </w:r>
          </w:p>
        </w:tc>
      </w:tr>
      <w:tr>
        <w:trPr>
          <w:trHeight w:val="20"/>
        </w:trPr>
        <w:tc>
          <w:tcPr>
            <w:tcW w:w="188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r>
      <w:tr>
        <w:trPr>
          <w:trHeight w:val="222"/>
        </w:trPr>
        <w:tc>
          <w:tcPr>
            <w:tcW w:w="1880" w:type="dxa"/>
            <w:vAlign w:val="bottom"/>
          </w:tcPr>
          <w:p>
            <w:pPr>
              <w:spacing w:after="0"/>
              <w:rPr>
                <w:sz w:val="19"/>
                <w:szCs w:val="19"/>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6"/>
              </w:rPr>
              <w:t>be held in a segregated account of the Borrower and other funds of the Borrower and its subsidiaries shall not be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comingled in any material respect with the funds so held in such account and (b) either (x) the release of the proceeds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rPr>
              <w:t>thereof shall be contingent upon the substantially simultaneous consummation of the Acquisition (and, if the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1"/>
              </w:rPr>
              <w:t>Acquisition Agreement is terminated in accordance with its terms or is otherwise not consummated by the outside date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1"/>
              </w:rPr>
              <w:t>specified in the definitive documentation relating to such indebtedness, as such may be extended in accordance with its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1"/>
              </w:rPr>
              <w:t>terms, such proceeds shall be promptly applied to satisfy and discharge all obligations in respect of such indebtedness)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8"/>
              </w:rPr>
              <w:t>or (y) such indebtedness contains a “special mandatory redemption” provision (or other similar provision) if the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rPr>
              <w:t>Acquisition is not consummated by the outside date specified in the definitive documentation relating to such</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1"/>
              </w:rPr>
              <w:t>indebtedness as such may be extended in accordance with its terms (and if the Acquisition is terminated in accordance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with its terms prior to its consummation or is otherwise not consummated by the outside date specified in the definitive</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0"/>
              </w:rPr>
              <w:t>documentation relating to such indebtedness, as such may be extended in accordance with its terms, such indebtedness</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89"/>
              </w:rPr>
              <w:t>is so redeemed promptly after such termination or such specified date, as the case may be), to be otherwise calculated in</w:t>
            </w:r>
          </w:p>
        </w:tc>
      </w:tr>
      <w:tr>
        <w:trPr>
          <w:trHeight w:val="230"/>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rPr>
              <w:t>a manner substantially similar to the Existing Credit Agreement as in effect on the date hereof.</w:t>
            </w:r>
          </w:p>
        </w:tc>
      </w:tr>
      <w:tr>
        <w:trPr>
          <w:trHeight w:val="323"/>
        </w:trPr>
        <w:tc>
          <w:tcPr>
            <w:tcW w:w="1880" w:type="dxa"/>
            <w:vAlign w:val="bottom"/>
          </w:tcPr>
          <w:p>
            <w:pPr>
              <w:spacing w:after="0"/>
              <w:rPr>
                <w:sz w:val="24"/>
                <w:szCs w:val="24"/>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4"/>
              </w:rPr>
              <w:t>Subject to the Revolving Documentation Principles, commencing with the first fiscal quarter ended after the Closing</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Date (or, with respect to any pro forma calculation required to be made on or after the Closing Date, commencing with</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5"/>
              </w:rPr>
              <w:t>the Closing Date), a maximum leverage ratio of 4.75 to 1.00 with step-downs to (i) from and after the fiscal quarter</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ending March 31, 2022, 4.50 to 1.00, (ii) from and after the fiscal quarter ending September 30, 2022, 4.25 to 1.00, (iii)</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6"/>
              </w:rPr>
              <w:t>from and after the fiscal quarter ending March 31, 2023, 4.00 to 1.00, (iv) from and after the fiscal quarter ending</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0"/>
              </w:rPr>
              <w:t>September 30, 2023, 3.50 to 1.00 and (v) from and after the fiscal quarter ending March 31, 2024 and thereafter, 3.25 to</w:t>
            </w:r>
          </w:p>
        </w:tc>
      </w:tr>
      <w:tr>
        <w:trPr>
          <w:trHeight w:val="216"/>
        </w:trPr>
        <w:tc>
          <w:tcPr>
            <w:tcW w:w="1880" w:type="dxa"/>
            <w:vAlign w:val="bottom"/>
          </w:tcPr>
          <w:p>
            <w:pPr>
              <w:spacing w:after="0"/>
              <w:rPr>
                <w:sz w:val="18"/>
                <w:szCs w:val="18"/>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w w:val="92"/>
              </w:rPr>
              <w:t>1.00, to be calculated in a manner substantially similar to the Existing Credit Agreement as in effect on the date hereof</w:t>
            </w:r>
          </w:p>
        </w:tc>
      </w:tr>
      <w:tr>
        <w:trPr>
          <w:trHeight w:val="230"/>
        </w:trPr>
        <w:tc>
          <w:tcPr>
            <w:tcW w:w="1880" w:type="dxa"/>
            <w:vAlign w:val="bottom"/>
          </w:tcPr>
          <w:p>
            <w:pPr>
              <w:spacing w:after="0"/>
              <w:rPr>
                <w:sz w:val="20"/>
                <w:szCs w:val="20"/>
                <w:color w:val="auto"/>
              </w:rPr>
            </w:pPr>
          </w:p>
        </w:tc>
        <w:tc>
          <w:tcPr>
            <w:tcW w:w="8880" w:type="dxa"/>
            <w:vAlign w:val="bottom"/>
            <w:gridSpan w:val="3"/>
          </w:tcPr>
          <w:p>
            <w:pPr>
              <w:ind w:left="200"/>
              <w:spacing w:after="0"/>
              <w:rPr>
                <w:sz w:val="20"/>
                <w:szCs w:val="20"/>
                <w:color w:val="auto"/>
              </w:rPr>
            </w:pPr>
            <w:r>
              <w:rPr>
                <w:rFonts w:ascii="Arial" w:cs="Arial" w:eastAsia="Arial" w:hAnsi="Arial"/>
                <w:sz w:val="18"/>
                <w:szCs w:val="18"/>
                <w:color w:val="auto"/>
              </w:rPr>
              <w:t>(the “</w:t>
            </w:r>
            <w:r>
              <w:rPr>
                <w:rFonts w:ascii="Arial" w:cs="Arial" w:eastAsia="Arial" w:hAnsi="Arial"/>
                <w:sz w:val="18"/>
                <w:szCs w:val="18"/>
                <w:b w:val="1"/>
                <w:bCs w:val="1"/>
                <w:i w:val="1"/>
                <w:iCs w:val="1"/>
                <w:color w:val="auto"/>
              </w:rPr>
              <w:t>Financial Covenant</w:t>
            </w:r>
            <w:r>
              <w:rPr>
                <w:rFonts w:ascii="Arial" w:cs="Arial" w:eastAsia="Arial" w:hAnsi="Arial"/>
                <w:sz w:val="18"/>
                <w:szCs w:val="18"/>
                <w:color w:val="auto"/>
              </w:rPr>
              <w:t>”).</w:t>
            </w:r>
          </w:p>
        </w:tc>
      </w:tr>
      <w:tr>
        <w:trPr>
          <w:trHeight w:val="378"/>
        </w:trPr>
        <w:tc>
          <w:tcPr>
            <w:tcW w:w="1880" w:type="dxa"/>
            <w:vAlign w:val="bottom"/>
          </w:tcPr>
          <w:p>
            <w:pPr>
              <w:spacing w:after="0"/>
              <w:rPr>
                <w:sz w:val="24"/>
                <w:szCs w:val="24"/>
                <w:color w:val="auto"/>
              </w:rPr>
            </w:pPr>
          </w:p>
        </w:tc>
        <w:tc>
          <w:tcPr>
            <w:tcW w:w="8880" w:type="dxa"/>
            <w:vAlign w:val="bottom"/>
            <w:gridSpan w:val="3"/>
          </w:tcPr>
          <w:p>
            <w:pPr>
              <w:ind w:left="2960"/>
              <w:spacing w:after="0"/>
              <w:rPr>
                <w:sz w:val="20"/>
                <w:szCs w:val="20"/>
                <w:color w:val="auto"/>
              </w:rPr>
            </w:pPr>
            <w:r>
              <w:rPr>
                <w:rFonts w:ascii="Arial" w:cs="Arial" w:eastAsia="Arial" w:hAnsi="Arial"/>
                <w:sz w:val="18"/>
                <w:szCs w:val="18"/>
                <w:color w:val="auto"/>
              </w:rPr>
              <w:t>Exhibit C-4</w:t>
            </w:r>
          </w:p>
        </w:tc>
      </w:tr>
    </w:tbl>
    <w:p>
      <w:pPr>
        <w:sectPr>
          <w:pgSz w:w="11900" w:h="16838" w:orient="portrait"/>
          <w:cols w:equalWidth="0" w:num="1">
            <w:col w:w="10760"/>
          </w:cols>
          <w:pgMar w:left="680" w:top="382" w:right="459" w:bottom="1440" w:gutter="0" w:footer="0" w:header="0"/>
        </w:sectPr>
      </w:pPr>
    </w:p>
    <w:bookmarkStart w:id="194" w:name="page195"/>
    <w:bookmarkEnd w:id="194"/>
    <w:p>
      <w:pPr>
        <w:spacing w:after="0"/>
        <w:rPr>
          <w:sz w:val="20"/>
          <w:szCs w:val="20"/>
          <w:color w:val="auto"/>
        </w:rPr>
      </w:pPr>
      <w:r>
        <w:rPr>
          <w:rFonts w:ascii="Arial" w:cs="Arial" w:eastAsia="Arial" w:hAnsi="Arial"/>
          <w:sz w:val="16"/>
          <w:szCs w:val="16"/>
          <w:color w:val="auto"/>
        </w:rPr>
        <w:t>Negative Covenants:</w:t>
      </w:r>
    </w:p>
    <w:p>
      <w:pPr>
        <w:spacing w:after="0" w:line="20" w:lineRule="exact"/>
        <w:rPr>
          <w:sz w:val="20"/>
          <w:szCs w:val="20"/>
          <w:color w:val="auto"/>
        </w:rPr>
      </w:pPr>
      <w:r>
        <w:rPr>
          <w:sz w:val="20"/>
          <w:szCs w:val="20"/>
          <w:color w:val="auto"/>
        </w:rPr>
        <w:br w:type="column"/>
      </w:r>
    </w:p>
    <w:p>
      <w:pPr>
        <w:spacing w:after="0" w:line="254" w:lineRule="auto"/>
        <w:rPr>
          <w:sz w:val="20"/>
          <w:szCs w:val="20"/>
          <w:color w:val="auto"/>
        </w:rPr>
      </w:pPr>
      <w:r>
        <w:rPr>
          <w:rFonts w:ascii="Arial" w:cs="Arial" w:eastAsia="Arial" w:hAnsi="Arial"/>
          <w:sz w:val="18"/>
          <w:szCs w:val="18"/>
          <w:color w:val="auto"/>
        </w:rPr>
        <w:t>Subject to the Revolving Documentation Principles, substantially similar to the Existing Credit Agreement (as in effect on the date hereof) (including with respect to exceptions, baskets and materiality qualifiers) with such modifications as may be agreed among the parties, including the following: restrictions on (i) subsidiary indebtedness (it being understood that the existing pari passu indebtedness of Maui and Target shall be expressly permitted without being counted as utilization of the general basket set forth therein), (ii) liens, (iii) sale and leaseback transactions, (iv) mergers and other fundamental changes (which shall expressly permit the Acquisition and the Transactions) and (v) business of borrower and subsidiaries.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-1480185</wp:posOffset>
            </wp:positionH>
            <wp:positionV relativeFrom="paragraph">
              <wp:posOffset>-1127125</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87" w:lineRule="exact"/>
        <w:rPr>
          <w:sz w:val="20"/>
          <w:szCs w:val="20"/>
          <w:color w:val="auto"/>
        </w:rPr>
      </w:pPr>
    </w:p>
    <w:p>
      <w:pPr>
        <w:sectPr>
          <w:pgSz w:w="11900" w:h="16838" w:orient="portrait"/>
          <w:cols w:equalWidth="0" w:num="2">
            <w:col w:w="1520" w:space="360"/>
            <w:col w:w="8780"/>
          </w:cols>
          <w:pgMar w:left="780" w:top="382" w:right="459" w:bottom="1440" w:gutter="0" w:footer="0" w:header="0"/>
        </w:sectPr>
      </w:pPr>
    </w:p>
    <w:p>
      <w:pPr>
        <w:spacing w:after="0"/>
        <w:rPr>
          <w:sz w:val="20"/>
          <w:szCs w:val="20"/>
          <w:color w:val="auto"/>
        </w:rPr>
      </w:pPr>
      <w:r>
        <w:rPr>
          <w:rFonts w:ascii="Arial" w:cs="Arial" w:eastAsia="Arial" w:hAnsi="Arial"/>
          <w:sz w:val="16"/>
          <w:szCs w:val="16"/>
          <w:color w:val="auto"/>
        </w:rPr>
        <w:t>Events of Default:</w:t>
      </w:r>
    </w:p>
    <w:p>
      <w:pPr>
        <w:spacing w:after="0" w:line="20" w:lineRule="exact"/>
        <w:rPr>
          <w:sz w:val="20"/>
          <w:szCs w:val="20"/>
          <w:color w:val="auto"/>
        </w:rPr>
      </w:pPr>
      <w:r>
        <w:rPr>
          <w:sz w:val="20"/>
          <w:szCs w:val="20"/>
          <w:color w:val="auto"/>
        </w:rPr>
        <w:br w:type="column"/>
      </w:r>
    </w:p>
    <w:p>
      <w:pPr>
        <w:spacing w:after="0" w:line="254" w:lineRule="auto"/>
        <w:rPr>
          <w:sz w:val="20"/>
          <w:szCs w:val="20"/>
          <w:color w:val="auto"/>
        </w:rPr>
      </w:pPr>
      <w:r>
        <w:rPr>
          <w:rFonts w:ascii="Arial" w:cs="Arial" w:eastAsia="Arial" w:hAnsi="Arial"/>
          <w:sz w:val="18"/>
          <w:szCs w:val="18"/>
          <w:color w:val="auto"/>
        </w:rPr>
        <w:t>Subject to the Revolving Documentation Principles, substantially similar to the Existing Credit Agreement (as in effect on the date hereof) (including with respect to exceptions, baskets and materiality qualifiers) with such modifications as may be agreed among the parties including (i) nonpayment of principal, interest, fees or other amounts when due, (ii) accuracy of representations in any material respects, (iii) failure to perform or observe covenants set forth in the Revolving Credit Documentation, (iv) cross defaults to other material indebtedness, (v) bankruptcy and insolvency defaults, (vi) material monetary judgments, (vii) ERISA events, (viii) change of control and (ix) invalidity of any guarantee required by the Revolving Credit Documentation.</w:t>
      </w:r>
    </w:p>
    <w:p>
      <w:pPr>
        <w:spacing w:after="0" w:line="87" w:lineRule="exact"/>
        <w:rPr>
          <w:sz w:val="20"/>
          <w:szCs w:val="20"/>
          <w:color w:val="auto"/>
        </w:rPr>
      </w:pPr>
    </w:p>
    <w:p>
      <w:pPr>
        <w:sectPr>
          <w:pgSz w:w="11900" w:h="16838" w:orient="portrait"/>
          <w:cols w:equalWidth="0" w:num="2">
            <w:col w:w="1320" w:space="560"/>
            <w:col w:w="8780"/>
          </w:cols>
          <w:pgMar w:left="780" w:top="382" w:right="459" w:bottom="1440" w:gutter="0" w:footer="0" w:header="0"/>
          <w:type w:val="continuous"/>
        </w:sectPr>
      </w:pPr>
    </w:p>
    <w:p>
      <w:pPr>
        <w:spacing w:after="0"/>
        <w:rPr>
          <w:sz w:val="20"/>
          <w:szCs w:val="20"/>
          <w:color w:val="auto"/>
        </w:rPr>
      </w:pPr>
      <w:r>
        <w:rPr>
          <w:rFonts w:ascii="Arial" w:cs="Arial" w:eastAsia="Arial" w:hAnsi="Arial"/>
          <w:sz w:val="17"/>
          <w:szCs w:val="17"/>
          <w:color w:val="auto"/>
        </w:rPr>
        <w:t>Voting:</w:t>
      </w:r>
    </w:p>
    <w:p>
      <w:pPr>
        <w:spacing w:after="0" w:line="20" w:lineRule="exact"/>
        <w:rPr>
          <w:sz w:val="20"/>
          <w:szCs w:val="20"/>
          <w:color w:val="auto"/>
        </w:rPr>
      </w:pPr>
      <w:r>
        <w:rPr>
          <w:sz w:val="20"/>
          <w:szCs w:val="20"/>
          <w:color w:val="auto"/>
        </w:rPr>
        <w:br w:type="column"/>
      </w:r>
    </w:p>
    <w:p>
      <w:pPr>
        <w:ind w:right="100"/>
        <w:spacing w:after="0" w:line="271" w:lineRule="auto"/>
        <w:rPr>
          <w:sz w:val="20"/>
          <w:szCs w:val="20"/>
          <w:color w:val="auto"/>
        </w:rPr>
      </w:pPr>
      <w:r>
        <w:rPr>
          <w:rFonts w:ascii="Arial" w:cs="Arial" w:eastAsia="Arial" w:hAnsi="Arial"/>
          <w:sz w:val="17"/>
          <w:szCs w:val="17"/>
          <w:color w:val="auto"/>
        </w:rPr>
        <w:t>Amendments and waivers with respect to the Revolving Credit Documentation shall require the approval of Revolving Lenders holding not less than 50% of the aggregate amount of the Revolving Loans, except that (a) the consent of each Revolving Lender affected thereby shall be required with respect to (i) extensions of the scheduled date of final maturity of any Revolving Loan, (ii) reductions in the principal amount, rate of interest or any fee or extensions of any due date thereof, (iii) increases in the amount or extensions of the expiry date of any Revolving Lender’s commitment, (iv) changes to the pro rata sharing provisions and (v) releases of guarantee of Maui or Target (except as contemplated by the Revolving Credit Documentation), and (b) the consent of 100% of the Revolving Lenders shall be required with respect to modifications to any of the voting percentages.</w:t>
      </w:r>
    </w:p>
    <w:p>
      <w:pPr>
        <w:spacing w:after="0" w:line="111" w:lineRule="exact"/>
        <w:rPr>
          <w:sz w:val="20"/>
          <w:szCs w:val="20"/>
          <w:color w:val="auto"/>
        </w:rPr>
      </w:pPr>
    </w:p>
    <w:p>
      <w:pPr>
        <w:sectPr>
          <w:pgSz w:w="11900" w:h="16838" w:orient="portrait"/>
          <w:cols w:equalWidth="0" w:num="2">
            <w:col w:w="1160" w:space="720"/>
            <w:col w:w="8780"/>
          </w:cols>
          <w:pgMar w:left="780" w:top="382" w:right="459" w:bottom="1440" w:gutter="0" w:footer="0" w:header="0"/>
          <w:type w:val="continuous"/>
        </w:sectPr>
      </w:pPr>
    </w:p>
    <w:p>
      <w:pPr>
        <w:jc w:val="center"/>
        <w:ind w:right="340"/>
        <w:spacing w:after="0"/>
        <w:rPr>
          <w:sz w:val="20"/>
          <w:szCs w:val="20"/>
          <w:color w:val="auto"/>
        </w:rPr>
      </w:pPr>
      <w:r>
        <w:rPr>
          <w:rFonts w:ascii="Arial" w:cs="Arial" w:eastAsia="Arial" w:hAnsi="Arial"/>
          <w:sz w:val="17"/>
          <w:szCs w:val="17"/>
          <w:color w:val="auto"/>
        </w:rPr>
        <w:t>Exhibit C-5</w:t>
      </w:r>
    </w:p>
    <w:p>
      <w:pPr>
        <w:sectPr>
          <w:pgSz w:w="11900" w:h="16838" w:orient="portrait"/>
          <w:cols w:equalWidth="0" w:num="1">
            <w:col w:w="10660"/>
          </w:cols>
          <w:pgMar w:left="780" w:top="382" w:right="459" w:bottom="1440" w:gutter="0" w:footer="0" w:header="0"/>
          <w:type w:val="continuous"/>
        </w:sectPr>
      </w:pPr>
    </w:p>
    <w:bookmarkStart w:id="195" w:name="page196"/>
    <w:bookmarkEnd w:id="195"/>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Assignments and</w:t>
            </w: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0"/>
              </w:rPr>
              <w:t>The Revolving Lenders shall be permitted to assign all or a portion of their loans and commitments with the consent, not</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Participations:</w:t>
            </w: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1"/>
              </w:rPr>
              <w:t>to be unreasonably withheld, conditioned or delayed, of (a) the Borrower, unless (i) the assignee is a Revolving Lender,</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4"/>
              </w:rPr>
              <w:t>an affiliate of a Revolving Lender or an approved fund or (ii) a payment or bankruptcy Event of Default has occurred</w:t>
            </w:r>
          </w:p>
        </w:tc>
      </w:tr>
      <w:tr>
        <w:trPr>
          <w:trHeight w:val="190"/>
        </w:trPr>
        <w:tc>
          <w:tcPr>
            <w:tcW w:w="1660" w:type="dxa"/>
            <w:vAlign w:val="bottom"/>
          </w:tcPr>
          <w:p>
            <w:pPr>
              <w:spacing w:after="0"/>
              <w:rPr>
                <w:sz w:val="16"/>
                <w:szCs w:val="16"/>
                <w:color w:val="auto"/>
              </w:rPr>
            </w:pPr>
          </w:p>
        </w:tc>
        <w:tc>
          <w:tcPr>
            <w:tcW w:w="9100" w:type="dxa"/>
            <w:vAlign w:val="bottom"/>
            <w:gridSpan w:val="3"/>
          </w:tcPr>
          <w:p>
            <w:pPr>
              <w:ind w:left="420"/>
              <w:spacing w:after="0" w:line="190" w:lineRule="exact"/>
              <w:rPr>
                <w:sz w:val="20"/>
                <w:szCs w:val="20"/>
                <w:color w:val="auto"/>
              </w:rPr>
            </w:pPr>
            <w:r>
              <w:rPr>
                <w:rFonts w:ascii="Arial" w:cs="Arial" w:eastAsia="Arial" w:hAnsi="Arial"/>
                <w:sz w:val="18"/>
                <w:szCs w:val="18"/>
                <w:color w:val="auto"/>
                <w:w w:val="91"/>
              </w:rPr>
              <w:t>and is continuing, provided that, the Borrower shall be deemed to have consented to an assignment of Revolving Loans</w:t>
            </w:r>
          </w:p>
        </w:tc>
      </w:tr>
      <w:tr>
        <w:trPr>
          <w:trHeight w:val="20"/>
        </w:trPr>
        <w:tc>
          <w:tcPr>
            <w:tcW w:w="166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720" w:type="dxa"/>
            <w:vAlign w:val="bottom"/>
          </w:tcPr>
          <w:p>
            <w:pPr>
              <w:spacing w:after="0" w:line="20" w:lineRule="exact"/>
              <w:rPr>
                <w:sz w:val="1"/>
                <w:szCs w:val="1"/>
                <w:color w:val="auto"/>
              </w:rPr>
            </w:pPr>
          </w:p>
        </w:tc>
      </w:tr>
      <w:tr>
        <w:trPr>
          <w:trHeight w:val="222"/>
        </w:trPr>
        <w:tc>
          <w:tcPr>
            <w:tcW w:w="1660" w:type="dxa"/>
            <w:vAlign w:val="bottom"/>
          </w:tcPr>
          <w:p>
            <w:pPr>
              <w:spacing w:after="0"/>
              <w:rPr>
                <w:sz w:val="19"/>
                <w:szCs w:val="19"/>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4"/>
              </w:rPr>
              <w:t>unless it shall have objected thereto by written notice to the Revolving Administrative Agent within ten (10) business</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1"/>
              </w:rPr>
              <w:t>days after having received notice thereof and (b) the Revolving Administrative Agent, unless Revolving Loans are being</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rPr>
              <w:t>assigned to a Revolving Lender, an affiliate of a Revolving Lender or an approved fund. In the case of partial</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2"/>
              </w:rPr>
              <w:t>assignments (other than to another Revolving Lender, to an affiliate of a Revolving or an approved fund), the minimum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1"/>
              </w:rPr>
              <w:t>assignment amount shall be $1,000,000, in the case of Revolving Loans, unless a lesser amount shall be agreed by the</w:t>
            </w:r>
          </w:p>
        </w:tc>
      </w:tr>
      <w:tr>
        <w:trPr>
          <w:trHeight w:val="230"/>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rPr>
              <w:t>Borrower and the Revolving Administrative Agent.</w:t>
            </w:r>
          </w:p>
        </w:tc>
      </w:tr>
      <w:tr>
        <w:trPr>
          <w:trHeight w:val="310"/>
        </w:trPr>
        <w:tc>
          <w:tcPr>
            <w:tcW w:w="1660" w:type="dxa"/>
            <w:vAlign w:val="bottom"/>
          </w:tcPr>
          <w:p>
            <w:pPr>
              <w:spacing w:after="0"/>
              <w:rPr>
                <w:sz w:val="24"/>
                <w:szCs w:val="24"/>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4"/>
              </w:rPr>
              <w:t>The Revolving Lenders shall also be permitted to sell participations in their Loans. Participants shall have the same</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7"/>
              </w:rPr>
              <w:t>benefits as the Revolving Lenders with respect to yield protection and increased cost provisions. Voting rights of</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4"/>
              </w:rPr>
              <w:t>participants shall be limited to those matters with respect to which the affirmative vote of the Revolving Lender from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9"/>
              </w:rPr>
              <w:t>which it purchased its participation would be required as described under “Voting” above. Pledges of Loans in</w:t>
            </w:r>
          </w:p>
        </w:tc>
      </w:tr>
      <w:tr>
        <w:trPr>
          <w:trHeight w:val="230"/>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rPr>
              <w:t>accordance with applicable law shall be permitted without restriction.</w:t>
            </w:r>
          </w:p>
        </w:tc>
      </w:tr>
      <w:tr>
        <w:trPr>
          <w:trHeight w:val="324"/>
        </w:trPr>
        <w:tc>
          <w:tcPr>
            <w:tcW w:w="1660" w:type="dxa"/>
            <w:vAlign w:val="bottom"/>
          </w:tcPr>
          <w:p>
            <w:pPr>
              <w:spacing w:after="0"/>
              <w:rPr>
                <w:sz w:val="24"/>
                <w:szCs w:val="24"/>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rPr>
              <w:t>No assignments or participations shall be permitted to be made to natural persons.</w:t>
            </w:r>
          </w:p>
        </w:tc>
      </w:tr>
      <w:tr>
        <w:trPr>
          <w:trHeight w:val="310"/>
        </w:trPr>
        <w:tc>
          <w:tcPr>
            <w:tcW w:w="1660" w:type="dxa"/>
            <w:vAlign w:val="bottom"/>
          </w:tcPr>
          <w:p>
            <w:pPr>
              <w:spacing w:after="0"/>
              <w:rPr>
                <w:sz w:val="20"/>
                <w:szCs w:val="20"/>
                <w:color w:val="auto"/>
              </w:rPr>
            </w:pPr>
            <w:r>
              <w:rPr>
                <w:rFonts w:ascii="Arial" w:cs="Arial" w:eastAsia="Arial" w:hAnsi="Arial"/>
                <w:sz w:val="18"/>
                <w:szCs w:val="18"/>
                <w:color w:val="auto"/>
              </w:rPr>
              <w:t>Yield Protection:</w:t>
            </w: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2"/>
              </w:rPr>
              <w:t>The Revolving Credit Documentation shall contain customary provisions (a) protecting the Revolving Lenders against</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2"/>
              </w:rPr>
              <w:t>increased costs or loss of yield resulting from changes in reserve, tax, capital adequacy and other requirements of law</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5"/>
              </w:rPr>
              <w:t>and from the imposition of or changes in withholding or other taxes and (b) indemnifying the Revolving Lenders for</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2"/>
              </w:rPr>
              <w:t>“breakage costs” incurred in connection with, among other things, any prepayment of a Eurodollar Loan (as defined in</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1"/>
              </w:rPr>
              <w:t>Annex I) on a day other than the last day of an interest period with respect thereto. The Dodd-Frank Wall Street Reform</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6"/>
              </w:rPr>
              <w:t>and Consumer Protection Act and Basel III (and all requests, rules, guidelines or directives relating to each of the</w:t>
            </w:r>
          </w:p>
        </w:tc>
      </w:tr>
      <w:tr>
        <w:trPr>
          <w:trHeight w:val="216"/>
        </w:trPr>
        <w:tc>
          <w:tcPr>
            <w:tcW w:w="1660" w:type="dxa"/>
            <w:vAlign w:val="bottom"/>
          </w:tcPr>
          <w:p>
            <w:pPr>
              <w:spacing w:after="0"/>
              <w:rPr>
                <w:sz w:val="18"/>
                <w:szCs w:val="18"/>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w w:val="91"/>
              </w:rPr>
              <w:t>foregoing or issued in connection therewith) shall be deemed to be changes in law after the Closing Date regardless of</w:t>
            </w:r>
          </w:p>
        </w:tc>
      </w:tr>
      <w:tr>
        <w:trPr>
          <w:trHeight w:val="230"/>
        </w:trPr>
        <w:tc>
          <w:tcPr>
            <w:tcW w:w="1660" w:type="dxa"/>
            <w:vAlign w:val="bottom"/>
          </w:tcPr>
          <w:p>
            <w:pPr>
              <w:spacing w:after="0"/>
              <w:rPr>
                <w:sz w:val="20"/>
                <w:szCs w:val="20"/>
                <w:color w:val="auto"/>
              </w:rPr>
            </w:pPr>
          </w:p>
        </w:tc>
        <w:tc>
          <w:tcPr>
            <w:tcW w:w="9100" w:type="dxa"/>
            <w:vAlign w:val="bottom"/>
            <w:gridSpan w:val="3"/>
          </w:tcPr>
          <w:p>
            <w:pPr>
              <w:ind w:left="420"/>
              <w:spacing w:after="0"/>
              <w:rPr>
                <w:sz w:val="20"/>
                <w:szCs w:val="20"/>
                <w:color w:val="auto"/>
              </w:rPr>
            </w:pPr>
            <w:r>
              <w:rPr>
                <w:rFonts w:ascii="Arial" w:cs="Arial" w:eastAsia="Arial" w:hAnsi="Arial"/>
                <w:sz w:val="18"/>
                <w:szCs w:val="18"/>
                <w:color w:val="auto"/>
              </w:rPr>
              <w:t>the date enacted, adopted or issued.</w:t>
            </w:r>
          </w:p>
        </w:tc>
      </w:tr>
      <w:tr>
        <w:trPr>
          <w:trHeight w:val="365"/>
        </w:trPr>
        <w:tc>
          <w:tcPr>
            <w:tcW w:w="16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720" w:type="dxa"/>
            <w:vAlign w:val="bottom"/>
          </w:tcPr>
          <w:p>
            <w:pPr>
              <w:ind w:left="800"/>
              <w:spacing w:after="0"/>
              <w:rPr>
                <w:sz w:val="20"/>
                <w:szCs w:val="20"/>
                <w:color w:val="auto"/>
              </w:rPr>
            </w:pPr>
            <w:r>
              <w:rPr>
                <w:rFonts w:ascii="Arial" w:cs="Arial" w:eastAsia="Arial" w:hAnsi="Arial"/>
                <w:sz w:val="18"/>
                <w:szCs w:val="18"/>
                <w:color w:val="auto"/>
              </w:rPr>
              <w:t>Exhibit C-6</w:t>
            </w:r>
          </w:p>
        </w:tc>
      </w:tr>
    </w:tbl>
    <w:p>
      <w:pPr>
        <w:ind w:left="800"/>
        <w:spacing w:after="0"/>
        <w:rPr>
          <w:sz w:val="20"/>
          <w:szCs w:val="20"/>
          <w:color w:val="auto"/>
        </w:rPr>
        <w:sectPr>
          <w:pgSz w:w="11900" w:h="16838" w:orient="portrait"/>
          <w:cols w:equalWidth="0" w:num="1">
            <w:col w:w="10760"/>
          </w:cols>
          <w:pgMar w:left="680" w:top="382" w:right="4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6" w:name="page197"/>
    <w:bookmarkEnd w:id="196"/>
    <w:p>
      <w:pPr>
        <w:spacing w:after="0" w:line="342" w:lineRule="auto"/>
        <w:rPr>
          <w:sz w:val="20"/>
          <w:szCs w:val="20"/>
          <w:color w:val="auto"/>
        </w:rPr>
      </w:pPr>
      <w:r>
        <w:rPr>
          <w:rFonts w:ascii="Arial" w:cs="Arial" w:eastAsia="Arial" w:hAnsi="Arial"/>
          <w:sz w:val="16"/>
          <w:szCs w:val="16"/>
          <w:color w:val="auto"/>
        </w:rPr>
        <w:t>Limitation of Liability, Expenses and Indemnity:</w:t>
      </w:r>
    </w:p>
    <w:p>
      <w:pPr>
        <w:spacing w:after="0" w:line="20" w:lineRule="exact"/>
        <w:rPr>
          <w:sz w:val="20"/>
          <w:szCs w:val="20"/>
          <w:color w:val="auto"/>
        </w:rPr>
      </w:pPr>
      <w:r>
        <w:rPr>
          <w:sz w:val="20"/>
          <w:szCs w:val="20"/>
          <w:color w:val="auto"/>
        </w:rPr>
        <w:br w:type="column"/>
      </w:r>
    </w:p>
    <w:p>
      <w:pPr>
        <w:ind w:right="20"/>
        <w:spacing w:after="0" w:line="272" w:lineRule="auto"/>
        <w:rPr>
          <w:sz w:val="20"/>
          <w:szCs w:val="20"/>
          <w:color w:val="auto"/>
        </w:rPr>
      </w:pPr>
      <w:r>
        <w:rPr>
          <w:rFonts w:ascii="Arial" w:cs="Arial" w:eastAsia="Arial" w:hAnsi="Arial"/>
          <w:sz w:val="17"/>
          <w:szCs w:val="17"/>
          <w:color w:val="auto"/>
        </w:rPr>
        <w:t>Subject to the limitations consistent with those set forth in Section 7(a) of the Commitment Letter to which this Exhibit A is attached, as applicable, the Revolving Administrative Agent, the Revolving Lead Arranger and the Revolving Lenders (and their affiliates and their respective officers, directors, employees, advisors and agents) shall not have any Liabilities, on any theory of liability, for any special, indirect, consequential or punitive damages incurred by the Borrower or any of its subsidiaries arising out of, in connection with, or as a result of, the Revolving Facility or the Revolving Credit Documentation. As used herein, the term “</w:t>
      </w:r>
      <w:r>
        <w:rPr>
          <w:rFonts w:ascii="Arial" w:cs="Arial" w:eastAsia="Arial" w:hAnsi="Arial"/>
          <w:sz w:val="17"/>
          <w:szCs w:val="17"/>
          <w:b w:val="1"/>
          <w:bCs w:val="1"/>
          <w:i w:val="1"/>
          <w:iCs w:val="1"/>
          <w:color w:val="auto"/>
        </w:rPr>
        <w:t>Liabilities</w:t>
      </w:r>
      <w:r>
        <w:rPr>
          <w:rFonts w:ascii="Arial" w:cs="Arial" w:eastAsia="Arial" w:hAnsi="Arial"/>
          <w:sz w:val="17"/>
          <w:szCs w:val="17"/>
          <w:color w:val="auto"/>
        </w:rPr>
        <w:t>” shall mean any losses, claims (including intraparty claims), demands, damages or liabilities of any kind.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-1543685</wp:posOffset>
            </wp:positionH>
            <wp:positionV relativeFrom="paragraph">
              <wp:posOffset>-1137920</wp:posOffset>
            </wp:positionV>
            <wp:extent cx="7149465" cy="260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69" w:lineRule="exact"/>
        <w:rPr>
          <w:sz w:val="20"/>
          <w:szCs w:val="20"/>
          <w:color w:val="auto"/>
        </w:rPr>
      </w:pPr>
    </w:p>
    <w:p>
      <w:pPr>
        <w:sectPr>
          <w:pgSz w:w="11900" w:h="16838" w:orient="portrait"/>
          <w:cols w:equalWidth="0" w:num="2">
            <w:col w:w="1820" w:space="260"/>
            <w:col w:w="8600"/>
          </w:cols>
          <w:pgMar w:left="680" w:top="382" w:right="539" w:bottom="1440" w:gutter="0" w:footer="0" w:header="0"/>
        </w:sectPr>
      </w:pPr>
    </w:p>
    <w:p>
      <w:pPr>
        <w:ind w:left="2080" w:right="20"/>
        <w:spacing w:after="0" w:line="254" w:lineRule="auto"/>
        <w:rPr>
          <w:sz w:val="20"/>
          <w:szCs w:val="20"/>
          <w:color w:val="auto"/>
        </w:rPr>
      </w:pPr>
      <w:r>
        <w:rPr>
          <w:rFonts w:ascii="Arial" w:cs="Arial" w:eastAsia="Arial" w:hAnsi="Arial"/>
          <w:sz w:val="18"/>
          <w:szCs w:val="18"/>
          <w:color w:val="auto"/>
        </w:rPr>
        <w:t>Subject to the limitations consistent with those set forth in Section 7(b) of the Commitment Letter to which this Exhibit A is attached, as applicable, the Borrower shall pay (a) all reasonable out-of-pocket expenses of the Revolving Administrative Agent and the Revolving Lead Arranger associated with the syndication of the Revolving Facility and the preparation, execution, delivery and administration of the Revolving Credit Documentation and any amendment, modification or waiver with respect thereto (including the reasonable fees, disbursements and other charges of counsel) and (b) all out-of-pocket expenses of the Revolving Administrative Agent and the Revolving Lenders (including the fees, disbursements and other charges of counsel) in connection with the enforcement of the Revolving Credit Documentation.</w:t>
      </w:r>
    </w:p>
    <w:p>
      <w:pPr>
        <w:sectPr>
          <w:pgSz w:w="11900" w:h="16838" w:orient="portrait"/>
          <w:cols w:equalWidth="0" w:num="1">
            <w:col w:w="10680"/>
          </w:cols>
          <w:pgMar w:left="680" w:top="382" w:right="539" w:bottom="1440" w:gutter="0" w:footer="0" w:header="0"/>
          <w:type w:val="continuous"/>
        </w:sectPr>
      </w:pPr>
    </w:p>
    <w:p>
      <w:pPr>
        <w:spacing w:after="0" w:line="84" w:lineRule="exact"/>
        <w:rPr>
          <w:sz w:val="20"/>
          <w:szCs w:val="20"/>
          <w:color w:val="auto"/>
        </w:rPr>
      </w:pPr>
    </w:p>
    <w:p>
      <w:pPr>
        <w:ind w:left="2080"/>
        <w:spacing w:after="0" w:line="285" w:lineRule="auto"/>
        <w:rPr>
          <w:sz w:val="20"/>
          <w:szCs w:val="20"/>
          <w:color w:val="auto"/>
        </w:rPr>
      </w:pPr>
      <w:r>
        <w:rPr>
          <w:rFonts w:ascii="Arial" w:cs="Arial" w:eastAsia="Arial" w:hAnsi="Arial"/>
          <w:sz w:val="16"/>
          <w:szCs w:val="16"/>
          <w:color w:val="auto"/>
        </w:rPr>
        <w:t>Subject to the limitations consistent with those set forth in Section 7(b) of the Commitment Letter to which this Exhibit A is attached, as applicable, the Revolving Administrative Agent, the Revolving Lead Arranger and the Revolving Lenders (and their respective affiliates and their respective officers, directors, employees, advisors and agents) (each an “</w:t>
      </w:r>
      <w:r>
        <w:rPr>
          <w:rFonts w:ascii="Arial" w:cs="Arial" w:eastAsia="Arial" w:hAnsi="Arial"/>
          <w:sz w:val="16"/>
          <w:szCs w:val="16"/>
          <w:b w:val="1"/>
          <w:bCs w:val="1"/>
          <w:i w:val="1"/>
          <w:iCs w:val="1"/>
          <w:color w:val="auto"/>
        </w:rPr>
        <w:t>Indemnified Person</w:t>
      </w:r>
      <w:r>
        <w:rPr>
          <w:rFonts w:ascii="Arial" w:cs="Arial" w:eastAsia="Arial" w:hAnsi="Arial"/>
          <w:sz w:val="16"/>
          <w:szCs w:val="16"/>
          <w:color w:val="auto"/>
        </w:rPr>
        <w:t>”) will be indemnified and held harmless against, any Liabilities or expenses (including the fees, disbursements and other charges of counsel) incurred by such Indemnified Person in connection with or as a result of</w:t>
      </w:r>
    </w:p>
    <w:p>
      <w:pPr>
        <w:spacing w:after="0" w:line="2" w:lineRule="exact"/>
        <w:rPr>
          <w:sz w:val="20"/>
          <w:szCs w:val="20"/>
          <w:color w:val="auto"/>
        </w:rPr>
      </w:pPr>
    </w:p>
    <w:p>
      <w:pPr>
        <w:ind w:left="2080" w:hanging="2"/>
        <w:spacing w:after="0" w:line="268" w:lineRule="auto"/>
        <w:tabs>
          <w:tab w:leader="none" w:pos="2295" w:val="left"/>
        </w:tabs>
        <w:numPr>
          <w:ilvl w:val="0"/>
          <w:numId w:val="236"/>
        </w:numPr>
        <w:rPr>
          <w:rFonts w:ascii="Arial" w:cs="Arial" w:eastAsia="Arial" w:hAnsi="Arial"/>
          <w:sz w:val="17"/>
          <w:szCs w:val="17"/>
          <w:color w:val="auto"/>
        </w:rPr>
      </w:pPr>
      <w:r>
        <w:rPr>
          <w:rFonts w:ascii="Arial" w:cs="Arial" w:eastAsia="Arial" w:hAnsi="Arial"/>
          <w:sz w:val="17"/>
          <w:szCs w:val="17"/>
          <w:color w:val="auto"/>
        </w:rPr>
        <w:t>the execution and delivery of the Revolving Credit Documentation and any agreement or instrument contemplated thereby; (ii) the funding of the Revolving Facility, or the use or the proposed use of proceeds thereof; (iii) any act or omission of the Revolving Administrative Agent in connection with the administration of the Revolving Credit Documentation; and (iv) any actual or prospective claim, litigation, investigation, arbitration or administrative, judicial or regulatory action or proceeding (each, a “</w:t>
      </w:r>
      <w:r>
        <w:rPr>
          <w:rFonts w:ascii="Arial" w:cs="Arial" w:eastAsia="Arial" w:hAnsi="Arial"/>
          <w:sz w:val="17"/>
          <w:szCs w:val="17"/>
          <w:b w:val="1"/>
          <w:bCs w:val="1"/>
          <w:i w:val="1"/>
          <w:iCs w:val="1"/>
          <w:color w:val="auto"/>
        </w:rPr>
        <w:t>Proceeding</w:t>
      </w:r>
      <w:r>
        <w:rPr>
          <w:rFonts w:ascii="Arial" w:cs="Arial" w:eastAsia="Arial" w:hAnsi="Arial"/>
          <w:sz w:val="17"/>
          <w:szCs w:val="17"/>
          <w:color w:val="auto"/>
        </w:rPr>
        <w:t>”) in any jurisdiction relating to any of the foregoing (including in relation to enforcing the terms of the limitation of liability and indemnification referred to above), regardless of whether or not any Indemnified Person is a party thereto and whether or not such Proceeding is brought by the Borrower, its affiliates or equity holders or any other party;</w:t>
      </w:r>
    </w:p>
    <w:p>
      <w:pPr>
        <w:spacing w:after="0" w:line="116" w:lineRule="exact"/>
        <w:rPr>
          <w:sz w:val="20"/>
          <w:szCs w:val="20"/>
          <w:color w:val="auto"/>
        </w:rPr>
      </w:pPr>
    </w:p>
    <w:p>
      <w:pPr>
        <w:jc w:val="center"/>
        <w:ind w:right="140"/>
        <w:spacing w:after="0"/>
        <w:rPr>
          <w:sz w:val="20"/>
          <w:szCs w:val="20"/>
          <w:color w:val="auto"/>
        </w:rPr>
      </w:pPr>
      <w:r>
        <w:rPr>
          <w:rFonts w:ascii="Arial" w:cs="Arial" w:eastAsia="Arial" w:hAnsi="Arial"/>
          <w:sz w:val="18"/>
          <w:szCs w:val="18"/>
          <w:color w:val="auto"/>
        </w:rPr>
        <w:t>Exhibit C-7</w:t>
      </w:r>
    </w:p>
    <w:p>
      <w:pPr>
        <w:sectPr>
          <w:pgSz w:w="11900" w:h="16838" w:orient="portrait"/>
          <w:cols w:equalWidth="0" w:num="1">
            <w:col w:w="10680"/>
          </w:cols>
          <w:pgMar w:left="680" w:top="382" w:right="539" w:bottom="1440" w:gutter="0" w:footer="0" w:header="0"/>
          <w:type w:val="continuous"/>
        </w:sectPr>
      </w:pPr>
    </w:p>
    <w:bookmarkStart w:id="197" w:name="page198"/>
    <w:bookmarkEnd w:id="197"/>
    <w:tbl>
      <w:tblPr>
        <w:tblLayout w:type="fixed"/>
        <w:tblInd w:w="0" w:type="dxa"/>
        <w:tblCellMar>
          <w:top w:w="0" w:type="dxa"/>
          <w:left w:w="0" w:type="dxa"/>
          <w:bottom w:w="0" w:type="dxa"/>
          <w:right w:w="0" w:type="dxa"/>
        </w:tblCellMar>
      </w:tblPr>
      <w:tr>
        <w:trPr>
          <w:trHeight w:val="207"/>
        </w:trPr>
        <w:tc>
          <w:tcPr>
            <w:tcW w:w="2080" w:type="dxa"/>
            <w:vAlign w:val="bottom"/>
          </w:tcPr>
          <w:p>
            <w:pPr>
              <w:spacing w:after="0"/>
              <w:rPr>
                <w:sz w:val="17"/>
                <w:szCs w:val="17"/>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w w:val="98"/>
              </w:rPr>
              <w:t>provided that such indemnification shall not, as to any Indemnified Person, be available to the extent that such</w:t>
            </w:r>
          </w:p>
        </w:tc>
      </w:tr>
      <w:tr>
        <w:trPr>
          <w:trHeight w:val="20"/>
        </w:trPr>
        <w:tc>
          <w:tcPr>
            <w:tcW w:w="208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r>
      <w:tr>
        <w:trPr>
          <w:trHeight w:val="222"/>
        </w:trPr>
        <w:tc>
          <w:tcPr>
            <w:tcW w:w="2080" w:type="dxa"/>
            <w:vAlign w:val="bottom"/>
          </w:tcPr>
          <w:p>
            <w:pPr>
              <w:spacing w:after="0"/>
              <w:rPr>
                <w:sz w:val="19"/>
                <w:szCs w:val="19"/>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w w:val="91"/>
              </w:rPr>
              <w:t>Liabilities or expenses are determined by a court of competent jurisdiction by final and nonappealable judgment to have</w:t>
            </w:r>
          </w:p>
        </w:tc>
      </w:tr>
      <w:tr>
        <w:trPr>
          <w:trHeight w:val="216"/>
        </w:trPr>
        <w:tc>
          <w:tcPr>
            <w:tcW w:w="2080" w:type="dxa"/>
            <w:vAlign w:val="bottom"/>
          </w:tcPr>
          <w:p>
            <w:pPr>
              <w:spacing w:after="0"/>
              <w:rPr>
                <w:sz w:val="18"/>
                <w:szCs w:val="18"/>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w w:val="93"/>
              </w:rPr>
              <w:t>resulted primarily from the gross negligence, bad faith or willful misconduct of such Indemnified Person in performing</w:t>
            </w:r>
          </w:p>
        </w:tc>
      </w:tr>
      <w:tr>
        <w:trPr>
          <w:trHeight w:val="230"/>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rPr>
              <w:t>its activities or in furnishing its commitments or services under the Revolving Credit Documentation.</w:t>
            </w:r>
          </w:p>
        </w:tc>
      </w:tr>
      <w:tr>
        <w:trPr>
          <w:trHeight w:val="324"/>
        </w:trPr>
        <w:tc>
          <w:tcPr>
            <w:tcW w:w="2080" w:type="dxa"/>
            <w:vAlign w:val="bottom"/>
          </w:tcPr>
          <w:p>
            <w:pPr>
              <w:spacing w:after="0"/>
              <w:rPr>
                <w:sz w:val="20"/>
                <w:szCs w:val="20"/>
                <w:color w:val="auto"/>
              </w:rPr>
            </w:pPr>
            <w:r>
              <w:rPr>
                <w:rFonts w:ascii="Arial" w:cs="Arial" w:eastAsia="Arial" w:hAnsi="Arial"/>
                <w:sz w:val="18"/>
                <w:szCs w:val="18"/>
                <w:color w:val="auto"/>
              </w:rPr>
              <w:t>EU/UK Bail-in:</w:t>
            </w:r>
          </w:p>
        </w:tc>
        <w:tc>
          <w:tcPr>
            <w:tcW w:w="8680" w:type="dxa"/>
            <w:vAlign w:val="bottom"/>
            <w:gridSpan w:val="2"/>
          </w:tcPr>
          <w:p>
            <w:pPr>
              <w:spacing w:after="0"/>
              <w:rPr>
                <w:sz w:val="20"/>
                <w:szCs w:val="20"/>
                <w:color w:val="auto"/>
              </w:rPr>
            </w:pPr>
            <w:r>
              <w:rPr>
                <w:rFonts w:ascii="Arial" w:cs="Arial" w:eastAsia="Arial" w:hAnsi="Arial"/>
                <w:sz w:val="18"/>
                <w:szCs w:val="18"/>
                <w:color w:val="auto"/>
                <w:w w:val="96"/>
              </w:rPr>
              <w:t>The Revolving Credit Documentation shall contain customary European Union/United Kingdom Bail-in provisions.</w:t>
            </w:r>
          </w:p>
        </w:tc>
      </w:tr>
      <w:tr>
        <w:trPr>
          <w:trHeight w:val="310"/>
        </w:trPr>
        <w:tc>
          <w:tcPr>
            <w:tcW w:w="2080" w:type="dxa"/>
            <w:vAlign w:val="bottom"/>
          </w:tcPr>
          <w:p>
            <w:pPr>
              <w:spacing w:after="0"/>
              <w:rPr>
                <w:sz w:val="20"/>
                <w:szCs w:val="20"/>
                <w:color w:val="auto"/>
              </w:rPr>
            </w:pPr>
            <w:r>
              <w:rPr>
                <w:rFonts w:ascii="Arial" w:cs="Arial" w:eastAsia="Arial" w:hAnsi="Arial"/>
                <w:sz w:val="18"/>
                <w:szCs w:val="18"/>
                <w:color w:val="auto"/>
              </w:rPr>
              <w:t>ERISA Fiduciary Status:</w:t>
            </w:r>
          </w:p>
        </w:tc>
        <w:tc>
          <w:tcPr>
            <w:tcW w:w="8680" w:type="dxa"/>
            <w:vAlign w:val="bottom"/>
            <w:gridSpan w:val="2"/>
          </w:tcPr>
          <w:p>
            <w:pPr>
              <w:spacing w:after="0"/>
              <w:rPr>
                <w:sz w:val="20"/>
                <w:szCs w:val="20"/>
                <w:color w:val="auto"/>
              </w:rPr>
            </w:pPr>
            <w:r>
              <w:rPr>
                <w:rFonts w:ascii="Arial" w:cs="Arial" w:eastAsia="Arial" w:hAnsi="Arial"/>
                <w:sz w:val="18"/>
                <w:szCs w:val="18"/>
                <w:color w:val="auto"/>
                <w:w w:val="96"/>
              </w:rPr>
              <w:t>The Revolving Credit Documentation shall contain Revolving Lender representations as to fiduciary status under</w:t>
            </w:r>
          </w:p>
        </w:tc>
      </w:tr>
      <w:tr>
        <w:trPr>
          <w:trHeight w:val="230"/>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rPr>
              <w:t>ERISA.</w:t>
            </w:r>
          </w:p>
        </w:tc>
      </w:tr>
      <w:tr>
        <w:trPr>
          <w:trHeight w:val="310"/>
        </w:trPr>
        <w:tc>
          <w:tcPr>
            <w:tcW w:w="2080" w:type="dxa"/>
            <w:vAlign w:val="bottom"/>
          </w:tcPr>
          <w:p>
            <w:pPr>
              <w:spacing w:after="0"/>
              <w:rPr>
                <w:sz w:val="20"/>
                <w:szCs w:val="20"/>
                <w:color w:val="auto"/>
              </w:rPr>
            </w:pPr>
            <w:r>
              <w:rPr>
                <w:rFonts w:ascii="Arial" w:cs="Arial" w:eastAsia="Arial" w:hAnsi="Arial"/>
                <w:sz w:val="18"/>
                <w:szCs w:val="18"/>
                <w:color w:val="auto"/>
              </w:rPr>
              <w:t>Delaware Divisions:</w:t>
            </w:r>
          </w:p>
        </w:tc>
        <w:tc>
          <w:tcPr>
            <w:tcW w:w="8680" w:type="dxa"/>
            <w:vAlign w:val="bottom"/>
            <w:gridSpan w:val="2"/>
          </w:tcPr>
          <w:p>
            <w:pPr>
              <w:spacing w:after="0"/>
              <w:rPr>
                <w:sz w:val="20"/>
                <w:szCs w:val="20"/>
                <w:color w:val="auto"/>
              </w:rPr>
            </w:pPr>
            <w:r>
              <w:rPr>
                <w:rFonts w:ascii="Arial" w:cs="Arial" w:eastAsia="Arial" w:hAnsi="Arial"/>
                <w:sz w:val="18"/>
                <w:szCs w:val="18"/>
                <w:color w:val="auto"/>
                <w:w w:val="91"/>
              </w:rPr>
              <w:t>The Revolving Credit Documentation shall contain customary provisions related to divisions and plans of division under</w:t>
            </w:r>
          </w:p>
        </w:tc>
      </w:tr>
      <w:tr>
        <w:trPr>
          <w:trHeight w:val="230"/>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rPr>
              <w:t>Delaware law.</w:t>
            </w:r>
          </w:p>
        </w:tc>
      </w:tr>
      <w:tr>
        <w:trPr>
          <w:trHeight w:val="324"/>
        </w:trPr>
        <w:tc>
          <w:tcPr>
            <w:tcW w:w="2080" w:type="dxa"/>
            <w:vAlign w:val="bottom"/>
          </w:tcPr>
          <w:p>
            <w:pPr>
              <w:spacing w:after="0"/>
              <w:rPr>
                <w:sz w:val="20"/>
                <w:szCs w:val="20"/>
                <w:color w:val="auto"/>
              </w:rPr>
            </w:pPr>
            <w:r>
              <w:rPr>
                <w:rFonts w:ascii="Arial" w:cs="Arial" w:eastAsia="Arial" w:hAnsi="Arial"/>
                <w:sz w:val="18"/>
                <w:szCs w:val="18"/>
                <w:color w:val="auto"/>
              </w:rPr>
              <w:t>Governing Law:</w:t>
            </w:r>
          </w:p>
        </w:tc>
        <w:tc>
          <w:tcPr>
            <w:tcW w:w="8680" w:type="dxa"/>
            <w:vAlign w:val="bottom"/>
            <w:gridSpan w:val="2"/>
          </w:tcPr>
          <w:p>
            <w:pPr>
              <w:spacing w:after="0"/>
              <w:rPr>
                <w:sz w:val="20"/>
                <w:szCs w:val="20"/>
                <w:color w:val="auto"/>
              </w:rPr>
            </w:pPr>
            <w:r>
              <w:rPr>
                <w:rFonts w:ascii="Arial" w:cs="Arial" w:eastAsia="Arial" w:hAnsi="Arial"/>
                <w:sz w:val="18"/>
                <w:szCs w:val="18"/>
                <w:color w:val="auto"/>
              </w:rPr>
              <w:t>State of New York.</w:t>
            </w:r>
          </w:p>
        </w:tc>
      </w:tr>
      <w:tr>
        <w:trPr>
          <w:trHeight w:val="310"/>
        </w:trPr>
        <w:tc>
          <w:tcPr>
            <w:tcW w:w="2080" w:type="dxa"/>
            <w:vAlign w:val="bottom"/>
          </w:tcPr>
          <w:p>
            <w:pPr>
              <w:spacing w:after="0"/>
              <w:rPr>
                <w:sz w:val="20"/>
                <w:szCs w:val="20"/>
                <w:color w:val="auto"/>
              </w:rPr>
            </w:pPr>
            <w:r>
              <w:rPr>
                <w:rFonts w:ascii="Arial" w:cs="Arial" w:eastAsia="Arial" w:hAnsi="Arial"/>
                <w:sz w:val="18"/>
                <w:szCs w:val="18"/>
                <w:color w:val="auto"/>
              </w:rPr>
              <w:t>Forum:</w:t>
            </w:r>
          </w:p>
        </w:tc>
        <w:tc>
          <w:tcPr>
            <w:tcW w:w="8680" w:type="dxa"/>
            <w:vAlign w:val="bottom"/>
            <w:gridSpan w:val="2"/>
          </w:tcPr>
          <w:p>
            <w:pPr>
              <w:spacing w:after="0"/>
              <w:rPr>
                <w:sz w:val="20"/>
                <w:szCs w:val="20"/>
                <w:color w:val="auto"/>
              </w:rPr>
            </w:pPr>
            <w:r>
              <w:rPr>
                <w:rFonts w:ascii="Arial" w:cs="Arial" w:eastAsia="Arial" w:hAnsi="Arial"/>
                <w:sz w:val="18"/>
                <w:szCs w:val="18"/>
                <w:color w:val="auto"/>
                <w:w w:val="93"/>
              </w:rPr>
              <w:t>United States District Court for the Southern District of New York sitting in the Borough of Manhattan (or if such court</w:t>
            </w:r>
          </w:p>
        </w:tc>
      </w:tr>
      <w:tr>
        <w:trPr>
          <w:trHeight w:val="216"/>
        </w:trPr>
        <w:tc>
          <w:tcPr>
            <w:tcW w:w="2080" w:type="dxa"/>
            <w:vAlign w:val="bottom"/>
          </w:tcPr>
          <w:p>
            <w:pPr>
              <w:spacing w:after="0"/>
              <w:rPr>
                <w:sz w:val="18"/>
                <w:szCs w:val="18"/>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w w:val="91"/>
              </w:rPr>
              <w:t>lacks subject matter jurisdiction, the Supreme Court of the State of New York sitting in the Borough of Manhattan), and</w:t>
            </w:r>
          </w:p>
        </w:tc>
      </w:tr>
      <w:tr>
        <w:trPr>
          <w:trHeight w:val="230"/>
        </w:trPr>
        <w:tc>
          <w:tcPr>
            <w:tcW w:w="2080" w:type="dxa"/>
            <w:vAlign w:val="bottom"/>
          </w:tcPr>
          <w:p>
            <w:pPr>
              <w:spacing w:after="0"/>
              <w:rPr>
                <w:sz w:val="20"/>
                <w:szCs w:val="20"/>
                <w:color w:val="auto"/>
              </w:rPr>
            </w:pPr>
          </w:p>
        </w:tc>
        <w:tc>
          <w:tcPr>
            <w:tcW w:w="8680" w:type="dxa"/>
            <w:vAlign w:val="bottom"/>
            <w:gridSpan w:val="2"/>
          </w:tcPr>
          <w:p>
            <w:pPr>
              <w:spacing w:after="0"/>
              <w:rPr>
                <w:sz w:val="20"/>
                <w:szCs w:val="20"/>
                <w:color w:val="auto"/>
              </w:rPr>
            </w:pPr>
            <w:r>
              <w:rPr>
                <w:rFonts w:ascii="Arial" w:cs="Arial" w:eastAsia="Arial" w:hAnsi="Arial"/>
                <w:sz w:val="18"/>
                <w:szCs w:val="18"/>
                <w:color w:val="auto"/>
              </w:rPr>
              <w:t>any appellate court from any thereof.</w:t>
            </w:r>
          </w:p>
        </w:tc>
      </w:tr>
      <w:tr>
        <w:trPr>
          <w:trHeight w:val="310"/>
        </w:trPr>
        <w:tc>
          <w:tcPr>
            <w:tcW w:w="2080" w:type="dxa"/>
            <w:vAlign w:val="bottom"/>
          </w:tcPr>
          <w:p>
            <w:pPr>
              <w:spacing w:after="0"/>
              <w:rPr>
                <w:sz w:val="20"/>
                <w:szCs w:val="20"/>
                <w:color w:val="auto"/>
              </w:rPr>
            </w:pPr>
            <w:r>
              <w:rPr>
                <w:rFonts w:ascii="Arial" w:cs="Arial" w:eastAsia="Arial" w:hAnsi="Arial"/>
                <w:sz w:val="18"/>
                <w:szCs w:val="18"/>
                <w:color w:val="auto"/>
              </w:rPr>
              <w:t>Counsel to the</w:t>
            </w:r>
          </w:p>
        </w:tc>
        <w:tc>
          <w:tcPr>
            <w:tcW w:w="640" w:type="dxa"/>
            <w:vAlign w:val="bottom"/>
          </w:tcPr>
          <w:p>
            <w:pPr>
              <w:spacing w:after="0"/>
              <w:rPr>
                <w:sz w:val="24"/>
                <w:szCs w:val="24"/>
                <w:color w:val="auto"/>
              </w:rPr>
            </w:pPr>
          </w:p>
        </w:tc>
        <w:tc>
          <w:tcPr>
            <w:tcW w:w="8040" w:type="dxa"/>
            <w:vAlign w:val="bottom"/>
          </w:tcPr>
          <w:p>
            <w:pPr>
              <w:spacing w:after="0"/>
              <w:rPr>
                <w:sz w:val="24"/>
                <w:szCs w:val="24"/>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Revolving</w:t>
            </w:r>
          </w:p>
        </w:tc>
        <w:tc>
          <w:tcPr>
            <w:tcW w:w="640" w:type="dxa"/>
            <w:vAlign w:val="bottom"/>
          </w:tcPr>
          <w:p>
            <w:pPr>
              <w:spacing w:after="0"/>
              <w:rPr>
                <w:sz w:val="18"/>
                <w:szCs w:val="18"/>
                <w:color w:val="auto"/>
              </w:rPr>
            </w:pPr>
          </w:p>
        </w:tc>
        <w:tc>
          <w:tcPr>
            <w:tcW w:w="8040" w:type="dxa"/>
            <w:vAlign w:val="bottom"/>
          </w:tcPr>
          <w:p>
            <w:pPr>
              <w:spacing w:after="0"/>
              <w:rPr>
                <w:sz w:val="18"/>
                <w:szCs w:val="18"/>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Administrative Agent</w:t>
            </w:r>
          </w:p>
        </w:tc>
        <w:tc>
          <w:tcPr>
            <w:tcW w:w="8680" w:type="dxa"/>
            <w:vAlign w:val="bottom"/>
            <w:gridSpan w:val="2"/>
          </w:tcPr>
          <w:p>
            <w:pPr>
              <w:spacing w:after="0"/>
              <w:rPr>
                <w:sz w:val="20"/>
                <w:szCs w:val="20"/>
                <w:color w:val="auto"/>
              </w:rPr>
            </w:pPr>
            <w:r>
              <w:rPr>
                <w:rFonts w:ascii="Arial" w:cs="Arial" w:eastAsia="Arial" w:hAnsi="Arial"/>
                <w:sz w:val="18"/>
                <w:szCs w:val="18"/>
                <w:color w:val="auto"/>
              </w:rPr>
              <w:t>Davis Polk &amp; Wardwell LLP.</w:t>
            </w: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and the Revolving Lead</w:t>
            </w:r>
          </w:p>
        </w:tc>
        <w:tc>
          <w:tcPr>
            <w:tcW w:w="640" w:type="dxa"/>
            <w:vAlign w:val="bottom"/>
          </w:tcPr>
          <w:p>
            <w:pPr>
              <w:spacing w:after="0"/>
              <w:rPr>
                <w:sz w:val="18"/>
                <w:szCs w:val="18"/>
                <w:color w:val="auto"/>
              </w:rPr>
            </w:pPr>
          </w:p>
        </w:tc>
        <w:tc>
          <w:tcPr>
            <w:tcW w:w="8040" w:type="dxa"/>
            <w:vAlign w:val="bottom"/>
          </w:tcPr>
          <w:p>
            <w:pPr>
              <w:spacing w:after="0"/>
              <w:rPr>
                <w:sz w:val="18"/>
                <w:szCs w:val="18"/>
                <w:color w:val="auto"/>
              </w:rPr>
            </w:pPr>
          </w:p>
        </w:tc>
      </w:tr>
      <w:tr>
        <w:trPr>
          <w:trHeight w:val="230"/>
        </w:trPr>
        <w:tc>
          <w:tcPr>
            <w:tcW w:w="2080" w:type="dxa"/>
            <w:vAlign w:val="bottom"/>
          </w:tcPr>
          <w:p>
            <w:pPr>
              <w:spacing w:after="0"/>
              <w:rPr>
                <w:sz w:val="20"/>
                <w:szCs w:val="20"/>
                <w:color w:val="auto"/>
              </w:rPr>
            </w:pPr>
            <w:r>
              <w:rPr>
                <w:rFonts w:ascii="Arial" w:cs="Arial" w:eastAsia="Arial" w:hAnsi="Arial"/>
                <w:sz w:val="18"/>
                <w:szCs w:val="18"/>
                <w:color w:val="auto"/>
              </w:rPr>
              <w:t>Arranger:</w:t>
            </w:r>
          </w:p>
        </w:tc>
        <w:tc>
          <w:tcPr>
            <w:tcW w:w="640" w:type="dxa"/>
            <w:vAlign w:val="bottom"/>
          </w:tcPr>
          <w:p>
            <w:pPr>
              <w:spacing w:after="0"/>
              <w:rPr>
                <w:sz w:val="20"/>
                <w:szCs w:val="20"/>
                <w:color w:val="auto"/>
              </w:rPr>
            </w:pPr>
          </w:p>
        </w:tc>
        <w:tc>
          <w:tcPr>
            <w:tcW w:w="8040" w:type="dxa"/>
            <w:vAlign w:val="bottom"/>
          </w:tcPr>
          <w:p>
            <w:pPr>
              <w:spacing w:after="0"/>
              <w:rPr>
                <w:sz w:val="20"/>
                <w:szCs w:val="20"/>
                <w:color w:val="auto"/>
              </w:rPr>
            </w:pPr>
          </w:p>
        </w:tc>
      </w:tr>
      <w:tr>
        <w:trPr>
          <w:trHeight w:val="364"/>
        </w:trPr>
        <w:tc>
          <w:tcPr>
            <w:tcW w:w="20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40" w:type="dxa"/>
            <w:vAlign w:val="bottom"/>
          </w:tcPr>
          <w:p>
            <w:pPr>
              <w:ind w:left="2120"/>
              <w:spacing w:after="0"/>
              <w:rPr>
                <w:sz w:val="20"/>
                <w:szCs w:val="20"/>
                <w:color w:val="auto"/>
              </w:rPr>
            </w:pPr>
            <w:r>
              <w:rPr>
                <w:rFonts w:ascii="Arial" w:cs="Arial" w:eastAsia="Arial" w:hAnsi="Arial"/>
                <w:sz w:val="18"/>
                <w:szCs w:val="18"/>
                <w:color w:val="auto"/>
              </w:rPr>
              <w:t>Exhibit C-8</w:t>
            </w:r>
          </w:p>
        </w:tc>
      </w:tr>
    </w:tbl>
    <w:p>
      <w:pPr>
        <w:ind w:left="2120"/>
        <w:spacing w:after="0"/>
        <w:rPr>
          <w:sz w:val="20"/>
          <w:szCs w:val="20"/>
          <w:color w:val="auto"/>
        </w:rPr>
        <w:sectPr>
          <w:pgSz w:w="11900" w:h="16838" w:orient="portrait"/>
          <w:cols w:equalWidth="0" w:num="1">
            <w:col w:w="10760"/>
          </w:cols>
          <w:pgMar w:left="680" w:top="257" w:right="459" w:bottom="1440" w:gutter="0" w:footer="0" w:header="0"/>
        </w:sect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bookmarkStart w:id="198" w:name="page199"/>
    <w:bookmarkEnd w:id="198"/>
    <w:p>
      <w:pPr>
        <w:jc w:val="right"/>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Annex I</w:t>
      </w:r>
    </w:p>
    <w:p>
      <w:pPr>
        <w:spacing w:after="0" w:line="225" w:lineRule="exact"/>
        <w:rPr>
          <w:sz w:val="20"/>
          <w:szCs w:val="20"/>
          <w:color w:val="auto"/>
        </w:rPr>
      </w:pPr>
    </w:p>
    <w:p>
      <w:pPr>
        <w:jc w:val="center"/>
        <w:ind w:right="260"/>
        <w:spacing w:after="0"/>
        <w:rPr>
          <w:sz w:val="20"/>
          <w:szCs w:val="20"/>
          <w:color w:val="auto"/>
        </w:rPr>
      </w:pPr>
      <w:r>
        <w:rPr>
          <w:rFonts w:ascii="Arial" w:cs="Arial" w:eastAsia="Arial" w:hAnsi="Arial"/>
          <w:sz w:val="18"/>
          <w:szCs w:val="18"/>
          <w:u w:val="single" w:color="auto"/>
          <w:color w:val="auto"/>
        </w:rPr>
        <w:t>Interest and Certain Fees</w:t>
      </w:r>
    </w:p>
    <w:p>
      <w:pPr>
        <w:spacing w:after="0" w:line="252" w:lineRule="exact"/>
        <w:rPr>
          <w:sz w:val="20"/>
          <w:szCs w:val="20"/>
          <w:color w:val="auto"/>
        </w:rPr>
      </w:pPr>
    </w:p>
    <w:p>
      <w:pPr>
        <w:spacing w:after="0"/>
        <w:tabs>
          <w:tab w:leader="none" w:pos="2060" w:val="left"/>
        </w:tabs>
        <w:rPr>
          <w:sz w:val="20"/>
          <w:szCs w:val="20"/>
          <w:color w:val="auto"/>
        </w:rPr>
      </w:pPr>
      <w:r>
        <w:rPr>
          <w:rFonts w:ascii="Arial" w:cs="Arial" w:eastAsia="Arial" w:hAnsi="Arial"/>
          <w:sz w:val="18"/>
          <w:szCs w:val="18"/>
          <w:color w:val="auto"/>
        </w:rPr>
        <w:t>Interest Rate Options:</w:t>
      </w:r>
      <w:r>
        <w:rPr>
          <w:sz w:val="20"/>
          <w:szCs w:val="20"/>
          <w:color w:val="auto"/>
        </w:rPr>
        <w:tab/>
      </w:r>
      <w:r>
        <w:rPr>
          <w:rFonts w:ascii="Arial" w:cs="Arial" w:eastAsia="Arial" w:hAnsi="Arial"/>
          <w:sz w:val="16"/>
          <w:szCs w:val="16"/>
          <w:color w:val="auto"/>
        </w:rPr>
        <w:t xml:space="preserve">The Borrower may elect that the Revolving Loans comprising each borrowing bear interest at a rate </w:t>
      </w:r>
      <w:r>
        <w:rPr>
          <w:rFonts w:ascii="Arial" w:cs="Arial" w:eastAsia="Arial" w:hAnsi="Arial"/>
          <w:sz w:val="16"/>
          <w:szCs w:val="16"/>
          <w:i w:val="1"/>
          <w:iCs w:val="1"/>
          <w:color w:val="auto"/>
        </w:rPr>
        <w:t>per annum</w:t>
      </w:r>
      <w:r>
        <w:rPr>
          <w:rFonts w:ascii="Arial" w:cs="Arial" w:eastAsia="Arial" w:hAnsi="Arial"/>
          <w:sz w:val="16"/>
          <w:szCs w:val="16"/>
          <w:color w:val="auto"/>
        </w:rPr>
        <w:t xml:space="preserve"> equal to:</w:t>
      </w:r>
    </w:p>
    <w:p>
      <w:pPr>
        <w:spacing w:after="0" w:line="131" w:lineRule="exact"/>
        <w:rPr>
          <w:sz w:val="20"/>
          <w:szCs w:val="20"/>
          <w:color w:val="auto"/>
        </w:rPr>
      </w:pPr>
    </w:p>
    <w:p>
      <w:pPr>
        <w:ind w:left="2440"/>
        <w:spacing w:after="0"/>
        <w:rPr>
          <w:sz w:val="20"/>
          <w:szCs w:val="20"/>
          <w:color w:val="auto"/>
        </w:rPr>
      </w:pPr>
      <w:r>
        <w:rPr>
          <w:rFonts w:ascii="Arial" w:cs="Arial" w:eastAsia="Arial" w:hAnsi="Arial"/>
          <w:sz w:val="18"/>
          <w:szCs w:val="18"/>
          <w:color w:val="auto"/>
        </w:rPr>
        <w:t>the ABR plus the Applicable ABR Margin; or</w:t>
      </w:r>
    </w:p>
    <w:p>
      <w:pPr>
        <w:spacing w:after="0" w:line="131" w:lineRule="exact"/>
        <w:rPr>
          <w:sz w:val="20"/>
          <w:szCs w:val="20"/>
          <w:color w:val="auto"/>
        </w:rPr>
      </w:pPr>
    </w:p>
    <w:p>
      <w:pPr>
        <w:ind w:left="2440"/>
        <w:spacing w:after="0"/>
        <w:rPr>
          <w:sz w:val="20"/>
          <w:szCs w:val="20"/>
          <w:color w:val="auto"/>
        </w:rPr>
      </w:pPr>
      <w:r>
        <w:rPr>
          <w:rFonts w:ascii="Arial" w:cs="Arial" w:eastAsia="Arial" w:hAnsi="Arial"/>
          <w:sz w:val="18"/>
          <w:szCs w:val="18"/>
          <w:color w:val="auto"/>
        </w:rPr>
        <w:t>the Adjusted LIBO Rate plus the Applicable LIBO Margin.</w:t>
      </w:r>
    </w:p>
    <w:p>
      <w:pPr>
        <w:spacing w:after="0" w:line="131" w:lineRule="exact"/>
        <w:rPr>
          <w:sz w:val="20"/>
          <w:szCs w:val="20"/>
          <w:color w:val="auto"/>
        </w:rPr>
      </w:pPr>
    </w:p>
    <w:p>
      <w:pPr>
        <w:ind w:left="2080"/>
        <w:spacing w:after="0"/>
        <w:rPr>
          <w:sz w:val="20"/>
          <w:szCs w:val="20"/>
          <w:color w:val="auto"/>
        </w:rPr>
      </w:pPr>
      <w:r>
        <w:rPr>
          <w:rFonts w:ascii="Arial" w:cs="Arial" w:eastAsia="Arial" w:hAnsi="Arial"/>
          <w:sz w:val="18"/>
          <w:szCs w:val="18"/>
          <w:color w:val="auto"/>
        </w:rPr>
        <w:t>As used herein:</w:t>
      </w:r>
    </w:p>
    <w:p>
      <w:pPr>
        <w:spacing w:after="0" w:line="131" w:lineRule="exact"/>
        <w:rPr>
          <w:sz w:val="20"/>
          <w:szCs w:val="20"/>
          <w:color w:val="auto"/>
        </w:rPr>
      </w:pPr>
    </w:p>
    <w:p>
      <w:pPr>
        <w:jc w:val="both"/>
        <w:ind w:left="2080" w:right="6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ABR</w:t>
      </w:r>
      <w:r>
        <w:rPr>
          <w:rFonts w:ascii="Arial" w:cs="Arial" w:eastAsia="Arial" w:hAnsi="Arial"/>
          <w:sz w:val="18"/>
          <w:szCs w:val="18"/>
          <w:color w:val="auto"/>
        </w:rPr>
        <w:t>” means the highest of (i) the rate of interest last quoted by The Wall Street Journal in the U.S. as the prime rate in effect (the “</w:t>
      </w:r>
      <w:r>
        <w:rPr>
          <w:rFonts w:ascii="Arial" w:cs="Arial" w:eastAsia="Arial" w:hAnsi="Arial"/>
          <w:sz w:val="18"/>
          <w:szCs w:val="18"/>
          <w:b w:val="1"/>
          <w:bCs w:val="1"/>
          <w:i w:val="1"/>
          <w:iCs w:val="1"/>
          <w:color w:val="auto"/>
        </w:rPr>
        <w:t>Prime Rate</w:t>
      </w:r>
      <w:r>
        <w:rPr>
          <w:rFonts w:ascii="Arial" w:cs="Arial" w:eastAsia="Arial" w:hAnsi="Arial"/>
          <w:sz w:val="18"/>
          <w:szCs w:val="18"/>
          <w:color w:val="auto"/>
        </w:rPr>
        <w:t xml:space="preserve">”), (ii) the NYFRB Rate from time to time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0.5% and (iii) the Adjusted LIBO Rate for a one month interest period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1%. If the ABR as determined pursuant to the foregoing would be less than 1.00%, such rate shall be deemed to be 1.00%.</w:t>
      </w:r>
    </w:p>
    <w:p>
      <w:pPr>
        <w:spacing w:after="0" w:line="92" w:lineRule="exact"/>
        <w:rPr>
          <w:sz w:val="20"/>
          <w:szCs w:val="20"/>
          <w:color w:val="auto"/>
        </w:rPr>
      </w:pPr>
    </w:p>
    <w:p>
      <w:pPr>
        <w:ind w:left="208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Adjusted LIBO Rate</w:t>
      </w:r>
      <w:r>
        <w:rPr>
          <w:rFonts w:ascii="Arial" w:cs="Arial" w:eastAsia="Arial" w:hAnsi="Arial"/>
          <w:sz w:val="16"/>
          <w:szCs w:val="16"/>
          <w:color w:val="auto"/>
        </w:rPr>
        <w:t>” means the LIBO Rate, as adjusted for statutory reserve requirements for eurocurrency liabilities.</w:t>
      </w:r>
    </w:p>
    <w:p>
      <w:pPr>
        <w:spacing w:after="0" w:line="154" w:lineRule="exact"/>
        <w:rPr>
          <w:sz w:val="20"/>
          <w:szCs w:val="20"/>
          <w:color w:val="auto"/>
        </w:rPr>
      </w:pPr>
    </w:p>
    <w:p>
      <w:pPr>
        <w:ind w:left="2080" w:right="22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Applicable LIBO Margin</w:t>
      </w:r>
      <w:r>
        <w:rPr>
          <w:rFonts w:ascii="Arial" w:cs="Arial" w:eastAsia="Arial" w:hAnsi="Arial"/>
          <w:sz w:val="18"/>
          <w:szCs w:val="18"/>
          <w:color w:val="auto"/>
        </w:rPr>
        <w:t>” means a percentage determined in accordance with the pricing grid set forth immediately below:</w:t>
      </w:r>
    </w:p>
    <w:p>
      <w:pPr>
        <w:spacing w:after="0" w:line="72" w:lineRule="exact"/>
        <w:rPr>
          <w:sz w:val="20"/>
          <w:szCs w:val="20"/>
          <w:color w:val="auto"/>
        </w:rPr>
      </w:pPr>
    </w:p>
    <w:tbl>
      <w:tblPr>
        <w:tblLayout w:type="fixed"/>
        <w:tblInd w:w="1960" w:type="dxa"/>
        <w:tblCellMar>
          <w:top w:w="0" w:type="dxa"/>
          <w:left w:w="0" w:type="dxa"/>
          <w:bottom w:w="0" w:type="dxa"/>
          <w:right w:w="0" w:type="dxa"/>
        </w:tblCellMar>
      </w:tblPr>
      <w:tr>
        <w:trPr>
          <w:trHeight w:val="161"/>
        </w:trPr>
        <w:tc>
          <w:tcPr>
            <w:tcW w:w="2120" w:type="dxa"/>
            <w:vAlign w:val="bottom"/>
            <w:gridSpan w:val="2"/>
          </w:tcPr>
          <w:p>
            <w:pPr>
              <w:ind w:left="160"/>
              <w:spacing w:after="0"/>
              <w:rPr>
                <w:sz w:val="20"/>
                <w:szCs w:val="20"/>
                <w:color w:val="auto"/>
              </w:rPr>
            </w:pPr>
            <w:r>
              <w:rPr>
                <w:rFonts w:ascii="Arial" w:cs="Arial" w:eastAsia="Arial" w:hAnsi="Arial"/>
                <w:sz w:val="14"/>
                <w:szCs w:val="14"/>
                <w:color w:val="auto"/>
              </w:rPr>
              <w:t>Pricing</w:t>
            </w:r>
          </w:p>
        </w:tc>
        <w:tc>
          <w:tcPr>
            <w:tcW w:w="2040" w:type="dxa"/>
            <w:vAlign w:val="bottom"/>
            <w:gridSpan w:val="2"/>
          </w:tcPr>
          <w:p>
            <w:pPr>
              <w:jc w:val="center"/>
              <w:ind w:right="1380"/>
              <w:spacing w:after="0"/>
              <w:rPr>
                <w:sz w:val="20"/>
                <w:szCs w:val="20"/>
                <w:color w:val="auto"/>
              </w:rPr>
            </w:pPr>
            <w:r>
              <w:rPr>
                <w:rFonts w:ascii="Arial" w:cs="Arial" w:eastAsia="Arial" w:hAnsi="Arial"/>
                <w:sz w:val="14"/>
                <w:szCs w:val="14"/>
                <w:color w:val="auto"/>
                <w:w w:val="98"/>
              </w:rPr>
              <w:t>Pricing</w:t>
            </w:r>
          </w:p>
        </w:tc>
        <w:tc>
          <w:tcPr>
            <w:tcW w:w="2100" w:type="dxa"/>
            <w:vAlign w:val="bottom"/>
            <w:gridSpan w:val="2"/>
          </w:tcPr>
          <w:p>
            <w:pPr>
              <w:jc w:val="center"/>
              <w:ind w:right="1400"/>
              <w:spacing w:after="0"/>
              <w:rPr>
                <w:sz w:val="20"/>
                <w:szCs w:val="20"/>
                <w:color w:val="auto"/>
              </w:rPr>
            </w:pPr>
            <w:r>
              <w:rPr>
                <w:rFonts w:ascii="Arial" w:cs="Arial" w:eastAsia="Arial" w:hAnsi="Arial"/>
                <w:sz w:val="14"/>
                <w:szCs w:val="14"/>
                <w:color w:val="auto"/>
                <w:w w:val="98"/>
              </w:rPr>
              <w:t>Pricing</w:t>
            </w:r>
          </w:p>
        </w:tc>
        <w:tc>
          <w:tcPr>
            <w:tcW w:w="1980" w:type="dxa"/>
            <w:vAlign w:val="bottom"/>
            <w:gridSpan w:val="2"/>
          </w:tcPr>
          <w:p>
            <w:pPr>
              <w:jc w:val="center"/>
              <w:ind w:right="1400"/>
              <w:spacing w:after="0"/>
              <w:rPr>
                <w:sz w:val="20"/>
                <w:szCs w:val="20"/>
                <w:color w:val="auto"/>
              </w:rPr>
            </w:pPr>
            <w:r>
              <w:rPr>
                <w:rFonts w:ascii="Arial" w:cs="Arial" w:eastAsia="Arial" w:hAnsi="Arial"/>
                <w:sz w:val="14"/>
                <w:szCs w:val="14"/>
                <w:color w:val="auto"/>
                <w:w w:val="98"/>
              </w:rPr>
              <w:t>Pricing</w:t>
            </w:r>
          </w:p>
        </w:tc>
        <w:tc>
          <w:tcPr>
            <w:tcW w:w="580" w:type="dxa"/>
            <w:vAlign w:val="bottom"/>
          </w:tcPr>
          <w:p>
            <w:pPr>
              <w:jc w:val="center"/>
              <w:spacing w:after="0"/>
              <w:rPr>
                <w:sz w:val="20"/>
                <w:szCs w:val="20"/>
                <w:color w:val="auto"/>
              </w:rPr>
            </w:pPr>
            <w:r>
              <w:rPr>
                <w:rFonts w:ascii="Arial" w:cs="Arial" w:eastAsia="Arial" w:hAnsi="Arial"/>
                <w:sz w:val="14"/>
                <w:szCs w:val="14"/>
                <w:color w:val="auto"/>
                <w:w w:val="98"/>
              </w:rPr>
              <w:t>Pricing</w:t>
            </w:r>
          </w:p>
        </w:tc>
      </w:tr>
      <w:tr>
        <w:trPr>
          <w:trHeight w:val="167"/>
        </w:trPr>
        <w:tc>
          <w:tcPr>
            <w:tcW w:w="2120" w:type="dxa"/>
            <w:vAlign w:val="bottom"/>
            <w:gridSpan w:val="2"/>
          </w:tcPr>
          <w:p>
            <w:pPr>
              <w:ind w:left="160"/>
              <w:spacing w:after="0"/>
              <w:rPr>
                <w:sz w:val="20"/>
                <w:szCs w:val="20"/>
                <w:color w:val="auto"/>
              </w:rPr>
            </w:pPr>
            <w:r>
              <w:rPr>
                <w:rFonts w:ascii="Arial" w:cs="Arial" w:eastAsia="Arial" w:hAnsi="Arial"/>
                <w:sz w:val="14"/>
                <w:szCs w:val="14"/>
                <w:color w:val="auto"/>
              </w:rPr>
              <w:t>Level I</w:t>
            </w:r>
          </w:p>
        </w:tc>
        <w:tc>
          <w:tcPr>
            <w:tcW w:w="2040" w:type="dxa"/>
            <w:vAlign w:val="bottom"/>
            <w:gridSpan w:val="2"/>
          </w:tcPr>
          <w:p>
            <w:pPr>
              <w:jc w:val="center"/>
              <w:ind w:right="1380"/>
              <w:spacing w:after="0"/>
              <w:rPr>
                <w:sz w:val="20"/>
                <w:szCs w:val="20"/>
                <w:color w:val="auto"/>
              </w:rPr>
            </w:pPr>
            <w:r>
              <w:rPr>
                <w:rFonts w:ascii="Arial" w:cs="Arial" w:eastAsia="Arial" w:hAnsi="Arial"/>
                <w:sz w:val="14"/>
                <w:szCs w:val="14"/>
                <w:color w:val="auto"/>
              </w:rPr>
              <w:t>Level II</w:t>
            </w:r>
          </w:p>
        </w:tc>
        <w:tc>
          <w:tcPr>
            <w:tcW w:w="2100" w:type="dxa"/>
            <w:vAlign w:val="bottom"/>
            <w:gridSpan w:val="2"/>
          </w:tcPr>
          <w:p>
            <w:pPr>
              <w:jc w:val="center"/>
              <w:ind w:right="1400"/>
              <w:spacing w:after="0"/>
              <w:rPr>
                <w:sz w:val="20"/>
                <w:szCs w:val="20"/>
                <w:color w:val="auto"/>
              </w:rPr>
            </w:pPr>
            <w:r>
              <w:rPr>
                <w:rFonts w:ascii="Arial" w:cs="Arial" w:eastAsia="Arial" w:hAnsi="Arial"/>
                <w:sz w:val="14"/>
                <w:szCs w:val="14"/>
                <w:color w:val="auto"/>
              </w:rPr>
              <w:t>Level III</w:t>
            </w:r>
          </w:p>
        </w:tc>
        <w:tc>
          <w:tcPr>
            <w:tcW w:w="1980" w:type="dxa"/>
            <w:vAlign w:val="bottom"/>
            <w:gridSpan w:val="2"/>
          </w:tcPr>
          <w:p>
            <w:pPr>
              <w:jc w:val="center"/>
              <w:ind w:right="1420"/>
              <w:spacing w:after="0"/>
              <w:rPr>
                <w:sz w:val="20"/>
                <w:szCs w:val="20"/>
                <w:color w:val="auto"/>
              </w:rPr>
            </w:pPr>
            <w:r>
              <w:rPr>
                <w:rFonts w:ascii="Arial" w:cs="Arial" w:eastAsia="Arial" w:hAnsi="Arial"/>
                <w:sz w:val="14"/>
                <w:szCs w:val="14"/>
                <w:color w:val="auto"/>
              </w:rPr>
              <w:t>Level IV</w:t>
            </w:r>
          </w:p>
        </w:tc>
        <w:tc>
          <w:tcPr>
            <w:tcW w:w="580" w:type="dxa"/>
            <w:vAlign w:val="bottom"/>
          </w:tcPr>
          <w:p>
            <w:pPr>
              <w:jc w:val="center"/>
              <w:spacing w:after="0"/>
              <w:rPr>
                <w:sz w:val="20"/>
                <w:szCs w:val="20"/>
                <w:color w:val="auto"/>
              </w:rPr>
            </w:pPr>
            <w:r>
              <w:rPr>
                <w:rFonts w:ascii="Arial" w:cs="Arial" w:eastAsia="Arial" w:hAnsi="Arial"/>
                <w:sz w:val="14"/>
                <w:szCs w:val="14"/>
                <w:color w:val="auto"/>
                <w:w w:val="98"/>
              </w:rPr>
              <w:t>Level V</w:t>
            </w:r>
          </w:p>
        </w:tc>
      </w:tr>
      <w:tr>
        <w:trPr>
          <w:trHeight w:val="123"/>
        </w:trPr>
        <w:tc>
          <w:tcPr>
            <w:tcW w:w="720" w:type="dxa"/>
            <w:vAlign w:val="bottom"/>
            <w:tcBorders>
              <w:top w:val="single" w:sz="8" w:color="auto"/>
            </w:tcBorders>
          </w:tcPr>
          <w:p>
            <w:pPr>
              <w:ind w:left="140"/>
              <w:spacing w:after="0" w:line="123" w:lineRule="exact"/>
              <w:rPr>
                <w:sz w:val="20"/>
                <w:szCs w:val="20"/>
                <w:color w:val="auto"/>
              </w:rPr>
            </w:pPr>
            <w:r>
              <w:rPr>
                <w:rFonts w:ascii="Arial" w:cs="Arial" w:eastAsia="Arial" w:hAnsi="Arial"/>
                <w:sz w:val="14"/>
                <w:szCs w:val="14"/>
                <w:color w:val="auto"/>
              </w:rPr>
              <w:t>³BBB+/</w:t>
            </w:r>
          </w:p>
        </w:tc>
        <w:tc>
          <w:tcPr>
            <w:tcW w:w="1400" w:type="dxa"/>
            <w:vAlign w:val="bottom"/>
          </w:tcPr>
          <w:p>
            <w:pPr>
              <w:spacing w:after="0"/>
              <w:rPr>
                <w:sz w:val="10"/>
                <w:szCs w:val="10"/>
                <w:color w:val="auto"/>
              </w:rPr>
            </w:pPr>
          </w:p>
        </w:tc>
        <w:tc>
          <w:tcPr>
            <w:tcW w:w="64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400" w:type="dxa"/>
            <w:vAlign w:val="bottom"/>
          </w:tcPr>
          <w:p>
            <w:pPr>
              <w:spacing w:after="0"/>
              <w:rPr>
                <w:sz w:val="10"/>
                <w:szCs w:val="10"/>
                <w:color w:val="auto"/>
              </w:rPr>
            </w:pPr>
          </w:p>
        </w:tc>
        <w:tc>
          <w:tcPr>
            <w:tcW w:w="68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420" w:type="dxa"/>
            <w:vAlign w:val="bottom"/>
          </w:tcPr>
          <w:p>
            <w:pPr>
              <w:spacing w:after="0"/>
              <w:rPr>
                <w:sz w:val="10"/>
                <w:szCs w:val="10"/>
                <w:color w:val="auto"/>
              </w:rPr>
            </w:pPr>
          </w:p>
        </w:tc>
        <w:tc>
          <w:tcPr>
            <w:tcW w:w="56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w:t>
            </w:r>
          </w:p>
        </w:tc>
        <w:tc>
          <w:tcPr>
            <w:tcW w:w="1420" w:type="dxa"/>
            <w:vAlign w:val="bottom"/>
          </w:tcPr>
          <w:p>
            <w:pPr>
              <w:spacing w:after="0"/>
              <w:rPr>
                <w:sz w:val="10"/>
                <w:szCs w:val="10"/>
                <w:color w:val="auto"/>
              </w:rPr>
            </w:pPr>
          </w:p>
        </w:tc>
        <w:tc>
          <w:tcPr>
            <w:tcW w:w="58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w w:val="98"/>
              </w:rPr>
              <w:t>£BB/</w:t>
            </w:r>
          </w:p>
        </w:tc>
      </w:tr>
      <w:tr>
        <w:trPr>
          <w:trHeight w:val="167"/>
        </w:trPr>
        <w:tc>
          <w:tcPr>
            <w:tcW w:w="2120" w:type="dxa"/>
            <w:vAlign w:val="bottom"/>
            <w:gridSpan w:val="2"/>
          </w:tcPr>
          <w:p>
            <w:pPr>
              <w:jc w:val="center"/>
              <w:ind w:right="1380"/>
              <w:spacing w:after="0"/>
              <w:rPr>
                <w:sz w:val="20"/>
                <w:szCs w:val="20"/>
                <w:color w:val="auto"/>
              </w:rPr>
            </w:pPr>
            <w:r>
              <w:rPr>
                <w:rFonts w:ascii="Arial" w:cs="Arial" w:eastAsia="Arial" w:hAnsi="Arial"/>
                <w:sz w:val="14"/>
                <w:szCs w:val="14"/>
                <w:color w:val="auto"/>
                <w:w w:val="96"/>
              </w:rPr>
              <w:t>Baa1/BBB+</w:t>
            </w:r>
          </w:p>
        </w:tc>
        <w:tc>
          <w:tcPr>
            <w:tcW w:w="2040" w:type="dxa"/>
            <w:vAlign w:val="bottom"/>
            <w:gridSpan w:val="2"/>
          </w:tcPr>
          <w:p>
            <w:pPr>
              <w:jc w:val="center"/>
              <w:ind w:right="1380"/>
              <w:spacing w:after="0"/>
              <w:rPr>
                <w:sz w:val="20"/>
                <w:szCs w:val="20"/>
                <w:color w:val="auto"/>
              </w:rPr>
            </w:pPr>
            <w:r>
              <w:rPr>
                <w:rFonts w:ascii="Arial" w:cs="Arial" w:eastAsia="Arial" w:hAnsi="Arial"/>
                <w:sz w:val="14"/>
                <w:szCs w:val="14"/>
                <w:color w:val="auto"/>
                <w:w w:val="95"/>
              </w:rPr>
              <w:t>Baa2/BBB</w:t>
            </w:r>
          </w:p>
        </w:tc>
        <w:tc>
          <w:tcPr>
            <w:tcW w:w="2100" w:type="dxa"/>
            <w:vAlign w:val="bottom"/>
            <w:gridSpan w:val="2"/>
          </w:tcPr>
          <w:p>
            <w:pPr>
              <w:jc w:val="center"/>
              <w:ind w:right="1420"/>
              <w:spacing w:after="0"/>
              <w:rPr>
                <w:sz w:val="20"/>
                <w:szCs w:val="20"/>
                <w:color w:val="auto"/>
              </w:rPr>
            </w:pPr>
            <w:r>
              <w:rPr>
                <w:rFonts w:ascii="Arial" w:cs="Arial" w:eastAsia="Arial" w:hAnsi="Arial"/>
                <w:sz w:val="14"/>
                <w:szCs w:val="14"/>
                <w:color w:val="auto"/>
                <w:w w:val="98"/>
              </w:rPr>
              <w:t>Baa3/BBB-</w:t>
            </w:r>
          </w:p>
        </w:tc>
        <w:tc>
          <w:tcPr>
            <w:tcW w:w="1980" w:type="dxa"/>
            <w:vAlign w:val="bottom"/>
            <w:gridSpan w:val="2"/>
          </w:tcPr>
          <w:p>
            <w:pPr>
              <w:jc w:val="center"/>
              <w:ind w:right="1400"/>
              <w:spacing w:after="0"/>
              <w:rPr>
                <w:sz w:val="20"/>
                <w:szCs w:val="20"/>
                <w:color w:val="auto"/>
              </w:rPr>
            </w:pPr>
            <w:r>
              <w:rPr>
                <w:rFonts w:ascii="Arial" w:cs="Arial" w:eastAsia="Arial" w:hAnsi="Arial"/>
                <w:sz w:val="14"/>
                <w:szCs w:val="14"/>
                <w:color w:val="auto"/>
                <w:w w:val="96"/>
              </w:rPr>
              <w:t>Ba1/BB+</w:t>
            </w:r>
          </w:p>
        </w:tc>
        <w:tc>
          <w:tcPr>
            <w:tcW w:w="580" w:type="dxa"/>
            <w:vAlign w:val="bottom"/>
          </w:tcPr>
          <w:p>
            <w:pPr>
              <w:jc w:val="center"/>
              <w:spacing w:after="0"/>
              <w:rPr>
                <w:sz w:val="20"/>
                <w:szCs w:val="20"/>
                <w:color w:val="auto"/>
              </w:rPr>
            </w:pPr>
            <w:r>
              <w:rPr>
                <w:rFonts w:ascii="Arial" w:cs="Arial" w:eastAsia="Arial" w:hAnsi="Arial"/>
                <w:sz w:val="14"/>
                <w:szCs w:val="14"/>
                <w:color w:val="auto"/>
                <w:w w:val="96"/>
              </w:rPr>
              <w:t>Ba2/BB</w:t>
            </w:r>
          </w:p>
        </w:tc>
      </w:tr>
      <w:tr>
        <w:trPr>
          <w:trHeight w:val="224"/>
        </w:trPr>
        <w:tc>
          <w:tcPr>
            <w:tcW w:w="720" w:type="dxa"/>
            <w:vAlign w:val="bottom"/>
            <w:tcBorders>
              <w:top w:val="single" w:sz="8" w:color="auto"/>
            </w:tcBorders>
          </w:tcPr>
          <w:p>
            <w:pPr>
              <w:jc w:val="right"/>
              <w:ind w:right="4"/>
              <w:spacing w:after="0"/>
              <w:rPr>
                <w:sz w:val="20"/>
                <w:szCs w:val="20"/>
                <w:color w:val="auto"/>
              </w:rPr>
            </w:pPr>
            <w:r>
              <w:rPr>
                <w:rFonts w:ascii="Arial" w:cs="Arial" w:eastAsia="Arial" w:hAnsi="Arial"/>
                <w:sz w:val="18"/>
                <w:szCs w:val="18"/>
                <w:color w:val="auto"/>
              </w:rPr>
              <w:t>1.125%</w:t>
            </w:r>
          </w:p>
        </w:tc>
        <w:tc>
          <w:tcPr>
            <w:tcW w:w="140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4"/>
              </w:rPr>
              <w:t>1.250%</w:t>
            </w:r>
          </w:p>
        </w:tc>
        <w:tc>
          <w:tcPr>
            <w:tcW w:w="140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1.500%</w:t>
            </w:r>
          </w:p>
        </w:tc>
        <w:tc>
          <w:tcPr>
            <w:tcW w:w="1420" w:type="dxa"/>
            <w:vAlign w:val="bottom"/>
          </w:tcPr>
          <w:p>
            <w:pPr>
              <w:spacing w:after="0"/>
              <w:rPr>
                <w:sz w:val="19"/>
                <w:szCs w:val="19"/>
                <w:color w:val="auto"/>
              </w:rPr>
            </w:pPr>
          </w:p>
        </w:tc>
        <w:tc>
          <w:tcPr>
            <w:tcW w:w="5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2.000%</w:t>
            </w:r>
          </w:p>
        </w:tc>
        <w:tc>
          <w:tcPr>
            <w:tcW w:w="1420" w:type="dxa"/>
            <w:vAlign w:val="bottom"/>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8"/>
              </w:rPr>
              <w:t>2.250%</w:t>
            </w:r>
          </w:p>
        </w:tc>
      </w:tr>
    </w:tbl>
    <w:p>
      <w:pPr>
        <w:spacing w:after="0" w:line="201" w:lineRule="exact"/>
        <w:rPr>
          <w:sz w:val="20"/>
          <w:szCs w:val="20"/>
          <w:color w:val="auto"/>
        </w:rPr>
      </w:pPr>
    </w:p>
    <w:p>
      <w:pPr>
        <w:ind w:left="1860" w:right="320"/>
        <w:spacing w:after="0" w:line="277" w:lineRule="auto"/>
        <w:rPr>
          <w:sz w:val="20"/>
          <w:szCs w:val="20"/>
          <w:color w:val="auto"/>
        </w:rPr>
      </w:pPr>
      <w:r>
        <w:rPr>
          <w:rFonts w:ascii="Arial" w:cs="Arial" w:eastAsia="Arial" w:hAnsi="Arial"/>
          <w:sz w:val="18"/>
          <w:szCs w:val="18"/>
          <w:color w:val="auto"/>
        </w:rPr>
        <w:t>The foregoing pricing shall be based on the Public Debt Ratings. Split ratings shall be addressed in a manner consistent with the Existing Credit Agreement.</w:t>
      </w:r>
    </w:p>
    <w:p>
      <w:pPr>
        <w:spacing w:after="0" w:line="62" w:lineRule="exact"/>
        <w:rPr>
          <w:sz w:val="20"/>
          <w:szCs w:val="20"/>
          <w:color w:val="auto"/>
        </w:rPr>
      </w:pPr>
    </w:p>
    <w:p>
      <w:pPr>
        <w:ind w:left="1860" w:right="20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Applicable ABR Margin</w:t>
      </w:r>
      <w:r>
        <w:rPr>
          <w:rFonts w:ascii="Arial" w:cs="Arial" w:eastAsia="Arial" w:hAnsi="Arial"/>
          <w:sz w:val="18"/>
          <w:szCs w:val="18"/>
          <w:color w:val="auto"/>
        </w:rPr>
        <w:t xml:space="preserve">” means a percentage equal to the greater of (i) 0% and (ii) the Applicable LIBO Margin </w:t>
      </w:r>
      <w:r>
        <w:rPr>
          <w:rFonts w:ascii="Arial" w:cs="Arial" w:eastAsia="Arial" w:hAnsi="Arial"/>
          <w:sz w:val="18"/>
          <w:szCs w:val="18"/>
          <w:i w:val="1"/>
          <w:iCs w:val="1"/>
          <w:color w:val="auto"/>
        </w:rPr>
        <w:t>minus</w:t>
      </w:r>
      <w:r>
        <w:rPr>
          <w:rFonts w:ascii="Arial" w:cs="Arial" w:eastAsia="Arial" w:hAnsi="Arial"/>
          <w:sz w:val="18"/>
          <w:szCs w:val="18"/>
          <w:color w:val="auto"/>
        </w:rPr>
        <w:t xml:space="preserve"> 1.0%.</w:t>
      </w:r>
    </w:p>
    <w:p>
      <w:pPr>
        <w:spacing w:after="0" w:line="62" w:lineRule="exact"/>
        <w:rPr>
          <w:sz w:val="20"/>
          <w:szCs w:val="20"/>
          <w:color w:val="auto"/>
        </w:rPr>
      </w:pPr>
    </w:p>
    <w:p>
      <w:pPr>
        <w:ind w:left="1860" w:right="10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Federal Funds Effective Rate</w:t>
      </w:r>
      <w:r>
        <w:rPr>
          <w:rFonts w:ascii="Arial" w:cs="Arial" w:eastAsia="Arial" w:hAnsi="Arial"/>
          <w:sz w:val="18"/>
          <w:szCs w:val="18"/>
          <w:color w:val="auto"/>
        </w:rPr>
        <w:t xml:space="preserve">” means, for any day, the rate calculated by the NYFRB based on such day’s federal funds transactions by depositary institutions, as determined in such manner as the NYFRB shall set forth on its public website from time to time, and published on the next succeeding Business Day by the NYFRB as the federal funds effective rate,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Federal Funds Effective Rate shall be less than zero, such rate shall be deemed to zero for the purposes of calculating such rate.</w:t>
      </w:r>
    </w:p>
    <w:p>
      <w:pPr>
        <w:spacing w:after="0" w:line="120" w:lineRule="exact"/>
        <w:rPr>
          <w:sz w:val="20"/>
          <w:szCs w:val="20"/>
          <w:color w:val="auto"/>
        </w:rPr>
      </w:pPr>
    </w:p>
    <w:p>
      <w:pPr>
        <w:jc w:val="center"/>
        <w:ind w:right="260"/>
        <w:spacing w:after="0"/>
        <w:rPr>
          <w:sz w:val="20"/>
          <w:szCs w:val="20"/>
          <w:color w:val="auto"/>
        </w:rPr>
      </w:pPr>
      <w:r>
        <w:rPr>
          <w:rFonts w:ascii="Arial" w:cs="Arial" w:eastAsia="Arial" w:hAnsi="Arial"/>
          <w:sz w:val="18"/>
          <w:szCs w:val="18"/>
          <w:color w:val="auto"/>
        </w:rPr>
        <w:t>Exhibit C-9</w:t>
      </w:r>
    </w:p>
    <w:p>
      <w:pPr>
        <w:sectPr>
          <w:pgSz w:w="11900" w:h="16838" w:orient="portrait"/>
          <w:cols w:equalWidth="0" w:num="1">
            <w:col w:w="10780"/>
          </w:cols>
          <w:pgMar w:left="680" w:top="274" w:right="439" w:bottom="1440" w:gutter="0" w:footer="0" w:header="0"/>
        </w:sectPr>
      </w:pPr>
    </w:p>
    <w:bookmarkStart w:id="199" w:name="page200"/>
    <w:bookmarkEnd w:id="199"/>
    <w:p>
      <w:pPr>
        <w:ind w:left="110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w:t>
      </w:r>
      <w:r>
        <w:rPr>
          <w:rFonts w:ascii="Arial" w:cs="Arial" w:eastAsia="Arial" w:hAnsi="Arial"/>
          <w:sz w:val="17"/>
          <w:szCs w:val="17"/>
          <w:b w:val="1"/>
          <w:bCs w:val="1"/>
          <w:i w:val="1"/>
          <w:iCs w:val="1"/>
          <w:color w:val="auto"/>
        </w:rPr>
        <w:t>Interpolated Rate</w:t>
      </w:r>
      <w:r>
        <w:rPr>
          <w:rFonts w:ascii="Arial" w:cs="Arial" w:eastAsia="Arial" w:hAnsi="Arial"/>
          <w:sz w:val="17"/>
          <w:szCs w:val="17"/>
          <w:color w:val="auto"/>
        </w:rPr>
        <w:t xml:space="preserve">” means, at any time, for any interest period, the rate </w:t>
      </w:r>
      <w:r>
        <w:rPr>
          <w:rFonts w:ascii="Arial" w:cs="Arial" w:eastAsia="Arial" w:hAnsi="Arial"/>
          <w:sz w:val="17"/>
          <w:szCs w:val="17"/>
          <w:i w:val="1"/>
          <w:iCs w:val="1"/>
          <w:color w:val="auto"/>
        </w:rPr>
        <w:t>per annum</w:t>
      </w:r>
      <w:r>
        <w:rPr>
          <w:rFonts w:ascii="Arial" w:cs="Arial" w:eastAsia="Arial" w:hAnsi="Arial"/>
          <w:sz w:val="17"/>
          <w:szCs w:val="17"/>
          <w:color w:val="auto"/>
        </w:rPr>
        <w:t xml:space="preserve"> (rounded to the same number of decimal places as the LIBO Screen Rate) determined by the Revolving Administrative Agent (which determination shall be conclusive and binding absent manifest error) to be equal to the rate that results from interpolating on a linear basis between: (a) the LIBO Screen Rate for the longest period (for which the LIBO Screen Rate is available) that is shorter than the Impacted Interest Period; and (b) the LIBO Screen Rate for the shortest period (for which that LIBO Screen Rate is available) that exceeds the Impacted Interest Period, in each case, at such time.</w:t>
      </w:r>
    </w:p>
    <w:p>
      <w:pPr>
        <w:spacing w:after="0" w:line="70" w:lineRule="exact"/>
        <w:rPr>
          <w:sz w:val="20"/>
          <w:szCs w:val="20"/>
          <w:color w:val="auto"/>
        </w:rPr>
      </w:pPr>
    </w:p>
    <w:p>
      <w:pPr>
        <w:ind w:left="1100" w:right="1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LIBO Rate</w:t>
      </w:r>
      <w:r>
        <w:rPr>
          <w:rFonts w:ascii="Arial" w:cs="Arial" w:eastAsia="Arial" w:hAnsi="Arial"/>
          <w:sz w:val="18"/>
          <w:szCs w:val="18"/>
          <w:color w:val="auto"/>
        </w:rPr>
        <w:t xml:space="preserve">” means, with respect to any Eurodollar Borrowing for any interest period, the LIBO Screen Rate at approximately 11:00 a.m., London time, two Business Days prior to the commencement of such interest period;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LIBO Screen Rate shall not be available at such time for such interest period (an “</w:t>
      </w:r>
      <w:r>
        <w:rPr>
          <w:rFonts w:ascii="Arial" w:cs="Arial" w:eastAsia="Arial" w:hAnsi="Arial"/>
          <w:sz w:val="18"/>
          <w:szCs w:val="18"/>
          <w:b w:val="1"/>
          <w:bCs w:val="1"/>
          <w:i w:val="1"/>
          <w:iCs w:val="1"/>
          <w:color w:val="auto"/>
        </w:rPr>
        <w:t>Impacted Interest Period</w:t>
      </w:r>
      <w:r>
        <w:rPr>
          <w:rFonts w:ascii="Arial" w:cs="Arial" w:eastAsia="Arial" w:hAnsi="Arial"/>
          <w:sz w:val="18"/>
          <w:szCs w:val="18"/>
          <w:color w:val="auto"/>
        </w:rPr>
        <w:t>”) then the LIBO Rate shall be the Interpolated Rate.</w:t>
      </w:r>
    </w:p>
    <w:p>
      <w:pPr>
        <w:spacing w:after="0" w:line="79" w:lineRule="exact"/>
        <w:rPr>
          <w:sz w:val="20"/>
          <w:szCs w:val="20"/>
          <w:color w:val="auto"/>
        </w:rPr>
      </w:pPr>
    </w:p>
    <w:p>
      <w:pPr>
        <w:ind w:left="1100" w:right="20"/>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LIBO Screen Rate</w:t>
      </w:r>
      <w:r>
        <w:rPr>
          <w:rFonts w:ascii="Arial" w:cs="Arial" w:eastAsia="Arial" w:hAnsi="Arial"/>
          <w:sz w:val="17"/>
          <w:szCs w:val="17"/>
          <w:color w:val="auto"/>
        </w:rPr>
        <w:t xml:space="preserve">” means, for any day and time, with respect to any Eurodollar Borrowing for any interest period, the London interbank offered rate as administered by ICE Benchmark Administration (or any other Person that takes over the administration of such rate for U.S. Dollars) for a period equal in length to such interest period as displayed on pages LIBOR01 or LIBOR02 of the Reuters screen that displays such rate (or, in the event such rate does not appear on a Reuters page or screen, on any successor or substitute page on such screen that displays such rate, or on the appropriate page of such other information service that publishes such rate from time to time as selected by the Revolving Administrative Agent in its reasonable discretion);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the LIBO Screen Rate as so determined would be less than zero, such rate shall be deemed to be zero for the purposes of calculating such rate.</w:t>
      </w:r>
    </w:p>
    <w:p>
      <w:pPr>
        <w:spacing w:after="0" w:line="70" w:lineRule="exact"/>
        <w:rPr>
          <w:sz w:val="20"/>
          <w:szCs w:val="20"/>
          <w:color w:val="auto"/>
        </w:rPr>
      </w:pPr>
    </w:p>
    <w:p>
      <w:pPr>
        <w:ind w:left="1100" w:right="6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NYFRB Rate</w:t>
      </w:r>
      <w:r>
        <w:rPr>
          <w:rFonts w:ascii="Arial" w:cs="Arial" w:eastAsia="Arial" w:hAnsi="Arial"/>
          <w:sz w:val="18"/>
          <w:szCs w:val="18"/>
          <w:color w:val="auto"/>
        </w:rPr>
        <w:t>” means, for any day, the greater of (a) the Federal Funds Effective Rate in effect on such day and (b) the Overnight Bank Funding Rate in effect on such day; provided that if any of the aforesaid rates shall be less than zero, such rate shall be deemed to zero for the purposes of calculating such rate.</w:t>
      </w:r>
    </w:p>
    <w:p>
      <w:pPr>
        <w:spacing w:after="0" w:line="76" w:lineRule="exact"/>
        <w:rPr>
          <w:sz w:val="20"/>
          <w:szCs w:val="20"/>
          <w:color w:val="auto"/>
        </w:rPr>
      </w:pPr>
    </w:p>
    <w:p>
      <w:pPr>
        <w:ind w:left="1100" w:right="1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Overnight Bank Funding Rate</w:t>
      </w:r>
      <w:r>
        <w:rPr>
          <w:rFonts w:ascii="Arial" w:cs="Arial" w:eastAsia="Arial" w:hAnsi="Arial"/>
          <w:sz w:val="18"/>
          <w:szCs w:val="18"/>
          <w:color w:val="auto"/>
        </w:rPr>
        <w:t>” means, for any day, the rate comprised of both overnight federal funds and overnight Eurodollar Borrowings by U.S.-managed banking offices of depository institutions, as such composite rate shall be determined by the NYFRB as set forth on its public website from time to time, and published on the next succeeding Business Day by the NYFRB as an overnight bank funding rate (from and after such date as the NYFRB shall commence to publish such composite rate).</w:t>
      </w:r>
    </w:p>
    <w:p>
      <w:pPr>
        <w:spacing w:after="0" w:line="80" w:lineRule="exact"/>
        <w:rPr>
          <w:sz w:val="20"/>
          <w:szCs w:val="20"/>
          <w:color w:val="auto"/>
        </w:rPr>
      </w:pPr>
    </w:p>
    <w:p>
      <w:pPr>
        <w:ind w:left="1100" w:right="240"/>
        <w:spacing w:after="0" w:line="277" w:lineRule="auto"/>
        <w:rPr>
          <w:sz w:val="20"/>
          <w:szCs w:val="20"/>
          <w:color w:val="auto"/>
        </w:rPr>
      </w:pPr>
      <w:r>
        <w:rPr>
          <w:rFonts w:ascii="Arial" w:cs="Arial" w:eastAsia="Arial" w:hAnsi="Arial"/>
          <w:sz w:val="18"/>
          <w:szCs w:val="18"/>
          <w:color w:val="auto"/>
        </w:rPr>
        <w:t>The Revolving Credit Documentation will contain provisions to be mutually agreed with respect to a replacement of the LIBO Rate.</w:t>
      </w:r>
    </w:p>
    <w:p>
      <w:pPr>
        <w:spacing w:after="0" w:line="103" w:lineRule="exact"/>
        <w:rPr>
          <w:sz w:val="20"/>
          <w:szCs w:val="20"/>
          <w:color w:val="auto"/>
        </w:rPr>
      </w:pPr>
    </w:p>
    <w:p>
      <w:pPr>
        <w:ind w:left="4040"/>
        <w:spacing w:after="0"/>
        <w:rPr>
          <w:sz w:val="20"/>
          <w:szCs w:val="20"/>
          <w:color w:val="auto"/>
        </w:rPr>
      </w:pPr>
      <w:r>
        <w:rPr>
          <w:rFonts w:ascii="Arial" w:cs="Arial" w:eastAsia="Arial" w:hAnsi="Arial"/>
          <w:sz w:val="18"/>
          <w:szCs w:val="18"/>
          <w:color w:val="auto"/>
        </w:rPr>
        <w:t>Exhibit C-10</w:t>
      </w:r>
    </w:p>
    <w:p>
      <w:pPr>
        <w:sectPr>
          <w:pgSz w:w="11900" w:h="16838" w:orient="portrait"/>
          <w:cols w:equalWidth="0" w:num="1">
            <w:col w:w="9980"/>
          </w:cols>
          <w:pgMar w:left="1440" w:top="382" w:right="479" w:bottom="1440" w:gutter="0" w:footer="0" w:header="0"/>
        </w:sectPr>
      </w:pPr>
    </w:p>
    <w:bookmarkStart w:id="200" w:name="page201"/>
    <w:bookmarkEnd w:id="200"/>
    <w:p>
      <w:pPr>
        <w:ind w:left="188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Interest Payment Dates: In the case of Loans bearing interest based upon the ABR (“</w:t>
      </w:r>
      <w:r>
        <w:rPr>
          <w:rFonts w:ascii="Arial" w:cs="Arial" w:eastAsia="Arial" w:hAnsi="Arial"/>
          <w:sz w:val="16"/>
          <w:szCs w:val="16"/>
          <w:b w:val="1"/>
          <w:bCs w:val="1"/>
          <w:i w:val="1"/>
          <w:iCs w:val="1"/>
          <w:color w:val="auto"/>
        </w:rPr>
        <w:t>ABR Loans</w:t>
      </w:r>
      <w:r>
        <w:rPr>
          <w:rFonts w:ascii="Arial" w:cs="Arial" w:eastAsia="Arial" w:hAnsi="Arial"/>
          <w:sz w:val="16"/>
          <w:szCs w:val="16"/>
          <w:color w:val="auto"/>
        </w:rPr>
        <w:t>”), quarterly in arrears.</w:t>
      </w:r>
    </w:p>
    <w:p>
      <w:pPr>
        <w:spacing w:after="0" w:line="140" w:lineRule="exact"/>
        <w:rPr>
          <w:sz w:val="20"/>
          <w:szCs w:val="20"/>
          <w:color w:val="auto"/>
        </w:rPr>
      </w:pPr>
    </w:p>
    <w:p>
      <w:pPr>
        <w:ind w:left="1880" w:right="200"/>
        <w:spacing w:after="0" w:line="263" w:lineRule="auto"/>
        <w:rPr>
          <w:sz w:val="20"/>
          <w:szCs w:val="20"/>
          <w:color w:val="auto"/>
        </w:rPr>
      </w:pPr>
      <w:r>
        <w:rPr>
          <w:rFonts w:ascii="Arial" w:cs="Arial" w:eastAsia="Arial" w:hAnsi="Arial"/>
          <w:sz w:val="18"/>
          <w:szCs w:val="18"/>
          <w:color w:val="auto"/>
        </w:rPr>
        <w:t>In the case of Loans bearing interest based upon the Adjusted LIBO Rate (“</w:t>
      </w:r>
      <w:r>
        <w:rPr>
          <w:rFonts w:ascii="Arial" w:cs="Arial" w:eastAsia="Arial" w:hAnsi="Arial"/>
          <w:sz w:val="18"/>
          <w:szCs w:val="18"/>
          <w:b w:val="1"/>
          <w:bCs w:val="1"/>
          <w:i w:val="1"/>
          <w:iCs w:val="1"/>
          <w:color w:val="auto"/>
        </w:rPr>
        <w:t>Eurodollar Loans</w:t>
      </w:r>
      <w:r>
        <w:rPr>
          <w:rFonts w:ascii="Arial" w:cs="Arial" w:eastAsia="Arial" w:hAnsi="Arial"/>
          <w:sz w:val="18"/>
          <w:szCs w:val="18"/>
          <w:color w:val="auto"/>
        </w:rPr>
        <w:t>”), on the last day of each relevant interest period and, in the case of any interest period longer than three months, on each successive date three months after the first day of such interest period.</w:t>
      </w:r>
    </w:p>
    <w:p>
      <w:pPr>
        <w:spacing w:after="0" w:line="7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60" w:type="dxa"/>
            <w:vAlign w:val="bottom"/>
          </w:tcPr>
          <w:p>
            <w:pPr>
              <w:spacing w:after="0"/>
              <w:rPr>
                <w:sz w:val="20"/>
                <w:szCs w:val="20"/>
                <w:color w:val="auto"/>
              </w:rPr>
            </w:pPr>
            <w:r>
              <w:rPr>
                <w:rFonts w:ascii="Arial" w:cs="Arial" w:eastAsia="Arial" w:hAnsi="Arial"/>
                <w:sz w:val="18"/>
                <w:szCs w:val="18"/>
                <w:color w:val="auto"/>
              </w:rPr>
              <w:t>Default Rate:</w:t>
            </w:r>
          </w:p>
        </w:tc>
        <w:tc>
          <w:tcPr>
            <w:tcW w:w="8820" w:type="dxa"/>
            <w:vAlign w:val="bottom"/>
            <w:gridSpan w:val="9"/>
          </w:tcPr>
          <w:p>
            <w:pPr>
              <w:ind w:left="20"/>
              <w:spacing w:after="0"/>
              <w:rPr>
                <w:sz w:val="20"/>
                <w:szCs w:val="20"/>
                <w:color w:val="auto"/>
              </w:rPr>
            </w:pPr>
            <w:r>
              <w:rPr>
                <w:rFonts w:ascii="Arial" w:cs="Arial" w:eastAsia="Arial" w:hAnsi="Arial"/>
                <w:sz w:val="18"/>
                <w:szCs w:val="18"/>
                <w:color w:val="auto"/>
                <w:w w:val="93"/>
              </w:rPr>
              <w:t>At any time when the Borrower is in default in the payment of any amount of principal due under the Revolving Facility,</w:t>
            </w:r>
          </w:p>
        </w:tc>
      </w:tr>
      <w:tr>
        <w:trPr>
          <w:trHeight w:val="216"/>
        </w:trPr>
        <w:tc>
          <w:tcPr>
            <w:tcW w:w="1860" w:type="dxa"/>
            <w:vAlign w:val="bottom"/>
          </w:tcPr>
          <w:p>
            <w:pPr>
              <w:spacing w:after="0"/>
              <w:rPr>
                <w:sz w:val="18"/>
                <w:szCs w:val="18"/>
                <w:color w:val="auto"/>
              </w:rPr>
            </w:pPr>
          </w:p>
        </w:tc>
        <w:tc>
          <w:tcPr>
            <w:tcW w:w="8240" w:type="dxa"/>
            <w:vAlign w:val="bottom"/>
            <w:gridSpan w:val="8"/>
          </w:tcPr>
          <w:p>
            <w:pPr>
              <w:ind w:left="20"/>
              <w:spacing w:after="0"/>
              <w:rPr>
                <w:sz w:val="20"/>
                <w:szCs w:val="20"/>
                <w:color w:val="auto"/>
              </w:rPr>
            </w:pPr>
            <w:r>
              <w:rPr>
                <w:rFonts w:ascii="Arial" w:cs="Arial" w:eastAsia="Arial" w:hAnsi="Arial"/>
                <w:sz w:val="18"/>
                <w:szCs w:val="18"/>
                <w:color w:val="auto"/>
                <w:w w:val="89"/>
              </w:rPr>
              <w:t>such amount shall bear interest at 2% above the rate otherwise applicable thereto. Overdue interest, fees and other</w:t>
            </w:r>
          </w:p>
        </w:tc>
        <w:tc>
          <w:tcPr>
            <w:tcW w:w="580" w:type="dxa"/>
            <w:vAlign w:val="bottom"/>
          </w:tcPr>
          <w:p>
            <w:pPr>
              <w:spacing w:after="0"/>
              <w:rPr>
                <w:sz w:val="18"/>
                <w:szCs w:val="18"/>
                <w:color w:val="auto"/>
              </w:rPr>
            </w:pPr>
          </w:p>
        </w:tc>
      </w:tr>
      <w:tr>
        <w:trPr>
          <w:trHeight w:val="230"/>
        </w:trPr>
        <w:tc>
          <w:tcPr>
            <w:tcW w:w="1860" w:type="dxa"/>
            <w:vAlign w:val="bottom"/>
          </w:tcPr>
          <w:p>
            <w:pPr>
              <w:spacing w:after="0"/>
              <w:rPr>
                <w:sz w:val="20"/>
                <w:szCs w:val="20"/>
                <w:color w:val="auto"/>
              </w:rPr>
            </w:pPr>
          </w:p>
        </w:tc>
        <w:tc>
          <w:tcPr>
            <w:tcW w:w="6280" w:type="dxa"/>
            <w:vAlign w:val="bottom"/>
            <w:gridSpan w:val="6"/>
          </w:tcPr>
          <w:p>
            <w:pPr>
              <w:ind w:left="20"/>
              <w:spacing w:after="0"/>
              <w:rPr>
                <w:sz w:val="20"/>
                <w:szCs w:val="20"/>
                <w:color w:val="auto"/>
              </w:rPr>
            </w:pPr>
            <w:r>
              <w:rPr>
                <w:rFonts w:ascii="Arial" w:cs="Arial" w:eastAsia="Arial" w:hAnsi="Arial"/>
                <w:sz w:val="18"/>
                <w:szCs w:val="18"/>
                <w:color w:val="auto"/>
              </w:rPr>
              <w:t>amounts shall bear interest at 2% above the rate applicable to ABR Loans.</w:t>
            </w: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310"/>
        </w:trPr>
        <w:tc>
          <w:tcPr>
            <w:tcW w:w="1860" w:type="dxa"/>
            <w:vAlign w:val="bottom"/>
          </w:tcPr>
          <w:p>
            <w:pPr>
              <w:spacing w:after="0"/>
              <w:rPr>
                <w:sz w:val="20"/>
                <w:szCs w:val="20"/>
                <w:color w:val="auto"/>
              </w:rPr>
            </w:pPr>
            <w:r>
              <w:rPr>
                <w:rFonts w:ascii="Arial" w:cs="Arial" w:eastAsia="Arial" w:hAnsi="Arial"/>
                <w:sz w:val="18"/>
                <w:szCs w:val="18"/>
                <w:color w:val="auto"/>
              </w:rPr>
              <w:t>Commitment Fee:</w:t>
            </w:r>
          </w:p>
        </w:tc>
        <w:tc>
          <w:tcPr>
            <w:tcW w:w="8240" w:type="dxa"/>
            <w:vAlign w:val="bottom"/>
            <w:gridSpan w:val="8"/>
          </w:tcPr>
          <w:p>
            <w:pPr>
              <w:ind w:left="20"/>
              <w:spacing w:after="0"/>
              <w:rPr>
                <w:sz w:val="20"/>
                <w:szCs w:val="20"/>
                <w:color w:val="auto"/>
              </w:rPr>
            </w:pPr>
            <w:r>
              <w:rPr>
                <w:rFonts w:ascii="Arial" w:cs="Arial" w:eastAsia="Arial" w:hAnsi="Arial"/>
                <w:sz w:val="18"/>
                <w:szCs w:val="18"/>
                <w:color w:val="auto"/>
                <w:w w:val="93"/>
              </w:rPr>
              <w:t>Commencing on the RCF Effective Date, the Borrower will pay a fee (the “</w:t>
            </w:r>
            <w:r>
              <w:rPr>
                <w:rFonts w:ascii="Arial" w:cs="Arial" w:eastAsia="Arial" w:hAnsi="Arial"/>
                <w:sz w:val="18"/>
                <w:szCs w:val="18"/>
                <w:b w:val="1"/>
                <w:bCs w:val="1"/>
                <w:i w:val="1"/>
                <w:iCs w:val="1"/>
                <w:color w:val="auto"/>
                <w:w w:val="93"/>
              </w:rPr>
              <w:t>Commitment Fee</w:t>
            </w:r>
            <w:r>
              <w:rPr>
                <w:rFonts w:ascii="Arial" w:cs="Arial" w:eastAsia="Arial" w:hAnsi="Arial"/>
                <w:sz w:val="18"/>
                <w:szCs w:val="18"/>
                <w:color w:val="auto"/>
                <w:w w:val="93"/>
              </w:rPr>
              <w:t>”) to the Revolving</w:t>
            </w:r>
          </w:p>
        </w:tc>
        <w:tc>
          <w:tcPr>
            <w:tcW w:w="580" w:type="dxa"/>
            <w:vAlign w:val="bottom"/>
          </w:tcPr>
          <w:p>
            <w:pPr>
              <w:spacing w:after="0"/>
              <w:rPr>
                <w:sz w:val="24"/>
                <w:szCs w:val="24"/>
                <w:color w:val="auto"/>
              </w:rPr>
            </w:pPr>
          </w:p>
        </w:tc>
      </w:tr>
      <w:tr>
        <w:trPr>
          <w:trHeight w:val="216"/>
        </w:trPr>
        <w:tc>
          <w:tcPr>
            <w:tcW w:w="1860" w:type="dxa"/>
            <w:vAlign w:val="bottom"/>
          </w:tcPr>
          <w:p>
            <w:pPr>
              <w:spacing w:after="0"/>
              <w:rPr>
                <w:sz w:val="18"/>
                <w:szCs w:val="18"/>
                <w:color w:val="auto"/>
              </w:rPr>
            </w:pPr>
          </w:p>
        </w:tc>
        <w:tc>
          <w:tcPr>
            <w:tcW w:w="8820" w:type="dxa"/>
            <w:vAlign w:val="bottom"/>
            <w:gridSpan w:val="9"/>
          </w:tcPr>
          <w:p>
            <w:pPr>
              <w:ind w:left="20"/>
              <w:spacing w:after="0"/>
              <w:rPr>
                <w:sz w:val="20"/>
                <w:szCs w:val="20"/>
                <w:color w:val="auto"/>
              </w:rPr>
            </w:pPr>
            <w:r>
              <w:rPr>
                <w:rFonts w:ascii="Arial" w:cs="Arial" w:eastAsia="Arial" w:hAnsi="Arial"/>
                <w:sz w:val="18"/>
                <w:szCs w:val="18"/>
                <w:color w:val="auto"/>
                <w:w w:val="97"/>
              </w:rPr>
              <w:t>Administrative Agent for the benefit of the Revolving Lenders in an amount equal a rate per annum set forth in the</w:t>
            </w:r>
          </w:p>
        </w:tc>
      </w:tr>
      <w:tr>
        <w:trPr>
          <w:trHeight w:val="216"/>
        </w:trPr>
        <w:tc>
          <w:tcPr>
            <w:tcW w:w="1860" w:type="dxa"/>
            <w:vAlign w:val="bottom"/>
          </w:tcPr>
          <w:p>
            <w:pPr>
              <w:spacing w:after="0"/>
              <w:rPr>
                <w:sz w:val="18"/>
                <w:szCs w:val="18"/>
                <w:color w:val="auto"/>
              </w:rPr>
            </w:pPr>
          </w:p>
        </w:tc>
        <w:tc>
          <w:tcPr>
            <w:tcW w:w="8820" w:type="dxa"/>
            <w:vAlign w:val="bottom"/>
            <w:gridSpan w:val="9"/>
          </w:tcPr>
          <w:p>
            <w:pPr>
              <w:ind w:left="20"/>
              <w:spacing w:after="0"/>
              <w:rPr>
                <w:sz w:val="20"/>
                <w:szCs w:val="20"/>
                <w:color w:val="auto"/>
              </w:rPr>
            </w:pPr>
            <w:r>
              <w:rPr>
                <w:rFonts w:ascii="Arial" w:cs="Arial" w:eastAsia="Arial" w:hAnsi="Arial"/>
                <w:sz w:val="18"/>
                <w:szCs w:val="18"/>
                <w:color w:val="auto"/>
                <w:w w:val="91"/>
              </w:rPr>
              <w:t xml:space="preserve">pricing grid immediately below </w:t>
            </w:r>
            <w:r>
              <w:rPr>
                <w:rFonts w:ascii="Arial" w:cs="Arial" w:eastAsia="Arial" w:hAnsi="Arial"/>
                <w:sz w:val="18"/>
                <w:szCs w:val="18"/>
                <w:i w:val="1"/>
                <w:iCs w:val="1"/>
                <w:color w:val="auto"/>
                <w:w w:val="91"/>
              </w:rPr>
              <w:t>times</w:t>
            </w:r>
            <w:r>
              <w:rPr>
                <w:rFonts w:ascii="Arial" w:cs="Arial" w:eastAsia="Arial" w:hAnsi="Arial"/>
                <w:sz w:val="18"/>
                <w:szCs w:val="18"/>
                <w:color w:val="auto"/>
                <w:w w:val="91"/>
              </w:rPr>
              <w:t xml:space="preserve"> the actual daily undrawn portion of the aggregate principal (</w:t>
            </w:r>
            <w:r>
              <w:rPr>
                <w:rFonts w:ascii="Arial" w:cs="Arial" w:eastAsia="Arial" w:hAnsi="Arial"/>
                <w:sz w:val="18"/>
                <w:szCs w:val="18"/>
                <w:i w:val="1"/>
                <w:iCs w:val="1"/>
                <w:color w:val="auto"/>
                <w:w w:val="91"/>
              </w:rPr>
              <w:t>i.e.</w:t>
            </w:r>
            <w:r>
              <w:rPr>
                <w:rFonts w:ascii="Arial" w:cs="Arial" w:eastAsia="Arial" w:hAnsi="Arial"/>
                <w:sz w:val="18"/>
                <w:szCs w:val="18"/>
                <w:color w:val="auto"/>
                <w:w w:val="91"/>
              </w:rPr>
              <w:t>, face) amount of the</w:t>
            </w:r>
          </w:p>
        </w:tc>
      </w:tr>
      <w:tr>
        <w:trPr>
          <w:trHeight w:val="216"/>
        </w:trPr>
        <w:tc>
          <w:tcPr>
            <w:tcW w:w="1860" w:type="dxa"/>
            <w:vAlign w:val="bottom"/>
          </w:tcPr>
          <w:p>
            <w:pPr>
              <w:spacing w:after="0"/>
              <w:rPr>
                <w:sz w:val="18"/>
                <w:szCs w:val="18"/>
                <w:color w:val="auto"/>
              </w:rPr>
            </w:pPr>
          </w:p>
        </w:tc>
        <w:tc>
          <w:tcPr>
            <w:tcW w:w="8240" w:type="dxa"/>
            <w:vAlign w:val="bottom"/>
            <w:gridSpan w:val="8"/>
          </w:tcPr>
          <w:p>
            <w:pPr>
              <w:ind w:left="20"/>
              <w:spacing w:after="0"/>
              <w:rPr>
                <w:sz w:val="20"/>
                <w:szCs w:val="20"/>
                <w:color w:val="auto"/>
              </w:rPr>
            </w:pPr>
            <w:r>
              <w:rPr>
                <w:rFonts w:ascii="Arial" w:cs="Arial" w:eastAsia="Arial" w:hAnsi="Arial"/>
                <w:sz w:val="18"/>
                <w:szCs w:val="18"/>
                <w:color w:val="auto"/>
                <w:w w:val="92"/>
              </w:rPr>
              <w:t>commitments in respect of the Revolving Facility (subject to any reduction of commitments under the Revolving</w:t>
            </w:r>
          </w:p>
        </w:tc>
        <w:tc>
          <w:tcPr>
            <w:tcW w:w="580" w:type="dxa"/>
            <w:vAlign w:val="bottom"/>
          </w:tcPr>
          <w:p>
            <w:pPr>
              <w:spacing w:after="0"/>
              <w:rPr>
                <w:sz w:val="18"/>
                <w:szCs w:val="18"/>
                <w:color w:val="auto"/>
              </w:rPr>
            </w:pPr>
          </w:p>
        </w:tc>
      </w:tr>
      <w:tr>
        <w:trPr>
          <w:trHeight w:val="230"/>
        </w:trPr>
        <w:tc>
          <w:tcPr>
            <w:tcW w:w="1860" w:type="dxa"/>
            <w:vAlign w:val="bottom"/>
          </w:tcPr>
          <w:p>
            <w:pPr>
              <w:spacing w:after="0"/>
              <w:rPr>
                <w:sz w:val="20"/>
                <w:szCs w:val="20"/>
                <w:color w:val="auto"/>
              </w:rPr>
            </w:pPr>
          </w:p>
        </w:tc>
        <w:tc>
          <w:tcPr>
            <w:tcW w:w="2180" w:type="dxa"/>
            <w:vAlign w:val="bottom"/>
            <w:gridSpan w:val="2"/>
          </w:tcPr>
          <w:p>
            <w:pPr>
              <w:ind w:left="20"/>
              <w:spacing w:after="0"/>
              <w:rPr>
                <w:sz w:val="20"/>
                <w:szCs w:val="20"/>
                <w:color w:val="auto"/>
              </w:rPr>
            </w:pPr>
            <w:r>
              <w:rPr>
                <w:rFonts w:ascii="Arial" w:cs="Arial" w:eastAsia="Arial" w:hAnsi="Arial"/>
                <w:sz w:val="18"/>
                <w:szCs w:val="18"/>
                <w:color w:val="auto"/>
                <w:w w:val="99"/>
              </w:rPr>
              <w:t>Facility), payable quarterly.</w:t>
            </w:r>
          </w:p>
        </w:tc>
        <w:tc>
          <w:tcPr>
            <w:tcW w:w="6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251"/>
        </w:trPr>
        <w:tc>
          <w:tcPr>
            <w:tcW w:w="1860" w:type="dxa"/>
            <w:vAlign w:val="bottom"/>
          </w:tcPr>
          <w:p>
            <w:pPr>
              <w:spacing w:after="0"/>
              <w:rPr>
                <w:sz w:val="21"/>
                <w:szCs w:val="21"/>
                <w:color w:val="auto"/>
              </w:rPr>
            </w:pPr>
          </w:p>
        </w:tc>
        <w:tc>
          <w:tcPr>
            <w:tcW w:w="2180" w:type="dxa"/>
            <w:vAlign w:val="bottom"/>
            <w:gridSpan w:val="2"/>
          </w:tcPr>
          <w:p>
            <w:pPr>
              <w:ind w:left="160"/>
              <w:spacing w:after="0"/>
              <w:rPr>
                <w:sz w:val="20"/>
                <w:szCs w:val="20"/>
                <w:color w:val="auto"/>
              </w:rPr>
            </w:pPr>
            <w:r>
              <w:rPr>
                <w:rFonts w:ascii="Arial" w:cs="Arial" w:eastAsia="Arial" w:hAnsi="Arial"/>
                <w:sz w:val="14"/>
                <w:szCs w:val="14"/>
                <w:color w:val="auto"/>
              </w:rPr>
              <w:t>Pricing</w:t>
            </w:r>
          </w:p>
        </w:tc>
        <w:tc>
          <w:tcPr>
            <w:tcW w:w="2020" w:type="dxa"/>
            <w:vAlign w:val="bottom"/>
            <w:gridSpan w:val="2"/>
          </w:tcPr>
          <w:p>
            <w:pPr>
              <w:jc w:val="center"/>
              <w:ind w:right="1380"/>
              <w:spacing w:after="0"/>
              <w:rPr>
                <w:sz w:val="20"/>
                <w:szCs w:val="20"/>
                <w:color w:val="auto"/>
              </w:rPr>
            </w:pPr>
            <w:r>
              <w:rPr>
                <w:rFonts w:ascii="Arial" w:cs="Arial" w:eastAsia="Arial" w:hAnsi="Arial"/>
                <w:sz w:val="14"/>
                <w:szCs w:val="14"/>
                <w:color w:val="auto"/>
                <w:w w:val="93"/>
              </w:rPr>
              <w:t>Pricing</w:t>
            </w:r>
          </w:p>
        </w:tc>
        <w:tc>
          <w:tcPr>
            <w:tcW w:w="2080" w:type="dxa"/>
            <w:vAlign w:val="bottom"/>
            <w:gridSpan w:val="2"/>
          </w:tcPr>
          <w:p>
            <w:pPr>
              <w:jc w:val="center"/>
              <w:ind w:right="1380"/>
              <w:spacing w:after="0"/>
              <w:rPr>
                <w:sz w:val="20"/>
                <w:szCs w:val="20"/>
                <w:color w:val="auto"/>
              </w:rPr>
            </w:pPr>
            <w:r>
              <w:rPr>
                <w:rFonts w:ascii="Arial" w:cs="Arial" w:eastAsia="Arial" w:hAnsi="Arial"/>
                <w:sz w:val="14"/>
                <w:szCs w:val="14"/>
                <w:color w:val="auto"/>
                <w:w w:val="98"/>
              </w:rPr>
              <w:t>Pricing</w:t>
            </w:r>
          </w:p>
        </w:tc>
        <w:tc>
          <w:tcPr>
            <w:tcW w:w="1960" w:type="dxa"/>
            <w:vAlign w:val="bottom"/>
            <w:gridSpan w:val="2"/>
          </w:tcPr>
          <w:p>
            <w:pPr>
              <w:jc w:val="center"/>
              <w:ind w:right="1420"/>
              <w:spacing w:after="0"/>
              <w:rPr>
                <w:sz w:val="20"/>
                <w:szCs w:val="20"/>
                <w:color w:val="auto"/>
              </w:rPr>
            </w:pPr>
            <w:r>
              <w:rPr>
                <w:rFonts w:ascii="Arial" w:cs="Arial" w:eastAsia="Arial" w:hAnsi="Arial"/>
                <w:sz w:val="14"/>
                <w:szCs w:val="14"/>
                <w:color w:val="auto"/>
                <w:w w:val="98"/>
              </w:rPr>
              <w:t>Pricing</w:t>
            </w:r>
          </w:p>
        </w:tc>
        <w:tc>
          <w:tcPr>
            <w:tcW w:w="580" w:type="dxa"/>
            <w:vAlign w:val="bottom"/>
          </w:tcPr>
          <w:p>
            <w:pPr>
              <w:jc w:val="center"/>
              <w:spacing w:after="0"/>
              <w:rPr>
                <w:sz w:val="20"/>
                <w:szCs w:val="20"/>
                <w:color w:val="auto"/>
              </w:rPr>
            </w:pPr>
            <w:r>
              <w:rPr>
                <w:rFonts w:ascii="Arial" w:cs="Arial" w:eastAsia="Arial" w:hAnsi="Arial"/>
                <w:sz w:val="14"/>
                <w:szCs w:val="14"/>
                <w:color w:val="auto"/>
                <w:w w:val="98"/>
              </w:rPr>
              <w:t>Pricing</w:t>
            </w:r>
          </w:p>
        </w:tc>
      </w:tr>
      <w:tr>
        <w:trPr>
          <w:trHeight w:val="167"/>
        </w:trPr>
        <w:tc>
          <w:tcPr>
            <w:tcW w:w="1860" w:type="dxa"/>
            <w:vAlign w:val="bottom"/>
          </w:tcPr>
          <w:p>
            <w:pPr>
              <w:spacing w:after="0"/>
              <w:rPr>
                <w:sz w:val="14"/>
                <w:szCs w:val="14"/>
                <w:color w:val="auto"/>
              </w:rPr>
            </w:pPr>
          </w:p>
        </w:tc>
        <w:tc>
          <w:tcPr>
            <w:tcW w:w="2180" w:type="dxa"/>
            <w:vAlign w:val="bottom"/>
            <w:gridSpan w:val="2"/>
          </w:tcPr>
          <w:p>
            <w:pPr>
              <w:ind w:left="160"/>
              <w:spacing w:after="0"/>
              <w:rPr>
                <w:sz w:val="20"/>
                <w:szCs w:val="20"/>
                <w:color w:val="auto"/>
              </w:rPr>
            </w:pPr>
            <w:r>
              <w:rPr>
                <w:rFonts w:ascii="Arial" w:cs="Arial" w:eastAsia="Arial" w:hAnsi="Arial"/>
                <w:sz w:val="14"/>
                <w:szCs w:val="14"/>
                <w:color w:val="auto"/>
              </w:rPr>
              <w:t>Level I</w:t>
            </w:r>
          </w:p>
        </w:tc>
        <w:tc>
          <w:tcPr>
            <w:tcW w:w="2020" w:type="dxa"/>
            <w:vAlign w:val="bottom"/>
            <w:gridSpan w:val="2"/>
          </w:tcPr>
          <w:p>
            <w:pPr>
              <w:jc w:val="center"/>
              <w:ind w:right="1360"/>
              <w:spacing w:after="0"/>
              <w:rPr>
                <w:sz w:val="20"/>
                <w:szCs w:val="20"/>
                <w:color w:val="auto"/>
              </w:rPr>
            </w:pPr>
            <w:r>
              <w:rPr>
                <w:rFonts w:ascii="Arial" w:cs="Arial" w:eastAsia="Arial" w:hAnsi="Arial"/>
                <w:sz w:val="14"/>
                <w:szCs w:val="14"/>
                <w:color w:val="auto"/>
              </w:rPr>
              <w:t>Level II</w:t>
            </w:r>
          </w:p>
        </w:tc>
        <w:tc>
          <w:tcPr>
            <w:tcW w:w="2080" w:type="dxa"/>
            <w:vAlign w:val="bottom"/>
            <w:gridSpan w:val="2"/>
          </w:tcPr>
          <w:p>
            <w:pPr>
              <w:jc w:val="center"/>
              <w:ind w:right="1380"/>
              <w:spacing w:after="0"/>
              <w:rPr>
                <w:sz w:val="20"/>
                <w:szCs w:val="20"/>
                <w:color w:val="auto"/>
              </w:rPr>
            </w:pPr>
            <w:r>
              <w:rPr>
                <w:rFonts w:ascii="Arial" w:cs="Arial" w:eastAsia="Arial" w:hAnsi="Arial"/>
                <w:sz w:val="14"/>
                <w:szCs w:val="14"/>
                <w:color w:val="auto"/>
              </w:rPr>
              <w:t>Level III</w:t>
            </w:r>
          </w:p>
        </w:tc>
        <w:tc>
          <w:tcPr>
            <w:tcW w:w="1960" w:type="dxa"/>
            <w:vAlign w:val="bottom"/>
            <w:gridSpan w:val="2"/>
          </w:tcPr>
          <w:p>
            <w:pPr>
              <w:jc w:val="center"/>
              <w:ind w:right="1400"/>
              <w:spacing w:after="0"/>
              <w:rPr>
                <w:sz w:val="20"/>
                <w:szCs w:val="20"/>
                <w:color w:val="auto"/>
              </w:rPr>
            </w:pPr>
            <w:r>
              <w:rPr>
                <w:rFonts w:ascii="Arial" w:cs="Arial" w:eastAsia="Arial" w:hAnsi="Arial"/>
                <w:sz w:val="14"/>
                <w:szCs w:val="14"/>
                <w:color w:val="auto"/>
              </w:rPr>
              <w:t>Level IV</w:t>
            </w:r>
          </w:p>
        </w:tc>
        <w:tc>
          <w:tcPr>
            <w:tcW w:w="580" w:type="dxa"/>
            <w:vAlign w:val="bottom"/>
          </w:tcPr>
          <w:p>
            <w:pPr>
              <w:jc w:val="center"/>
              <w:spacing w:after="0"/>
              <w:rPr>
                <w:sz w:val="20"/>
                <w:szCs w:val="20"/>
                <w:color w:val="auto"/>
              </w:rPr>
            </w:pPr>
            <w:r>
              <w:rPr>
                <w:rFonts w:ascii="Arial" w:cs="Arial" w:eastAsia="Arial" w:hAnsi="Arial"/>
                <w:sz w:val="14"/>
                <w:szCs w:val="14"/>
                <w:color w:val="auto"/>
                <w:w w:val="98"/>
              </w:rPr>
              <w:t>Level V</w:t>
            </w:r>
          </w:p>
        </w:tc>
      </w:tr>
      <w:tr>
        <w:trPr>
          <w:trHeight w:val="123"/>
        </w:trPr>
        <w:tc>
          <w:tcPr>
            <w:tcW w:w="1860" w:type="dxa"/>
            <w:vAlign w:val="bottom"/>
          </w:tcPr>
          <w:p>
            <w:pPr>
              <w:spacing w:after="0"/>
              <w:rPr>
                <w:sz w:val="10"/>
                <w:szCs w:val="10"/>
                <w:color w:val="auto"/>
              </w:rPr>
            </w:pPr>
          </w:p>
        </w:tc>
        <w:tc>
          <w:tcPr>
            <w:tcW w:w="720" w:type="dxa"/>
            <w:vAlign w:val="bottom"/>
            <w:tcBorders>
              <w:top w:val="single" w:sz="8" w:color="auto"/>
            </w:tcBorders>
          </w:tcPr>
          <w:p>
            <w:pPr>
              <w:ind w:left="140"/>
              <w:spacing w:after="0" w:line="123" w:lineRule="exact"/>
              <w:rPr>
                <w:sz w:val="20"/>
                <w:szCs w:val="20"/>
                <w:color w:val="auto"/>
              </w:rPr>
            </w:pPr>
            <w:r>
              <w:rPr>
                <w:rFonts w:ascii="Arial" w:cs="Arial" w:eastAsia="Arial" w:hAnsi="Arial"/>
                <w:sz w:val="14"/>
                <w:szCs w:val="14"/>
                <w:color w:val="auto"/>
              </w:rPr>
              <w:t>³BBB+/</w:t>
            </w:r>
          </w:p>
        </w:tc>
        <w:tc>
          <w:tcPr>
            <w:tcW w:w="1460" w:type="dxa"/>
            <w:vAlign w:val="bottom"/>
          </w:tcPr>
          <w:p>
            <w:pPr>
              <w:spacing w:after="0"/>
              <w:rPr>
                <w:sz w:val="10"/>
                <w:szCs w:val="10"/>
                <w:color w:val="auto"/>
              </w:rPr>
            </w:pPr>
          </w:p>
        </w:tc>
        <w:tc>
          <w:tcPr>
            <w:tcW w:w="64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380" w:type="dxa"/>
            <w:vAlign w:val="bottom"/>
          </w:tcPr>
          <w:p>
            <w:pPr>
              <w:spacing w:after="0"/>
              <w:rPr>
                <w:sz w:val="10"/>
                <w:szCs w:val="10"/>
                <w:color w:val="auto"/>
              </w:rPr>
            </w:pPr>
          </w:p>
        </w:tc>
        <w:tc>
          <w:tcPr>
            <w:tcW w:w="68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BBB-/</w:t>
            </w:r>
          </w:p>
        </w:tc>
        <w:tc>
          <w:tcPr>
            <w:tcW w:w="1400" w:type="dxa"/>
            <w:vAlign w:val="bottom"/>
          </w:tcPr>
          <w:p>
            <w:pPr>
              <w:spacing w:after="0"/>
              <w:rPr>
                <w:sz w:val="10"/>
                <w:szCs w:val="10"/>
                <w:color w:val="auto"/>
              </w:rPr>
            </w:pPr>
          </w:p>
        </w:tc>
        <w:tc>
          <w:tcPr>
            <w:tcW w:w="56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rPr>
              <w:t>BB+/</w:t>
            </w:r>
          </w:p>
        </w:tc>
        <w:tc>
          <w:tcPr>
            <w:tcW w:w="1400" w:type="dxa"/>
            <w:vAlign w:val="bottom"/>
          </w:tcPr>
          <w:p>
            <w:pPr>
              <w:spacing w:after="0"/>
              <w:rPr>
                <w:sz w:val="10"/>
                <w:szCs w:val="10"/>
                <w:color w:val="auto"/>
              </w:rPr>
            </w:pPr>
          </w:p>
        </w:tc>
        <w:tc>
          <w:tcPr>
            <w:tcW w:w="580" w:type="dxa"/>
            <w:vAlign w:val="bottom"/>
            <w:tcBorders>
              <w:top w:val="single" w:sz="8" w:color="auto"/>
            </w:tcBorders>
          </w:tcPr>
          <w:p>
            <w:pPr>
              <w:jc w:val="center"/>
              <w:spacing w:after="0" w:line="123" w:lineRule="exact"/>
              <w:rPr>
                <w:sz w:val="20"/>
                <w:szCs w:val="20"/>
                <w:color w:val="auto"/>
              </w:rPr>
            </w:pPr>
            <w:r>
              <w:rPr>
                <w:rFonts w:ascii="Arial" w:cs="Arial" w:eastAsia="Arial" w:hAnsi="Arial"/>
                <w:sz w:val="14"/>
                <w:szCs w:val="14"/>
                <w:color w:val="auto"/>
                <w:w w:val="98"/>
              </w:rPr>
              <w:t>£BB/</w:t>
            </w:r>
          </w:p>
        </w:tc>
      </w:tr>
      <w:tr>
        <w:trPr>
          <w:trHeight w:val="167"/>
        </w:trPr>
        <w:tc>
          <w:tcPr>
            <w:tcW w:w="1860" w:type="dxa"/>
            <w:vAlign w:val="bottom"/>
          </w:tcPr>
          <w:p>
            <w:pPr>
              <w:spacing w:after="0"/>
              <w:rPr>
                <w:sz w:val="14"/>
                <w:szCs w:val="14"/>
                <w:color w:val="auto"/>
              </w:rPr>
            </w:pPr>
          </w:p>
        </w:tc>
        <w:tc>
          <w:tcPr>
            <w:tcW w:w="2180" w:type="dxa"/>
            <w:vAlign w:val="bottom"/>
            <w:gridSpan w:val="2"/>
          </w:tcPr>
          <w:p>
            <w:pPr>
              <w:jc w:val="center"/>
              <w:ind w:right="1440"/>
              <w:spacing w:after="0"/>
              <w:rPr>
                <w:sz w:val="20"/>
                <w:szCs w:val="20"/>
                <w:color w:val="auto"/>
              </w:rPr>
            </w:pPr>
            <w:r>
              <w:rPr>
                <w:rFonts w:ascii="Arial" w:cs="Arial" w:eastAsia="Arial" w:hAnsi="Arial"/>
                <w:sz w:val="14"/>
                <w:szCs w:val="14"/>
                <w:color w:val="auto"/>
                <w:w w:val="96"/>
              </w:rPr>
              <w:t>Baa1/BBB+</w:t>
            </w:r>
          </w:p>
        </w:tc>
        <w:tc>
          <w:tcPr>
            <w:tcW w:w="2020" w:type="dxa"/>
            <w:vAlign w:val="bottom"/>
            <w:gridSpan w:val="2"/>
          </w:tcPr>
          <w:p>
            <w:pPr>
              <w:jc w:val="center"/>
              <w:ind w:right="1380"/>
              <w:spacing w:after="0"/>
              <w:rPr>
                <w:sz w:val="20"/>
                <w:szCs w:val="20"/>
                <w:color w:val="auto"/>
              </w:rPr>
            </w:pPr>
            <w:r>
              <w:rPr>
                <w:rFonts w:ascii="Arial" w:cs="Arial" w:eastAsia="Arial" w:hAnsi="Arial"/>
                <w:sz w:val="14"/>
                <w:szCs w:val="14"/>
                <w:color w:val="auto"/>
                <w:w w:val="99"/>
              </w:rPr>
              <w:t>Baa2/BBB</w:t>
            </w:r>
          </w:p>
        </w:tc>
        <w:tc>
          <w:tcPr>
            <w:tcW w:w="2080" w:type="dxa"/>
            <w:vAlign w:val="bottom"/>
            <w:gridSpan w:val="2"/>
          </w:tcPr>
          <w:p>
            <w:pPr>
              <w:jc w:val="center"/>
              <w:ind w:right="1380"/>
              <w:spacing w:after="0"/>
              <w:rPr>
                <w:sz w:val="20"/>
                <w:szCs w:val="20"/>
                <w:color w:val="auto"/>
              </w:rPr>
            </w:pPr>
            <w:r>
              <w:rPr>
                <w:rFonts w:ascii="Arial" w:cs="Arial" w:eastAsia="Arial" w:hAnsi="Arial"/>
                <w:sz w:val="14"/>
                <w:szCs w:val="14"/>
                <w:color w:val="auto"/>
                <w:w w:val="95"/>
              </w:rPr>
              <w:t>Baa3/BBB-</w:t>
            </w:r>
          </w:p>
        </w:tc>
        <w:tc>
          <w:tcPr>
            <w:tcW w:w="1960" w:type="dxa"/>
            <w:vAlign w:val="bottom"/>
            <w:gridSpan w:val="2"/>
          </w:tcPr>
          <w:p>
            <w:pPr>
              <w:jc w:val="center"/>
              <w:ind w:right="1400"/>
              <w:spacing w:after="0"/>
              <w:rPr>
                <w:sz w:val="20"/>
                <w:szCs w:val="20"/>
                <w:color w:val="auto"/>
              </w:rPr>
            </w:pPr>
            <w:r>
              <w:rPr>
                <w:rFonts w:ascii="Arial" w:cs="Arial" w:eastAsia="Arial" w:hAnsi="Arial"/>
                <w:sz w:val="14"/>
                <w:szCs w:val="14"/>
                <w:color w:val="auto"/>
              </w:rPr>
              <w:t>Ba1/BB+</w:t>
            </w:r>
          </w:p>
        </w:tc>
        <w:tc>
          <w:tcPr>
            <w:tcW w:w="580" w:type="dxa"/>
            <w:vAlign w:val="bottom"/>
          </w:tcPr>
          <w:p>
            <w:pPr>
              <w:jc w:val="center"/>
              <w:spacing w:after="0"/>
              <w:rPr>
                <w:sz w:val="20"/>
                <w:szCs w:val="20"/>
                <w:color w:val="auto"/>
              </w:rPr>
            </w:pPr>
            <w:r>
              <w:rPr>
                <w:rFonts w:ascii="Arial" w:cs="Arial" w:eastAsia="Arial" w:hAnsi="Arial"/>
                <w:sz w:val="14"/>
                <w:szCs w:val="14"/>
                <w:color w:val="auto"/>
                <w:w w:val="96"/>
              </w:rPr>
              <w:t>Ba2/BB</w:t>
            </w:r>
          </w:p>
        </w:tc>
      </w:tr>
      <w:tr>
        <w:trPr>
          <w:trHeight w:val="224"/>
        </w:trPr>
        <w:tc>
          <w:tcPr>
            <w:tcW w:w="1860" w:type="dxa"/>
            <w:vAlign w:val="bottom"/>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0.125%</w:t>
            </w:r>
          </w:p>
        </w:tc>
        <w:tc>
          <w:tcPr>
            <w:tcW w:w="146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4"/>
              </w:rPr>
              <w:t>0.150%</w:t>
            </w:r>
          </w:p>
        </w:tc>
        <w:tc>
          <w:tcPr>
            <w:tcW w:w="138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1.750%</w:t>
            </w:r>
          </w:p>
        </w:tc>
        <w:tc>
          <w:tcPr>
            <w:tcW w:w="1400" w:type="dxa"/>
            <w:vAlign w:val="bottom"/>
          </w:tcPr>
          <w:p>
            <w:pPr>
              <w:spacing w:after="0"/>
              <w:rPr>
                <w:sz w:val="19"/>
                <w:szCs w:val="19"/>
                <w:color w:val="auto"/>
              </w:rPr>
            </w:pPr>
          </w:p>
        </w:tc>
        <w:tc>
          <w:tcPr>
            <w:tcW w:w="5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0.300%</w:t>
            </w:r>
          </w:p>
        </w:tc>
        <w:tc>
          <w:tcPr>
            <w:tcW w:w="1400" w:type="dxa"/>
            <w:vAlign w:val="bottom"/>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8"/>
              </w:rPr>
              <w:t>0.350%</w:t>
            </w:r>
          </w:p>
        </w:tc>
      </w:tr>
      <w:tr>
        <w:trPr>
          <w:trHeight w:val="417"/>
        </w:trPr>
        <w:tc>
          <w:tcPr>
            <w:tcW w:w="1860" w:type="dxa"/>
            <w:vAlign w:val="bottom"/>
          </w:tcPr>
          <w:p>
            <w:pPr>
              <w:spacing w:after="0"/>
              <w:rPr>
                <w:sz w:val="24"/>
                <w:szCs w:val="24"/>
                <w:color w:val="auto"/>
              </w:rPr>
            </w:pPr>
          </w:p>
        </w:tc>
        <w:tc>
          <w:tcPr>
            <w:tcW w:w="8820" w:type="dxa"/>
            <w:vAlign w:val="bottom"/>
            <w:gridSpan w:val="9"/>
          </w:tcPr>
          <w:p>
            <w:pPr>
              <w:ind w:left="20"/>
              <w:spacing w:after="0"/>
              <w:rPr>
                <w:sz w:val="20"/>
                <w:szCs w:val="20"/>
                <w:color w:val="auto"/>
              </w:rPr>
            </w:pPr>
            <w:r>
              <w:rPr>
                <w:rFonts w:ascii="Arial" w:cs="Arial" w:eastAsia="Arial" w:hAnsi="Arial"/>
                <w:sz w:val="18"/>
                <w:szCs w:val="18"/>
                <w:color w:val="auto"/>
                <w:w w:val="91"/>
              </w:rPr>
              <w:t>The foregoing pricing shall be based on the Public Debt Ratings. Split ratings shall be addressed in a manner consistent</w:t>
            </w:r>
          </w:p>
        </w:tc>
      </w:tr>
      <w:tr>
        <w:trPr>
          <w:trHeight w:val="230"/>
        </w:trPr>
        <w:tc>
          <w:tcPr>
            <w:tcW w:w="1860" w:type="dxa"/>
            <w:vAlign w:val="bottom"/>
          </w:tcPr>
          <w:p>
            <w:pPr>
              <w:spacing w:after="0"/>
              <w:rPr>
                <w:sz w:val="20"/>
                <w:szCs w:val="20"/>
                <w:color w:val="auto"/>
              </w:rPr>
            </w:pPr>
          </w:p>
        </w:tc>
        <w:tc>
          <w:tcPr>
            <w:tcW w:w="4200" w:type="dxa"/>
            <w:vAlign w:val="bottom"/>
            <w:gridSpan w:val="4"/>
          </w:tcPr>
          <w:p>
            <w:pPr>
              <w:ind w:left="20"/>
              <w:spacing w:after="0"/>
              <w:rPr>
                <w:sz w:val="20"/>
                <w:szCs w:val="20"/>
                <w:color w:val="auto"/>
              </w:rPr>
            </w:pPr>
            <w:r>
              <w:rPr>
                <w:rFonts w:ascii="Arial" w:cs="Arial" w:eastAsia="Arial" w:hAnsi="Arial"/>
                <w:sz w:val="18"/>
                <w:szCs w:val="18"/>
                <w:color w:val="auto"/>
              </w:rPr>
              <w:t>with the Existing Credit Agreement.</w:t>
            </w:r>
          </w:p>
        </w:tc>
        <w:tc>
          <w:tcPr>
            <w:tcW w:w="6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r>
        <w:trPr>
          <w:trHeight w:val="310"/>
        </w:trPr>
        <w:tc>
          <w:tcPr>
            <w:tcW w:w="1860" w:type="dxa"/>
            <w:vAlign w:val="bottom"/>
          </w:tcPr>
          <w:p>
            <w:pPr>
              <w:spacing w:after="0"/>
              <w:rPr>
                <w:sz w:val="20"/>
                <w:szCs w:val="20"/>
                <w:color w:val="auto"/>
              </w:rPr>
            </w:pPr>
            <w:r>
              <w:rPr>
                <w:rFonts w:ascii="Arial" w:cs="Arial" w:eastAsia="Arial" w:hAnsi="Arial"/>
                <w:sz w:val="18"/>
                <w:szCs w:val="18"/>
                <w:color w:val="auto"/>
              </w:rPr>
              <w:t>Rate and Fee Basis:</w:t>
            </w:r>
          </w:p>
        </w:tc>
        <w:tc>
          <w:tcPr>
            <w:tcW w:w="8820" w:type="dxa"/>
            <w:vAlign w:val="bottom"/>
            <w:gridSpan w:val="9"/>
          </w:tcPr>
          <w:p>
            <w:pPr>
              <w:ind w:left="20"/>
              <w:spacing w:after="0"/>
              <w:rPr>
                <w:sz w:val="20"/>
                <w:szCs w:val="20"/>
                <w:color w:val="auto"/>
              </w:rPr>
            </w:pPr>
            <w:r>
              <w:rPr>
                <w:rFonts w:ascii="Arial" w:cs="Arial" w:eastAsia="Arial" w:hAnsi="Arial"/>
                <w:sz w:val="18"/>
                <w:szCs w:val="18"/>
                <w:color w:val="auto"/>
                <w:w w:val="90"/>
              </w:rPr>
              <w:t xml:space="preserve">All </w:t>
            </w:r>
            <w:r>
              <w:rPr>
                <w:rFonts w:ascii="Arial" w:cs="Arial" w:eastAsia="Arial" w:hAnsi="Arial"/>
                <w:sz w:val="18"/>
                <w:szCs w:val="18"/>
                <w:i w:val="1"/>
                <w:iCs w:val="1"/>
                <w:color w:val="auto"/>
                <w:w w:val="90"/>
              </w:rPr>
              <w:t>per annum</w:t>
            </w:r>
            <w:r>
              <w:rPr>
                <w:rFonts w:ascii="Arial" w:cs="Arial" w:eastAsia="Arial" w:hAnsi="Arial"/>
                <w:sz w:val="18"/>
                <w:szCs w:val="18"/>
                <w:color w:val="auto"/>
                <w:w w:val="90"/>
              </w:rPr>
              <w:t xml:space="preserve"> rates shall be calculated on the basis of a year of 360 days (or 365/366 days, in the case of ABR Loans the</w:t>
            </w:r>
          </w:p>
        </w:tc>
      </w:tr>
      <w:tr>
        <w:trPr>
          <w:trHeight w:val="230"/>
        </w:trPr>
        <w:tc>
          <w:tcPr>
            <w:tcW w:w="1860" w:type="dxa"/>
            <w:vAlign w:val="bottom"/>
          </w:tcPr>
          <w:p>
            <w:pPr>
              <w:spacing w:after="0"/>
              <w:rPr>
                <w:sz w:val="20"/>
                <w:szCs w:val="20"/>
                <w:color w:val="auto"/>
              </w:rPr>
            </w:pPr>
          </w:p>
        </w:tc>
        <w:tc>
          <w:tcPr>
            <w:tcW w:w="6280" w:type="dxa"/>
            <w:vAlign w:val="bottom"/>
            <w:gridSpan w:val="6"/>
          </w:tcPr>
          <w:p>
            <w:pPr>
              <w:ind w:left="20"/>
              <w:spacing w:after="0"/>
              <w:rPr>
                <w:sz w:val="20"/>
                <w:szCs w:val="20"/>
                <w:color w:val="auto"/>
              </w:rPr>
            </w:pPr>
            <w:r>
              <w:rPr>
                <w:rFonts w:ascii="Arial" w:cs="Arial" w:eastAsia="Arial" w:hAnsi="Arial"/>
                <w:sz w:val="18"/>
                <w:szCs w:val="18"/>
                <w:color w:val="auto"/>
                <w:w w:val="88"/>
              </w:rPr>
              <w:t>interest rate payable on which is then based on the Prime Rate) for actual days elapsed.</w:t>
            </w:r>
          </w:p>
        </w:tc>
        <w:tc>
          <w:tcPr>
            <w:tcW w:w="5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0" w:type="dxa"/>
            <w:vAlign w:val="bottom"/>
          </w:tcPr>
          <w:p>
            <w:pPr>
              <w:spacing w:after="0"/>
              <w:rPr>
                <w:sz w:val="20"/>
                <w:szCs w:val="20"/>
                <w:color w:val="auto"/>
              </w:rPr>
            </w:pPr>
          </w:p>
        </w:tc>
      </w:tr>
    </w:tbl>
    <w:p>
      <w:pPr>
        <w:spacing w:after="0" w:line="134"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Exhibit C-11</w:t>
      </w:r>
    </w:p>
    <w:p>
      <w:pPr>
        <w:sectPr>
          <w:pgSz w:w="11900" w:h="16838" w:orient="portrait"/>
          <w:cols w:equalWidth="0" w:num="1">
            <w:col w:w="10680"/>
          </w:cols>
          <w:pgMar w:left="780" w:top="382" w:right="439" w:bottom="1440" w:gutter="0" w:footer="0" w:header="0"/>
        </w:sectPr>
      </w:pPr>
    </w:p>
    <w:bookmarkStart w:id="201" w:name="page202"/>
    <w:bookmarkEnd w:id="201"/>
    <w:tbl>
      <w:tblPr>
        <w:tblLayout w:type="fixed"/>
        <w:tblInd w:w="0" w:type="dxa"/>
        <w:tblCellMar>
          <w:top w:w="0" w:type="dxa"/>
          <w:left w:w="0" w:type="dxa"/>
          <w:bottom w:w="0" w:type="dxa"/>
          <w:right w:w="0" w:type="dxa"/>
        </w:tblCellMar>
      </w:tblPr>
      <w:tr>
        <w:trPr>
          <w:trHeight w:val="234"/>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4320"/>
              <w:spacing w:after="0"/>
              <w:rPr>
                <w:sz w:val="20"/>
                <w:szCs w:val="20"/>
                <w:color w:val="auto"/>
              </w:rPr>
            </w:pPr>
            <w:r>
              <w:rPr>
                <w:rFonts w:ascii="Arial" w:cs="Arial" w:eastAsia="Arial" w:hAnsi="Arial"/>
                <w:sz w:val="18"/>
                <w:szCs w:val="18"/>
                <w:b w:val="1"/>
                <w:bCs w:val="1"/>
                <w:color w:val="auto"/>
                <w:w w:val="97"/>
              </w:rPr>
              <w:t>Exhibit D</w:t>
            </w:r>
          </w:p>
        </w:tc>
      </w:tr>
      <w:tr>
        <w:trPr>
          <w:trHeight w:val="648"/>
        </w:trPr>
        <w:tc>
          <w:tcPr>
            <w:tcW w:w="10480" w:type="dxa"/>
            <w:vAlign w:val="bottom"/>
            <w:gridSpan w:val="5"/>
          </w:tcPr>
          <w:p>
            <w:pPr>
              <w:ind w:left="2180"/>
              <w:spacing w:after="0"/>
              <w:rPr>
                <w:sz w:val="20"/>
                <w:szCs w:val="20"/>
                <w:color w:val="auto"/>
              </w:rPr>
            </w:pPr>
            <w:r>
              <w:rPr>
                <w:rFonts w:ascii="Arial" w:cs="Arial" w:eastAsia="Arial" w:hAnsi="Arial"/>
                <w:sz w:val="18"/>
                <w:szCs w:val="18"/>
                <w:b w:val="1"/>
                <w:bCs w:val="1"/>
                <w:color w:val="auto"/>
              </w:rPr>
              <w:t>CERTAIN MODIFICATIONS TO EXISTING CREDIT AGREEMENT</w:t>
            </w:r>
          </w:p>
        </w:tc>
      </w:tr>
      <w:tr>
        <w:trPr>
          <w:trHeight w:val="411"/>
        </w:trPr>
        <w:tc>
          <w:tcPr>
            <w:tcW w:w="3940" w:type="dxa"/>
            <w:vAlign w:val="bottom"/>
            <w:gridSpan w:val="2"/>
          </w:tcPr>
          <w:p>
            <w:pPr>
              <w:spacing w:after="0"/>
              <w:rPr>
                <w:sz w:val="20"/>
                <w:szCs w:val="20"/>
                <w:color w:val="auto"/>
              </w:rPr>
            </w:pPr>
            <w:r>
              <w:rPr>
                <w:rFonts w:ascii="Arial" w:cs="Arial" w:eastAsia="Arial" w:hAnsi="Arial"/>
                <w:sz w:val="14"/>
                <w:szCs w:val="14"/>
                <w:b w:val="1"/>
                <w:bCs w:val="1"/>
                <w:color w:val="auto"/>
              </w:rPr>
              <w:t>Existing Credit Agreement Provision</w:t>
            </w:r>
          </w:p>
        </w:tc>
        <w:tc>
          <w:tcPr>
            <w:tcW w:w="1440" w:type="dxa"/>
            <w:vAlign w:val="bottom"/>
          </w:tcPr>
          <w:p>
            <w:pPr>
              <w:spacing w:after="0"/>
              <w:rPr>
                <w:sz w:val="24"/>
                <w:szCs w:val="24"/>
                <w:color w:val="auto"/>
              </w:rPr>
            </w:pPr>
          </w:p>
        </w:tc>
        <w:tc>
          <w:tcPr>
            <w:tcW w:w="5100" w:type="dxa"/>
            <w:vAlign w:val="bottom"/>
            <w:gridSpan w:val="2"/>
          </w:tcPr>
          <w:p>
            <w:pPr>
              <w:ind w:left="2140"/>
              <w:spacing w:after="0"/>
              <w:rPr>
                <w:sz w:val="20"/>
                <w:szCs w:val="20"/>
                <w:color w:val="auto"/>
              </w:rPr>
            </w:pPr>
            <w:r>
              <w:rPr>
                <w:rFonts w:ascii="Arial" w:cs="Arial" w:eastAsia="Arial" w:hAnsi="Arial"/>
                <w:sz w:val="14"/>
                <w:szCs w:val="14"/>
                <w:b w:val="1"/>
                <w:bCs w:val="1"/>
                <w:color w:val="auto"/>
              </w:rPr>
              <w:t>Modification</w:t>
            </w:r>
          </w:p>
        </w:tc>
      </w:tr>
      <w:tr>
        <w:trPr>
          <w:trHeight w:val="189"/>
        </w:trPr>
        <w:tc>
          <w:tcPr>
            <w:tcW w:w="22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89"/>
              </w:rPr>
              <w:t>Consolidated EBITDA definition</w:t>
            </w:r>
          </w:p>
        </w:tc>
        <w:tc>
          <w:tcPr>
            <w:tcW w:w="16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50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97"/>
              </w:rPr>
              <w:t>Replace reference in clause (iii)(A) to “Cavium Acquisition” with a</w:t>
            </w:r>
          </w:p>
        </w:tc>
        <w:tc>
          <w:tcPr>
            <w:tcW w:w="20" w:type="dxa"/>
            <w:vAlign w:val="bottom"/>
          </w:tcPr>
          <w:p>
            <w:pPr>
              <w:spacing w:after="0"/>
              <w:rPr>
                <w:sz w:val="16"/>
                <w:szCs w:val="16"/>
                <w:color w:val="auto"/>
              </w:rPr>
            </w:pP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reference to the Acquisition</w:t>
            </w:r>
          </w:p>
        </w:tc>
      </w:tr>
      <w:tr>
        <w:trPr>
          <w:trHeight w:val="310"/>
        </w:trPr>
        <w:tc>
          <w:tcPr>
            <w:tcW w:w="3940" w:type="dxa"/>
            <w:vAlign w:val="bottom"/>
            <w:gridSpan w:val="2"/>
          </w:tcPr>
          <w:p>
            <w:pPr>
              <w:spacing w:after="0"/>
              <w:rPr>
                <w:sz w:val="20"/>
                <w:szCs w:val="20"/>
                <w:color w:val="auto"/>
              </w:rPr>
            </w:pPr>
            <w:r>
              <w:rPr>
                <w:rFonts w:ascii="Arial" w:cs="Arial" w:eastAsia="Arial" w:hAnsi="Arial"/>
                <w:sz w:val="18"/>
                <w:szCs w:val="18"/>
                <w:color w:val="auto"/>
              </w:rPr>
              <w:t>Material Subsidiary definition</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Revise to limit to subsidiaries that would constitute “significant</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subsidiaries” under Reg S-X</w:t>
            </w:r>
          </w:p>
        </w:tc>
      </w:tr>
      <w:tr>
        <w:trPr>
          <w:trHeight w:val="310"/>
        </w:trPr>
        <w:tc>
          <w:tcPr>
            <w:tcW w:w="3940" w:type="dxa"/>
            <w:vAlign w:val="bottom"/>
            <w:gridSpan w:val="2"/>
          </w:tcPr>
          <w:p>
            <w:pPr>
              <w:spacing w:after="0"/>
              <w:rPr>
                <w:sz w:val="20"/>
                <w:szCs w:val="20"/>
                <w:color w:val="auto"/>
              </w:rPr>
            </w:pPr>
            <w:r>
              <w:rPr>
                <w:rFonts w:ascii="Arial" w:cs="Arial" w:eastAsia="Arial" w:hAnsi="Arial"/>
                <w:sz w:val="18"/>
                <w:szCs w:val="18"/>
                <w:color w:val="auto"/>
              </w:rPr>
              <w:t>Permitted Subsidiary Indebtedness</w:t>
            </w: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Arial" w:cs="Arial" w:eastAsia="Arial" w:hAnsi="Arial"/>
                <w:sz w:val="18"/>
                <w:szCs w:val="18"/>
                <w:color w:val="auto"/>
                <w:w w:val="96"/>
              </w:rPr>
              <w:t>•  Revise to permit all debt at closing up to $25M (without need to</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100" w:type="dxa"/>
            <w:vAlign w:val="bottom"/>
            <w:gridSpan w:val="2"/>
          </w:tcPr>
          <w:p>
            <w:pPr>
              <w:ind w:left="360"/>
              <w:spacing w:after="0"/>
              <w:rPr>
                <w:sz w:val="20"/>
                <w:szCs w:val="20"/>
                <w:color w:val="auto"/>
              </w:rPr>
            </w:pPr>
            <w:r>
              <w:rPr>
                <w:rFonts w:ascii="Arial" w:cs="Arial" w:eastAsia="Arial" w:hAnsi="Arial"/>
                <w:sz w:val="18"/>
                <w:szCs w:val="18"/>
                <w:color w:val="auto"/>
                <w:w w:val="91"/>
              </w:rPr>
              <w:t>schedule) subject to an aggregate amount for all such debt to be</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Arial" w:cs="Arial" w:eastAsia="Arial" w:hAnsi="Arial"/>
                <w:sz w:val="18"/>
                <w:szCs w:val="18"/>
                <w:color w:val="auto"/>
              </w:rPr>
              <w:t>agreed</w:t>
            </w:r>
          </w:p>
        </w:tc>
      </w:tr>
      <w:tr>
        <w:trPr>
          <w:trHeight w:val="323"/>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Arial" w:cs="Arial" w:eastAsia="Arial" w:hAnsi="Arial"/>
                <w:sz w:val="18"/>
                <w:szCs w:val="18"/>
                <w:color w:val="auto"/>
              </w:rPr>
              <w:t>•  Include dollar floor on general basket equal to (i) prior to the</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100" w:type="dxa"/>
            <w:vAlign w:val="bottom"/>
            <w:gridSpan w:val="2"/>
          </w:tcPr>
          <w:p>
            <w:pPr>
              <w:ind w:left="360"/>
              <w:spacing w:after="0"/>
              <w:rPr>
                <w:sz w:val="20"/>
                <w:szCs w:val="20"/>
                <w:color w:val="auto"/>
              </w:rPr>
            </w:pPr>
            <w:r>
              <w:rPr>
                <w:rFonts w:ascii="Arial" w:cs="Arial" w:eastAsia="Arial" w:hAnsi="Arial"/>
                <w:sz w:val="18"/>
                <w:szCs w:val="18"/>
                <w:color w:val="auto"/>
                <w:w w:val="98"/>
              </w:rPr>
              <w:t>Closing Date, $300.0 million and (ii) on and after the Closing</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Arial" w:cs="Arial" w:eastAsia="Arial" w:hAnsi="Arial"/>
                <w:sz w:val="18"/>
                <w:szCs w:val="18"/>
                <w:color w:val="auto"/>
              </w:rPr>
              <w:t>Date, $400.0 million</w:t>
            </w:r>
          </w:p>
        </w:tc>
      </w:tr>
      <w:tr>
        <w:trPr>
          <w:trHeight w:val="338"/>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Arial" w:cs="Arial" w:eastAsia="Arial" w:hAnsi="Arial"/>
                <w:sz w:val="18"/>
                <w:szCs w:val="18"/>
                <w:color w:val="auto"/>
                <w:w w:val="94"/>
              </w:rPr>
              <w:t>•  Existing Maui bonds and Palau notes to be specifically permitted</w:t>
            </w:r>
          </w:p>
        </w:tc>
      </w:tr>
      <w:tr>
        <w:trPr>
          <w:trHeight w:val="323"/>
        </w:trPr>
        <w:tc>
          <w:tcPr>
            <w:tcW w:w="22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100" w:type="dxa"/>
            <w:vAlign w:val="bottom"/>
            <w:gridSpan w:val="2"/>
          </w:tcPr>
          <w:p>
            <w:pPr>
              <w:ind w:left="100"/>
              <w:spacing w:after="0"/>
              <w:rPr>
                <w:sz w:val="20"/>
                <w:szCs w:val="20"/>
                <w:color w:val="auto"/>
              </w:rPr>
            </w:pPr>
            <w:r>
              <w:rPr>
                <w:rFonts w:ascii="Arial" w:cs="Arial" w:eastAsia="Arial" w:hAnsi="Arial"/>
                <w:sz w:val="18"/>
                <w:szCs w:val="18"/>
                <w:color w:val="auto"/>
              </w:rPr>
              <w:t>•  Additionally permit any guarantees by guarantors under the</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5100" w:type="dxa"/>
            <w:vAlign w:val="bottom"/>
            <w:gridSpan w:val="2"/>
          </w:tcPr>
          <w:p>
            <w:pPr>
              <w:ind w:left="360"/>
              <w:spacing w:after="0"/>
              <w:rPr>
                <w:sz w:val="20"/>
                <w:szCs w:val="20"/>
                <w:color w:val="auto"/>
              </w:rPr>
            </w:pPr>
            <w:r>
              <w:rPr>
                <w:rFonts w:ascii="Arial" w:cs="Arial" w:eastAsia="Arial" w:hAnsi="Arial"/>
                <w:sz w:val="18"/>
                <w:szCs w:val="18"/>
                <w:color w:val="auto"/>
              </w:rPr>
              <w:t>Facilities provided in respect of pari passu indebtedness</w:t>
            </w:r>
          </w:p>
        </w:tc>
      </w:tr>
      <w:tr>
        <w:trPr>
          <w:trHeight w:val="323"/>
        </w:trPr>
        <w:tc>
          <w:tcPr>
            <w:tcW w:w="3940" w:type="dxa"/>
            <w:vAlign w:val="bottom"/>
            <w:gridSpan w:val="2"/>
          </w:tcPr>
          <w:p>
            <w:pPr>
              <w:spacing w:after="0"/>
              <w:rPr>
                <w:sz w:val="20"/>
                <w:szCs w:val="20"/>
                <w:color w:val="auto"/>
              </w:rPr>
            </w:pPr>
            <w:r>
              <w:rPr>
                <w:rFonts w:ascii="Arial" w:cs="Arial" w:eastAsia="Arial" w:hAnsi="Arial"/>
                <w:sz w:val="18"/>
                <w:szCs w:val="18"/>
                <w:color w:val="auto"/>
              </w:rPr>
              <w:t>General Lien Basket</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w w:val="93"/>
              </w:rPr>
              <w:t>Include dollar floor on general basket equal to (i) prior to the Closing</w:t>
            </w:r>
          </w:p>
        </w:tc>
      </w:tr>
      <w:tr>
        <w:trPr>
          <w:trHeight w:val="216"/>
        </w:trPr>
        <w:tc>
          <w:tcPr>
            <w:tcW w:w="228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Date, $300.0 million and (ii) on and after the Closing Date,</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$400.0 million</w:t>
            </w:r>
          </w:p>
        </w:tc>
      </w:tr>
      <w:tr>
        <w:trPr>
          <w:trHeight w:val="324"/>
        </w:trPr>
        <w:tc>
          <w:tcPr>
            <w:tcW w:w="3940" w:type="dxa"/>
            <w:vAlign w:val="bottom"/>
            <w:gridSpan w:val="2"/>
          </w:tcPr>
          <w:p>
            <w:pPr>
              <w:spacing w:after="0"/>
              <w:rPr>
                <w:sz w:val="20"/>
                <w:szCs w:val="20"/>
                <w:color w:val="auto"/>
              </w:rPr>
            </w:pPr>
            <w:r>
              <w:rPr>
                <w:rFonts w:ascii="Arial" w:cs="Arial" w:eastAsia="Arial" w:hAnsi="Arial"/>
                <w:sz w:val="18"/>
                <w:szCs w:val="18"/>
                <w:color w:val="auto"/>
              </w:rPr>
              <w:t>Fundamental Changes / Mergers</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Specifically permit the Acquisition</w:t>
            </w:r>
          </w:p>
        </w:tc>
      </w:tr>
      <w:tr>
        <w:trPr>
          <w:trHeight w:val="324"/>
        </w:trPr>
        <w:tc>
          <w:tcPr>
            <w:tcW w:w="3940" w:type="dxa"/>
            <w:vAlign w:val="bottom"/>
            <w:gridSpan w:val="2"/>
          </w:tcPr>
          <w:p>
            <w:pPr>
              <w:spacing w:after="0"/>
              <w:rPr>
                <w:sz w:val="20"/>
                <w:szCs w:val="20"/>
                <w:color w:val="auto"/>
              </w:rPr>
            </w:pPr>
            <w:r>
              <w:rPr>
                <w:rFonts w:ascii="Arial" w:cs="Arial" w:eastAsia="Arial" w:hAnsi="Arial"/>
                <w:sz w:val="18"/>
                <w:szCs w:val="18"/>
                <w:color w:val="auto"/>
              </w:rPr>
              <w:t>Restrictive Agreements Covenant</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Remove</w:t>
            </w:r>
          </w:p>
        </w:tc>
      </w:tr>
      <w:tr>
        <w:trPr>
          <w:trHeight w:val="310"/>
        </w:trPr>
        <w:tc>
          <w:tcPr>
            <w:tcW w:w="3940" w:type="dxa"/>
            <w:vAlign w:val="bottom"/>
            <w:gridSpan w:val="2"/>
          </w:tcPr>
          <w:p>
            <w:pPr>
              <w:spacing w:after="0"/>
              <w:rPr>
                <w:sz w:val="20"/>
                <w:szCs w:val="20"/>
                <w:color w:val="auto"/>
              </w:rPr>
            </w:pPr>
            <w:r>
              <w:rPr>
                <w:rFonts w:ascii="Arial" w:cs="Arial" w:eastAsia="Arial" w:hAnsi="Arial"/>
                <w:sz w:val="18"/>
                <w:szCs w:val="18"/>
                <w:color w:val="auto"/>
              </w:rPr>
              <w:t>Leverage Ratio</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Covenant level to be revised as set forth in Exhibits A or C, as</w:t>
            </w:r>
          </w:p>
        </w:tc>
      </w:tr>
      <w:tr>
        <w:trPr>
          <w:trHeight w:val="230"/>
        </w:trPr>
        <w:tc>
          <w:tcPr>
            <w:tcW w:w="228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applicable</w:t>
            </w:r>
          </w:p>
        </w:tc>
      </w:tr>
      <w:tr>
        <w:trPr>
          <w:trHeight w:val="324"/>
        </w:trPr>
        <w:tc>
          <w:tcPr>
            <w:tcW w:w="3940" w:type="dxa"/>
            <w:vAlign w:val="bottom"/>
            <w:gridSpan w:val="2"/>
          </w:tcPr>
          <w:p>
            <w:pPr>
              <w:spacing w:after="0"/>
              <w:rPr>
                <w:sz w:val="20"/>
                <w:szCs w:val="20"/>
                <w:color w:val="auto"/>
              </w:rPr>
            </w:pPr>
            <w:r>
              <w:rPr>
                <w:rFonts w:ascii="Arial" w:cs="Arial" w:eastAsia="Arial" w:hAnsi="Arial"/>
                <w:sz w:val="18"/>
                <w:szCs w:val="18"/>
                <w:color w:val="auto"/>
              </w:rPr>
              <w:t>Permitted Reorganization</w:t>
            </w:r>
          </w:p>
        </w:tc>
        <w:tc>
          <w:tcPr>
            <w:tcW w:w="6540" w:type="dxa"/>
            <w:vAlign w:val="bottom"/>
            <w:gridSpan w:val="3"/>
          </w:tcPr>
          <w:p>
            <w:pPr>
              <w:ind w:left="1440"/>
              <w:spacing w:after="0"/>
              <w:rPr>
                <w:sz w:val="20"/>
                <w:szCs w:val="20"/>
                <w:color w:val="auto"/>
              </w:rPr>
            </w:pPr>
            <w:r>
              <w:rPr>
                <w:rFonts w:ascii="Arial" w:cs="Arial" w:eastAsia="Arial" w:hAnsi="Arial"/>
                <w:sz w:val="18"/>
                <w:szCs w:val="18"/>
                <w:color w:val="auto"/>
              </w:rPr>
              <w:t>To be revised to reflect the Transactions</w:t>
            </w: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sectPr>
      <w:pgSz w:w="11900" w:h="16838" w:orient="portrait"/>
      <w:cols w:equalWidth="0" w:num="1">
        <w:col w:w="10460"/>
      </w:cols>
      <w:pgMar w:left="1000" w:top="270"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C27173B"/>
    <w:multiLevelType w:val="hybridMultilevel"/>
    <w:lvl w:ilvl="0">
      <w:lvlJc w:val="left"/>
      <w:lvlText w:val="☒"/>
      <w:numFmt w:val="bullet"/>
      <w:start w:val="1"/>
    </w:lvl>
  </w:abstractNum>
  <w:abstractNum w:abstractNumId="1">
    <w:nsid w:val="4C9B0904"/>
    <w:multiLevelType w:val="hybridMultilevel"/>
    <w:lvl w:ilvl="0">
      <w:lvlJc w:val="left"/>
      <w:lvlText w:val="☐"/>
      <w:numFmt w:val="bullet"/>
      <w:start w:val="1"/>
    </w:lvl>
  </w:abstractNum>
  <w:abstractNum w:abstractNumId="2">
    <w:nsid w:val="6AA7B75C"/>
    <w:multiLevelType w:val="hybridMultilevel"/>
    <w:lvl w:ilvl="0">
      <w:lvlJc w:val="left"/>
      <w:lvlText w:val="(%1)"/>
      <w:numFmt w:val="upperLetter"/>
      <w:start w:val="2"/>
    </w:lvl>
  </w:abstractNum>
  <w:abstractNum w:abstractNumId="3">
    <w:nsid w:val="1DF029D3"/>
    <w:multiLevelType w:val="hybridMultilevel"/>
    <w:lvl w:ilvl="0">
      <w:lvlJc w:val="left"/>
      <w:lvlText w:val="(%1)"/>
      <w:numFmt w:val="lowerLetter"/>
      <w:start w:val="1"/>
    </w:lvl>
  </w:abstractNum>
  <w:abstractNum w:abstractNumId="4">
    <w:nsid w:val="5675FF36"/>
    <w:multiLevelType w:val="hybridMultilevel"/>
    <w:lvl w:ilvl="0">
      <w:lvlJc w:val="left"/>
      <w:lvlText w:val="(%1)"/>
      <w:numFmt w:val="lowerLetter"/>
      <w:start w:val="2"/>
    </w:lvl>
  </w:abstractNum>
  <w:abstractNum w:abstractNumId="5">
    <w:nsid w:val="3DD15094"/>
    <w:multiLevelType w:val="hybridMultilevel"/>
    <w:lvl w:ilvl="0">
      <w:lvlJc w:val="left"/>
      <w:lvlText w:val="(%1)"/>
      <w:numFmt w:val="lowerLetter"/>
      <w:start w:val="2"/>
    </w:lvl>
  </w:abstractNum>
  <w:abstractNum w:abstractNumId="6">
    <w:nsid w:val="3DB012B3"/>
    <w:multiLevelType w:val="hybridMultilevel"/>
    <w:lvl w:ilvl="0">
      <w:lvlJc w:val="left"/>
      <w:lvlText w:val="%1"/>
      <w:numFmt w:val="lowerLetter"/>
      <w:start w:val="1"/>
    </w:lvl>
    <w:lvl w:ilvl="1">
      <w:lvlJc w:val="left"/>
      <w:lvlText w:val="(%2)"/>
      <w:numFmt w:val="lowerLetter"/>
      <w:start w:val="1"/>
    </w:lvl>
  </w:abstractNum>
  <w:abstractNum w:abstractNumId="7">
    <w:nsid w:val="2708C9AF"/>
    <w:multiLevelType w:val="hybridMultilevel"/>
    <w:lvl w:ilvl="0">
      <w:lvlJc w:val="left"/>
      <w:lvlText w:val="(%1)"/>
      <w:numFmt w:val="lowerLetter"/>
      <w:start w:val="9"/>
    </w:lvl>
    <w:lvl w:ilvl="1">
      <w:lvlJc w:val="left"/>
      <w:lvlText w:val="(%2)"/>
      <w:numFmt w:val="lowerLetter"/>
      <w:start w:val="2"/>
    </w:lvl>
  </w:abstractNum>
  <w:abstractNum w:abstractNumId="8">
    <w:nsid w:val="5B25ACE2"/>
    <w:multiLevelType w:val="hybridMultilevel"/>
    <w:lvl w:ilvl="0">
      <w:lvlJc w:val="left"/>
      <w:lvlText w:val="(%1)"/>
      <w:numFmt w:val="lowerLetter"/>
      <w:start w:val="1"/>
    </w:lvl>
  </w:abstractNum>
  <w:abstractNum w:abstractNumId="9">
    <w:nsid w:val="175DFCF0"/>
    <w:multiLevelType w:val="hybridMultilevel"/>
    <w:lvl w:ilvl="0">
      <w:lvlJc w:val="left"/>
      <w:lvlText w:val="(%1)"/>
      <w:numFmt w:val="lowerLetter"/>
      <w:start w:val="2"/>
    </w:lvl>
  </w:abstractNum>
  <w:abstractNum w:abstractNumId="10">
    <w:nsid w:val="4F97E3E4"/>
    <w:multiLevelType w:val="hybridMultilevel"/>
    <w:lvl w:ilvl="0">
      <w:lvlJc w:val="left"/>
      <w:lvlText w:val="(%1)"/>
      <w:numFmt w:val="lowerLetter"/>
      <w:start w:val="1"/>
    </w:lvl>
  </w:abstractNum>
  <w:abstractNum w:abstractNumId="11">
    <w:nsid w:val="53B0A9E"/>
    <w:multiLevelType w:val="hybridMultilevel"/>
    <w:lvl w:ilvl="0">
      <w:lvlJc w:val="left"/>
      <w:lvlText w:val="(%1)"/>
      <w:numFmt w:val="lowerLetter"/>
      <w:start w:val="1"/>
    </w:lvl>
    <w:lvl w:ilvl="1">
      <w:lvlJc w:val="left"/>
      <w:lvlText w:val="(%2)"/>
      <w:numFmt w:val="lowerRoman"/>
      <w:start w:val="1"/>
    </w:lvl>
  </w:abstractNum>
  <w:abstractNum w:abstractNumId="12">
    <w:nsid w:val="34FD6B4F"/>
    <w:multiLevelType w:val="hybridMultilevel"/>
    <w:lvl w:ilvl="0">
      <w:lvlJc w:val="left"/>
      <w:lvlText w:val="(%1)"/>
      <w:numFmt w:val="lowerLetter"/>
      <w:start w:val="2"/>
    </w:lvl>
    <w:lvl w:ilvl="1">
      <w:lvlJc w:val="left"/>
      <w:lvlText w:val="(%2)"/>
      <w:numFmt w:val="lowerRoman"/>
      <w:start w:val="1"/>
    </w:lvl>
  </w:abstractNum>
  <w:abstractNum w:abstractNumId="13">
    <w:nsid w:val="5915FF32"/>
    <w:multiLevelType w:val="hybridMultilevel"/>
    <w:lvl w:ilvl="0">
      <w:lvlJc w:val="left"/>
      <w:lvlText w:val="(%1)"/>
      <w:numFmt w:val="lowerLetter"/>
      <w:start w:val="1"/>
    </w:lvl>
  </w:abstractNum>
  <w:abstractNum w:abstractNumId="14">
    <w:nsid w:val="56438D15"/>
    <w:multiLevelType w:val="hybridMultilevel"/>
    <w:lvl w:ilvl="0">
      <w:lvlJc w:val="left"/>
      <w:lvlText w:val="(%1)"/>
      <w:numFmt w:val="lowerLetter"/>
      <w:start w:val="2"/>
    </w:lvl>
  </w:abstractNum>
  <w:abstractNum w:abstractNumId="15">
    <w:nsid w:val="519E3149"/>
    <w:multiLevelType w:val="hybridMultilevel"/>
    <w:lvl w:ilvl="0">
      <w:lvlJc w:val="left"/>
      <w:lvlText w:val="(%1)"/>
      <w:numFmt w:val="lowerLetter"/>
      <w:start w:val="1"/>
    </w:lvl>
  </w:abstractNum>
  <w:abstractNum w:abstractNumId="16">
    <w:nsid w:val="2C6E4AFD"/>
    <w:multiLevelType w:val="hybridMultilevel"/>
    <w:lvl w:ilvl="0">
      <w:lvlJc w:val="left"/>
      <w:lvlText w:val="%1"/>
      <w:numFmt w:val="lowerLetter"/>
      <w:start w:val="1"/>
    </w:lvl>
    <w:lvl w:ilvl="1">
      <w:lvlJc w:val="left"/>
      <w:lvlText w:val="(%2)"/>
      <w:numFmt w:val="lowerLetter"/>
      <w:start w:val="5"/>
    </w:lvl>
  </w:abstractNum>
  <w:abstractNum w:abstractNumId="17">
    <w:nsid w:val="17A1B582"/>
    <w:multiLevelType w:val="hybridMultilevel"/>
    <w:lvl w:ilvl="0">
      <w:lvlJc w:val="left"/>
      <w:lvlText w:val="(%1)"/>
      <w:numFmt w:val="lowerLetter"/>
      <w:start w:val="7"/>
    </w:lvl>
    <w:lvl w:ilvl="1">
      <w:lvlJc w:val="left"/>
      <w:lvlText w:val="%2"/>
      <w:numFmt w:val="lowerLetter"/>
      <w:start w:val="1"/>
    </w:lvl>
  </w:abstractNum>
  <w:abstractNum w:abstractNumId="18">
    <w:nsid w:val="4DF72E4E"/>
    <w:multiLevelType w:val="hybridMultilevel"/>
    <w:lvl w:ilvl="0">
      <w:lvlJc w:val="left"/>
      <w:lvlText w:val="(%1)"/>
      <w:numFmt w:val="lowerLetter"/>
      <w:start w:val="1"/>
    </w:lvl>
  </w:abstractNum>
  <w:abstractNum w:abstractNumId="19">
    <w:nsid w:val="5046B5A9"/>
    <w:multiLevelType w:val="hybridMultilevel"/>
    <w:lvl w:ilvl="0">
      <w:lvlJc w:val="left"/>
      <w:lvlText w:val="(%1)"/>
      <w:numFmt w:val="lowerLetter"/>
      <w:start w:val="3"/>
    </w:lvl>
  </w:abstractNum>
  <w:abstractNum w:abstractNumId="20">
    <w:nsid w:val="5D888A08"/>
    <w:multiLevelType w:val="hybridMultilevel"/>
    <w:lvl w:ilvl="0">
      <w:lvlJc w:val="left"/>
      <w:lvlText w:val="(%1)"/>
      <w:numFmt w:val="lowerLetter"/>
      <w:start w:val="1"/>
    </w:lvl>
  </w:abstractNum>
  <w:abstractNum w:abstractNumId="21">
    <w:nsid w:val="2A082C70"/>
    <w:multiLevelType w:val="hybridMultilevel"/>
    <w:lvl w:ilvl="0">
      <w:lvlJc w:val="left"/>
      <w:lvlText w:val="(%1)"/>
      <w:numFmt w:val="lowerLetter"/>
      <w:start w:val="1"/>
    </w:lvl>
  </w:abstractNum>
  <w:abstractNum w:abstractNumId="22">
    <w:nsid w:val="5EC6AFD4"/>
    <w:multiLevelType w:val="hybridMultilevel"/>
    <w:lvl w:ilvl="0">
      <w:lvlJc w:val="left"/>
      <w:lvlText w:val="(%1)"/>
      <w:numFmt w:val="lowerLetter"/>
      <w:start w:val="2"/>
    </w:lvl>
  </w:abstractNum>
  <w:abstractNum w:abstractNumId="23">
    <w:nsid w:val="19E21BB2"/>
    <w:multiLevelType w:val="hybridMultilevel"/>
    <w:lvl w:ilvl="0">
      <w:lvlJc w:val="left"/>
      <w:lvlText w:val="(%1)"/>
      <w:numFmt w:val="lowerLetter"/>
      <w:start w:val="1"/>
    </w:lvl>
  </w:abstractNum>
  <w:abstractNum w:abstractNumId="24">
    <w:nsid w:val="75E0858A"/>
    <w:multiLevelType w:val="hybridMultilevel"/>
    <w:lvl w:ilvl="0">
      <w:lvlJc w:val="left"/>
      <w:lvlText w:val="(%1)"/>
      <w:numFmt w:val="lowerRoman"/>
      <w:start w:val="5"/>
    </w:lvl>
    <w:lvl w:ilvl="1">
      <w:lvlJc w:val="left"/>
      <w:lvlText w:val="(%2)"/>
      <w:numFmt w:val="lowerLetter"/>
      <w:start w:val="3"/>
    </w:lvl>
  </w:abstractNum>
  <w:abstractNum w:abstractNumId="25">
    <w:nsid w:val="57A61A29"/>
    <w:multiLevelType w:val="hybridMultilevel"/>
    <w:lvl w:ilvl="0">
      <w:lvlJc w:val="left"/>
      <w:lvlText w:val="(%1)"/>
      <w:numFmt w:val="lowerRoman"/>
      <w:start w:val="2"/>
    </w:lvl>
    <w:lvl w:ilvl="1">
      <w:lvlJc w:val="left"/>
      <w:lvlText w:val="%2"/>
      <w:numFmt w:val="lowerLetter"/>
      <w:start w:val="1"/>
    </w:lvl>
  </w:abstractNum>
  <w:abstractNum w:abstractNumId="26">
    <w:nsid w:val="5399C654"/>
    <w:multiLevelType w:val="hybridMultilevel"/>
    <w:lvl w:ilvl="0">
      <w:lvlJc w:val="left"/>
      <w:lvlText w:val="(%1)"/>
      <w:numFmt w:val="lowerLetter"/>
      <w:start w:val="61"/>
    </w:lvl>
    <w:lvl w:ilvl="1">
      <w:lvlJc w:val="left"/>
      <w:lvlText w:val="(%2)"/>
      <w:numFmt w:val="lowerLetter"/>
      <w:start w:val="5"/>
    </w:lvl>
  </w:abstractNum>
  <w:abstractNum w:abstractNumId="27">
    <w:nsid w:val="20EE1348"/>
    <w:multiLevelType w:val="hybridMultilevel"/>
    <w:lvl w:ilvl="0">
      <w:lvlJc w:val="left"/>
      <w:lvlText w:val="(%1)"/>
      <w:numFmt w:val="lowerLetter"/>
      <w:start w:val="1"/>
    </w:lvl>
  </w:abstractNum>
  <w:abstractNum w:abstractNumId="28">
    <w:nsid w:val="4427069A"/>
    <w:multiLevelType w:val="hybridMultilevel"/>
    <w:lvl w:ilvl="0">
      <w:lvlJc w:val="left"/>
      <w:lvlText w:val="(%1)"/>
      <w:numFmt w:val="lowerLetter"/>
      <w:start w:val="2"/>
    </w:lvl>
  </w:abstractNum>
  <w:abstractNum w:abstractNumId="29">
    <w:nsid w:val="B37E80A"/>
    <w:multiLevelType w:val="hybridMultilevel"/>
    <w:lvl w:ilvl="0">
      <w:lvlJc w:val="left"/>
      <w:lvlText w:val="(%1)"/>
      <w:numFmt w:val="upperLetter"/>
      <w:start w:val="2"/>
    </w:lvl>
    <w:lvl w:ilvl="1">
      <w:lvlJc w:val="left"/>
      <w:lvlText w:val="(%2)"/>
      <w:numFmt w:val="lowerLetter"/>
      <w:start w:val="4"/>
    </w:lvl>
  </w:abstractNum>
  <w:abstractNum w:abstractNumId="30">
    <w:nsid w:val="2157F6BC"/>
    <w:multiLevelType w:val="hybridMultilevel"/>
    <w:lvl w:ilvl="0">
      <w:lvlJc w:val="left"/>
      <w:lvlText w:val="(%1)"/>
      <w:numFmt w:val="lowerLetter"/>
      <w:start w:val="1"/>
    </w:lvl>
  </w:abstractNum>
  <w:abstractNum w:abstractNumId="31">
    <w:nsid w:val="704E1DD5"/>
    <w:multiLevelType w:val="hybridMultilevel"/>
    <w:lvl w:ilvl="0">
      <w:lvlJc w:val="left"/>
      <w:lvlText w:val="(%1)"/>
      <w:numFmt w:val="lowerLetter"/>
      <w:start w:val="1"/>
    </w:lvl>
  </w:abstractNum>
  <w:abstractNum w:abstractNumId="32">
    <w:nsid w:val="57D2F10E"/>
    <w:multiLevelType w:val="hybridMultilevel"/>
    <w:lvl w:ilvl="0">
      <w:lvlJc w:val="left"/>
      <w:lvlText w:val="%1"/>
      <w:numFmt w:val="lowerRoman"/>
      <w:start w:val="1"/>
    </w:lvl>
    <w:lvl w:ilvl="1">
      <w:lvlJc w:val="left"/>
      <w:lvlText w:val="(%2)"/>
      <w:numFmt w:val="lowerLetter"/>
      <w:start w:val="4"/>
    </w:lvl>
  </w:abstractNum>
  <w:abstractNum w:abstractNumId="33">
    <w:nsid w:val="BFFAE18"/>
    <w:multiLevelType w:val="hybridMultilevel"/>
    <w:lvl w:ilvl="0">
      <w:lvlJc w:val="left"/>
      <w:lvlText w:val="(%1)"/>
      <w:numFmt w:val="lowerRoman"/>
      <w:start w:val="4"/>
    </w:lvl>
    <w:lvl w:ilvl="1">
      <w:lvlJc w:val="left"/>
      <w:lvlText w:val="%2"/>
      <w:numFmt w:val="lowerLetter"/>
      <w:start w:val="1"/>
    </w:lvl>
  </w:abstractNum>
  <w:abstractNum w:abstractNumId="34">
    <w:nsid w:val="E3E47A8"/>
    <w:multiLevelType w:val="hybridMultilevel"/>
    <w:lvl w:ilvl="0">
      <w:lvlJc w:val="left"/>
      <w:lvlText w:val="%1"/>
      <w:numFmt w:val="upperLetter"/>
      <w:start w:val="1"/>
    </w:lvl>
    <w:lvl w:ilvl="1">
      <w:lvlJc w:val="left"/>
      <w:lvlText w:val="(%2)"/>
      <w:numFmt w:val="lowerLetter"/>
      <w:start w:val="6"/>
    </w:lvl>
  </w:abstractNum>
  <w:abstractNum w:abstractNumId="35">
    <w:nsid w:val="2E48F044"/>
    <w:multiLevelType w:val="hybridMultilevel"/>
    <w:lvl w:ilvl="0">
      <w:lvlJc w:val="left"/>
      <w:lvlText w:val="(%1)"/>
      <w:numFmt w:val="upperLetter"/>
      <w:start w:val="1"/>
    </w:lvl>
    <w:lvl w:ilvl="1">
      <w:lvlJc w:val="left"/>
      <w:lvlText w:val="(%2)"/>
      <w:numFmt w:val="lowerLetter"/>
      <w:start w:val="7"/>
    </w:lvl>
  </w:abstractNum>
  <w:abstractNum w:abstractNumId="36">
    <w:nsid w:val="49D0FEAC"/>
    <w:multiLevelType w:val="hybridMultilevel"/>
    <w:lvl w:ilvl="0">
      <w:lvlJc w:val="left"/>
      <w:lvlText w:val="%1"/>
      <w:numFmt w:val="lowerLetter"/>
      <w:start w:val="1"/>
    </w:lvl>
    <w:lvl w:ilvl="1">
      <w:lvlJc w:val="left"/>
      <w:lvlText w:val="(%2)"/>
      <w:numFmt w:val="lowerLetter"/>
      <w:start w:val="10"/>
    </w:lvl>
  </w:abstractNum>
  <w:abstractNum w:abstractNumId="37">
    <w:nsid w:val="4BEE5A5B"/>
    <w:multiLevelType w:val="hybridMultilevel"/>
    <w:lvl w:ilvl="0">
      <w:lvlJc w:val="left"/>
      <w:lvlText w:val="(%1)"/>
      <w:numFmt w:val="lowerLetter"/>
      <w:start w:val="35"/>
    </w:lvl>
    <w:lvl w:ilvl="1">
      <w:lvlJc w:val="left"/>
      <w:lvlText w:val="%2"/>
      <w:numFmt w:val="lowerLetter"/>
      <w:start w:val="1"/>
    </w:lvl>
  </w:abstractNum>
  <w:abstractNum w:abstractNumId="38">
    <w:nsid w:val="5551B9F3"/>
    <w:multiLevelType w:val="hybridMultilevel"/>
    <w:lvl w:ilvl="0">
      <w:lvlJc w:val="left"/>
      <w:lvlText w:val="(%1)"/>
      <w:numFmt w:val="lowerLetter"/>
      <w:start w:val="15"/>
    </w:lvl>
  </w:abstractNum>
  <w:abstractNum w:abstractNumId="39">
    <w:nsid w:val="24F6AB8E"/>
    <w:multiLevelType w:val="hybridMultilevel"/>
    <w:lvl w:ilvl="0">
      <w:lvlJc w:val="left"/>
      <w:lvlText w:val="(%1)"/>
      <w:numFmt w:val="lowerLetter"/>
      <w:start w:val="1"/>
    </w:lvl>
    <w:lvl w:ilvl="1">
      <w:lvlJc w:val="left"/>
      <w:lvlText w:val="(%2)"/>
      <w:numFmt w:val="lowerRoman"/>
      <w:start w:val="1"/>
    </w:lvl>
  </w:abstractNum>
  <w:abstractNum w:abstractNumId="40">
    <w:nsid w:val="634C574C"/>
    <w:multiLevelType w:val="hybridMultilevel"/>
    <w:lvl w:ilvl="0">
      <w:lvlJc w:val="left"/>
      <w:lvlText w:val="%1"/>
      <w:numFmt w:val="upperLetter"/>
      <w:start w:val="1"/>
    </w:lvl>
    <w:lvl w:ilvl="1">
      <w:lvlJc w:val="left"/>
      <w:lvlText w:val="(%2)"/>
      <w:numFmt w:val="lowerRoman"/>
      <w:start w:val="9"/>
    </w:lvl>
  </w:abstractNum>
  <w:abstractNum w:abstractNumId="41">
    <w:nsid w:val="24E99DD7"/>
    <w:multiLevelType w:val="hybridMultilevel"/>
    <w:lvl w:ilvl="0">
      <w:lvlJc w:val="left"/>
      <w:lvlText w:val="(%1)"/>
      <w:numFmt w:val="upperLetter"/>
      <w:start w:val="2"/>
    </w:lvl>
    <w:lvl w:ilvl="1">
      <w:lvlJc w:val="left"/>
      <w:lvlText w:val="(%2)"/>
      <w:numFmt w:val="lowerRoman"/>
      <w:start w:val="10"/>
    </w:lvl>
  </w:abstractNum>
  <w:abstractNum w:abstractNumId="42">
    <w:nsid w:val="2A31B62D"/>
    <w:multiLevelType w:val="hybridMultilevel"/>
    <w:lvl w:ilvl="0">
      <w:lvlJc w:val="left"/>
      <w:lvlText w:val="(%1)"/>
      <w:numFmt w:val="lowerRoman"/>
      <w:start w:val="19"/>
    </w:lvl>
  </w:abstractNum>
  <w:abstractNum w:abstractNumId="43">
    <w:nsid w:val="1849C29B"/>
    <w:multiLevelType w:val="hybridMultilevel"/>
    <w:lvl w:ilvl="0">
      <w:lvlJc w:val="left"/>
      <w:lvlText w:val="(%1)"/>
      <w:numFmt w:val="lowerLetter"/>
      <w:start w:val="2"/>
    </w:lvl>
  </w:abstractNum>
  <w:abstractNum w:abstractNumId="44">
    <w:nsid w:val="7DFF9D09"/>
    <w:multiLevelType w:val="hybridMultilevel"/>
    <w:lvl w:ilvl="0">
      <w:lvlJc w:val="left"/>
      <w:lvlText w:val="(%1)"/>
      <w:numFmt w:val="lowerLetter"/>
      <w:start w:val="1"/>
    </w:lvl>
  </w:abstractNum>
  <w:abstractNum w:abstractNumId="45">
    <w:nsid w:val="754342"/>
    <w:multiLevelType w:val="hybridMultilevel"/>
    <w:lvl w:ilvl="0">
      <w:lvlJc w:val="left"/>
      <w:lvlText w:val="(%1)"/>
      <w:numFmt w:val="lowerLetter"/>
      <w:start w:val="2"/>
    </w:lvl>
  </w:abstractNum>
  <w:abstractNum w:abstractNumId="46">
    <w:nsid w:val="69E7F3E5"/>
    <w:multiLevelType w:val="hybridMultilevel"/>
    <w:lvl w:ilvl="0">
      <w:lvlJc w:val="left"/>
      <w:lvlText w:val="(%1)"/>
      <w:numFmt w:val="lowerLetter"/>
      <w:start w:val="1"/>
    </w:lvl>
  </w:abstractNum>
  <w:abstractNum w:abstractNumId="47">
    <w:nsid w:val="2A6DE806"/>
    <w:multiLevelType w:val="hybridMultilevel"/>
    <w:lvl w:ilvl="0">
      <w:lvlJc w:val="left"/>
      <w:lvlText w:val="(%1)"/>
      <w:numFmt w:val="lowerLetter"/>
      <w:start w:val="1"/>
    </w:lvl>
  </w:abstractNum>
  <w:abstractNum w:abstractNumId="48">
    <w:nsid w:val="1816F8C4"/>
    <w:multiLevelType w:val="hybridMultilevel"/>
    <w:lvl w:ilvl="0">
      <w:lvlJc w:val="left"/>
      <w:lvlText w:val="%1"/>
      <w:numFmt w:val="lowerRoman"/>
      <w:start w:val="1"/>
    </w:lvl>
    <w:lvl w:ilvl="1">
      <w:lvlJc w:val="left"/>
      <w:lvlText w:val="(%2)"/>
      <w:numFmt w:val="lowerLetter"/>
      <w:start w:val="3"/>
    </w:lvl>
  </w:abstractNum>
  <w:abstractNum w:abstractNumId="49">
    <w:nsid w:val="37DF2233"/>
    <w:multiLevelType w:val="hybridMultilevel"/>
    <w:lvl w:ilvl="0">
      <w:lvlJc w:val="left"/>
      <w:lvlText w:val="(%1)"/>
      <w:numFmt w:val="lowerRoman"/>
      <w:start w:val="1"/>
    </w:lvl>
    <w:lvl w:ilvl="1">
      <w:lvlJc w:val="left"/>
      <w:lvlText w:val="(%2)"/>
      <w:numFmt w:val="lowerLetter"/>
      <w:start w:val="4"/>
    </w:lvl>
  </w:abstractNum>
  <w:abstractNum w:abstractNumId="50">
    <w:nsid w:val="7AB49DAF"/>
    <w:multiLevelType w:val="hybridMultilevel"/>
    <w:lvl w:ilvl="0">
      <w:lvlJc w:val="left"/>
      <w:lvlText w:val="%1"/>
      <w:numFmt w:val="lowerLetter"/>
      <w:start w:val="1"/>
    </w:lvl>
    <w:lvl w:ilvl="1">
      <w:lvlJc w:val="left"/>
      <w:lvlText w:val="(%2)"/>
      <w:numFmt w:val="lowerLetter"/>
      <w:start w:val="1"/>
    </w:lvl>
  </w:abstractNum>
  <w:abstractNum w:abstractNumId="51">
    <w:nsid w:val="759F82CD"/>
    <w:multiLevelType w:val="hybridMultilevel"/>
    <w:lvl w:ilvl="0">
      <w:lvlJc w:val="left"/>
      <w:lvlText w:val="(%1)"/>
      <w:numFmt w:val="lowerLetter"/>
      <w:start w:val="9"/>
    </w:lvl>
    <w:lvl w:ilvl="1">
      <w:lvlJc w:val="left"/>
      <w:lvlText w:val="%2"/>
      <w:numFmt w:val="lowerLetter"/>
      <w:start w:val="1"/>
    </w:lvl>
  </w:abstractNum>
  <w:abstractNum w:abstractNumId="52">
    <w:nsid w:val="61E74EA3"/>
    <w:multiLevelType w:val="hybridMultilevel"/>
    <w:lvl w:ilvl="0">
      <w:lvlJc w:val="left"/>
      <w:lvlText w:val="(%1)"/>
      <w:numFmt w:val="lowerLetter"/>
      <w:start w:val="9"/>
    </w:lvl>
    <w:lvl w:ilvl="1">
      <w:lvlJc w:val="left"/>
      <w:lvlText w:val="(%2)"/>
      <w:numFmt w:val="lowerLetter"/>
      <w:start w:val="2"/>
    </w:lvl>
  </w:abstractNum>
  <w:abstractNum w:abstractNumId="53">
    <w:nsid w:val="597B4D84"/>
    <w:multiLevelType w:val="hybridMultilevel"/>
    <w:lvl w:ilvl="0">
      <w:lvlJc w:val="left"/>
      <w:lvlText w:val="(%1)"/>
      <w:numFmt w:val="lowerLetter"/>
      <w:start w:val="1"/>
    </w:lvl>
  </w:abstractNum>
  <w:abstractNum w:abstractNumId="54">
    <w:nsid w:val="F819E7F"/>
    <w:multiLevelType w:val="hybridMultilevel"/>
    <w:lvl w:ilvl="0">
      <w:lvlJc w:val="left"/>
      <w:lvlText w:val="(%1)"/>
      <w:numFmt w:val="lowerLetter"/>
      <w:start w:val="11"/>
    </w:lvl>
  </w:abstractNum>
  <w:abstractNum w:abstractNumId="55">
    <w:nsid w:val="57C7D42D"/>
    <w:multiLevelType w:val="hybridMultilevel"/>
    <w:lvl w:ilvl="0">
      <w:lvlJc w:val="left"/>
      <w:lvlText w:val="%1"/>
      <w:numFmt w:val="lowerRoman"/>
      <w:start w:val="1"/>
    </w:lvl>
    <w:lvl w:ilvl="1">
      <w:lvlJc w:val="left"/>
      <w:lvlText w:val="(%2)"/>
      <w:numFmt w:val="lowerLetter"/>
      <w:start w:val="1"/>
    </w:lvl>
  </w:abstractNum>
  <w:abstractNum w:abstractNumId="56">
    <w:nsid w:val="312167AD"/>
    <w:multiLevelType w:val="hybridMultilevel"/>
    <w:lvl w:ilvl="0">
      <w:lvlJc w:val="left"/>
      <w:lvlText w:val="(%1)"/>
      <w:numFmt w:val="lowerRoman"/>
      <w:start w:val="13"/>
    </w:lvl>
    <w:lvl w:ilvl="1">
      <w:lvlJc w:val="left"/>
      <w:lvlText w:val="(%2)"/>
      <w:numFmt w:val="lowerLetter"/>
      <w:start w:val="2"/>
    </w:lvl>
  </w:abstractNum>
  <w:abstractNum w:abstractNumId="57">
    <w:nsid w:val="631B64D4"/>
    <w:multiLevelType w:val="hybridMultilevel"/>
    <w:lvl w:ilvl="0">
      <w:lvlJc w:val="left"/>
      <w:lvlText w:val="(%1)"/>
      <w:numFmt w:val="lowerLetter"/>
      <w:start w:val="3"/>
    </w:lvl>
    <w:lvl w:ilvl="1">
      <w:lvlJc w:val="left"/>
      <w:lvlText w:val="(%2)"/>
      <w:numFmt w:val="lowerRoman"/>
      <w:start w:val="1"/>
    </w:lvl>
  </w:abstractNum>
  <w:abstractNum w:abstractNumId="58">
    <w:nsid w:val="78B5E776"/>
    <w:multiLevelType w:val="hybridMultilevel"/>
    <w:lvl w:ilvl="0">
      <w:lvlJc w:val="left"/>
      <w:lvlText w:val="(%1)"/>
      <w:numFmt w:val="lowerLetter"/>
      <w:start w:val="4"/>
    </w:lvl>
  </w:abstractNum>
  <w:abstractNum w:abstractNumId="59">
    <w:nsid w:val="75486E47"/>
    <w:multiLevelType w:val="hybridMultilevel"/>
    <w:lvl w:ilvl="0">
      <w:lvlJc w:val="left"/>
      <w:lvlText w:val="(%1)"/>
      <w:numFmt w:val="lowerLetter"/>
      <w:start w:val="7"/>
    </w:lvl>
  </w:abstractNum>
  <w:abstractNum w:abstractNumId="60">
    <w:nsid w:val="6E534CDE"/>
    <w:multiLevelType w:val="hybridMultilevel"/>
    <w:lvl w:ilvl="0">
      <w:lvlJc w:val="left"/>
      <w:lvlText w:val="%1"/>
      <w:numFmt w:val="lowerLetter"/>
      <w:start w:val="1"/>
    </w:lvl>
    <w:lvl w:ilvl="1">
      <w:lvlJc w:val="left"/>
      <w:lvlText w:val="(%2)"/>
      <w:numFmt w:val="lowerLetter"/>
      <w:start w:val="10"/>
    </w:lvl>
  </w:abstractNum>
  <w:abstractNum w:abstractNumId="61">
    <w:nsid w:val="1A0DDE32"/>
    <w:multiLevelType w:val="hybridMultilevel"/>
    <w:lvl w:ilvl="0">
      <w:lvlJc w:val="left"/>
      <w:lvlText w:val="(%1)"/>
      <w:numFmt w:val="lowerLetter"/>
      <w:start w:val="35"/>
    </w:lvl>
    <w:lvl w:ilvl="1">
      <w:lvlJc w:val="left"/>
      <w:lvlText w:val="(%2)"/>
      <w:numFmt w:val="lowerLetter"/>
      <w:start w:val="13"/>
    </w:lvl>
  </w:abstractNum>
  <w:abstractNum w:abstractNumId="62">
    <w:nsid w:val="65968C1C"/>
    <w:multiLevelType w:val="hybridMultilevel"/>
    <w:lvl w:ilvl="0">
      <w:lvlJc w:val="left"/>
      <w:lvlText w:val="%1"/>
      <w:numFmt w:val="lowerLetter"/>
      <w:start w:val="1"/>
    </w:lvl>
    <w:lvl w:ilvl="1">
      <w:lvlJc w:val="left"/>
      <w:lvlText w:val="(%2)"/>
      <w:numFmt w:val="lowerLetter"/>
      <w:start w:val="14"/>
    </w:lvl>
  </w:abstractNum>
  <w:abstractNum w:abstractNumId="63">
    <w:nsid w:val="46263DEC"/>
    <w:multiLevelType w:val="hybridMultilevel"/>
    <w:lvl w:ilvl="0">
      <w:lvlJc w:val="left"/>
      <w:lvlText w:val="(%1)"/>
      <w:numFmt w:val="lowerLetter"/>
      <w:start w:val="9"/>
    </w:lvl>
    <w:lvl w:ilvl="1">
      <w:lvlJc w:val="left"/>
      <w:lvlText w:val="%2"/>
      <w:numFmt w:val="lowerLetter"/>
      <w:start w:val="1"/>
    </w:lvl>
  </w:abstractNum>
  <w:abstractNum w:abstractNumId="64">
    <w:nsid w:val="260D8C4A"/>
    <w:multiLevelType w:val="hybridMultilevel"/>
    <w:lvl w:ilvl="0">
      <w:lvlJc w:val="left"/>
      <w:lvlText w:val="(%1)"/>
      <w:numFmt w:val="lowerLetter"/>
      <w:start w:val="1"/>
    </w:lvl>
  </w:abstractNum>
  <w:abstractNum w:abstractNumId="65">
    <w:nsid w:val="73D4D3C4"/>
    <w:multiLevelType w:val="hybridMultilevel"/>
    <w:lvl w:ilvl="0">
      <w:lvlJc w:val="left"/>
      <w:lvlText w:val="(%1)"/>
      <w:numFmt w:val="lowerLetter"/>
      <w:start w:val="1"/>
    </w:lvl>
  </w:abstractNum>
  <w:abstractNum w:abstractNumId="66">
    <w:nsid w:val="746F2E30"/>
    <w:multiLevelType w:val="hybridMultilevel"/>
    <w:lvl w:ilvl="0">
      <w:lvlJc w:val="left"/>
      <w:lvlText w:val="(%1)"/>
      <w:numFmt w:val="lowerLetter"/>
      <w:start w:val="2"/>
    </w:lvl>
  </w:abstractNum>
  <w:abstractNum w:abstractNumId="67">
    <w:nsid w:val="6FDE8AF6"/>
    <w:multiLevelType w:val="hybridMultilevel"/>
    <w:lvl w:ilvl="0">
      <w:lvlJc w:val="left"/>
      <w:lvlText w:val="%1"/>
      <w:numFmt w:val="lowerLetter"/>
      <w:start w:val="1"/>
    </w:lvl>
    <w:lvl w:ilvl="1">
      <w:lvlJc w:val="left"/>
      <w:lvlText w:val="(%2)"/>
      <w:numFmt w:val="lowerLetter"/>
      <w:start w:val="1"/>
    </w:lvl>
  </w:abstractNum>
  <w:abstractNum w:abstractNumId="68">
    <w:nsid w:val="3FC32E20"/>
    <w:multiLevelType w:val="hybridMultilevel"/>
    <w:lvl w:ilvl="0">
      <w:lvlJc w:val="left"/>
      <w:lvlText w:val="(%1)"/>
      <w:numFmt w:val="lowerLetter"/>
      <w:start w:val="35"/>
    </w:lvl>
    <w:lvl w:ilvl="1">
      <w:lvlJc w:val="left"/>
      <w:lvlText w:val="(%2)"/>
      <w:numFmt w:val="lowerLetter"/>
      <w:start w:val="2"/>
    </w:lvl>
  </w:abstractNum>
  <w:abstractNum w:abstractNumId="69">
    <w:nsid w:val="49C0E823"/>
    <w:multiLevelType w:val="hybridMultilevel"/>
    <w:lvl w:ilvl="0">
      <w:lvlJc w:val="left"/>
      <w:lvlText w:val="(%1)"/>
      <w:numFmt w:val="lowerLetter"/>
      <w:start w:val="35"/>
    </w:lvl>
    <w:lvl w:ilvl="1">
      <w:lvlJc w:val="left"/>
      <w:lvlText w:val="%2"/>
      <w:numFmt w:val="lowerLetter"/>
      <w:start w:val="1"/>
    </w:lvl>
  </w:abstractNum>
  <w:abstractNum w:abstractNumId="70">
    <w:nsid w:val="14D53685"/>
    <w:multiLevelType w:val="hybridMultilevel"/>
    <w:lvl w:ilvl="0">
      <w:lvlJc w:val="left"/>
      <w:lvlText w:val="(%1)"/>
      <w:numFmt w:val="lowerLetter"/>
      <w:start w:val="1"/>
    </w:lvl>
  </w:abstractNum>
  <w:abstractNum w:abstractNumId="71">
    <w:nsid w:val="230F856C"/>
    <w:multiLevelType w:val="hybridMultilevel"/>
    <w:lvl w:ilvl="0">
      <w:lvlJc w:val="left"/>
      <w:lvlText w:val="(%1)"/>
      <w:numFmt w:val="lowerLetter"/>
      <w:start w:val="2"/>
    </w:lvl>
  </w:abstractNum>
  <w:abstractNum w:abstractNumId="72">
    <w:nsid w:val="6EAA85FB"/>
    <w:multiLevelType w:val="hybridMultilevel"/>
    <w:lvl w:ilvl="0">
      <w:lvlJc w:val="left"/>
      <w:lvlText w:val="(%1)"/>
      <w:numFmt w:val="lowerLetter"/>
      <w:start w:val="1"/>
    </w:lvl>
  </w:abstractNum>
  <w:abstractNum w:abstractNumId="73">
    <w:nsid w:val="3F06ECB2"/>
    <w:multiLevelType w:val="hybridMultilevel"/>
    <w:lvl w:ilvl="0">
      <w:lvlJc w:val="left"/>
      <w:lvlText w:val="(%1)"/>
      <w:numFmt w:val="lowerLetter"/>
      <w:start w:val="1"/>
    </w:lvl>
  </w:abstractNum>
  <w:abstractNum w:abstractNumId="74">
    <w:nsid w:val="3B594807"/>
    <w:multiLevelType w:val="hybridMultilevel"/>
    <w:lvl w:ilvl="0">
      <w:lvlJc w:val="left"/>
      <w:lvlText w:val="(%1)"/>
      <w:numFmt w:val="lowerLetter"/>
      <w:start w:val="1"/>
    </w:lvl>
  </w:abstractNum>
  <w:abstractNum w:abstractNumId="75">
    <w:nsid w:val="6CAA2304"/>
    <w:multiLevelType w:val="hybridMultilevel"/>
    <w:lvl w:ilvl="0">
      <w:lvlJc w:val="left"/>
      <w:lvlText w:val="%1"/>
      <w:numFmt w:val="upperLetter"/>
      <w:start w:val="1"/>
    </w:lvl>
    <w:lvl w:ilvl="1">
      <w:lvlJc w:val="left"/>
      <w:lvlText w:val="(%2)"/>
      <w:numFmt w:val="lowerLetter"/>
      <w:start w:val="1"/>
    </w:lvl>
  </w:abstractNum>
  <w:abstractNum w:abstractNumId="76">
    <w:nsid w:val="3F7C2FF4"/>
    <w:multiLevelType w:val="hybridMultilevel"/>
    <w:lvl w:ilvl="0">
      <w:lvlJc w:val="left"/>
      <w:lvlText w:val="(%1)"/>
      <w:numFmt w:val="upperLetter"/>
      <w:start w:val="2"/>
    </w:lvl>
    <w:lvl w:ilvl="1">
      <w:lvlJc w:val="left"/>
      <w:lvlText w:val="(%2)"/>
      <w:numFmt w:val="lowerLetter"/>
      <w:start w:val="2"/>
    </w:lvl>
  </w:abstractNum>
  <w:abstractNum w:abstractNumId="77">
    <w:nsid w:val="25413BEC"/>
    <w:multiLevelType w:val="hybridMultilevel"/>
    <w:lvl w:ilvl="0">
      <w:lvlJc w:val="left"/>
      <w:lvlText w:val="(%1)"/>
      <w:numFmt w:val="lowerLetter"/>
      <w:start w:val="1"/>
    </w:lvl>
  </w:abstractNum>
  <w:abstractNum w:abstractNumId="78">
    <w:nsid w:val="17180B0B"/>
    <w:multiLevelType w:val="hybridMultilevel"/>
    <w:lvl w:ilvl="0">
      <w:lvlJc w:val="left"/>
      <w:lvlText w:val="%1"/>
      <w:numFmt w:val="lowerLetter"/>
      <w:start w:val="1"/>
    </w:lvl>
    <w:lvl w:ilvl="1">
      <w:lvlJc w:val="left"/>
      <w:lvlText w:val="(%2)"/>
      <w:numFmt w:val="lowerLetter"/>
      <w:start w:val="1"/>
    </w:lvl>
  </w:abstractNum>
  <w:abstractNum w:abstractNumId="79">
    <w:nsid w:val="579328B9"/>
    <w:multiLevelType w:val="hybridMultilevel"/>
    <w:lvl w:ilvl="0">
      <w:lvlJc w:val="left"/>
      <w:lvlText w:val="(%1)"/>
      <w:numFmt w:val="lowerLetter"/>
      <w:start w:val="35"/>
    </w:lvl>
    <w:lvl w:ilvl="1">
      <w:lvlJc w:val="left"/>
      <w:lvlText w:val="%2"/>
      <w:numFmt w:val="lowerLetter"/>
      <w:start w:val="1"/>
    </w:lvl>
  </w:abstractNum>
  <w:abstractNum w:abstractNumId="80">
    <w:nsid w:val="5D205E20"/>
    <w:multiLevelType w:val="hybridMultilevel"/>
    <w:lvl w:ilvl="0">
      <w:lvlJc w:val="left"/>
      <w:lvlText w:val="%1"/>
      <w:numFmt w:val="upperLetter"/>
      <w:start w:val="1"/>
    </w:lvl>
    <w:lvl w:ilvl="1">
      <w:lvlJc w:val="left"/>
      <w:lvlText w:val="(%2)"/>
      <w:numFmt w:val="lowerLetter"/>
      <w:start w:val="2"/>
    </w:lvl>
  </w:abstractNum>
  <w:abstractNum w:abstractNumId="81">
    <w:nsid w:val="11CCA8BA"/>
    <w:multiLevelType w:val="hybridMultilevel"/>
    <w:lvl w:ilvl="0">
      <w:lvlJc w:val="left"/>
      <w:lvlText w:val="(%1)"/>
      <w:numFmt w:val="upperLetter"/>
      <w:start w:val="1"/>
    </w:lvl>
    <w:lvl w:ilvl="1">
      <w:lvlJc w:val="left"/>
      <w:lvlText w:val="%2"/>
      <w:numFmt w:val="lowerLetter"/>
      <w:start w:val="1"/>
    </w:lvl>
  </w:abstractNum>
  <w:abstractNum w:abstractNumId="82">
    <w:nsid w:val="4D32AB86"/>
    <w:multiLevelType w:val="hybridMultilevel"/>
    <w:lvl w:ilvl="0">
      <w:lvlJc w:val="left"/>
      <w:lvlText w:val="(%1)"/>
      <w:numFmt w:val="lowerLetter"/>
      <w:start w:val="3"/>
    </w:lvl>
  </w:abstractNum>
  <w:abstractNum w:abstractNumId="83">
    <w:nsid w:val="3F07ACC3"/>
    <w:multiLevelType w:val="hybridMultilevel"/>
    <w:lvl w:ilvl="0">
      <w:lvlJc w:val="left"/>
      <w:lvlText w:val="(%1)"/>
      <w:numFmt w:val="lowerLetter"/>
      <w:start w:val="61"/>
    </w:lvl>
  </w:abstractNum>
  <w:abstractNum w:abstractNumId="84">
    <w:nsid w:val="6B47F63E"/>
    <w:multiLevelType w:val="hybridMultilevel"/>
    <w:lvl w:ilvl="0">
      <w:lvlJc w:val="left"/>
      <w:lvlText w:val="(%1)"/>
      <w:numFmt w:val="lowerLetter"/>
      <w:start w:val="1"/>
    </w:lvl>
  </w:abstractNum>
  <w:abstractNum w:abstractNumId="85">
    <w:nsid w:val="5CB44A05"/>
    <w:multiLevelType w:val="hybridMultilevel"/>
    <w:lvl w:ilvl="0">
      <w:lvlJc w:val="left"/>
      <w:lvlText w:val="(%1)"/>
      <w:numFmt w:val="lowerLetter"/>
      <w:start w:val="1"/>
    </w:lvl>
    <w:lvl w:ilvl="1">
      <w:lvlJc w:val="left"/>
      <w:lvlText w:val="(%2)"/>
      <w:numFmt w:val="lowerLetter"/>
      <w:start w:val="9"/>
    </w:lvl>
  </w:abstractNum>
  <w:abstractNum w:abstractNumId="86">
    <w:nsid w:val="16CF80F1"/>
    <w:multiLevelType w:val="hybridMultilevel"/>
    <w:lvl w:ilvl="0">
      <w:lvlJc w:val="left"/>
      <w:lvlText w:val="(%1)"/>
      <w:numFmt w:val="lowerRoman"/>
      <w:start w:val="2"/>
    </w:lvl>
  </w:abstractNum>
  <w:abstractNum w:abstractNumId="87">
    <w:nsid w:val="1C695DEC"/>
    <w:multiLevelType w:val="hybridMultilevel"/>
    <w:lvl w:ilvl="0">
      <w:lvlJc w:val="left"/>
      <w:lvlText w:val="(%1)"/>
      <w:numFmt w:val="lowerRoman"/>
      <w:start w:val="11"/>
    </w:lvl>
  </w:abstractNum>
  <w:abstractNum w:abstractNumId="88">
    <w:nsid w:val="3FCFAED9"/>
    <w:multiLevelType w:val="hybridMultilevel"/>
    <w:lvl w:ilvl="0">
      <w:lvlJc w:val="left"/>
      <w:lvlText w:val="(%1)"/>
      <w:numFmt w:val="lowerRoman"/>
      <w:start w:val="17"/>
    </w:lvl>
  </w:abstractNum>
  <w:abstractNum w:abstractNumId="89">
    <w:nsid w:val="F856867"/>
    <w:multiLevelType w:val="hybridMultilevel"/>
    <w:lvl w:ilvl="0">
      <w:lvlJc w:val="left"/>
      <w:lvlText w:val="(%1)"/>
      <w:numFmt w:val="lowerLetter"/>
      <w:start w:val="3"/>
    </w:lvl>
  </w:abstractNum>
  <w:abstractNum w:abstractNumId="90">
    <w:nsid w:val="11B1CC33"/>
    <w:multiLevelType w:val="hybridMultilevel"/>
    <w:lvl w:ilvl="0">
      <w:lvlJc w:val="left"/>
      <w:lvlText w:val="%1"/>
      <w:numFmt w:val="decimal"/>
      <w:start w:val="1"/>
    </w:lvl>
    <w:lvl w:ilvl="1">
      <w:lvlJc w:val="left"/>
      <w:lvlText w:val="(%2)"/>
      <w:numFmt w:val="lowerRoman"/>
      <w:start w:val="1"/>
    </w:lvl>
  </w:abstractNum>
  <w:abstractNum w:abstractNumId="91">
    <w:nsid w:val="2E22FBB7"/>
    <w:multiLevelType w:val="hybridMultilevel"/>
    <w:lvl w:ilvl="0">
      <w:lvlJc w:val="left"/>
      <w:lvlText w:val="(%1)"/>
      <w:numFmt w:val="decimal"/>
      <w:start w:val="2"/>
    </w:lvl>
    <w:lvl w:ilvl="1">
      <w:lvlJc w:val="left"/>
      <w:lvlText w:val="(%2)"/>
      <w:numFmt w:val="lowerRoman"/>
      <w:start w:val="5"/>
    </w:lvl>
  </w:abstractNum>
  <w:abstractNum w:abstractNumId="92">
    <w:nsid w:val="29934699"/>
    <w:multiLevelType w:val="hybridMultilevel"/>
    <w:lvl w:ilvl="0">
      <w:lvlJc w:val="left"/>
      <w:lvlText w:val="(%1)"/>
      <w:numFmt w:val="lowerLetter"/>
      <w:start w:val="4"/>
    </w:lvl>
  </w:abstractNum>
  <w:abstractNum w:abstractNumId="93">
    <w:nsid w:val="77485850"/>
    <w:multiLevelType w:val="hybridMultilevel"/>
    <w:lvl w:ilvl="0">
      <w:lvlJc w:val="left"/>
      <w:lvlText w:val="(%1)"/>
      <w:numFmt w:val="lowerLetter"/>
      <w:start w:val="1"/>
    </w:lvl>
  </w:abstractNum>
  <w:abstractNum w:abstractNumId="94">
    <w:nsid w:val="744939A3"/>
    <w:multiLevelType w:val="hybridMultilevel"/>
    <w:lvl w:ilvl="0">
      <w:lvlJc w:val="left"/>
      <w:lvlText w:val="%1"/>
      <w:numFmt w:val="lowerLetter"/>
      <w:start w:val="1"/>
    </w:lvl>
    <w:lvl w:ilvl="1">
      <w:lvlJc w:val="left"/>
      <w:lvlText w:val="(%2)"/>
      <w:numFmt w:val="lowerLetter"/>
      <w:start w:val="2"/>
    </w:lvl>
  </w:abstractNum>
  <w:abstractNum w:abstractNumId="95">
    <w:nsid w:val="4FA0D2E3"/>
    <w:multiLevelType w:val="hybridMultilevel"/>
    <w:lvl w:ilvl="0">
      <w:lvlJc w:val="left"/>
      <w:lvlText w:val="(%1)"/>
      <w:numFmt w:val="lowerLetter"/>
      <w:start w:val="22"/>
    </w:lvl>
    <w:lvl w:ilvl="1">
      <w:lvlJc w:val="left"/>
      <w:lvlText w:val="(%2)"/>
      <w:numFmt w:val="lowerLetter"/>
      <w:start w:val="3"/>
    </w:lvl>
  </w:abstractNum>
  <w:abstractNum w:abstractNumId="96">
    <w:nsid w:val="6B1D2C14"/>
    <w:multiLevelType w:val="hybridMultilevel"/>
    <w:lvl w:ilvl="0">
      <w:lvlJc w:val="left"/>
      <w:lvlText w:val="(%1)"/>
      <w:numFmt w:val="lowerLetter"/>
      <w:start w:val="35"/>
    </w:lvl>
    <w:lvl w:ilvl="1">
      <w:lvlJc w:val="left"/>
      <w:lvlText w:val="%2"/>
      <w:numFmt w:val="lowerLetter"/>
      <w:start w:val="1"/>
    </w:lvl>
  </w:abstractNum>
  <w:abstractNum w:abstractNumId="97">
    <w:nsid w:val="68B867D3"/>
    <w:multiLevelType w:val="hybridMultilevel"/>
    <w:lvl w:ilvl="0">
      <w:lvlJc w:val="left"/>
      <w:lvlText w:val="(%1)"/>
      <w:numFmt w:val="lowerLetter"/>
      <w:start w:val="4"/>
    </w:lvl>
  </w:abstractNum>
  <w:abstractNum w:abstractNumId="98">
    <w:nsid w:val="3F7F5DD9"/>
    <w:multiLevelType w:val="hybridMultilevel"/>
    <w:lvl w:ilvl="0">
      <w:lvlJc w:val="left"/>
      <w:lvlText w:val="(%1)"/>
      <w:numFmt w:val="lowerLetter"/>
      <w:start w:val="1"/>
    </w:lvl>
  </w:abstractNum>
  <w:abstractNum w:abstractNumId="99">
    <w:nsid w:val="2AE05A34"/>
    <w:multiLevelType w:val="hybridMultilevel"/>
    <w:lvl w:ilvl="0">
      <w:lvlJc w:val="left"/>
      <w:lvlText w:val="(%1)"/>
      <w:numFmt w:val="lowerLetter"/>
      <w:start w:val="24"/>
    </w:lvl>
    <w:lvl w:ilvl="1">
      <w:lvlJc w:val="left"/>
      <w:lvlText w:val="(%2)"/>
      <w:numFmt w:val="lowerLetter"/>
      <w:start w:val="2"/>
    </w:lvl>
  </w:abstractNum>
  <w:abstractNum w:abstractNumId="100">
    <w:nsid w:val="32794FF7"/>
    <w:multiLevelType w:val="hybridMultilevel"/>
    <w:lvl w:ilvl="0">
      <w:lvlJc w:val="left"/>
      <w:lvlText w:val="(%1)"/>
      <w:numFmt w:val="lowerLetter"/>
      <w:start w:val="4"/>
    </w:lvl>
  </w:abstractNum>
  <w:abstractNum w:abstractNumId="101">
    <w:nsid w:val="5454945E"/>
    <w:multiLevelType w:val="hybridMultilevel"/>
    <w:lvl w:ilvl="0">
      <w:lvlJc w:val="left"/>
      <w:lvlText w:val="%1"/>
      <w:numFmt w:val="lowerLetter"/>
      <w:start w:val="1"/>
    </w:lvl>
    <w:lvl w:ilvl="1">
      <w:lvlJc w:val="left"/>
      <w:lvlText w:val="(%2)"/>
      <w:numFmt w:val="lowerLetter"/>
      <w:start w:val="1"/>
    </w:lvl>
  </w:abstractNum>
  <w:abstractNum w:abstractNumId="102">
    <w:nsid w:val="4DEFDFA0"/>
    <w:multiLevelType w:val="hybridMultilevel"/>
    <w:lvl w:ilvl="0">
      <w:lvlJc w:val="left"/>
      <w:lvlText w:val="(%1)"/>
      <w:numFmt w:val="lowerLetter"/>
      <w:start w:val="9"/>
    </w:lvl>
    <w:lvl w:ilvl="1">
      <w:lvlJc w:val="left"/>
      <w:lvlText w:val="(%2)"/>
      <w:numFmt w:val="lowerLetter"/>
      <w:start w:val="2"/>
    </w:lvl>
  </w:abstractNum>
  <w:abstractNum w:abstractNumId="103">
    <w:nsid w:val="2123D5F2"/>
    <w:multiLevelType w:val="hybridMultilevel"/>
    <w:lvl w:ilvl="0">
      <w:lvlJc w:val="left"/>
      <w:lvlText w:val="(%1)"/>
      <w:numFmt w:val="lowerRoman"/>
      <w:start w:val="2"/>
    </w:lvl>
  </w:abstractNum>
  <w:abstractNum w:abstractNumId="104">
    <w:nsid w:val="135B8110"/>
    <w:multiLevelType w:val="hybridMultilevel"/>
    <w:lvl w:ilvl="0">
      <w:lvlJc w:val="left"/>
      <w:lvlText w:val="(%1)"/>
      <w:numFmt w:val="lowerLetter"/>
      <w:start w:val="61"/>
    </w:lvl>
    <w:lvl w:ilvl="1">
      <w:lvlJc w:val="left"/>
      <w:lvlText w:val="(%2)"/>
      <w:numFmt w:val="lowerLetter"/>
      <w:start w:val="3"/>
    </w:lvl>
  </w:abstractNum>
  <w:abstractNum w:abstractNumId="105">
    <w:nsid w:val="94927A8"/>
    <w:multiLevelType w:val="hybridMultilevel"/>
    <w:lvl w:ilvl="0">
      <w:lvlJc w:val="left"/>
      <w:lvlText w:val="(%1)"/>
      <w:numFmt w:val="lowerLetter"/>
      <w:start w:val="1"/>
    </w:lvl>
  </w:abstractNum>
  <w:abstractNum w:abstractNumId="106">
    <w:nsid w:val="DCDF8F6"/>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107">
    <w:nsid w:val="52D7B105"/>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108">
    <w:nsid w:val="2E8A6394"/>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109">
    <w:nsid w:val="24E60401"/>
    <w:multiLevelType w:val="hybridMultilevel"/>
    <w:lvl w:ilvl="0">
      <w:lvlJc w:val="left"/>
      <w:lvlText w:val="%1"/>
      <w:numFmt w:val="decimal"/>
      <w:start w:val="1"/>
    </w:lvl>
    <w:lvl w:ilvl="1">
      <w:lvlJc w:val="left"/>
      <w:lvlText w:val="(%2)"/>
      <w:numFmt w:val="lowerRoman"/>
      <w:start w:val="2"/>
    </w:lvl>
  </w:abstractNum>
  <w:abstractNum w:abstractNumId="110">
    <w:nsid w:val="2A6AD9BE"/>
    <w:multiLevelType w:val="hybridMultilevel"/>
    <w:lvl w:ilvl="0">
      <w:lvlJc w:val="left"/>
      <w:lvlText w:val="(%1)"/>
      <w:numFmt w:val="decimal"/>
      <w:start w:val="1"/>
    </w:lvl>
    <w:lvl w:ilvl="1">
      <w:lvlJc w:val="left"/>
      <w:lvlText w:val="%2"/>
      <w:numFmt w:val="lowerRoman"/>
      <w:start w:val="1"/>
    </w:lvl>
  </w:abstractNum>
  <w:abstractNum w:abstractNumId="111">
    <w:nsid w:val="BAAC1B4"/>
    <w:multiLevelType w:val="hybridMultilevel"/>
    <w:lvl w:ilvl="0">
      <w:lvlJc w:val="left"/>
      <w:lvlText w:val="(%1)"/>
      <w:numFmt w:val="lowerLetter"/>
      <w:start w:val="7"/>
    </w:lvl>
  </w:abstractNum>
  <w:abstractNum w:abstractNumId="112">
    <w:nsid w:val="36B2ACBC"/>
    <w:multiLevelType w:val="hybridMultilevel"/>
    <w:lvl w:ilvl="0">
      <w:lvlJc w:val="left"/>
      <w:lvlText w:val="(%1)"/>
      <w:numFmt w:val="lowerLetter"/>
      <w:start w:val="1"/>
    </w:lvl>
  </w:abstractNum>
  <w:abstractNum w:abstractNumId="113">
    <w:nsid w:val="779D8544"/>
    <w:multiLevelType w:val="hybridMultilevel"/>
    <w:lvl w:ilvl="0">
      <w:lvlJc w:val="left"/>
      <w:lvlText w:val="%1"/>
      <w:numFmt w:val="lowerLetter"/>
      <w:start w:val="1"/>
    </w:lvl>
    <w:lvl w:ilvl="1">
      <w:lvlJc w:val="left"/>
      <w:lvlText w:val="(%2)"/>
      <w:numFmt w:val="lowerLetter"/>
      <w:start w:val="2"/>
    </w:lvl>
  </w:abstractNum>
  <w:abstractNum w:abstractNumId="114">
    <w:nsid w:val="4AB26E78"/>
    <w:multiLevelType w:val="hybridMultilevel"/>
    <w:lvl w:ilvl="0">
      <w:lvlJc w:val="left"/>
      <w:lvlText w:val="(%1)"/>
      <w:numFmt w:val="lowerLetter"/>
      <w:start w:val="35"/>
    </w:lvl>
    <w:lvl w:ilvl="1">
      <w:lvlJc w:val="left"/>
      <w:lvlText w:val="(%2)"/>
      <w:numFmt w:val="lowerLetter"/>
      <w:start w:val="4"/>
    </w:lvl>
  </w:abstractNum>
  <w:abstractNum w:abstractNumId="115">
    <w:nsid w:val="21FAA2FA"/>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116">
    <w:nsid w:val="5451CF49"/>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117">
    <w:nsid w:val="6181EF69"/>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118">
    <w:nsid w:val="3E6400E6"/>
    <w:multiLevelType w:val="hybridMultilevel"/>
    <w:lvl w:ilvl="0">
      <w:lvlJc w:val="left"/>
      <w:lvlText w:val="%1"/>
      <w:numFmt w:val="lowerLetter"/>
      <w:start w:val="1"/>
    </w:lvl>
    <w:lvl w:ilvl="1">
      <w:lvlJc w:val="left"/>
      <w:lvlText w:val="(%2)"/>
      <w:numFmt w:val="lowerLetter"/>
      <w:start w:val="35"/>
    </w:lvl>
  </w:abstractNum>
  <w:abstractNum w:abstractNumId="119">
    <w:nsid w:val="14217E23"/>
    <w:multiLevelType w:val="hybridMultilevel"/>
    <w:lvl w:ilvl="0">
      <w:lvlJc w:val="left"/>
      <w:lvlText w:val="(%1)"/>
      <w:numFmt w:val="lowerLetter"/>
      <w:start w:val="7"/>
    </w:lvl>
    <w:lvl w:ilvl="1">
      <w:lvlJc w:val="left"/>
      <w:lvlText w:val="%2"/>
      <w:numFmt w:val="lowerLetter"/>
      <w:start w:val="1"/>
    </w:lvl>
  </w:abstractNum>
  <w:abstractNum w:abstractNumId="120">
    <w:nsid w:val="710757D0"/>
    <w:multiLevelType w:val="hybridMultilevel"/>
    <w:lvl w:ilvl="0">
      <w:lvlJc w:val="left"/>
      <w:lvlText w:val="(%1)"/>
      <w:numFmt w:val="lowerLetter"/>
      <w:start w:val="8"/>
    </w:lvl>
  </w:abstractNum>
  <w:abstractNum w:abstractNumId="121">
    <w:nsid w:val="5015CD1A"/>
    <w:multiLevelType w:val="hybridMultilevel"/>
    <w:lvl w:ilvl="0">
      <w:lvlJc w:val="left"/>
      <w:lvlText w:val="%1"/>
      <w:numFmt w:val="lowerLetter"/>
      <w:start w:val="1"/>
    </w:lvl>
    <w:lvl w:ilvl="1">
      <w:lvlJc w:val="left"/>
      <w:lvlText w:val="(%2)"/>
      <w:numFmt w:val="lowerLetter"/>
      <w:start w:val="1"/>
    </w:lvl>
  </w:abstractNum>
  <w:abstractNum w:abstractNumId="122">
    <w:nsid w:val="424479DA"/>
    <w:multiLevelType w:val="hybridMultilevel"/>
    <w:lvl w:ilvl="0">
      <w:lvlJc w:val="left"/>
      <w:lvlText w:val="(%1)"/>
      <w:numFmt w:val="lowerLetter"/>
      <w:start w:val="9"/>
    </w:lvl>
    <w:lvl w:ilvl="1">
      <w:lvlJc w:val="left"/>
      <w:lvlText w:val="(%2)"/>
      <w:numFmt w:val="lowerLetter"/>
      <w:start w:val="2"/>
    </w:lvl>
  </w:abstractNum>
  <w:abstractNum w:abstractNumId="123">
    <w:nsid w:val="1A9A9E69"/>
    <w:multiLevelType w:val="hybridMultilevel"/>
    <w:lvl w:ilvl="0">
      <w:lvlJc w:val="left"/>
      <w:lvlText w:val="(%1)"/>
      <w:numFmt w:val="lowerLetter"/>
      <w:start w:val="3"/>
    </w:lvl>
  </w:abstractNum>
  <w:abstractNum w:abstractNumId="124">
    <w:nsid w:val="475E256A"/>
    <w:multiLevelType w:val="hybridMultilevel"/>
    <w:lvl w:ilvl="0">
      <w:lvlJc w:val="left"/>
      <w:lvlText w:val="%1"/>
      <w:numFmt w:val="upperLetter"/>
      <w:start w:val="1"/>
    </w:lvl>
    <w:lvl w:ilvl="1">
      <w:lvlJc w:val="left"/>
      <w:lvlText w:val="(%2)"/>
      <w:numFmt w:val="lowerLetter"/>
      <w:start w:val="5"/>
    </w:lvl>
  </w:abstractNum>
  <w:abstractNum w:abstractNumId="125">
    <w:nsid w:val="368DB37E"/>
    <w:multiLevelType w:val="hybridMultilevel"/>
    <w:lvl w:ilvl="0">
      <w:lvlJc w:val="left"/>
      <w:lvlText w:val="(%1)"/>
      <w:numFmt w:val="upperLetter"/>
      <w:start w:val="2"/>
    </w:lvl>
    <w:lvl w:ilvl="1">
      <w:lvlJc w:val="left"/>
      <w:lvlText w:val="(%2)"/>
      <w:numFmt w:val="lowerLetter"/>
      <w:start w:val="7"/>
    </w:lvl>
  </w:abstractNum>
  <w:abstractNum w:abstractNumId="126">
    <w:nsid w:val="6A3B714C"/>
    <w:multiLevelType w:val="hybridMultilevel"/>
    <w:lvl w:ilvl="0">
      <w:lvlJc w:val="left"/>
      <w:lvlText w:val="(%1)"/>
      <w:numFmt w:val="lowerLetter"/>
      <w:start w:val="9"/>
    </w:lvl>
  </w:abstractNum>
  <w:abstractNum w:abstractNumId="127">
    <w:nsid w:val="327B517E"/>
    <w:multiLevelType w:val="hybridMultilevel"/>
    <w:lvl w:ilvl="0">
      <w:lvlJc w:val="left"/>
      <w:lvlText w:val="(%1)"/>
      <w:numFmt w:val="lowerRoman"/>
      <w:start w:val="2"/>
    </w:lvl>
  </w:abstractNum>
  <w:abstractNum w:abstractNumId="128">
    <w:nsid w:val="1F461B51"/>
    <w:multiLevelType w:val="hybridMultilevel"/>
    <w:lvl w:ilvl="0">
      <w:lvlJc w:val="left"/>
      <w:lvlText w:val="(%1)"/>
      <w:numFmt w:val="lowerLetter"/>
      <w:start w:val="1"/>
    </w:lvl>
  </w:abstractNum>
  <w:abstractNum w:abstractNumId="129">
    <w:nsid w:val="29BACF25"/>
    <w:multiLevelType w:val="hybridMultilevel"/>
    <w:lvl w:ilvl="0">
      <w:lvlJc w:val="left"/>
      <w:lvlText w:val="(%1)"/>
      <w:numFmt w:val="lowerLetter"/>
      <w:start w:val="1"/>
    </w:lvl>
  </w:abstractNum>
  <w:abstractNum w:abstractNumId="130">
    <w:nsid w:val="5D5BABB3"/>
    <w:multiLevelType w:val="hybridMultilevel"/>
    <w:lvl w:ilvl="0">
      <w:lvlJc w:val="left"/>
      <w:lvlText w:val="(%1)"/>
      <w:numFmt w:val="lowerLetter"/>
      <w:start w:val="4"/>
    </w:lvl>
  </w:abstractNum>
  <w:abstractNum w:abstractNumId="131">
    <w:nsid w:val="51BF6B48"/>
    <w:multiLevelType w:val="hybridMultilevel"/>
    <w:lvl w:ilvl="0">
      <w:lvlJc w:val="left"/>
      <w:lvlText w:val="(%1)"/>
      <w:numFmt w:val="lowerLetter"/>
      <w:start w:val="1"/>
    </w:lvl>
  </w:abstractNum>
  <w:abstractNum w:abstractNumId="132">
    <w:nsid w:val="7E0F6384"/>
    <w:multiLevelType w:val="hybridMultilevel"/>
    <w:lvl w:ilvl="0">
      <w:lvlJc w:val="left"/>
      <w:lvlText w:val="(%1)"/>
      <w:numFmt w:val="lowerLetter"/>
      <w:start w:val="2"/>
    </w:lvl>
  </w:abstractNum>
  <w:abstractNum w:abstractNumId="133">
    <w:nsid w:val="2B4B8B53"/>
    <w:multiLevelType w:val="hybridMultilevel"/>
    <w:lvl w:ilvl="0">
      <w:lvlJc w:val="left"/>
      <w:lvlText w:val="(%1)"/>
      <w:numFmt w:val="lowerLetter"/>
      <w:start w:val="1"/>
    </w:lvl>
  </w:abstractNum>
  <w:abstractNum w:abstractNumId="134">
    <w:nsid w:val="72E3413A"/>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135">
    <w:nsid w:val="116AE494"/>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136">
    <w:nsid w:val="3494B2FB"/>
    <w:multiLevelType w:val="hybridMultilevel"/>
    <w:lvl w:ilvl="0">
      <w:lvlJc w:val="left"/>
      <w:lvlText w:val="%1"/>
      <w:numFmt w:val="decimal"/>
      <w:start w:val="1"/>
    </w:lvl>
    <w:lvl w:ilvl="1">
      <w:lvlJc w:val="left"/>
      <w:lvlText w:val="(%2)"/>
      <w:numFmt w:val="lowerLetter"/>
      <w:start w:val="5"/>
    </w:lvl>
  </w:abstractNum>
  <w:abstractNum w:abstractNumId="137">
    <w:nsid w:val="B13A31"/>
    <w:multiLevelType w:val="hybridMultilevel"/>
    <w:lvl w:ilvl="0">
      <w:lvlJc w:val="left"/>
      <w:lvlText w:val="(%1)"/>
      <w:numFmt w:val="decimal"/>
      <w:start w:val="1"/>
    </w:lvl>
    <w:lvl w:ilvl="1">
      <w:lvlJc w:val="left"/>
      <w:lvlText w:val="%2"/>
      <w:numFmt w:val="lowerLetter"/>
      <w:start w:val="1"/>
    </w:lvl>
  </w:abstractNum>
  <w:abstractNum w:abstractNumId="138">
    <w:nsid w:val="64429599"/>
    <w:multiLevelType w:val="hybridMultilevel"/>
    <w:lvl w:ilvl="0">
      <w:lvlJc w:val="left"/>
      <w:lvlText w:val="(%1)"/>
      <w:numFmt w:val="lowerLetter"/>
      <w:start w:val="1"/>
    </w:lvl>
  </w:abstractNum>
  <w:abstractNum w:abstractNumId="139">
    <w:nsid w:val="631F1690"/>
    <w:multiLevelType w:val="hybridMultilevel"/>
    <w:lvl w:ilvl="0">
      <w:lvlJc w:val="left"/>
      <w:lvlText w:val="%1"/>
      <w:numFmt w:val="lowerLetter"/>
      <w:start w:val="1"/>
    </w:lvl>
    <w:lvl w:ilvl="1">
      <w:lvlJc w:val="left"/>
      <w:lvlText w:val="(%2)"/>
      <w:numFmt w:val="lowerLetter"/>
      <w:start w:val="2"/>
    </w:lvl>
  </w:abstractNum>
  <w:abstractNum w:abstractNumId="140">
    <w:nsid w:val="25973E32"/>
    <w:multiLevelType w:val="hybridMultilevel"/>
    <w:lvl w:ilvl="0">
      <w:lvlJc w:val="left"/>
      <w:lvlText w:val="(%1)"/>
      <w:numFmt w:val="lowerLetter"/>
      <w:start w:val="35"/>
    </w:lvl>
    <w:lvl w:ilvl="1">
      <w:lvlJc w:val="left"/>
      <w:lvlText w:val="(%2)"/>
      <w:numFmt w:val="lowerLetter"/>
      <w:start w:val="3"/>
    </w:lvl>
  </w:abstractNum>
  <w:abstractNum w:abstractNumId="141">
    <w:nsid w:val="EAD6F57"/>
    <w:multiLevelType w:val="hybridMultilevel"/>
    <w:lvl w:ilvl="0">
      <w:lvlJc w:val="left"/>
      <w:lvlText w:val="(%1)"/>
      <w:numFmt w:val="lowerLetter"/>
      <w:start w:val="5"/>
    </w:lvl>
    <w:lvl w:ilvl="1">
      <w:lvlJc w:val="left"/>
      <w:lvlText w:val="(%2)"/>
      <w:numFmt w:val="lowerRoman"/>
      <w:start w:val="1"/>
    </w:lvl>
  </w:abstractNum>
  <w:abstractNum w:abstractNumId="142">
    <w:nsid w:val="6EC9D844"/>
    <w:multiLevelType w:val="hybridMultilevel"/>
    <w:lvl w:ilvl="0">
      <w:lvlJc w:val="left"/>
      <w:lvlText w:val="(%1)"/>
      <w:numFmt w:val="lowerRoman"/>
      <w:start w:val="6"/>
    </w:lvl>
  </w:abstractNum>
  <w:abstractNum w:abstractNumId="143">
    <w:nsid w:val="5C49EAEE"/>
    <w:multiLevelType w:val="hybridMultilevel"/>
    <w:lvl w:ilvl="0">
      <w:lvlJc w:val="left"/>
      <w:lvlText w:val="(%1)"/>
      <w:numFmt w:val="lowerLetter"/>
      <w:start w:val="6"/>
    </w:lvl>
  </w:abstractNum>
  <w:abstractNum w:abstractNumId="144">
    <w:nsid w:val="64AF49B"/>
    <w:multiLevelType w:val="hybridMultilevel"/>
    <w:lvl w:ilvl="0">
      <w:lvlJc w:val="left"/>
      <w:lvlText w:val="(%1)"/>
      <w:numFmt w:val="lowerLetter"/>
      <w:start w:val="8"/>
    </w:lvl>
  </w:abstractNum>
  <w:abstractNum w:abstractNumId="145">
    <w:nsid w:val="397C46BC"/>
    <w:multiLevelType w:val="hybridMultilevel"/>
    <w:lvl w:ilvl="0">
      <w:lvlJc w:val="left"/>
      <w:lvlText w:val="(%1)"/>
      <w:numFmt w:val="lowerLetter"/>
      <w:start w:val="10"/>
    </w:lvl>
  </w:abstractNum>
  <w:abstractNum w:abstractNumId="146">
    <w:nsid w:val="7E448DE9"/>
    <w:multiLevelType w:val="hybridMultilevel"/>
    <w:lvl w:ilvl="0">
      <w:lvlJc w:val="left"/>
      <w:lvlText w:val="(%1)"/>
      <w:numFmt w:val="lowerLetter"/>
      <w:start w:val="1"/>
    </w:lvl>
  </w:abstractNum>
  <w:abstractNum w:abstractNumId="147">
    <w:nsid w:val="5A9CC3E5"/>
    <w:multiLevelType w:val="hybridMultilevel"/>
    <w:lvl w:ilvl="0">
      <w:lvlJc w:val="left"/>
      <w:lvlText w:val="%1"/>
      <w:numFmt w:val="lowerLetter"/>
      <w:start w:val="1"/>
    </w:lvl>
    <w:lvl w:ilvl="1">
      <w:lvlJc w:val="left"/>
      <w:lvlText w:val="(%2)"/>
      <w:numFmt w:val="lowerLetter"/>
      <w:start w:val="1"/>
    </w:lvl>
  </w:abstractNum>
  <w:abstractNum w:abstractNumId="148">
    <w:nsid w:val="1AFE3625"/>
    <w:multiLevelType w:val="hybridMultilevel"/>
    <w:lvl w:ilvl="0">
      <w:lvlJc w:val="left"/>
      <w:lvlText w:val="(%1)"/>
      <w:numFmt w:val="lowerLetter"/>
      <w:start w:val="9"/>
    </w:lvl>
    <w:lvl w:ilvl="1">
      <w:lvlJc w:val="left"/>
      <w:lvlText w:val="(%2)"/>
      <w:numFmt w:val="lowerLetter"/>
      <w:start w:val="2"/>
    </w:lvl>
  </w:abstractNum>
  <w:abstractNum w:abstractNumId="149">
    <w:nsid w:val="3CA88ECF"/>
    <w:multiLevelType w:val="hybridMultilevel"/>
    <w:lvl w:ilvl="0">
      <w:lvlJc w:val="left"/>
      <w:lvlText w:val="(%1)"/>
      <w:numFmt w:val="lowerLetter"/>
      <w:start w:val="1"/>
    </w:lvl>
  </w:abstractNum>
  <w:abstractNum w:abstractNumId="150">
    <w:nsid w:val="6EBE4208"/>
    <w:multiLevelType w:val="hybridMultilevel"/>
    <w:lvl w:ilvl="0">
      <w:lvlJc w:val="left"/>
      <w:lvlText w:val="(%1)"/>
      <w:numFmt w:val="lowerLetter"/>
      <w:start w:val="1"/>
    </w:lvl>
  </w:abstractNum>
  <w:abstractNum w:abstractNumId="151">
    <w:nsid w:val="C058DF5"/>
    <w:multiLevelType w:val="hybridMultilevel"/>
    <w:lvl w:ilvl="0">
      <w:lvlJc w:val="left"/>
      <w:lvlText w:val="(%1)"/>
      <w:numFmt w:val="lowerLetter"/>
      <w:start w:val="4"/>
    </w:lvl>
  </w:abstractNum>
  <w:abstractNum w:abstractNumId="152">
    <w:nsid w:val="CBE5BE9"/>
    <w:multiLevelType w:val="hybridMultilevel"/>
    <w:lvl w:ilvl="0">
      <w:lvlJc w:val="left"/>
      <w:lvlText w:val="(%1)"/>
      <w:numFmt w:val="lowerLetter"/>
      <w:start w:val="1"/>
    </w:lvl>
  </w:abstractNum>
  <w:abstractNum w:abstractNumId="153">
    <w:nsid w:val="3102BBE2"/>
    <w:multiLevelType w:val="hybridMultilevel"/>
    <w:lvl w:ilvl="0">
      <w:lvlJc w:val="left"/>
      <w:lvlText w:val="(%1)"/>
      <w:numFmt w:val="lowerLetter"/>
      <w:start w:val="4"/>
    </w:lvl>
  </w:abstractNum>
  <w:abstractNum w:abstractNumId="154">
    <w:nsid w:val="26A02C5E"/>
    <w:multiLevelType w:val="hybridMultilevel"/>
    <w:lvl w:ilvl="0">
      <w:lvlJc w:val="left"/>
      <w:lvlText w:val="(%1)"/>
      <w:numFmt w:val="lowerLetter"/>
      <w:start w:val="1"/>
    </w:lvl>
  </w:abstractNum>
  <w:abstractNum w:abstractNumId="155">
    <w:nsid w:val="541C8153"/>
    <w:multiLevelType w:val="hybridMultilevel"/>
    <w:lvl w:ilvl="0">
      <w:lvlJc w:val="left"/>
      <w:lvlText w:val="(%1)"/>
      <w:numFmt w:val="lowerLetter"/>
      <w:start w:val="3"/>
    </w:lvl>
  </w:abstractNum>
  <w:abstractNum w:abstractNumId="156">
    <w:nsid w:val="67906F60"/>
    <w:multiLevelType w:val="hybridMultilevel"/>
    <w:lvl w:ilvl="0">
      <w:lvlJc w:val="left"/>
      <w:lvlText w:val="(%1)"/>
      <w:numFmt w:val="lowerLetter"/>
      <w:start w:val="4"/>
    </w:lvl>
  </w:abstractNum>
  <w:abstractNum w:abstractNumId="157">
    <w:nsid w:val="10DB9DAA"/>
    <w:multiLevelType w:val="hybridMultilevel"/>
    <w:lvl w:ilvl="0">
      <w:lvlJc w:val="left"/>
      <w:lvlText w:val="(%1)"/>
      <w:numFmt w:val="lowerLetter"/>
      <w:start w:val="1"/>
    </w:lvl>
  </w:abstractNum>
  <w:abstractNum w:abstractNumId="158">
    <w:nsid w:val="697D2D2"/>
    <w:multiLevelType w:val="hybridMultilevel"/>
    <w:lvl w:ilvl="0">
      <w:lvlJc w:val="left"/>
      <w:lvlText w:val="%1"/>
      <w:numFmt w:val="lowerLetter"/>
      <w:start w:val="1"/>
    </w:lvl>
    <w:lvl w:ilvl="1">
      <w:lvlJc w:val="left"/>
      <w:lvlText w:val="(%2)"/>
      <w:numFmt w:val="lowerLetter"/>
      <w:start w:val="1"/>
    </w:lvl>
  </w:abstractNum>
  <w:abstractNum w:abstractNumId="159">
    <w:nsid w:val="6D68AB2"/>
    <w:multiLevelType w:val="hybridMultilevel"/>
    <w:lvl w:ilvl="0">
      <w:lvlJc w:val="left"/>
      <w:lvlText w:val="(%1)"/>
      <w:numFmt w:val="lowerLetter"/>
      <w:start w:val="3"/>
    </w:lvl>
    <w:lvl w:ilvl="1">
      <w:lvlJc w:val="left"/>
      <w:lvlText w:val="%2"/>
      <w:numFmt w:val="lowerLetter"/>
      <w:start w:val="1"/>
    </w:lvl>
  </w:abstractNum>
  <w:abstractNum w:abstractNumId="160">
    <w:nsid w:val="3A966CD0"/>
    <w:multiLevelType w:val="hybridMultilevel"/>
    <w:lvl w:ilvl="0">
      <w:lvlJc w:val="left"/>
      <w:lvlText w:val="%1"/>
      <w:numFmt w:val="lowerLetter"/>
      <w:start w:val="1"/>
    </w:lvl>
    <w:lvl w:ilvl="1">
      <w:lvlJc w:val="left"/>
      <w:lvlText w:val="(%2)"/>
      <w:numFmt w:val="lowerLetter"/>
      <w:start w:val="4"/>
    </w:lvl>
  </w:abstractNum>
  <w:abstractNum w:abstractNumId="161">
    <w:nsid w:val="63F37E85"/>
    <w:multiLevelType w:val="hybridMultilevel"/>
    <w:lvl w:ilvl="0">
      <w:lvlJc w:val="left"/>
      <w:lvlText w:val="(%1)"/>
      <w:numFmt w:val="lowerLetter"/>
      <w:start w:val="35"/>
    </w:lvl>
    <w:lvl w:ilvl="1">
      <w:lvlJc w:val="left"/>
      <w:lvlText w:val="(%2)"/>
      <w:numFmt w:val="lowerLetter"/>
      <w:start w:val="5"/>
    </w:lvl>
  </w:abstractNum>
  <w:abstractNum w:abstractNumId="162">
    <w:nsid w:val="5895F5FA"/>
    <w:multiLevelType w:val="hybridMultilevel"/>
    <w:lvl w:ilvl="0">
      <w:lvlJc w:val="left"/>
      <w:lvlText w:val="%1"/>
      <w:numFmt w:val="lowerRoman"/>
      <w:start w:val="1"/>
    </w:lvl>
    <w:lvl w:ilvl="1">
      <w:lvlJc w:val="left"/>
      <w:lvlText w:val="(%2)"/>
      <w:numFmt w:val="lowerLetter"/>
      <w:start w:val="10"/>
    </w:lvl>
  </w:abstractNum>
  <w:abstractNum w:abstractNumId="163">
    <w:nsid w:val="38A5D054"/>
    <w:multiLevelType w:val="hybridMultilevel"/>
    <w:lvl w:ilvl="0">
      <w:lvlJc w:val="left"/>
      <w:lvlText w:val="(%1)"/>
      <w:numFmt w:val="lowerRoman"/>
      <w:start w:val="4"/>
    </w:lvl>
    <w:lvl w:ilvl="1">
      <w:lvlJc w:val="left"/>
      <w:lvlText w:val="(%2)"/>
      <w:numFmt w:val="lowerLetter"/>
      <w:start w:val="11"/>
    </w:lvl>
  </w:abstractNum>
  <w:abstractNum w:abstractNumId="164">
    <w:nsid w:val="F3F09D8"/>
    <w:multiLevelType w:val="hybridMultilevel"/>
    <w:lvl w:ilvl="0">
      <w:lvlJc w:val="left"/>
      <w:lvlText w:val="(%1)"/>
      <w:numFmt w:val="lowerLetter"/>
      <w:start w:val="1"/>
    </w:lvl>
  </w:abstractNum>
  <w:abstractNum w:abstractNumId="165">
    <w:nsid w:val="4B793735"/>
    <w:multiLevelType w:val="hybridMultilevel"/>
    <w:lvl w:ilvl="0">
      <w:lvlJc w:val="left"/>
      <w:lvlText w:val="(%1)"/>
      <w:numFmt w:val="lowerLetter"/>
      <w:start w:val="5"/>
    </w:lvl>
  </w:abstractNum>
  <w:abstractNum w:abstractNumId="166">
    <w:nsid w:val="4A10B4E8"/>
    <w:multiLevelType w:val="hybridMultilevel"/>
    <w:lvl w:ilvl="0">
      <w:lvlJc w:val="left"/>
      <w:lvlText w:val="(%1)"/>
      <w:numFmt w:val="lowerLetter"/>
      <w:start w:val="8"/>
    </w:lvl>
  </w:abstractNum>
  <w:abstractNum w:abstractNumId="167">
    <w:nsid w:val="43D3BCD4"/>
    <w:multiLevelType w:val="hybridMultilevel"/>
    <w:lvl w:ilvl="0">
      <w:lvlJc w:val="left"/>
      <w:lvlText w:val="(%1)"/>
      <w:numFmt w:val="lowerLetter"/>
      <w:start w:val="9"/>
    </w:lvl>
    <w:lvl w:ilvl="1">
      <w:lvlJc w:val="left"/>
      <w:lvlText w:val="(%2)"/>
      <w:numFmt w:val="lowerLetter"/>
      <w:start w:val="10"/>
    </w:lvl>
  </w:abstractNum>
  <w:abstractNum w:abstractNumId="168">
    <w:nsid w:val="4C2A7166"/>
    <w:multiLevelType w:val="hybridMultilevel"/>
    <w:lvl w:ilvl="0">
      <w:lvlJc w:val="left"/>
      <w:lvlText w:val="(%1)"/>
      <w:numFmt w:val="lowerLetter"/>
      <w:start w:val="11"/>
    </w:lvl>
  </w:abstractNum>
  <w:abstractNum w:abstractNumId="169">
    <w:nsid w:val="2E534A82"/>
    <w:multiLevelType w:val="hybridMultilevel"/>
    <w:lvl w:ilvl="0">
      <w:lvlJc w:val="left"/>
      <w:lvlText w:val="(%1)"/>
      <w:numFmt w:val="lowerLetter"/>
      <w:start w:val="1"/>
    </w:lvl>
  </w:abstractNum>
  <w:abstractNum w:abstractNumId="170">
    <w:nsid w:val="26F2D364"/>
    <w:multiLevelType w:val="hybridMultilevel"/>
    <w:lvl w:ilvl="0">
      <w:lvlJc w:val="left"/>
      <w:lvlText w:val="%1"/>
      <w:numFmt w:val="lowerLetter"/>
      <w:start w:val="1"/>
    </w:lvl>
    <w:lvl w:ilvl="1">
      <w:lvlJc w:val="left"/>
      <w:lvlText w:val="(%2)"/>
      <w:numFmt w:val="lowerLetter"/>
      <w:start w:val="1"/>
    </w:lvl>
  </w:abstractNum>
  <w:abstractNum w:abstractNumId="171">
    <w:nsid w:val="71C1AF98"/>
    <w:multiLevelType w:val="hybridMultilevel"/>
    <w:lvl w:ilvl="0">
      <w:lvlJc w:val="left"/>
      <w:lvlText w:val="(%1)"/>
      <w:numFmt w:val="lowerLetter"/>
      <w:start w:val="61"/>
    </w:lvl>
    <w:lvl w:ilvl="1">
      <w:lvlJc w:val="left"/>
      <w:lvlText w:val="(%2)"/>
      <w:numFmt w:val="lowerLetter"/>
      <w:start w:val="2"/>
    </w:lvl>
  </w:abstractNum>
  <w:abstractNum w:abstractNumId="172">
    <w:nsid w:val="3D00B9D9"/>
    <w:multiLevelType w:val="hybridMultilevel"/>
    <w:lvl w:ilvl="0">
      <w:lvlJc w:val="left"/>
      <w:lvlText w:val="(%1)"/>
      <w:numFmt w:val="lowerLetter"/>
      <w:start w:val="1"/>
    </w:lvl>
  </w:abstractNum>
  <w:abstractNum w:abstractNumId="173">
    <w:nsid w:val="15BCABA8"/>
    <w:multiLevelType w:val="hybridMultilevel"/>
    <w:lvl w:ilvl="0">
      <w:lvlJc w:val="left"/>
      <w:lvlText w:val="(%1)"/>
      <w:numFmt w:val="lowerLetter"/>
      <w:start w:val="3"/>
    </w:lvl>
  </w:abstractNum>
  <w:abstractNum w:abstractNumId="174">
    <w:nsid w:val="4E0B9A87"/>
    <w:multiLevelType w:val="hybridMultilevel"/>
    <w:lvl w:ilvl="0">
      <w:lvlJc w:val="left"/>
      <w:lvlText w:val="%1"/>
      <w:numFmt w:val="lowerLetter"/>
      <w:start w:val="1"/>
    </w:lvl>
    <w:lvl w:ilvl="1">
      <w:lvlJc w:val="left"/>
      <w:lvlText w:val="(%2)"/>
      <w:numFmt w:val="lowerLetter"/>
      <w:start w:val="1"/>
    </w:lvl>
  </w:abstractNum>
  <w:abstractNum w:abstractNumId="175">
    <w:nsid w:val="434BAE75"/>
    <w:multiLevelType w:val="hybridMultilevel"/>
    <w:lvl w:ilvl="0">
      <w:lvlJc w:val="left"/>
      <w:lvlText w:val="(%1)"/>
      <w:numFmt w:val="lowerLetter"/>
      <w:start w:val="61"/>
    </w:lvl>
    <w:lvl w:ilvl="1">
      <w:lvlJc w:val="left"/>
      <w:lvlText w:val="(%2)"/>
      <w:numFmt w:val="lowerLetter"/>
      <w:start w:val="2"/>
    </w:lvl>
  </w:abstractNum>
  <w:abstractNum w:abstractNumId="176">
    <w:nsid w:val="4F38F265"/>
    <w:multiLevelType w:val="hybridMultilevel"/>
    <w:lvl w:ilvl="0">
      <w:lvlJc w:val="left"/>
      <w:lvlText w:val="(%1)"/>
      <w:numFmt w:val="lowerLetter"/>
      <w:start w:val="35"/>
    </w:lvl>
    <w:lvl w:ilvl="1">
      <w:lvlJc w:val="left"/>
      <w:lvlText w:val="(%2)"/>
      <w:numFmt w:val="lowerLetter"/>
      <w:start w:val="3"/>
    </w:lvl>
  </w:abstractNum>
  <w:abstractNum w:abstractNumId="177">
    <w:nsid w:val="4C502870"/>
    <w:multiLevelType w:val="hybridMultilevel"/>
    <w:lvl w:ilvl="0">
      <w:lvlJc w:val="left"/>
      <w:lvlText w:val="(%1)"/>
      <w:numFmt w:val="lowerRoman"/>
      <w:start w:val="1"/>
    </w:lvl>
  </w:abstractNum>
  <w:abstractNum w:abstractNumId="178">
    <w:nsid w:val="1DE8725A"/>
    <w:multiLevelType w:val="hybridMultilevel"/>
    <w:lvl w:ilvl="0">
      <w:lvlJc w:val="left"/>
      <w:lvlText w:val="(%1)"/>
      <w:numFmt w:val="lowerLetter"/>
      <w:start w:val="2"/>
    </w:lvl>
  </w:abstractNum>
  <w:abstractNum w:abstractNumId="179">
    <w:nsid w:val="6A37288A"/>
    <w:multiLevelType w:val="hybridMultilevel"/>
    <w:lvl w:ilvl="0">
      <w:lvlJc w:val="left"/>
      <w:lvlText w:val="(%1)"/>
      <w:numFmt w:val="lowerLetter"/>
      <w:start w:val="1"/>
    </w:lvl>
  </w:abstractNum>
  <w:abstractNum w:abstractNumId="180">
    <w:nsid w:val="8F8B73F"/>
    <w:multiLevelType w:val="hybridMultilevel"/>
    <w:lvl w:ilvl="0">
      <w:lvlJc w:val="left"/>
      <w:lvlText w:val="(%1)"/>
      <w:numFmt w:val="lowerRoman"/>
      <w:start w:val="3"/>
    </w:lvl>
  </w:abstractNum>
  <w:abstractNum w:abstractNumId="181">
    <w:nsid w:val="CA6B462"/>
    <w:multiLevelType w:val="hybridMultilevel"/>
    <w:lvl w:ilvl="0">
      <w:lvlJc w:val="left"/>
      <w:lvlText w:val="(%1)"/>
      <w:numFmt w:val="lowerLetter"/>
      <w:start w:val="1"/>
    </w:lvl>
  </w:abstractNum>
  <w:abstractNum w:abstractNumId="182">
    <w:nsid w:val="763CB680"/>
    <w:multiLevelType w:val="hybridMultilevel"/>
    <w:lvl w:ilvl="0">
      <w:lvlJc w:val="left"/>
      <w:lvlText w:val="%1."/>
      <w:numFmt w:val="decimal"/>
      <w:start w:val="1"/>
    </w:lvl>
  </w:abstractNum>
  <w:abstractNum w:abstractNumId="183">
    <w:nsid w:val="15B71329"/>
    <w:multiLevelType w:val="hybridMultilevel"/>
    <w:lvl w:ilvl="0">
      <w:lvlJc w:val="left"/>
      <w:lvlText w:val="%1."/>
      <w:numFmt w:val="decimal"/>
      <w:start w:val="2"/>
    </w:lvl>
  </w:abstractNum>
  <w:abstractNum w:abstractNumId="184">
    <w:nsid w:val="3DA97044"/>
    <w:multiLevelType w:val="hybridMultilevel"/>
    <w:lvl w:ilvl="0">
      <w:lvlJc w:val="left"/>
      <w:lvlText w:val="%1."/>
      <w:numFmt w:val="decimal"/>
      <w:start w:val="3"/>
    </w:lvl>
  </w:abstractNum>
  <w:abstractNum w:abstractNumId="185">
    <w:nsid w:val="1CDCE2DE"/>
    <w:multiLevelType w:val="hybridMultilevel"/>
    <w:lvl w:ilvl="0">
      <w:lvlJc w:val="left"/>
      <w:lvlText w:val="(%1)"/>
      <w:numFmt w:val="lowerRoman"/>
      <w:start w:val="3"/>
    </w:lvl>
  </w:abstractNum>
  <w:abstractNum w:abstractNumId="186">
    <w:nsid w:val="69D3947C"/>
    <w:multiLevelType w:val="hybridMultilevel"/>
    <w:lvl w:ilvl="0">
      <w:lvlJc w:val="left"/>
      <w:lvlText w:val="(%1)"/>
      <w:numFmt w:val="lowerLetter"/>
      <w:start w:val="5"/>
    </w:lvl>
  </w:abstractNum>
  <w:abstractNum w:abstractNumId="187">
    <w:nsid w:val="2539DFA5"/>
    <w:multiLevelType w:val="hybridMultilevel"/>
    <w:lvl w:ilvl="0">
      <w:lvlJc w:val="left"/>
      <w:lvlText w:val="%1."/>
      <w:numFmt w:val="decimal"/>
      <w:start w:val="4"/>
    </w:lvl>
  </w:abstractNum>
  <w:abstractNum w:abstractNumId="188">
    <w:nsid w:val="2DB88089"/>
    <w:multiLevelType w:val="hybridMultilevel"/>
    <w:lvl w:ilvl="0">
      <w:lvlJc w:val="left"/>
      <w:lvlText w:val="%1."/>
      <w:numFmt w:val="decimal"/>
      <w:start w:val="5"/>
    </w:lvl>
  </w:abstractNum>
  <w:abstractNum w:abstractNumId="189">
    <w:nsid w:val="706B674E"/>
    <w:multiLevelType w:val="hybridMultilevel"/>
    <w:lvl w:ilvl="0">
      <w:lvlJc w:val="left"/>
      <w:lvlText w:val="%1."/>
      <w:numFmt w:val="decimal"/>
      <w:start w:val="6"/>
    </w:lvl>
  </w:abstractNum>
  <w:abstractNum w:abstractNumId="190">
    <w:nsid w:val="2C106A57"/>
    <w:multiLevelType w:val="hybridMultilevel"/>
    <w:lvl w:ilvl="0">
      <w:lvlJc w:val="left"/>
      <w:lvlText w:val="(%1)"/>
      <w:numFmt w:val="lowerRoman"/>
      <w:start w:val="2"/>
    </w:lvl>
    <w:lvl w:ilvl="1">
      <w:lvlJc w:val="left"/>
      <w:lvlText w:val="%2."/>
      <w:numFmt w:val="decimal"/>
      <w:start w:val="7"/>
    </w:lvl>
  </w:abstractNum>
  <w:abstractNum w:abstractNumId="191">
    <w:nsid w:val="684EED59"/>
    <w:multiLevelType w:val="hybridMultilevel"/>
    <w:lvl w:ilvl="0">
      <w:lvlJc w:val="left"/>
      <w:lvlText w:val="(%1)"/>
      <w:numFmt w:val="lowerLetter"/>
      <w:start w:val="1"/>
    </w:lvl>
  </w:abstractNum>
  <w:abstractNum w:abstractNumId="192">
    <w:nsid w:val="545EE5D3"/>
    <w:multiLevelType w:val="hybridMultilevel"/>
    <w:lvl w:ilvl="0">
      <w:lvlJc w:val="left"/>
      <w:lvlText w:val="(%1)"/>
      <w:numFmt w:val="lowerLetter"/>
      <w:start w:val="2"/>
    </w:lvl>
  </w:abstractNum>
  <w:abstractNum w:abstractNumId="193">
    <w:nsid w:val="4A66051"/>
    <w:multiLevelType w:val="hybridMultilevel"/>
    <w:lvl w:ilvl="0">
      <w:lvlJc w:val="left"/>
      <w:lvlText w:val="(%1)"/>
      <w:numFmt w:val="lowerLetter"/>
      <w:start w:val="1"/>
    </w:lvl>
  </w:abstractNum>
  <w:abstractNum w:abstractNumId="194">
    <w:nsid w:val="20F4BDAD"/>
    <w:multiLevelType w:val="hybridMultilevel"/>
    <w:lvl w:ilvl="0">
      <w:lvlJc w:val="left"/>
      <w:lvlText w:val="(%1)"/>
      <w:numFmt w:val="lowerLetter"/>
      <w:start w:val="3"/>
    </w:lvl>
  </w:abstractNum>
  <w:abstractNum w:abstractNumId="195">
    <w:nsid w:val="639DEFAC"/>
    <w:multiLevelType w:val="hybridMultilevel"/>
    <w:lvl w:ilvl="0">
      <w:lvlJc w:val="left"/>
      <w:lvlText w:val="(%1)"/>
      <w:numFmt w:val="lowerLetter"/>
      <w:start w:val="25"/>
    </w:lvl>
    <w:lvl w:ilvl="1">
      <w:lvlJc w:val="left"/>
      <w:lvlText w:val="%2."/>
      <w:numFmt w:val="decimal"/>
      <w:start w:val="8"/>
    </w:lvl>
  </w:abstractNum>
  <w:abstractNum w:abstractNumId="196">
    <w:nsid w:val="501F9786"/>
    <w:multiLevelType w:val="hybridMultilevel"/>
    <w:lvl w:ilvl="0">
      <w:lvlJc w:val="left"/>
      <w:lvlText w:val="%1."/>
      <w:numFmt w:val="decimal"/>
      <w:start w:val="9"/>
    </w:lvl>
  </w:abstractNum>
  <w:abstractNum w:abstractNumId="197">
    <w:nsid w:val="6B057295"/>
    <w:multiLevelType w:val="hybridMultilevel"/>
    <w:lvl w:ilvl="0">
      <w:lvlJc w:val="left"/>
      <w:lvlText w:val="%1."/>
      <w:numFmt w:val="decimal"/>
      <w:start w:val="10"/>
    </w:lvl>
  </w:abstractNum>
  <w:abstractNum w:abstractNumId="198">
    <w:nsid w:val="2771AC80"/>
    <w:multiLevelType w:val="hybridMultilevel"/>
    <w:lvl w:ilvl="0">
      <w:lvlJc w:val="left"/>
      <w:lvlText w:val="(%1)"/>
      <w:numFmt w:val="lowerLetter"/>
      <w:start w:val="1"/>
    </w:lvl>
  </w:abstractNum>
  <w:abstractNum w:abstractNumId="199">
    <w:nsid w:val="1C4A08EC"/>
    <w:multiLevelType w:val="hybridMultilevel"/>
    <w:lvl w:ilvl="0">
      <w:lvlJc w:val="left"/>
      <w:lvlText w:val="(%1)"/>
      <w:numFmt w:val="lowerLetter"/>
      <w:start w:val="3"/>
    </w:lvl>
  </w:abstractNum>
  <w:abstractNum w:abstractNumId="200">
    <w:nsid w:val="1958BD17"/>
    <w:multiLevelType w:val="hybridMultilevel"/>
    <w:lvl w:ilvl="0">
      <w:lvlJc w:val="left"/>
      <w:lvlText w:val="%1."/>
      <w:numFmt w:val="upperLetter"/>
      <w:start w:val="61"/>
    </w:lvl>
  </w:abstractNum>
  <w:abstractNum w:abstractNumId="201">
    <w:nsid w:val="4E647FE4"/>
    <w:multiLevelType w:val="hybridMultilevel"/>
    <w:lvl w:ilvl="0">
      <w:lvlJc w:val="left"/>
      <w:lvlText w:val="(%1)"/>
      <w:numFmt w:val="lowerLetter"/>
      <w:start w:val="1"/>
    </w:lvl>
  </w:abstractNum>
  <w:abstractNum w:abstractNumId="202">
    <w:nsid w:val="E0BB885"/>
    <w:multiLevelType w:val="hybridMultilevel"/>
    <w:lvl w:ilvl="0">
      <w:lvlJc w:val="left"/>
      <w:lvlText w:val="(%1)"/>
      <w:numFmt w:val="lowerLetter"/>
      <w:start w:val="2"/>
    </w:lvl>
    <w:lvl w:ilvl="1">
      <w:lvlJc w:val="left"/>
      <w:lvlText w:val="(%2)"/>
      <w:numFmt w:val="lowerRoman"/>
      <w:start w:val="4"/>
    </w:lvl>
  </w:abstractNum>
  <w:abstractNum w:abstractNumId="203">
    <w:nsid w:val="565976F1"/>
    <w:multiLevelType w:val="hybridMultilevel"/>
    <w:lvl w:ilvl="0">
      <w:lvlJc w:val="left"/>
      <w:lvlText w:val="%1"/>
      <w:numFmt w:val="lowerLetter"/>
      <w:start w:val="1"/>
    </w:lvl>
    <w:lvl w:ilvl="1">
      <w:lvlJc w:val="left"/>
      <w:lvlText w:val="(%2)"/>
      <w:numFmt w:val="lowerRoman"/>
      <w:start w:val="1"/>
    </w:lvl>
  </w:abstractNum>
  <w:abstractNum w:abstractNumId="204">
    <w:nsid w:val="64212B8C"/>
    <w:multiLevelType w:val="hybridMultilevel"/>
    <w:lvl w:ilvl="0">
      <w:lvlJc w:val="left"/>
      <w:lvlText w:val="%1"/>
      <w:numFmt w:val="lowerLetter"/>
      <w:start w:val="1"/>
    </w:lvl>
    <w:lvl w:ilvl="1">
      <w:lvlJc w:val="left"/>
      <w:lvlText w:val="(%2)"/>
      <w:numFmt w:val="lowerRoman"/>
      <w:start w:val="4"/>
    </w:lvl>
  </w:abstractNum>
  <w:abstractNum w:abstractNumId="205">
    <w:nsid w:val="5C17530C"/>
    <w:multiLevelType w:val="hybridMultilevel"/>
    <w:lvl w:ilvl="0">
      <w:lvlJc w:val="left"/>
      <w:lvlText w:val="(%1)"/>
      <w:numFmt w:val="lowerRoman"/>
      <w:start w:val="11"/>
    </w:lvl>
  </w:abstractNum>
  <w:abstractNum w:abstractNumId="206">
    <w:nsid w:val="19A52566"/>
    <w:multiLevelType w:val="hybridMultilevel"/>
    <w:lvl w:ilvl="0">
      <w:lvlJc w:val="left"/>
      <w:lvlText w:val="%1"/>
      <w:numFmt w:val="lowerRoman"/>
      <w:start w:val="1"/>
    </w:lvl>
    <w:lvl w:ilvl="1">
      <w:lvlJc w:val="left"/>
      <w:lvlText w:val="(%2)"/>
      <w:numFmt w:val="lowerLetter"/>
      <w:start w:val="9"/>
    </w:lvl>
  </w:abstractNum>
  <w:abstractNum w:abstractNumId="207">
    <w:nsid w:val="335A1DF1"/>
    <w:multiLevelType w:val="hybridMultilevel"/>
    <w:lvl w:ilvl="0">
      <w:lvlJc w:val="left"/>
      <w:lvlText w:val="(%1)"/>
      <w:numFmt w:val="lowerRoman"/>
      <w:start w:val="1"/>
    </w:lvl>
    <w:lvl w:ilvl="1">
      <w:lvlJc w:val="left"/>
      <w:lvlText w:val="(%2)"/>
      <w:numFmt w:val="lowerLetter"/>
      <w:start w:val="35"/>
    </w:lvl>
  </w:abstractNum>
  <w:abstractNum w:abstractNumId="208">
    <w:nsid w:val="28677B7C"/>
    <w:multiLevelType w:val="hybridMultilevel"/>
    <w:lvl w:ilvl="0">
      <w:lvlJc w:val="left"/>
      <w:lvlText w:val="%1"/>
      <w:numFmt w:val="decimal"/>
      <w:start w:val="1"/>
    </w:lvl>
    <w:lvl w:ilvl="1">
      <w:lvlJc w:val="left"/>
      <w:lvlText w:val="(%2)"/>
      <w:numFmt w:val="lowerRoman"/>
      <w:start w:val="3"/>
    </w:lvl>
  </w:abstractNum>
  <w:abstractNum w:abstractNumId="209">
    <w:nsid w:val="378D97C0"/>
    <w:multiLevelType w:val="hybridMultilevel"/>
    <w:lvl w:ilvl="0">
      <w:lvlJc w:val="left"/>
      <w:lvlText w:val="(%1)"/>
      <w:numFmt w:val="decimal"/>
      <w:start w:val="3"/>
    </w:lvl>
    <w:lvl w:ilvl="1">
      <w:lvlJc w:val="left"/>
      <w:lvlText w:val="(%2)"/>
      <w:numFmt w:val="lowerRoman"/>
      <w:start w:val="7"/>
    </w:lvl>
  </w:abstractNum>
  <w:abstractNum w:abstractNumId="210">
    <w:nsid w:val="1D91467C"/>
    <w:multiLevelType w:val="hybridMultilevel"/>
    <w:lvl w:ilvl="0">
      <w:lvlJc w:val="left"/>
      <w:lvlText w:val="["/>
      <w:numFmt w:val="bullet"/>
      <w:start w:val="1"/>
    </w:lvl>
  </w:abstractNum>
  <w:abstractNum w:abstractNumId="211">
    <w:nsid w:val="316032BB"/>
    <w:multiLevelType w:val="hybridMultilevel"/>
    <w:lvl w:ilvl="0">
      <w:lvlJc w:val="left"/>
      <w:lvlText w:val="%1."/>
      <w:numFmt w:val="decimal"/>
      <w:start w:val="1"/>
    </w:lvl>
  </w:abstractNum>
  <w:abstractNum w:abstractNumId="212">
    <w:nsid w:val="44344C22"/>
    <w:multiLevelType w:val="hybridMultilevel"/>
    <w:lvl w:ilvl="0">
      <w:lvlJc w:val="left"/>
      <w:lvlText w:val="%1."/>
      <w:numFmt w:val="decimal"/>
      <w:start w:val="1"/>
    </w:lvl>
  </w:abstractNum>
  <w:abstractNum w:abstractNumId="213">
    <w:nsid w:val="13CDFCFC"/>
    <w:multiLevelType w:val="hybridMultilevel"/>
    <w:lvl w:ilvl="0">
      <w:lvlJc w:val="left"/>
      <w:lvlText w:val="%1."/>
      <w:numFmt w:val="decimal"/>
      <w:start w:val="2"/>
    </w:lvl>
  </w:abstractNum>
  <w:abstractNum w:abstractNumId="214">
    <w:nsid w:val="471745E4"/>
    <w:multiLevelType w:val="hybridMultilevel"/>
    <w:lvl w:ilvl="0">
      <w:lvlJc w:val="left"/>
      <w:lvlText w:val="%1."/>
      <w:numFmt w:val="decimal"/>
      <w:start w:val="3"/>
    </w:lvl>
  </w:abstractNum>
  <w:abstractNum w:abstractNumId="215">
    <w:nsid w:val="1DDBC66"/>
    <w:multiLevelType w:val="hybridMultilevel"/>
    <w:lvl w:ilvl="0">
      <w:lvlJc w:val="left"/>
      <w:lvlText w:val="(%1)"/>
      <w:numFmt w:val="lowerLetter"/>
      <w:start w:val="2"/>
    </w:lvl>
  </w:abstractNum>
  <w:abstractNum w:abstractNumId="216">
    <w:nsid w:val="30AADFDA"/>
    <w:multiLevelType w:val="hybridMultilevel"/>
    <w:lvl w:ilvl="0">
      <w:lvlJc w:val="left"/>
      <w:lvlText w:val="(%1)"/>
      <w:numFmt w:val="lowerRoman"/>
      <w:start w:val="3"/>
    </w:lvl>
  </w:abstractNum>
  <w:abstractNum w:abstractNumId="217">
    <w:nsid w:val="30EADA61"/>
    <w:multiLevelType w:val="hybridMultilevel"/>
    <w:lvl w:ilvl="0">
      <w:lvlJc w:val="left"/>
      <w:lvlText w:val="(%1)"/>
      <w:numFmt w:val="lowerRoman"/>
      <w:start w:val="7"/>
    </w:lvl>
  </w:abstractNum>
  <w:abstractNum w:abstractNumId="218">
    <w:nsid w:val="27179C0B"/>
    <w:multiLevelType w:val="hybridMultilevel"/>
    <w:lvl w:ilvl="0">
      <w:lvlJc w:val="left"/>
      <w:lvlText w:val="%1."/>
      <w:numFmt w:val="decimal"/>
      <w:start w:val="4"/>
    </w:lvl>
  </w:abstractNum>
  <w:abstractNum w:abstractNumId="219">
    <w:nsid w:val="5E636063"/>
    <w:multiLevelType w:val="hybridMultilevel"/>
    <w:lvl w:ilvl="0">
      <w:lvlJc w:val="left"/>
      <w:lvlText w:val="%1."/>
      <w:numFmt w:val="decimal"/>
      <w:start w:val="5"/>
    </w:lvl>
  </w:abstractNum>
  <w:abstractNum w:abstractNumId="220">
    <w:nsid w:val="215641AF"/>
    <w:multiLevelType w:val="hybridMultilevel"/>
    <w:lvl w:ilvl="0">
      <w:lvlJc w:val="left"/>
      <w:lvlText w:val="%1."/>
      <w:numFmt w:val="decimal"/>
      <w:start w:val="6"/>
    </w:lvl>
  </w:abstractNum>
  <w:abstractNum w:abstractNumId="221">
    <w:nsid w:val="53280662"/>
    <w:multiLevelType w:val="hybridMultilevel"/>
    <w:lvl w:ilvl="0">
      <w:lvlJc w:val="left"/>
      <w:lvlText w:val="(%1)"/>
      <w:numFmt w:val="upperLetter"/>
      <w:start w:val="35"/>
    </w:lvl>
  </w:abstractNum>
  <w:abstractNum w:abstractNumId="222">
    <w:nsid w:val="46B24DBC"/>
    <w:multiLevelType w:val="hybridMultilevel"/>
    <w:lvl w:ilvl="0">
      <w:lvlJc w:val="left"/>
      <w:lvlText w:val="%1."/>
      <w:numFmt w:val="decimal"/>
      <w:start w:val="7"/>
    </w:lvl>
    <w:lvl w:ilvl="1">
      <w:lvlJc w:val="left"/>
      <w:lvlText w:val="(%2)"/>
      <w:numFmt w:val="lowerLetter"/>
      <w:start w:val="1"/>
    </w:lvl>
  </w:abstractNum>
  <w:abstractNum w:abstractNumId="223">
    <w:nsid w:val="75B52783"/>
    <w:multiLevelType w:val="hybridMultilevel"/>
    <w:lvl w:ilvl="0">
      <w:lvlJc w:val="left"/>
      <w:lvlText w:val="(%1)"/>
      <w:numFmt w:val="lowerLetter"/>
      <w:start w:val="2"/>
    </w:lvl>
  </w:abstractNum>
  <w:abstractNum w:abstractNumId="224">
    <w:nsid w:val="57CE66B4"/>
    <w:multiLevelType w:val="hybridMultilevel"/>
    <w:lvl w:ilvl="0">
      <w:lvlJc w:val="left"/>
      <w:lvlText w:val="(%1)"/>
      <w:numFmt w:val="lowerLetter"/>
      <w:start w:val="3"/>
    </w:lvl>
  </w:abstractNum>
  <w:abstractNum w:abstractNumId="225">
    <w:nsid w:val="67A70B69"/>
    <w:multiLevelType w:val="hybridMultilevel"/>
    <w:lvl w:ilvl="0">
      <w:lvlJc w:val="left"/>
      <w:lvlText w:val="%1."/>
      <w:numFmt w:val="decimal"/>
      <w:start w:val="8"/>
    </w:lvl>
  </w:abstractNum>
  <w:abstractNum w:abstractNumId="226">
    <w:nsid w:val="5953172F"/>
    <w:multiLevelType w:val="hybridMultilevel"/>
    <w:lvl w:ilvl="0">
      <w:lvlJc w:val="left"/>
      <w:lvlText w:val="(%1)"/>
      <w:numFmt w:val="lowerRoman"/>
      <w:start w:val="2"/>
    </w:lvl>
  </w:abstractNum>
  <w:abstractNum w:abstractNumId="227">
    <w:nsid w:val="27EDFE3A"/>
    <w:multiLevelType w:val="hybridMultilevel"/>
    <w:lvl w:ilvl="0">
      <w:lvlJc w:val="left"/>
      <w:lvlText w:val="%1."/>
      <w:numFmt w:val="decimal"/>
      <w:start w:val="9"/>
    </w:lvl>
  </w:abstractNum>
  <w:abstractNum w:abstractNumId="228">
    <w:nsid w:val="52AC7DFF"/>
    <w:multiLevelType w:val="hybridMultilevel"/>
    <w:lvl w:ilvl="0">
      <w:lvlJc w:val="left"/>
      <w:lvlText w:val="%1."/>
      <w:numFmt w:val="decimal"/>
      <w:start w:val="10"/>
    </w:lvl>
  </w:abstractNum>
  <w:abstractNum w:abstractNumId="229">
    <w:nsid w:val="C4C3AF"/>
    <w:multiLevelType w:val="hybridMultilevel"/>
    <w:lvl w:ilvl="0">
      <w:lvlJc w:val="left"/>
      <w:lvlText w:val="(%1)"/>
      <w:numFmt w:val="lowerRoman"/>
      <w:start w:val="3"/>
    </w:lvl>
  </w:abstractNum>
  <w:abstractNum w:abstractNumId="230">
    <w:nsid w:val="44380727"/>
    <w:multiLevelType w:val="hybridMultilevel"/>
    <w:lvl w:ilvl="0">
      <w:lvlJc w:val="left"/>
      <w:lvlText w:val="(%1)"/>
      <w:numFmt w:val="lowerRoman"/>
      <w:start w:val="1"/>
    </w:lvl>
  </w:abstractNum>
  <w:abstractNum w:abstractNumId="231">
    <w:nsid w:val="6C053B16"/>
    <w:multiLevelType w:val="hybridMultilevel"/>
    <w:lvl w:ilvl="0">
      <w:lvlJc w:val="left"/>
      <w:lvlText w:val="(%1)"/>
      <w:numFmt w:val="lowerRoman"/>
      <w:start w:val="3"/>
    </w:lvl>
  </w:abstractNum>
  <w:abstractNum w:abstractNumId="232">
    <w:nsid w:val="4F294393"/>
    <w:multiLevelType w:val="hybridMultilevel"/>
    <w:lvl w:ilvl="0">
      <w:lvlJc w:val="left"/>
      <w:lvlText w:val="["/>
      <w:numFmt w:val="bullet"/>
      <w:start w:val="1"/>
    </w:lvl>
  </w:abstractNum>
  <w:abstractNum w:abstractNumId="233">
    <w:nsid w:val="5243BFAC"/>
    <w:multiLevelType w:val="hybridMultilevel"/>
    <w:lvl w:ilvl="0">
      <w:lvlJc w:val="left"/>
      <w:lvlText w:val="%1."/>
      <w:numFmt w:val="decimal"/>
      <w:start w:val="1"/>
    </w:lvl>
  </w:abstractNum>
  <w:abstractNum w:abstractNumId="234">
    <w:nsid w:val="425EB207"/>
    <w:multiLevelType w:val="hybridMultilevel"/>
    <w:lvl w:ilvl="0">
      <w:lvlJc w:val="left"/>
      <w:lvlText w:val="%1."/>
      <w:numFmt w:val="upperLetter"/>
      <w:start w:val="61"/>
    </w:lvl>
  </w:abstractNum>
  <w:abstractNum w:abstractNumId="235">
    <w:nsid w:val="334A6F1F"/>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2020-10-30T16:23:25Z</dcterms:created>
  <dcterms:modified xsi:type="dcterms:W3CDTF">2020-10-30T16:23:25Z</dcterms:modified>
</cp:coreProperties>
</file>